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AA4D8" w14:textId="5198DF5A" w:rsidR="00A1593A" w:rsidRPr="00471D45" w:rsidRDefault="00471D45" w:rsidP="00C956D1">
      <w:pPr>
        <w:spacing w:before="200" w:line="276" w:lineRule="auto"/>
        <w:rPr>
          <w:b/>
          <w:bCs/>
        </w:rPr>
      </w:pPr>
      <w:r w:rsidRPr="00471D45">
        <w:rPr>
          <w:b/>
          <w:bCs/>
        </w:rPr>
        <w:t>Cēloņsakarības esības pārbaudes metode</w:t>
      </w:r>
    </w:p>
    <w:p w14:paraId="56578579" w14:textId="58D9923B" w:rsidR="00F27ECE" w:rsidRPr="001048E7" w:rsidRDefault="00F27ECE" w:rsidP="00F27ECE">
      <w:pPr>
        <w:spacing w:line="276" w:lineRule="auto"/>
        <w:jc w:val="both"/>
      </w:pPr>
      <w:r w:rsidRPr="001048E7">
        <w:t>Noskaidrojot saikni starp prettiesisku darbību vai bezdarbību un sekām</w:t>
      </w:r>
      <w:r w:rsidR="00F823A5">
        <w:t>, kas iestājušās</w:t>
      </w:r>
      <w:r w:rsidRPr="001048E7">
        <w:t>, ņem vērā inkriminētā noziedzīgā nodarījuma objektīvās pazīmes, kuras raksturo konkrēto noziedzīgā nodarījuma sastāvu, tai skaitā nodarījuma faktiskās darbības, lai pārliecinātos, ka konkrētās sekas ir apsūdzētā radītā neatļautā apdraudējuma rezultāts.</w:t>
      </w:r>
    </w:p>
    <w:p w14:paraId="76A84500" w14:textId="77777777" w:rsidR="00F27ECE" w:rsidRPr="001048E7" w:rsidRDefault="00F27ECE" w:rsidP="00F27ECE">
      <w:pPr>
        <w:spacing w:line="276" w:lineRule="auto"/>
        <w:jc w:val="both"/>
      </w:pPr>
      <w:r w:rsidRPr="001048E7">
        <w:t>Cēloņsakarība nav konstatējama gadījumā, ja persona rīkojās nevērīgi vai pieļāva bezdarbību un radīja apdraudējuma risku, kas neizraisīja inkriminētā noziedzīgā nodarījuma kaitīgās sekas.</w:t>
      </w:r>
    </w:p>
    <w:p w14:paraId="5C341F80" w14:textId="306C0D3B" w:rsidR="00471D45" w:rsidRDefault="00F27ECE" w:rsidP="00F27ECE">
      <w:pPr>
        <w:spacing w:line="276" w:lineRule="auto"/>
        <w:jc w:val="both"/>
      </w:pPr>
      <w:r w:rsidRPr="001048E7">
        <w:t>Ja sekas izraisa vairāku personu neuzmanīgas rīcības summēšanās, tad cēloņsakarību veido nosacījumi, kas nozīmīgi ietekmē seku iestāšanās laiku un vietu.</w:t>
      </w:r>
    </w:p>
    <w:p w14:paraId="3017602E" w14:textId="77777777" w:rsidR="00F27ECE" w:rsidRDefault="00F27ECE" w:rsidP="00F27ECE">
      <w:pPr>
        <w:spacing w:line="276" w:lineRule="auto"/>
        <w:jc w:val="both"/>
      </w:pPr>
    </w:p>
    <w:p w14:paraId="0004FAB5" w14:textId="4FEF3FC9" w:rsidR="00F27ECE" w:rsidRDefault="00F27ECE" w:rsidP="00E91F5B">
      <w:pPr>
        <w:spacing w:before="60" w:line="276" w:lineRule="auto"/>
        <w:jc w:val="both"/>
        <w:rPr>
          <w:b/>
          <w:bCs/>
        </w:rPr>
      </w:pPr>
      <w:r w:rsidRPr="00F27ECE">
        <w:rPr>
          <w:b/>
          <w:bCs/>
        </w:rPr>
        <w:t>Glābšanas darbu uzsākšana un iespējama cēloņsakarības pārtraukšana</w:t>
      </w:r>
    </w:p>
    <w:p w14:paraId="242A5608" w14:textId="4D65E91F" w:rsidR="00F27ECE" w:rsidRPr="001048E7" w:rsidRDefault="00F27ECE" w:rsidP="00F27ECE">
      <w:pPr>
        <w:spacing w:line="276" w:lineRule="auto"/>
        <w:jc w:val="both"/>
        <w:rPr>
          <w:rFonts w:asciiTheme="majorBidi" w:hAnsiTheme="majorBidi" w:cstheme="majorBidi"/>
        </w:rPr>
      </w:pPr>
      <w:r w:rsidRPr="001048E7">
        <w:rPr>
          <w:rFonts w:asciiTheme="majorBidi" w:hAnsiTheme="majorBidi" w:cstheme="majorBidi"/>
        </w:rPr>
        <w:t>Glābēju iesaistīšanās noziedzīga nodarījuma seku likvidācijā pati par sevi nepārtrauc sākotnējā apdraudējuma tālāko iedarbību. Vērtējot, vai glābēju bojāeja un veselības apdraudējums ir attiecināms uz noziedzīgā nodarījuma sākotnējo cēloni, ir jāņem vērā, ka glābšanas dienestu darbinieki neveic pasākumus nolūkā atteikties no dzīvības un neiesaistās glābšanas darbos brīvprātīgi, jo glābšanas pasākumu veikšana izriet no viņu profesionālajiem pienākumiem un var būt saistīta ar atbildīgu risku nolūkā glābt negadījumā iesaistītās personas (Ugunsdrošības un ugunsdzēsības likuma 35.</w:t>
      </w:r>
      <w:r w:rsidRPr="001048E7">
        <w:rPr>
          <w:rFonts w:asciiTheme="majorBidi" w:hAnsiTheme="majorBidi" w:cstheme="majorBidi"/>
          <w:vertAlign w:val="superscript"/>
        </w:rPr>
        <w:t>1</w:t>
      </w:r>
      <w:r w:rsidRPr="001048E7">
        <w:rPr>
          <w:rFonts w:asciiTheme="majorBidi" w:hAnsiTheme="majorBidi" w:cstheme="majorBidi"/>
        </w:rPr>
        <w:t>, 36. un 37.</w:t>
      </w:r>
      <w:r w:rsidR="00B76C6A">
        <w:rPr>
          <w:rFonts w:asciiTheme="majorBidi" w:hAnsiTheme="majorBidi" w:cstheme="majorBidi"/>
        </w:rPr>
        <w:t> </w:t>
      </w:r>
      <w:r w:rsidRPr="001048E7">
        <w:rPr>
          <w:rFonts w:asciiTheme="majorBidi" w:hAnsiTheme="majorBidi" w:cstheme="majorBidi"/>
        </w:rPr>
        <w:t xml:space="preserve">pants). Tādējādi nav konstatējama glābēju rīcības brīvprātība, kas pārtrauktu cēloņsakarības konstatēšanu starp darbībām un kaitīgajām sekām. </w:t>
      </w:r>
    </w:p>
    <w:p w14:paraId="073338FE" w14:textId="77777777" w:rsidR="00F27ECE" w:rsidRPr="001048E7" w:rsidRDefault="00F27ECE" w:rsidP="00F27ECE">
      <w:pPr>
        <w:spacing w:line="276" w:lineRule="auto"/>
        <w:jc w:val="both"/>
        <w:rPr>
          <w:rFonts w:asciiTheme="majorBidi" w:hAnsiTheme="majorBidi" w:cstheme="majorBidi"/>
        </w:rPr>
      </w:pPr>
      <w:r w:rsidRPr="001048E7">
        <w:rPr>
          <w:rFonts w:asciiTheme="majorBidi" w:hAnsiTheme="majorBidi" w:cstheme="majorBidi"/>
        </w:rPr>
        <w:t>Tomēr tiesām jāņem vērā, ka tiesību normas aizsardzības mērķis beidzas tur, kur sākas cietušās personas atbildības joma pašai par sevi. Tādējādi tiesām jāvērtē, vai glābšanas pasākumi nav bijuši acīmredzami bezjēdzīgi un nesamērīgi tam, kādu risku glābēji uzņēmās, apdraudot savu dzīvību un veselību, un tam, kādu rezultātu konkrētajos apstākļos varēja sasniegt. Acīmredzami nesaprātīga glābšanas mēģinājuma gadījumā cēloņsakarības saikne tiek pārtraukta. Šādā gadījumā vērtējami nevis atsevišķu glābēju lēmumi, bet gan visu glābšanas operācijā iesaistīto kopējā rīcība.</w:t>
      </w:r>
    </w:p>
    <w:p w14:paraId="552DF606" w14:textId="77777777" w:rsidR="00F27ECE" w:rsidRDefault="00F27ECE" w:rsidP="00F27ECE">
      <w:pPr>
        <w:spacing w:line="276" w:lineRule="auto"/>
        <w:jc w:val="both"/>
        <w:rPr>
          <w:b/>
          <w:bCs/>
        </w:rPr>
      </w:pPr>
    </w:p>
    <w:p w14:paraId="1BE1546B" w14:textId="334C3910" w:rsidR="00F27ECE" w:rsidRDefault="00392738" w:rsidP="00E91F5B">
      <w:pPr>
        <w:spacing w:before="60" w:line="276" w:lineRule="auto"/>
        <w:jc w:val="both"/>
        <w:rPr>
          <w:b/>
          <w:bCs/>
        </w:rPr>
      </w:pPr>
      <w:r w:rsidRPr="00392738">
        <w:rPr>
          <w:b/>
          <w:bCs/>
        </w:rPr>
        <w:t>Blakus lēmuma tiesiskā daba</w:t>
      </w:r>
    </w:p>
    <w:p w14:paraId="73BD66AA" w14:textId="77777777" w:rsidR="00392738" w:rsidRPr="001048E7" w:rsidRDefault="00392738" w:rsidP="00392738">
      <w:pPr>
        <w:spacing w:line="276" w:lineRule="auto"/>
        <w:jc w:val="both"/>
        <w:rPr>
          <w:rFonts w:asciiTheme="majorBidi" w:hAnsiTheme="majorBidi" w:cstheme="majorBidi"/>
        </w:rPr>
      </w:pPr>
      <w:r w:rsidRPr="001048E7">
        <w:rPr>
          <w:rFonts w:asciiTheme="majorBidi" w:hAnsiTheme="majorBidi" w:cstheme="majorBidi"/>
        </w:rPr>
        <w:t>Blakus lēmums neskar lietas būtību un ir vērsts uz to, lai kompetenta institūcija novērstu iespējamos pārkāpumus un tos cēloņus, kurus tiesa ir konstatējusi lietas izskatīšanā. Tādējādi tiesa blakus lēmumu var pieņemt jebkurā tiesu instancē pēc savas iniciatīvas, un tiesai nav saistošs procesā iesaistītās personas viedoklis par šo jautājumu. Turklāt nav izšķirošas nozīmes, vai par šo jautājumu ir vai nav iesniegts prokurora apelācijas protests vai apsūdzētā apelācijas sūdzība.</w:t>
      </w:r>
    </w:p>
    <w:p w14:paraId="44186E8F" w14:textId="085E795F" w:rsidR="00392738" w:rsidRPr="001048E7" w:rsidRDefault="00392738" w:rsidP="00392738">
      <w:pPr>
        <w:spacing w:line="276" w:lineRule="auto"/>
        <w:jc w:val="both"/>
        <w:rPr>
          <w:rFonts w:asciiTheme="majorBidi" w:hAnsiTheme="majorBidi" w:cstheme="majorBidi"/>
        </w:rPr>
      </w:pPr>
      <w:r w:rsidRPr="001048E7">
        <w:rPr>
          <w:rFonts w:asciiTheme="majorBidi" w:hAnsiTheme="majorBidi" w:cstheme="majorBidi"/>
        </w:rPr>
        <w:t>Tiesai rūpīgi jāvērtē, vai katrā gadījumā, kad tiek konstatēts Kriminālprocesa likuma pārkāpums, ir jāpieņem blakus lēmums. Pārsteidzīgi un nepamatoti ir pieņemt lēmumu par atšķirīgu viedokli par Krimināllikuma normas piemērošanu. Šādos gadījumos ir jāatturas no blakus lēmumu pieņemšanas.</w:t>
      </w:r>
    </w:p>
    <w:p w14:paraId="399F048D" w14:textId="77777777" w:rsidR="00471D45" w:rsidRDefault="00471D45" w:rsidP="00471D45">
      <w:pPr>
        <w:spacing w:line="276" w:lineRule="auto"/>
      </w:pPr>
    </w:p>
    <w:p w14:paraId="6975CEA2" w14:textId="77777777" w:rsidR="00C956D1" w:rsidRDefault="00C956D1" w:rsidP="00471D45">
      <w:pPr>
        <w:spacing w:line="276" w:lineRule="auto"/>
      </w:pPr>
    </w:p>
    <w:p w14:paraId="7423A885" w14:textId="77777777" w:rsidR="00C956D1" w:rsidRDefault="00C956D1" w:rsidP="00471D45">
      <w:pPr>
        <w:spacing w:line="276" w:lineRule="auto"/>
      </w:pPr>
    </w:p>
    <w:p w14:paraId="53E7BE32" w14:textId="77777777" w:rsidR="00E91F5B" w:rsidRDefault="00E91F5B" w:rsidP="00471D45">
      <w:pPr>
        <w:spacing w:line="276" w:lineRule="auto"/>
      </w:pPr>
    </w:p>
    <w:p w14:paraId="3363EA39" w14:textId="77777777" w:rsidR="00C956D1" w:rsidRPr="009C7A0A" w:rsidRDefault="00C956D1" w:rsidP="00471D45">
      <w:pPr>
        <w:spacing w:line="276" w:lineRule="auto"/>
      </w:pPr>
    </w:p>
    <w:p w14:paraId="15D75A67" w14:textId="3D86C317" w:rsidR="00847292" w:rsidRDefault="00847292" w:rsidP="009C7A0A">
      <w:pPr>
        <w:spacing w:line="276" w:lineRule="auto"/>
        <w:jc w:val="center"/>
        <w:rPr>
          <w:b/>
        </w:rPr>
      </w:pPr>
      <w:r w:rsidRPr="009C7A0A">
        <w:rPr>
          <w:b/>
        </w:rPr>
        <w:lastRenderedPageBreak/>
        <w:t>Latvijas Republikas Senāt</w:t>
      </w:r>
      <w:r w:rsidR="00813122">
        <w:rPr>
          <w:b/>
        </w:rPr>
        <w:t>a</w:t>
      </w:r>
    </w:p>
    <w:p w14:paraId="62E36D85" w14:textId="339822FD" w:rsidR="00813122" w:rsidRPr="00813122" w:rsidRDefault="00813122" w:rsidP="00813122">
      <w:pPr>
        <w:spacing w:line="276" w:lineRule="auto"/>
        <w:jc w:val="center"/>
        <w:rPr>
          <w:b/>
          <w:bCs/>
        </w:rPr>
      </w:pPr>
      <w:r w:rsidRPr="00813122">
        <w:rPr>
          <w:b/>
          <w:bCs/>
        </w:rPr>
        <w:t>Krimināllietu departamenta</w:t>
      </w:r>
    </w:p>
    <w:p w14:paraId="24253150" w14:textId="1B91CCE3" w:rsidR="00813122" w:rsidRPr="00813122" w:rsidRDefault="00813122" w:rsidP="009C7A0A">
      <w:pPr>
        <w:spacing w:line="276" w:lineRule="auto"/>
        <w:jc w:val="center"/>
        <w:rPr>
          <w:b/>
          <w:bCs/>
        </w:rPr>
      </w:pPr>
      <w:r w:rsidRPr="00813122">
        <w:rPr>
          <w:b/>
          <w:bCs/>
        </w:rPr>
        <w:t>2024. gada 19. decembra</w:t>
      </w:r>
    </w:p>
    <w:p w14:paraId="01B3DB31" w14:textId="77777777" w:rsidR="00847292" w:rsidRPr="00813122" w:rsidRDefault="00847292" w:rsidP="009C7A0A">
      <w:pPr>
        <w:spacing w:line="276" w:lineRule="auto"/>
        <w:jc w:val="center"/>
        <w:rPr>
          <w:b/>
          <w:bCs/>
        </w:rPr>
      </w:pPr>
      <w:r w:rsidRPr="00813122">
        <w:rPr>
          <w:b/>
          <w:bCs/>
        </w:rPr>
        <w:t>LĒMUMS</w:t>
      </w:r>
    </w:p>
    <w:p w14:paraId="6BEC9BFF" w14:textId="16AFCB18" w:rsidR="00847292" w:rsidRPr="005C1879" w:rsidRDefault="00813122" w:rsidP="00813122">
      <w:pPr>
        <w:spacing w:line="276" w:lineRule="auto"/>
        <w:jc w:val="center"/>
        <w:rPr>
          <w:b/>
          <w:bCs/>
        </w:rPr>
      </w:pPr>
      <w:r w:rsidRPr="005C1879">
        <w:rPr>
          <w:b/>
          <w:bCs/>
        </w:rPr>
        <w:t>Lieta Nr. 11511002713, SKK-63/2024</w:t>
      </w:r>
    </w:p>
    <w:p w14:paraId="19BC06AA" w14:textId="244EC951" w:rsidR="00F860B2" w:rsidRPr="009C7A0A" w:rsidRDefault="00F860B2" w:rsidP="00F860B2">
      <w:pPr>
        <w:spacing w:line="276" w:lineRule="auto"/>
        <w:jc w:val="center"/>
      </w:pPr>
      <w:hyperlink r:id="rId8" w:history="1">
        <w:r w:rsidRPr="00C956D1">
          <w:rPr>
            <w:rStyle w:val="Hyperlink"/>
          </w:rPr>
          <w:t>ECLI:LV:AT:2024:1219.11511002713.23.L</w:t>
        </w:r>
      </w:hyperlink>
    </w:p>
    <w:p w14:paraId="51D24A82" w14:textId="77777777" w:rsidR="008629B6" w:rsidRPr="009C7A0A" w:rsidRDefault="008629B6" w:rsidP="009C7A0A">
      <w:pPr>
        <w:spacing w:line="276" w:lineRule="auto"/>
        <w:jc w:val="center"/>
      </w:pPr>
    </w:p>
    <w:p w14:paraId="41527798" w14:textId="69724476" w:rsidR="00340015" w:rsidRPr="009C7A0A" w:rsidRDefault="00E15AFE" w:rsidP="009C7A0A">
      <w:pPr>
        <w:spacing w:line="276" w:lineRule="auto"/>
        <w:ind w:firstLine="720"/>
        <w:jc w:val="both"/>
      </w:pPr>
      <w:r w:rsidRPr="009C7A0A">
        <w:t xml:space="preserve">Senāts </w:t>
      </w:r>
      <w:r w:rsidR="00847292" w:rsidRPr="009C7A0A">
        <w:t>šādā sastāvā: senator</w:t>
      </w:r>
      <w:r w:rsidR="00934A5C" w:rsidRPr="009C7A0A">
        <w:t>s referents</w:t>
      </w:r>
      <w:r w:rsidR="00DE1BE9" w:rsidRPr="009C7A0A">
        <w:t xml:space="preserve"> </w:t>
      </w:r>
      <w:r w:rsidR="00847292" w:rsidRPr="009C7A0A">
        <w:t>Aivars Uminskis,</w:t>
      </w:r>
      <w:r w:rsidR="00BD764E" w:rsidRPr="009C7A0A">
        <w:t xml:space="preserve"> </w:t>
      </w:r>
      <w:r w:rsidR="00934A5C" w:rsidRPr="009C7A0A">
        <w:t>senator</w:t>
      </w:r>
      <w:r w:rsidR="00340015" w:rsidRPr="009C7A0A">
        <w:t>i Artūrs Freibergs un Inguna Radzeviča</w:t>
      </w:r>
    </w:p>
    <w:p w14:paraId="65D5F1AF" w14:textId="77777777" w:rsidR="00197845" w:rsidRPr="009C7A0A" w:rsidRDefault="00197845" w:rsidP="009C7A0A">
      <w:pPr>
        <w:autoSpaceDE w:val="0"/>
        <w:autoSpaceDN w:val="0"/>
        <w:adjustRightInd w:val="0"/>
        <w:spacing w:line="276" w:lineRule="auto"/>
        <w:jc w:val="both"/>
        <w:rPr>
          <w:rFonts w:eastAsiaTheme="minorHAnsi"/>
        </w:rPr>
      </w:pPr>
    </w:p>
    <w:p w14:paraId="13A21256" w14:textId="31E3F50C" w:rsidR="00340015" w:rsidRPr="009C7A0A" w:rsidRDefault="00322A61" w:rsidP="00A87F52">
      <w:pPr>
        <w:spacing w:line="276" w:lineRule="auto"/>
        <w:ind w:firstLine="720"/>
        <w:jc w:val="both"/>
        <w:rPr>
          <w:rFonts w:eastAsia="Calibri"/>
          <w:color w:val="000000" w:themeColor="text1"/>
        </w:rPr>
      </w:pPr>
      <w:r w:rsidRPr="009C7A0A">
        <w:t>rakstveida procesā izskatīja krimināllietu sakarā ar</w:t>
      </w:r>
      <w:r w:rsidRPr="009C7A0A">
        <w:rPr>
          <w:rFonts w:eastAsia="Calibri"/>
          <w:color w:val="000000" w:themeColor="text1"/>
        </w:rPr>
        <w:t xml:space="preserve"> Rīgas tiesas apgabala prokuratūras prokurora Agra </w:t>
      </w:r>
      <w:proofErr w:type="spellStart"/>
      <w:r w:rsidRPr="009C7A0A">
        <w:rPr>
          <w:rFonts w:eastAsia="Calibri"/>
          <w:color w:val="000000" w:themeColor="text1"/>
        </w:rPr>
        <w:t>Skradaiļa</w:t>
      </w:r>
      <w:proofErr w:type="spellEnd"/>
      <w:r w:rsidRPr="009C7A0A">
        <w:rPr>
          <w:rFonts w:eastAsia="Calibri"/>
          <w:color w:val="000000" w:themeColor="text1"/>
        </w:rPr>
        <w:t xml:space="preserve"> kasācijas protestu, apsūdzētā </w:t>
      </w:r>
      <w:r w:rsidR="00643F8C">
        <w:rPr>
          <w:rFonts w:eastAsia="Calibri"/>
          <w:color w:val="000000" w:themeColor="text1"/>
        </w:rPr>
        <w:t>[pers. A]</w:t>
      </w:r>
      <w:r w:rsidRPr="009C7A0A">
        <w:rPr>
          <w:rFonts w:eastAsia="Calibri"/>
          <w:color w:val="000000" w:themeColor="text1"/>
        </w:rPr>
        <w:t xml:space="preserve"> un viņa aizstāvja zvērināta advokāta Artūra Zvejsalnieka, cietušo </w:t>
      </w:r>
      <w:r w:rsidR="00643F8C">
        <w:rPr>
          <w:rFonts w:eastAsia="Calibri"/>
          <w:color w:val="000000" w:themeColor="text1"/>
        </w:rPr>
        <w:t>[pers. B]</w:t>
      </w:r>
      <w:r w:rsidRPr="009C7A0A">
        <w:rPr>
          <w:rFonts w:eastAsia="Calibri"/>
          <w:color w:val="000000" w:themeColor="text1"/>
        </w:rPr>
        <w:t xml:space="preserve">, </w:t>
      </w:r>
      <w:r w:rsidR="00643F8C">
        <w:rPr>
          <w:rFonts w:eastAsia="Calibri"/>
          <w:color w:val="000000" w:themeColor="text1"/>
        </w:rPr>
        <w:t>[pers. C]</w:t>
      </w:r>
      <w:r w:rsidRPr="009C7A0A">
        <w:rPr>
          <w:rFonts w:eastAsia="Calibri"/>
          <w:color w:val="000000" w:themeColor="text1"/>
        </w:rPr>
        <w:t xml:space="preserve">, </w:t>
      </w:r>
      <w:r w:rsidR="00643F8C">
        <w:rPr>
          <w:rFonts w:eastAsia="Calibri"/>
          <w:color w:val="000000" w:themeColor="text1"/>
        </w:rPr>
        <w:t>[pers. D]</w:t>
      </w:r>
      <w:r w:rsidRPr="009C7A0A">
        <w:rPr>
          <w:rFonts w:eastAsia="Calibri"/>
          <w:color w:val="000000" w:themeColor="text1"/>
        </w:rPr>
        <w:t xml:space="preserve">, </w:t>
      </w:r>
      <w:r w:rsidR="00643F8C">
        <w:rPr>
          <w:rFonts w:eastAsia="Calibri"/>
          <w:color w:val="000000" w:themeColor="text1"/>
        </w:rPr>
        <w:t>[pers. E]</w:t>
      </w:r>
      <w:r w:rsidRPr="009C7A0A">
        <w:rPr>
          <w:rFonts w:eastAsia="Calibri"/>
          <w:color w:val="000000" w:themeColor="text1"/>
        </w:rPr>
        <w:t xml:space="preserve">, </w:t>
      </w:r>
      <w:r w:rsidR="00643F8C">
        <w:rPr>
          <w:rFonts w:eastAsia="Calibri"/>
          <w:color w:val="000000" w:themeColor="text1"/>
        </w:rPr>
        <w:t>[pers. F]</w:t>
      </w:r>
      <w:r w:rsidRPr="009C7A0A">
        <w:rPr>
          <w:rFonts w:eastAsia="Calibri"/>
          <w:color w:val="000000" w:themeColor="text1"/>
        </w:rPr>
        <w:t xml:space="preserve">, </w:t>
      </w:r>
      <w:r w:rsidR="00643F8C">
        <w:rPr>
          <w:rFonts w:eastAsia="Calibri"/>
          <w:color w:val="000000" w:themeColor="text1"/>
        </w:rPr>
        <w:t>[pers. G]</w:t>
      </w:r>
      <w:r w:rsidRPr="009C7A0A">
        <w:rPr>
          <w:rFonts w:eastAsia="Calibri"/>
          <w:color w:val="000000" w:themeColor="text1"/>
        </w:rPr>
        <w:t xml:space="preserve">, </w:t>
      </w:r>
      <w:r w:rsidR="00643F8C">
        <w:rPr>
          <w:rFonts w:eastAsia="Calibri"/>
          <w:color w:val="000000" w:themeColor="text1"/>
        </w:rPr>
        <w:t>[pers. H]</w:t>
      </w:r>
      <w:r w:rsidRPr="009C7A0A">
        <w:rPr>
          <w:rFonts w:eastAsia="Calibri"/>
          <w:color w:val="000000" w:themeColor="text1"/>
        </w:rPr>
        <w:t xml:space="preserve">, </w:t>
      </w:r>
      <w:r w:rsidR="00643F8C">
        <w:rPr>
          <w:rFonts w:eastAsia="Calibri"/>
          <w:color w:val="000000" w:themeColor="text1"/>
        </w:rPr>
        <w:t>[pers. I]</w:t>
      </w:r>
      <w:r w:rsidRPr="009C7A0A">
        <w:rPr>
          <w:rFonts w:eastAsia="Calibri"/>
          <w:color w:val="000000" w:themeColor="text1"/>
        </w:rPr>
        <w:t xml:space="preserve">, </w:t>
      </w:r>
      <w:r w:rsidR="00643F8C">
        <w:rPr>
          <w:rFonts w:eastAsia="Calibri"/>
          <w:color w:val="000000" w:themeColor="text1"/>
        </w:rPr>
        <w:t>[pers. J]</w:t>
      </w:r>
      <w:r w:rsidRPr="009C7A0A">
        <w:rPr>
          <w:rFonts w:eastAsia="Calibri"/>
          <w:color w:val="000000" w:themeColor="text1"/>
        </w:rPr>
        <w:t xml:space="preserve">, </w:t>
      </w:r>
      <w:r w:rsidR="00643F8C">
        <w:rPr>
          <w:rFonts w:eastAsia="Calibri"/>
          <w:color w:val="000000" w:themeColor="text1"/>
        </w:rPr>
        <w:t>[pers. K]</w:t>
      </w:r>
      <w:r w:rsidRPr="009C7A0A">
        <w:rPr>
          <w:rFonts w:eastAsia="Calibri"/>
          <w:color w:val="000000" w:themeColor="text1"/>
        </w:rPr>
        <w:t xml:space="preserve">, </w:t>
      </w:r>
      <w:r w:rsidR="00643F8C">
        <w:rPr>
          <w:rFonts w:eastAsia="Calibri"/>
          <w:color w:val="000000" w:themeColor="text1"/>
        </w:rPr>
        <w:t>[pers. L]</w:t>
      </w:r>
      <w:r w:rsidRPr="009C7A0A">
        <w:rPr>
          <w:rFonts w:eastAsia="Calibri"/>
          <w:color w:val="000000" w:themeColor="text1"/>
        </w:rPr>
        <w:t xml:space="preserve">, </w:t>
      </w:r>
      <w:r w:rsidR="00643F8C">
        <w:rPr>
          <w:rFonts w:eastAsia="Calibri"/>
          <w:color w:val="000000" w:themeColor="text1"/>
        </w:rPr>
        <w:t>[pers. M]</w:t>
      </w:r>
      <w:r w:rsidRPr="009C7A0A">
        <w:rPr>
          <w:rFonts w:eastAsia="Calibri"/>
          <w:color w:val="000000" w:themeColor="text1"/>
        </w:rPr>
        <w:t xml:space="preserve">, </w:t>
      </w:r>
      <w:r w:rsidR="00643F8C">
        <w:rPr>
          <w:rFonts w:eastAsia="Calibri"/>
          <w:color w:val="000000" w:themeColor="text1"/>
        </w:rPr>
        <w:t>[pers. N]</w:t>
      </w:r>
      <w:r w:rsidRPr="009C7A0A">
        <w:rPr>
          <w:rFonts w:eastAsia="Calibri"/>
          <w:color w:val="000000" w:themeColor="text1"/>
        </w:rPr>
        <w:t xml:space="preserve">, </w:t>
      </w:r>
      <w:r w:rsidR="00643F8C">
        <w:rPr>
          <w:rFonts w:eastAsia="Calibri"/>
          <w:color w:val="000000" w:themeColor="text1"/>
        </w:rPr>
        <w:t>[pers. O]</w:t>
      </w:r>
      <w:r w:rsidRPr="009C7A0A">
        <w:rPr>
          <w:rFonts w:eastAsia="Calibri"/>
          <w:color w:val="000000" w:themeColor="text1"/>
        </w:rPr>
        <w:t xml:space="preserve">, </w:t>
      </w:r>
      <w:r w:rsidR="00643F8C">
        <w:rPr>
          <w:rFonts w:eastAsia="Calibri"/>
          <w:color w:val="000000" w:themeColor="text1"/>
        </w:rPr>
        <w:t>[pers. P]</w:t>
      </w:r>
      <w:r w:rsidRPr="009C7A0A">
        <w:rPr>
          <w:rFonts w:eastAsia="Calibri"/>
          <w:color w:val="000000" w:themeColor="text1"/>
        </w:rPr>
        <w:t xml:space="preserve">, </w:t>
      </w:r>
      <w:r w:rsidR="00643F8C">
        <w:rPr>
          <w:rFonts w:eastAsia="Calibri"/>
          <w:color w:val="000000" w:themeColor="text1"/>
        </w:rPr>
        <w:t>[pers. R]</w:t>
      </w:r>
      <w:r w:rsidRPr="009C7A0A">
        <w:rPr>
          <w:rFonts w:eastAsia="Calibri"/>
          <w:color w:val="000000" w:themeColor="text1"/>
        </w:rPr>
        <w:t xml:space="preserve">, cietušo </w:t>
      </w:r>
      <w:r w:rsidR="00643F8C">
        <w:rPr>
          <w:rFonts w:eastAsia="Calibri"/>
          <w:color w:val="000000" w:themeColor="text1"/>
        </w:rPr>
        <w:t>[pers. S]</w:t>
      </w:r>
      <w:r w:rsidRPr="009C7A0A">
        <w:rPr>
          <w:rFonts w:eastAsia="Calibri"/>
          <w:color w:val="000000" w:themeColor="text1"/>
        </w:rPr>
        <w:t xml:space="preserve"> un </w:t>
      </w:r>
      <w:r w:rsidR="00643F8C">
        <w:rPr>
          <w:rFonts w:eastAsia="Calibri"/>
          <w:color w:val="000000" w:themeColor="text1"/>
        </w:rPr>
        <w:t>[pers. T]</w:t>
      </w:r>
      <w:r w:rsidR="000061AE" w:rsidRPr="009C7A0A">
        <w:rPr>
          <w:rFonts w:eastAsia="Calibri"/>
          <w:color w:val="000000" w:themeColor="text1"/>
        </w:rPr>
        <w:t xml:space="preserve"> (</w:t>
      </w:r>
      <w:r w:rsidR="00933C98" w:rsidRPr="009C7A0A">
        <w:t xml:space="preserve">pirms uzvārda maiņas – </w:t>
      </w:r>
      <w:r w:rsidR="00643F8C">
        <w:t>[Uzvārds]</w:t>
      </w:r>
      <w:r w:rsidR="00651884" w:rsidRPr="009C7A0A">
        <w:t>),</w:t>
      </w:r>
      <w:r w:rsidRPr="009C7A0A">
        <w:rPr>
          <w:rFonts w:eastAsia="Calibri"/>
          <w:color w:val="000000" w:themeColor="text1"/>
        </w:rPr>
        <w:t xml:space="preserve"> </w:t>
      </w:r>
      <w:r w:rsidR="00A87F52">
        <w:rPr>
          <w:rFonts w:eastAsia="Calibri"/>
          <w:color w:val="000000" w:themeColor="text1"/>
        </w:rPr>
        <w:t>[pers. U]</w:t>
      </w:r>
      <w:r w:rsidRPr="009C7A0A">
        <w:rPr>
          <w:rFonts w:eastAsia="Calibri"/>
          <w:color w:val="000000" w:themeColor="text1"/>
        </w:rPr>
        <w:t xml:space="preserve"> un </w:t>
      </w:r>
      <w:r w:rsidR="00A87F52">
        <w:rPr>
          <w:rFonts w:eastAsia="Calibri"/>
          <w:color w:val="000000" w:themeColor="text1"/>
        </w:rPr>
        <w:t>[pers. V]</w:t>
      </w:r>
      <w:r w:rsidRPr="009C7A0A">
        <w:rPr>
          <w:rFonts w:eastAsia="Calibri"/>
          <w:color w:val="000000" w:themeColor="text1"/>
        </w:rPr>
        <w:t xml:space="preserve">, </w:t>
      </w:r>
      <w:r w:rsidR="00A87F52">
        <w:rPr>
          <w:rFonts w:eastAsia="Calibri"/>
          <w:color w:val="000000" w:themeColor="text1"/>
        </w:rPr>
        <w:t>[pers. Z]</w:t>
      </w:r>
      <w:r w:rsidRPr="009C7A0A">
        <w:rPr>
          <w:rFonts w:eastAsia="Calibri"/>
          <w:color w:val="000000" w:themeColor="text1"/>
        </w:rPr>
        <w:t xml:space="preserve"> un </w:t>
      </w:r>
      <w:r w:rsidR="00A87F52">
        <w:rPr>
          <w:rFonts w:eastAsia="Calibri"/>
          <w:color w:val="000000" w:themeColor="text1"/>
        </w:rPr>
        <w:t>[pers. AA]</w:t>
      </w:r>
      <w:r w:rsidRPr="009C7A0A">
        <w:rPr>
          <w:rFonts w:eastAsia="Calibri"/>
          <w:color w:val="000000" w:themeColor="text1"/>
        </w:rPr>
        <w:t xml:space="preserve">, </w:t>
      </w:r>
      <w:r w:rsidR="00A87F52">
        <w:rPr>
          <w:rFonts w:eastAsia="Calibri"/>
          <w:color w:val="000000" w:themeColor="text1"/>
        </w:rPr>
        <w:t>[pers. AB]</w:t>
      </w:r>
      <w:r w:rsidRPr="009C7A0A">
        <w:rPr>
          <w:rFonts w:eastAsia="Calibri"/>
          <w:color w:val="000000" w:themeColor="text1"/>
        </w:rPr>
        <w:t xml:space="preserve"> un </w:t>
      </w:r>
      <w:r w:rsidR="00A87F52">
        <w:rPr>
          <w:rFonts w:eastAsia="Calibri"/>
          <w:color w:val="000000" w:themeColor="text1"/>
        </w:rPr>
        <w:t>[pers. AC]</w:t>
      </w:r>
      <w:r w:rsidRPr="009C7A0A">
        <w:rPr>
          <w:rFonts w:eastAsia="Calibri"/>
          <w:color w:val="000000" w:themeColor="text1"/>
        </w:rPr>
        <w:t xml:space="preserve">, </w:t>
      </w:r>
      <w:r w:rsidR="00A87F52">
        <w:rPr>
          <w:rFonts w:eastAsia="Calibri"/>
          <w:color w:val="000000" w:themeColor="text1"/>
        </w:rPr>
        <w:t>[pers. AD]</w:t>
      </w:r>
      <w:r w:rsidRPr="009C7A0A">
        <w:rPr>
          <w:rFonts w:eastAsia="Calibri"/>
          <w:color w:val="000000" w:themeColor="text1"/>
        </w:rPr>
        <w:t xml:space="preserve"> un </w:t>
      </w:r>
      <w:r w:rsidR="00A87F52">
        <w:rPr>
          <w:rFonts w:eastAsia="Calibri"/>
          <w:color w:val="000000" w:themeColor="text1"/>
        </w:rPr>
        <w:t>[pers. AE]</w:t>
      </w:r>
      <w:r w:rsidRPr="009C7A0A">
        <w:rPr>
          <w:rFonts w:eastAsia="Calibri"/>
          <w:color w:val="000000" w:themeColor="text1"/>
        </w:rPr>
        <w:t xml:space="preserve">, cietušo </w:t>
      </w:r>
      <w:r w:rsidR="00A87F52">
        <w:rPr>
          <w:rFonts w:eastAsia="Calibri"/>
          <w:color w:val="000000" w:themeColor="text1"/>
        </w:rPr>
        <w:t>[pers. AF]</w:t>
      </w:r>
      <w:r w:rsidRPr="009C7A0A">
        <w:rPr>
          <w:rFonts w:eastAsia="Calibri"/>
          <w:color w:val="000000" w:themeColor="text1"/>
        </w:rPr>
        <w:t xml:space="preserve"> (</w:t>
      </w:r>
      <w:r w:rsidR="00A87F52">
        <w:rPr>
          <w:rFonts w:eastAsia="Calibri"/>
          <w:i/>
          <w:iCs/>
          <w:color w:val="000000" w:themeColor="text1"/>
        </w:rPr>
        <w:t>[pers. AF]</w:t>
      </w:r>
      <w:r w:rsidRPr="009C7A0A">
        <w:rPr>
          <w:rFonts w:eastAsia="Calibri"/>
          <w:color w:val="000000" w:themeColor="text1"/>
        </w:rPr>
        <w:t xml:space="preserve">), </w:t>
      </w:r>
      <w:r w:rsidR="00A87F52">
        <w:rPr>
          <w:rFonts w:eastAsia="Calibri"/>
          <w:color w:val="000000" w:themeColor="text1"/>
        </w:rPr>
        <w:t>[pers. AG]</w:t>
      </w:r>
      <w:r w:rsidRPr="009C7A0A">
        <w:rPr>
          <w:rFonts w:eastAsia="Calibri"/>
          <w:color w:val="000000" w:themeColor="text1"/>
        </w:rPr>
        <w:t xml:space="preserve"> un </w:t>
      </w:r>
      <w:r w:rsidR="00A87F52">
        <w:rPr>
          <w:rFonts w:eastAsia="Calibri"/>
          <w:color w:val="000000" w:themeColor="text1"/>
        </w:rPr>
        <w:t>[pers. AH]</w:t>
      </w:r>
      <w:r w:rsidRPr="009C7A0A">
        <w:rPr>
          <w:rFonts w:eastAsia="Calibri"/>
          <w:color w:val="000000" w:themeColor="text1"/>
        </w:rPr>
        <w:t xml:space="preserve">, </w:t>
      </w:r>
      <w:r w:rsidR="00A87F52">
        <w:rPr>
          <w:rFonts w:eastAsia="Calibri"/>
          <w:color w:val="000000" w:themeColor="text1"/>
        </w:rPr>
        <w:t>[pers. AI]</w:t>
      </w:r>
      <w:r w:rsidRPr="009C7A0A">
        <w:rPr>
          <w:rFonts w:eastAsia="Calibri"/>
          <w:color w:val="000000" w:themeColor="text1"/>
        </w:rPr>
        <w:t xml:space="preserve">, </w:t>
      </w:r>
      <w:r w:rsidR="00A87F52">
        <w:rPr>
          <w:rFonts w:eastAsia="Calibri"/>
          <w:color w:val="000000" w:themeColor="text1"/>
        </w:rPr>
        <w:t>[pers. AJ]</w:t>
      </w:r>
      <w:r w:rsidRPr="009C7A0A">
        <w:rPr>
          <w:rFonts w:eastAsia="Calibri"/>
          <w:color w:val="000000" w:themeColor="text1"/>
        </w:rPr>
        <w:t xml:space="preserve"> un </w:t>
      </w:r>
      <w:r w:rsidR="00A87F52">
        <w:rPr>
          <w:rFonts w:eastAsia="Calibri"/>
          <w:color w:val="000000" w:themeColor="text1"/>
        </w:rPr>
        <w:t>[pers. AK]</w:t>
      </w:r>
      <w:r w:rsidRPr="009C7A0A">
        <w:rPr>
          <w:rFonts w:eastAsia="Calibri"/>
          <w:color w:val="000000" w:themeColor="text1"/>
        </w:rPr>
        <w:t xml:space="preserve">, </w:t>
      </w:r>
      <w:r w:rsidR="00A87F52">
        <w:rPr>
          <w:rFonts w:eastAsia="Calibri"/>
          <w:color w:val="000000" w:themeColor="text1"/>
        </w:rPr>
        <w:t>[pers. AL]</w:t>
      </w:r>
      <w:r w:rsidRPr="009C7A0A">
        <w:rPr>
          <w:rFonts w:eastAsia="Calibri"/>
          <w:color w:val="000000" w:themeColor="text1"/>
        </w:rPr>
        <w:t xml:space="preserve">, </w:t>
      </w:r>
      <w:r w:rsidR="00A87F52">
        <w:rPr>
          <w:rFonts w:eastAsia="Calibri"/>
          <w:color w:val="000000" w:themeColor="text1"/>
        </w:rPr>
        <w:t>[pers. AM]</w:t>
      </w:r>
      <w:r w:rsidRPr="009C7A0A">
        <w:rPr>
          <w:rFonts w:eastAsia="Calibri"/>
          <w:color w:val="000000" w:themeColor="text1"/>
        </w:rPr>
        <w:t xml:space="preserve"> un </w:t>
      </w:r>
      <w:r w:rsidR="00A87F52">
        <w:rPr>
          <w:rFonts w:eastAsia="Calibri"/>
          <w:color w:val="000000" w:themeColor="text1"/>
        </w:rPr>
        <w:t>[pers. AN]</w:t>
      </w:r>
      <w:r w:rsidRPr="009C7A0A">
        <w:rPr>
          <w:rFonts w:eastAsia="Calibri"/>
          <w:color w:val="000000" w:themeColor="text1"/>
        </w:rPr>
        <w:t xml:space="preserve">, </w:t>
      </w:r>
      <w:r w:rsidR="00A87F52">
        <w:rPr>
          <w:rFonts w:eastAsia="Calibri"/>
          <w:color w:val="000000" w:themeColor="text1"/>
        </w:rPr>
        <w:t>[pers. AO]</w:t>
      </w:r>
      <w:r w:rsidRPr="009C7A0A">
        <w:rPr>
          <w:rFonts w:eastAsia="Calibri"/>
          <w:color w:val="000000" w:themeColor="text1"/>
        </w:rPr>
        <w:t xml:space="preserve">, </w:t>
      </w:r>
      <w:r w:rsidR="00A87F52">
        <w:rPr>
          <w:rFonts w:eastAsia="Calibri"/>
          <w:color w:val="000000" w:themeColor="text1"/>
        </w:rPr>
        <w:t>[pers. AP]</w:t>
      </w:r>
      <w:r w:rsidRPr="009C7A0A">
        <w:rPr>
          <w:rFonts w:eastAsia="Calibri"/>
          <w:color w:val="000000" w:themeColor="text1"/>
        </w:rPr>
        <w:t xml:space="preserve"> un </w:t>
      </w:r>
      <w:r w:rsidR="00A87F52">
        <w:rPr>
          <w:rFonts w:eastAsia="Calibri"/>
          <w:color w:val="000000" w:themeColor="text1"/>
        </w:rPr>
        <w:t>[pers. AR]</w:t>
      </w:r>
      <w:r w:rsidRPr="009C7A0A">
        <w:rPr>
          <w:rFonts w:eastAsia="Calibri"/>
          <w:color w:val="000000" w:themeColor="text1"/>
        </w:rPr>
        <w:t xml:space="preserve">, cietušo </w:t>
      </w:r>
      <w:r w:rsidR="005244A0">
        <w:rPr>
          <w:rFonts w:eastAsia="Calibri"/>
          <w:color w:val="000000" w:themeColor="text1"/>
        </w:rPr>
        <w:t>[pers. AS]</w:t>
      </w:r>
      <w:r w:rsidRPr="009C7A0A">
        <w:rPr>
          <w:rFonts w:eastAsia="Calibri"/>
          <w:color w:val="000000" w:themeColor="text1"/>
        </w:rPr>
        <w:t xml:space="preserve">, </w:t>
      </w:r>
      <w:r w:rsidR="005244A0">
        <w:rPr>
          <w:rFonts w:eastAsia="Calibri"/>
          <w:color w:val="000000" w:themeColor="text1"/>
        </w:rPr>
        <w:t>[pers. AT]</w:t>
      </w:r>
      <w:r w:rsidRPr="009C7A0A">
        <w:rPr>
          <w:rFonts w:eastAsia="Calibri"/>
          <w:color w:val="000000" w:themeColor="text1"/>
        </w:rPr>
        <w:t xml:space="preserve">, </w:t>
      </w:r>
      <w:r w:rsidR="005244A0">
        <w:rPr>
          <w:rFonts w:eastAsia="Calibri"/>
          <w:color w:val="000000" w:themeColor="text1"/>
        </w:rPr>
        <w:t>[pers. AU]</w:t>
      </w:r>
      <w:r w:rsidRPr="009C7A0A">
        <w:rPr>
          <w:rFonts w:eastAsia="Calibri"/>
          <w:color w:val="000000" w:themeColor="text1"/>
        </w:rPr>
        <w:t xml:space="preserve"> un </w:t>
      </w:r>
      <w:r w:rsidR="005244A0">
        <w:rPr>
          <w:rFonts w:eastAsia="Calibri"/>
          <w:color w:val="000000" w:themeColor="text1"/>
        </w:rPr>
        <w:t>[pers. AV]</w:t>
      </w:r>
      <w:r w:rsidRPr="009C7A0A">
        <w:rPr>
          <w:rFonts w:eastAsia="Calibri"/>
          <w:color w:val="000000" w:themeColor="text1"/>
        </w:rPr>
        <w:t xml:space="preserve"> (</w:t>
      </w:r>
      <w:r w:rsidR="005244A0">
        <w:rPr>
          <w:rFonts w:eastAsia="Calibri"/>
          <w:i/>
          <w:iCs/>
          <w:color w:val="000000" w:themeColor="text1"/>
        </w:rPr>
        <w:t>[pers. AV]</w:t>
      </w:r>
      <w:r w:rsidRPr="009C7A0A">
        <w:rPr>
          <w:rFonts w:eastAsia="Calibri"/>
          <w:color w:val="000000" w:themeColor="text1"/>
        </w:rPr>
        <w:t xml:space="preserve">), cietušo </w:t>
      </w:r>
      <w:r w:rsidR="005244A0">
        <w:rPr>
          <w:rFonts w:eastAsia="Calibri"/>
          <w:color w:val="000000" w:themeColor="text1"/>
        </w:rPr>
        <w:t>[pers. AZ]</w:t>
      </w:r>
      <w:r w:rsidRPr="009C7A0A">
        <w:rPr>
          <w:rFonts w:eastAsia="Calibri"/>
          <w:color w:val="000000" w:themeColor="text1"/>
        </w:rPr>
        <w:t xml:space="preserve">, </w:t>
      </w:r>
      <w:r w:rsidR="005244A0">
        <w:rPr>
          <w:rFonts w:eastAsia="Calibri"/>
          <w:color w:val="000000" w:themeColor="text1"/>
        </w:rPr>
        <w:t>[pers. BA]</w:t>
      </w:r>
      <w:r w:rsidRPr="009C7A0A">
        <w:rPr>
          <w:rFonts w:eastAsia="Calibri"/>
          <w:color w:val="000000" w:themeColor="text1"/>
        </w:rPr>
        <w:t xml:space="preserve">, </w:t>
      </w:r>
      <w:r w:rsidR="005244A0">
        <w:rPr>
          <w:rFonts w:eastAsia="Calibri"/>
          <w:color w:val="000000" w:themeColor="text1"/>
        </w:rPr>
        <w:t>[pers. BB]</w:t>
      </w:r>
      <w:r w:rsidRPr="009C7A0A">
        <w:rPr>
          <w:rFonts w:eastAsia="Calibri"/>
          <w:color w:val="000000" w:themeColor="text1"/>
        </w:rPr>
        <w:t xml:space="preserve">, </w:t>
      </w:r>
      <w:r w:rsidR="005244A0">
        <w:rPr>
          <w:rFonts w:eastAsia="Calibri"/>
          <w:color w:val="000000" w:themeColor="text1"/>
        </w:rPr>
        <w:t>[pers. BC]</w:t>
      </w:r>
      <w:r w:rsidRPr="009C7A0A">
        <w:rPr>
          <w:rFonts w:eastAsia="Calibri"/>
          <w:color w:val="000000" w:themeColor="text1"/>
        </w:rPr>
        <w:t xml:space="preserve"> un </w:t>
      </w:r>
      <w:r w:rsidR="005244A0">
        <w:rPr>
          <w:rFonts w:eastAsia="Calibri"/>
          <w:color w:val="000000" w:themeColor="text1"/>
        </w:rPr>
        <w:t>[pers. BD]</w:t>
      </w:r>
      <w:r w:rsidRPr="009C7A0A">
        <w:rPr>
          <w:rFonts w:eastAsia="Calibri"/>
          <w:color w:val="000000" w:themeColor="text1"/>
        </w:rPr>
        <w:t xml:space="preserve">, cietušās </w:t>
      </w:r>
      <w:r w:rsidR="005244A0">
        <w:rPr>
          <w:rFonts w:eastAsia="Calibri"/>
          <w:color w:val="000000" w:themeColor="text1"/>
        </w:rPr>
        <w:t>[pers. BE]</w:t>
      </w:r>
      <w:r w:rsidRPr="009C7A0A">
        <w:rPr>
          <w:rFonts w:eastAsia="Calibri"/>
          <w:color w:val="000000" w:themeColor="text1"/>
        </w:rPr>
        <w:t xml:space="preserve"> likumiskā pārstāvja </w:t>
      </w:r>
      <w:r w:rsidR="005244A0">
        <w:rPr>
          <w:rFonts w:eastAsia="Calibri"/>
          <w:color w:val="000000" w:themeColor="text1"/>
        </w:rPr>
        <w:t>[pers. BF]</w:t>
      </w:r>
      <w:r w:rsidRPr="009C7A0A">
        <w:rPr>
          <w:rFonts w:eastAsia="Calibri"/>
          <w:color w:val="000000" w:themeColor="text1"/>
        </w:rPr>
        <w:t xml:space="preserve">, cietušā </w:t>
      </w:r>
      <w:r w:rsidR="005244A0">
        <w:rPr>
          <w:rFonts w:eastAsia="Calibri"/>
          <w:color w:val="000000" w:themeColor="text1"/>
        </w:rPr>
        <w:t>[pers. BG]</w:t>
      </w:r>
      <w:r w:rsidRPr="009C7A0A">
        <w:rPr>
          <w:rFonts w:eastAsia="Calibri"/>
          <w:color w:val="000000" w:themeColor="text1"/>
        </w:rPr>
        <w:t xml:space="preserve"> </w:t>
      </w:r>
      <w:r w:rsidRPr="00916115">
        <w:rPr>
          <w:rFonts w:eastAsia="Calibri"/>
          <w:color w:val="000000" w:themeColor="text1"/>
        </w:rPr>
        <w:t xml:space="preserve">pārstāves zvērinātas advokātes Jevgenijas </w:t>
      </w:r>
      <w:proofErr w:type="spellStart"/>
      <w:r w:rsidRPr="00916115">
        <w:rPr>
          <w:rFonts w:eastAsia="Calibri"/>
          <w:color w:val="000000" w:themeColor="text1"/>
        </w:rPr>
        <w:t>Tverjanovičas-Bores</w:t>
      </w:r>
      <w:proofErr w:type="spellEnd"/>
      <w:r w:rsidRPr="009C7A0A">
        <w:rPr>
          <w:rFonts w:eastAsia="Calibri"/>
          <w:color w:val="000000" w:themeColor="text1"/>
        </w:rPr>
        <w:t xml:space="preserve"> un </w:t>
      </w:r>
      <w:r w:rsidRPr="009C7A0A">
        <w:t xml:space="preserve">mirušās apsūdzētās </w:t>
      </w:r>
      <w:r w:rsidR="005244A0">
        <w:t>[pers. BH]</w:t>
      </w:r>
      <w:r w:rsidRPr="009C7A0A">
        <w:t xml:space="preserve"> aizstāves zvērinātas advokātes Ievas Timermanes </w:t>
      </w:r>
      <w:r w:rsidRPr="009C7A0A">
        <w:rPr>
          <w:rFonts w:eastAsia="Calibri"/>
          <w:bCs/>
          <w:color w:val="000000" w:themeColor="text1"/>
        </w:rPr>
        <w:t>kasācijas sūdzībām</w:t>
      </w:r>
      <w:r w:rsidRPr="009C7A0A">
        <w:rPr>
          <w:rFonts w:eastAsia="Calibri"/>
          <w:color w:val="000000" w:themeColor="text1"/>
        </w:rPr>
        <w:t xml:space="preserve"> par Rīgas apgabaltiesas 2023. gada 24. janvāra spriedumu</w:t>
      </w:r>
      <w:r w:rsidR="00290151" w:rsidRPr="009C7A0A">
        <w:rPr>
          <w:rFonts w:eastAsia="Calibri"/>
          <w:color w:val="000000" w:themeColor="text1"/>
        </w:rPr>
        <w:t>.</w:t>
      </w:r>
    </w:p>
    <w:p w14:paraId="7ECBB67F" w14:textId="77777777" w:rsidR="008629B6" w:rsidRPr="009C7A0A" w:rsidRDefault="008629B6" w:rsidP="009C7A0A">
      <w:pPr>
        <w:autoSpaceDE w:val="0"/>
        <w:autoSpaceDN w:val="0"/>
        <w:adjustRightInd w:val="0"/>
        <w:spacing w:line="276" w:lineRule="auto"/>
        <w:ind w:firstLine="709"/>
        <w:jc w:val="both"/>
      </w:pPr>
    </w:p>
    <w:p w14:paraId="16266406" w14:textId="1DF1AB1D" w:rsidR="00847292" w:rsidRPr="009C7A0A" w:rsidRDefault="00847292" w:rsidP="009C7A0A">
      <w:pPr>
        <w:autoSpaceDE w:val="0"/>
        <w:autoSpaceDN w:val="0"/>
        <w:adjustRightInd w:val="0"/>
        <w:spacing w:line="276" w:lineRule="auto"/>
        <w:jc w:val="center"/>
        <w:rPr>
          <w:b/>
          <w:bCs/>
        </w:rPr>
      </w:pPr>
      <w:r w:rsidRPr="009C7A0A">
        <w:rPr>
          <w:b/>
          <w:bCs/>
        </w:rPr>
        <w:t>Aprakstošā daļa</w:t>
      </w:r>
    </w:p>
    <w:p w14:paraId="5907F94D" w14:textId="77777777" w:rsidR="008629B6" w:rsidRPr="009C7A0A" w:rsidRDefault="008629B6" w:rsidP="009C7A0A">
      <w:pPr>
        <w:autoSpaceDE w:val="0"/>
        <w:autoSpaceDN w:val="0"/>
        <w:adjustRightInd w:val="0"/>
        <w:spacing w:line="276" w:lineRule="auto"/>
        <w:jc w:val="center"/>
      </w:pPr>
    </w:p>
    <w:p w14:paraId="21A04950" w14:textId="39BB922E" w:rsidR="00B978FF" w:rsidRPr="009C7A0A" w:rsidRDefault="00FA704C" w:rsidP="009C7A0A">
      <w:pPr>
        <w:spacing w:line="276" w:lineRule="auto"/>
        <w:ind w:firstLine="720"/>
        <w:jc w:val="both"/>
        <w:rPr>
          <w:color w:val="000000"/>
        </w:rPr>
      </w:pPr>
      <w:r w:rsidRPr="009C7A0A">
        <w:t>[1]</w:t>
      </w:r>
      <w:r w:rsidR="00AE5431" w:rsidRPr="009C7A0A">
        <w:t> </w:t>
      </w:r>
      <w:r w:rsidR="00847292" w:rsidRPr="009C7A0A">
        <w:t xml:space="preserve">Ar </w:t>
      </w:r>
      <w:r w:rsidR="00B978FF" w:rsidRPr="009C7A0A">
        <w:rPr>
          <w:color w:val="000000"/>
        </w:rPr>
        <w:t>Rīgas pilsētas Pārdaugavas tiesas 2020. gada 18. februāra spriedumu</w:t>
      </w:r>
    </w:p>
    <w:p w14:paraId="193EC12D" w14:textId="0DBA1184" w:rsidR="00B978FF" w:rsidRPr="009C7A0A" w:rsidRDefault="00B978FF" w:rsidP="009C7A0A">
      <w:pPr>
        <w:spacing w:line="276" w:lineRule="auto"/>
        <w:ind w:firstLine="720"/>
        <w:jc w:val="both"/>
        <w:rPr>
          <w:color w:val="000000"/>
        </w:rPr>
      </w:pPr>
      <w:r w:rsidRPr="009C7A0A">
        <w:rPr>
          <w:color w:val="000000"/>
        </w:rPr>
        <w:t>[1.1] </w:t>
      </w:r>
      <w:r w:rsidR="005244A0">
        <w:rPr>
          <w:color w:val="000000"/>
        </w:rPr>
        <w:t>[pers. A]</w:t>
      </w:r>
      <w:r w:rsidRPr="009C7A0A">
        <w:rPr>
          <w:color w:val="000000"/>
        </w:rPr>
        <w:t xml:space="preserve">, personas kods </w:t>
      </w:r>
      <w:r w:rsidR="005244A0">
        <w:rPr>
          <w:color w:val="000000"/>
        </w:rPr>
        <w:t>[..]</w:t>
      </w:r>
      <w:r w:rsidRPr="009C7A0A">
        <w:rPr>
          <w:color w:val="000000"/>
        </w:rPr>
        <w:t>,</w:t>
      </w:r>
    </w:p>
    <w:p w14:paraId="1F80FA72" w14:textId="77777777" w:rsidR="00681484" w:rsidRPr="009C7A0A" w:rsidRDefault="00EE0AC9" w:rsidP="009C7A0A">
      <w:pPr>
        <w:widowControl w:val="0"/>
        <w:spacing w:line="276" w:lineRule="auto"/>
        <w:ind w:firstLine="720"/>
        <w:jc w:val="both"/>
      </w:pPr>
      <w:r w:rsidRPr="009C7A0A">
        <w:t xml:space="preserve">atzīts par vainīgu Krimināllikuma </w:t>
      </w:r>
      <w:r w:rsidRPr="009C7A0A">
        <w:rPr>
          <w:color w:val="000000"/>
        </w:rPr>
        <w:t>239. panta otrajā daļā</w:t>
      </w:r>
      <w:r w:rsidRPr="009C7A0A">
        <w:t xml:space="preserve"> paredzētajā noziedzīgajā nodarījumā un sodīts ar brīvības atņemšanu uz 3 gadiem, atņemot tiesības veikt atbildīgā būvkonstrukciju daļas vadītāja pienākumus uz 5 gadiem</w:t>
      </w:r>
      <w:r w:rsidR="007328FA" w:rsidRPr="009C7A0A">
        <w:t>;</w:t>
      </w:r>
    </w:p>
    <w:p w14:paraId="4D95C8F2" w14:textId="77777777" w:rsidR="00960974" w:rsidRPr="009C7A0A" w:rsidRDefault="007328FA" w:rsidP="009C7A0A">
      <w:pPr>
        <w:widowControl w:val="0"/>
        <w:spacing w:line="276" w:lineRule="auto"/>
        <w:ind w:firstLine="720"/>
        <w:jc w:val="both"/>
      </w:pPr>
      <w:r w:rsidRPr="009C7A0A">
        <w:t>atzīts par vainīgu Krimināllikuma 123. panta otrajā daļā paredzētajā noziedzīgajā nodarījumā un sodīts ar brīvības atņemšanu uz 4 gadiem.</w:t>
      </w:r>
    </w:p>
    <w:p w14:paraId="4DEF2DD8" w14:textId="413B2D80" w:rsidR="002C627E" w:rsidRPr="009C7A0A" w:rsidRDefault="007328FA" w:rsidP="009C7A0A">
      <w:pPr>
        <w:widowControl w:val="0"/>
        <w:spacing w:line="276" w:lineRule="auto"/>
        <w:ind w:firstLine="720"/>
        <w:jc w:val="both"/>
      </w:pPr>
      <w:r w:rsidRPr="009C7A0A">
        <w:rPr>
          <w:color w:val="000000" w:themeColor="text1"/>
        </w:rPr>
        <w:t xml:space="preserve">Saskaņā ar Krimināllikuma 50. panta pirmo un otro daļu galīgais sods </w:t>
      </w:r>
      <w:r w:rsidR="005244A0">
        <w:rPr>
          <w:color w:val="000000" w:themeColor="text1"/>
        </w:rPr>
        <w:t>[pers. A]</w:t>
      </w:r>
      <w:r w:rsidRPr="009C7A0A">
        <w:rPr>
          <w:color w:val="000000"/>
        </w:rPr>
        <w:t xml:space="preserve"> </w:t>
      </w:r>
      <w:r w:rsidRPr="009C7A0A">
        <w:t>noteikts brīvības atņemšana uz 6 gadiem, atņemot tiesības veikt atbildīgā būvkonstrukciju daļas vadītāja pienākumus uz 5 gadiem</w:t>
      </w:r>
      <w:r w:rsidR="00C30B06" w:rsidRPr="009C7A0A">
        <w:t>.</w:t>
      </w:r>
    </w:p>
    <w:p w14:paraId="640017BE" w14:textId="0E8D2605" w:rsidR="00B978FF" w:rsidRPr="009C7A0A" w:rsidRDefault="00B978FF" w:rsidP="009C7A0A">
      <w:pPr>
        <w:spacing w:line="276" w:lineRule="auto"/>
        <w:ind w:firstLine="720"/>
        <w:jc w:val="both"/>
        <w:rPr>
          <w:color w:val="000000"/>
        </w:rPr>
      </w:pPr>
      <w:r w:rsidRPr="009C7A0A">
        <w:rPr>
          <w:color w:val="000000"/>
        </w:rPr>
        <w:t>[1.2]</w:t>
      </w:r>
      <w:r w:rsidRPr="009C7A0A">
        <w:t> </w:t>
      </w:r>
      <w:r w:rsidR="005244A0">
        <w:t>[Pers. </w:t>
      </w:r>
      <w:r w:rsidR="002D313B">
        <w:t>B</w:t>
      </w:r>
      <w:r w:rsidR="005244A0">
        <w:t>I]</w:t>
      </w:r>
      <w:r w:rsidRPr="009C7A0A">
        <w:rPr>
          <w:color w:val="000000"/>
        </w:rPr>
        <w:t xml:space="preserve">, personas kods </w:t>
      </w:r>
      <w:r w:rsidR="005244A0">
        <w:rPr>
          <w:color w:val="000000"/>
        </w:rPr>
        <w:t>[..]</w:t>
      </w:r>
      <w:r w:rsidRPr="009C7A0A">
        <w:rPr>
          <w:color w:val="000000"/>
        </w:rPr>
        <w:t>,</w:t>
      </w:r>
    </w:p>
    <w:p w14:paraId="0ACAD611" w14:textId="5DD074FC" w:rsidR="005F73B2" w:rsidRPr="009C7A0A" w:rsidRDefault="00C30B06" w:rsidP="009C7A0A">
      <w:pPr>
        <w:spacing w:line="276" w:lineRule="auto"/>
        <w:ind w:firstLine="720"/>
        <w:jc w:val="both"/>
      </w:pPr>
      <w:r w:rsidRPr="009C7A0A">
        <w:t xml:space="preserve">atzīts par nevainīgu pret viņu celtajā apsūdzībā pēc Krimināllikuma 239. panta otrās daļas </w:t>
      </w:r>
      <w:r w:rsidR="005F73B2" w:rsidRPr="009C7A0A">
        <w:t>un attaisnots;</w:t>
      </w:r>
    </w:p>
    <w:p w14:paraId="560266BC" w14:textId="4855D925" w:rsidR="00B978FF" w:rsidRPr="009C7A0A" w:rsidRDefault="005F73B2" w:rsidP="009C7A0A">
      <w:pPr>
        <w:spacing w:line="276" w:lineRule="auto"/>
        <w:ind w:firstLine="720"/>
        <w:jc w:val="both"/>
      </w:pPr>
      <w:r w:rsidRPr="009C7A0A">
        <w:t xml:space="preserve">atzīts par nevainīgu pret viņu celtajā apsūdzībā pēc Krimināllikuma </w:t>
      </w:r>
      <w:r w:rsidR="00C30B06" w:rsidRPr="009C7A0A">
        <w:t>123. panta otrās daļas un attaisnots.</w:t>
      </w:r>
    </w:p>
    <w:p w14:paraId="3A635693" w14:textId="55D2AEEA" w:rsidR="00B978FF" w:rsidRPr="009C7A0A" w:rsidRDefault="00B978FF" w:rsidP="002D313B">
      <w:pPr>
        <w:spacing w:line="276" w:lineRule="auto"/>
        <w:ind w:firstLine="720"/>
        <w:jc w:val="both"/>
        <w:rPr>
          <w:color w:val="000000"/>
        </w:rPr>
      </w:pPr>
      <w:r w:rsidRPr="009C7A0A">
        <w:rPr>
          <w:color w:val="000000"/>
        </w:rPr>
        <w:t>[1.3] </w:t>
      </w:r>
      <w:r w:rsidR="002D313B">
        <w:rPr>
          <w:color w:val="000000"/>
        </w:rPr>
        <w:t>[Pers. BJ]</w:t>
      </w:r>
      <w:r w:rsidRPr="009C7A0A">
        <w:rPr>
          <w:color w:val="000000"/>
        </w:rPr>
        <w:t xml:space="preserve">, personas kods </w:t>
      </w:r>
      <w:r w:rsidR="002D313B">
        <w:rPr>
          <w:color w:val="000000"/>
        </w:rPr>
        <w:t>[..]</w:t>
      </w:r>
      <w:r w:rsidRPr="009C7A0A">
        <w:rPr>
          <w:color w:val="000000"/>
        </w:rPr>
        <w:t>,</w:t>
      </w:r>
    </w:p>
    <w:p w14:paraId="0E2BF292" w14:textId="50EBD752" w:rsidR="00A37B06" w:rsidRPr="009C7A0A" w:rsidRDefault="00F37B48" w:rsidP="009C7A0A">
      <w:pPr>
        <w:spacing w:line="276" w:lineRule="auto"/>
        <w:ind w:firstLine="720"/>
        <w:jc w:val="both"/>
      </w:pPr>
      <w:r w:rsidRPr="009C7A0A">
        <w:t>atzīts par nevainīgu pret viņu celtajā apsūdzībā pēc Krimināllikuma 239. panta otrās daļas</w:t>
      </w:r>
      <w:r w:rsidR="00A37B06" w:rsidRPr="009C7A0A">
        <w:t xml:space="preserve"> un attaisnots;</w:t>
      </w:r>
    </w:p>
    <w:p w14:paraId="0FBDDF2D" w14:textId="6F0A224D" w:rsidR="00F37B48" w:rsidRPr="009C7A0A" w:rsidRDefault="00A37B06" w:rsidP="009C7A0A">
      <w:pPr>
        <w:spacing w:line="276" w:lineRule="auto"/>
        <w:ind w:firstLine="720"/>
        <w:jc w:val="both"/>
      </w:pPr>
      <w:r w:rsidRPr="009C7A0A">
        <w:lastRenderedPageBreak/>
        <w:t xml:space="preserve">atzīts par nevainīgu pret viņu celtajā apsūdzībā pēc Krimināllikuma </w:t>
      </w:r>
      <w:r w:rsidR="00F37B48" w:rsidRPr="009C7A0A">
        <w:t>123. panta otrās daļas un attaisnots.</w:t>
      </w:r>
    </w:p>
    <w:p w14:paraId="46CB832D" w14:textId="0A5E8817" w:rsidR="00B978FF" w:rsidRPr="009C7A0A" w:rsidRDefault="00B978FF" w:rsidP="009C7A0A">
      <w:pPr>
        <w:spacing w:line="276" w:lineRule="auto"/>
        <w:ind w:firstLine="720"/>
        <w:jc w:val="both"/>
        <w:rPr>
          <w:color w:val="000000"/>
        </w:rPr>
      </w:pPr>
      <w:r w:rsidRPr="009C7A0A">
        <w:rPr>
          <w:color w:val="000000"/>
        </w:rPr>
        <w:t>[1.4]</w:t>
      </w:r>
      <w:r w:rsidRPr="009C7A0A">
        <w:t> </w:t>
      </w:r>
      <w:r w:rsidR="002D313B">
        <w:t>[Pers. BK]</w:t>
      </w:r>
      <w:r w:rsidRPr="009C7A0A">
        <w:rPr>
          <w:color w:val="000000"/>
        </w:rPr>
        <w:t xml:space="preserve">, personas kods </w:t>
      </w:r>
      <w:r w:rsidR="002D313B">
        <w:rPr>
          <w:color w:val="000000"/>
        </w:rPr>
        <w:t>[..]</w:t>
      </w:r>
      <w:r w:rsidRPr="009C7A0A">
        <w:rPr>
          <w:color w:val="000000"/>
        </w:rPr>
        <w:t>,</w:t>
      </w:r>
    </w:p>
    <w:p w14:paraId="0D79FB6B" w14:textId="2C7B06F3" w:rsidR="00C90DFF" w:rsidRPr="009C7A0A" w:rsidRDefault="00F37B48" w:rsidP="009C7A0A">
      <w:pPr>
        <w:spacing w:line="276" w:lineRule="auto"/>
        <w:ind w:firstLine="720"/>
        <w:jc w:val="both"/>
      </w:pPr>
      <w:r w:rsidRPr="009C7A0A">
        <w:t>atzīts par nevainīgu pret viņu celtajā apsūdzībā pēc Krimināllikuma 239. panta otrās daļas</w:t>
      </w:r>
      <w:r w:rsidR="00C90DFF" w:rsidRPr="009C7A0A">
        <w:t xml:space="preserve"> un attaisnots;</w:t>
      </w:r>
    </w:p>
    <w:p w14:paraId="5EC2776F" w14:textId="4C4786A0" w:rsidR="00F37B48" w:rsidRPr="009C7A0A" w:rsidRDefault="00C90DFF" w:rsidP="009C7A0A">
      <w:pPr>
        <w:spacing w:line="276" w:lineRule="auto"/>
        <w:ind w:firstLine="720"/>
        <w:jc w:val="both"/>
      </w:pPr>
      <w:r w:rsidRPr="009C7A0A">
        <w:t>atzīts par nevainīgu pret viņu celtajā apsūdzībā pēc Krimināllikuma</w:t>
      </w:r>
      <w:r w:rsidR="00CC7AE8" w:rsidRPr="009C7A0A">
        <w:t xml:space="preserve"> </w:t>
      </w:r>
      <w:r w:rsidR="00F37B48" w:rsidRPr="009C7A0A">
        <w:t>123. panta otrās daļas un attaisnots.</w:t>
      </w:r>
    </w:p>
    <w:p w14:paraId="17E1152D" w14:textId="526A9DE8" w:rsidR="00B978FF" w:rsidRPr="009C7A0A" w:rsidRDefault="00B978FF" w:rsidP="009C7A0A">
      <w:pPr>
        <w:spacing w:line="276" w:lineRule="auto"/>
        <w:ind w:firstLine="720"/>
        <w:jc w:val="both"/>
        <w:rPr>
          <w:color w:val="000000"/>
        </w:rPr>
      </w:pPr>
      <w:r w:rsidRPr="009C7A0A">
        <w:rPr>
          <w:color w:val="000000"/>
        </w:rPr>
        <w:t>[1.5]</w:t>
      </w:r>
      <w:r w:rsidRPr="009C7A0A">
        <w:t> </w:t>
      </w:r>
      <w:r w:rsidR="00BA0BD6">
        <w:t>[Pers. BL]</w:t>
      </w:r>
      <w:r w:rsidRPr="009C7A0A">
        <w:rPr>
          <w:color w:val="000000"/>
        </w:rPr>
        <w:t xml:space="preserve">, personas kods </w:t>
      </w:r>
      <w:r w:rsidR="00BA0BD6">
        <w:rPr>
          <w:color w:val="000000"/>
        </w:rPr>
        <w:t>[..]</w:t>
      </w:r>
      <w:r w:rsidRPr="009C7A0A">
        <w:rPr>
          <w:color w:val="000000"/>
        </w:rPr>
        <w:t>,</w:t>
      </w:r>
    </w:p>
    <w:p w14:paraId="255F9F0D" w14:textId="04E8CDB7" w:rsidR="00970955" w:rsidRPr="009C7A0A" w:rsidRDefault="00F37B48" w:rsidP="009C7A0A">
      <w:pPr>
        <w:spacing w:line="276" w:lineRule="auto"/>
        <w:ind w:firstLine="720"/>
        <w:jc w:val="both"/>
      </w:pPr>
      <w:r w:rsidRPr="009C7A0A">
        <w:t>atzīts par nevainīgu pret viņu celtajā apsūdzībā pēc Krimināllikuma 239. panta otrās daļas</w:t>
      </w:r>
      <w:r w:rsidR="00970955" w:rsidRPr="009C7A0A">
        <w:t xml:space="preserve"> un attaisnots;</w:t>
      </w:r>
    </w:p>
    <w:p w14:paraId="56EF4FAF" w14:textId="0C3A0C2B" w:rsidR="00F37B48" w:rsidRPr="009C7A0A" w:rsidRDefault="00970955" w:rsidP="009C7A0A">
      <w:pPr>
        <w:spacing w:line="276" w:lineRule="auto"/>
        <w:ind w:firstLine="720"/>
        <w:jc w:val="both"/>
      </w:pPr>
      <w:r w:rsidRPr="009C7A0A">
        <w:t>atzīts par nevainīgu pret viņu celtajā apsūdzībā pēc Krimināllikuma</w:t>
      </w:r>
      <w:r w:rsidR="00F37B48" w:rsidRPr="009C7A0A">
        <w:t xml:space="preserve"> 123. panta otrās daļas un attaisnots.</w:t>
      </w:r>
    </w:p>
    <w:p w14:paraId="1827E05B" w14:textId="50DFA373" w:rsidR="00B978FF" w:rsidRPr="009C7A0A" w:rsidRDefault="00B978FF" w:rsidP="00D83584">
      <w:pPr>
        <w:spacing w:line="276" w:lineRule="auto"/>
        <w:ind w:firstLine="720"/>
        <w:jc w:val="both"/>
      </w:pPr>
      <w:r w:rsidRPr="009C7A0A">
        <w:rPr>
          <w:color w:val="000000"/>
        </w:rPr>
        <w:t>[1.6]</w:t>
      </w:r>
      <w:r w:rsidRPr="009C7A0A">
        <w:t> </w:t>
      </w:r>
      <w:r w:rsidR="00D83584">
        <w:t>[Pers. BH]</w:t>
      </w:r>
      <w:r w:rsidRPr="009C7A0A">
        <w:rPr>
          <w:color w:val="000000"/>
        </w:rPr>
        <w:t xml:space="preserve">, personas kods </w:t>
      </w:r>
      <w:r w:rsidR="00D83584">
        <w:rPr>
          <w:color w:val="000000"/>
        </w:rPr>
        <w:t>[..]</w:t>
      </w:r>
      <w:r w:rsidRPr="009C7A0A">
        <w:rPr>
          <w:color w:val="000000"/>
        </w:rPr>
        <w:t>,</w:t>
      </w:r>
    </w:p>
    <w:p w14:paraId="35D0CF41" w14:textId="498B67FC" w:rsidR="00F37B48" w:rsidRPr="009C7A0A" w:rsidRDefault="00F37B48" w:rsidP="009C7A0A">
      <w:pPr>
        <w:spacing w:line="276" w:lineRule="auto"/>
        <w:ind w:firstLine="720"/>
        <w:jc w:val="both"/>
      </w:pPr>
      <w:r w:rsidRPr="009C7A0A">
        <w:t xml:space="preserve">atzīta par nevainīgu pret viņu celtajā apsūdzībā pēc Krimināllikuma 319. panta </w:t>
      </w:r>
      <w:r w:rsidR="002F41E3" w:rsidRPr="009C7A0A">
        <w:t xml:space="preserve">trešās </w:t>
      </w:r>
      <w:r w:rsidRPr="009C7A0A">
        <w:t>daļas un attaisnota.</w:t>
      </w:r>
    </w:p>
    <w:p w14:paraId="52C4932E" w14:textId="59C47725" w:rsidR="00B978FF" w:rsidRPr="009C7A0A" w:rsidRDefault="00B978FF" w:rsidP="009C7A0A">
      <w:pPr>
        <w:spacing w:line="276" w:lineRule="auto"/>
        <w:ind w:firstLine="720"/>
        <w:jc w:val="both"/>
      </w:pPr>
      <w:r w:rsidRPr="009C7A0A">
        <w:rPr>
          <w:color w:val="000000"/>
        </w:rPr>
        <w:t>[1.7] </w:t>
      </w:r>
      <w:r w:rsidR="00D83584">
        <w:rPr>
          <w:color w:val="000000"/>
        </w:rPr>
        <w:t>[Pers. BM]</w:t>
      </w:r>
      <w:r w:rsidRPr="009C7A0A">
        <w:rPr>
          <w:color w:val="000000"/>
        </w:rPr>
        <w:t xml:space="preserve">, personas kods </w:t>
      </w:r>
      <w:r w:rsidR="00D83584">
        <w:rPr>
          <w:color w:val="000000"/>
        </w:rPr>
        <w:t>[..]</w:t>
      </w:r>
      <w:r w:rsidRPr="009C7A0A">
        <w:rPr>
          <w:color w:val="000000"/>
        </w:rPr>
        <w:t>,</w:t>
      </w:r>
    </w:p>
    <w:p w14:paraId="21B72E98" w14:textId="4CC1EF7F" w:rsidR="00F37B48" w:rsidRPr="009C7A0A" w:rsidRDefault="00F37B48" w:rsidP="009C7A0A">
      <w:pPr>
        <w:spacing w:line="276" w:lineRule="auto"/>
        <w:ind w:firstLine="720"/>
        <w:jc w:val="both"/>
      </w:pPr>
      <w:r w:rsidRPr="009C7A0A">
        <w:t>atzīta par nevainīgu pret viņu celtajā apsūdzībā pēc Krimināllikuma 319. panta trešās daļas un attaisnota.</w:t>
      </w:r>
    </w:p>
    <w:p w14:paraId="777AB0AA" w14:textId="5C593FCC" w:rsidR="00B978FF" w:rsidRPr="009C7A0A" w:rsidRDefault="00B978FF" w:rsidP="00D83584">
      <w:pPr>
        <w:spacing w:line="276" w:lineRule="auto"/>
        <w:ind w:firstLine="720"/>
        <w:jc w:val="both"/>
      </w:pPr>
      <w:r w:rsidRPr="009C7A0A">
        <w:rPr>
          <w:color w:val="000000"/>
        </w:rPr>
        <w:t>[1.8] </w:t>
      </w:r>
      <w:r w:rsidR="00D83584">
        <w:rPr>
          <w:color w:val="000000"/>
        </w:rPr>
        <w:t>[Pers. BN]</w:t>
      </w:r>
      <w:r w:rsidRPr="009C7A0A">
        <w:rPr>
          <w:color w:val="000000"/>
        </w:rPr>
        <w:t xml:space="preserve">, personas kods </w:t>
      </w:r>
      <w:r w:rsidR="00D83584">
        <w:rPr>
          <w:color w:val="000000"/>
        </w:rPr>
        <w:t>[..]</w:t>
      </w:r>
      <w:r w:rsidRPr="009C7A0A">
        <w:rPr>
          <w:color w:val="000000"/>
        </w:rPr>
        <w:t>,</w:t>
      </w:r>
    </w:p>
    <w:p w14:paraId="43AA8522" w14:textId="269EE445" w:rsidR="00F37B48" w:rsidRPr="009C7A0A" w:rsidRDefault="00F37B48" w:rsidP="009C7A0A">
      <w:pPr>
        <w:spacing w:line="276" w:lineRule="auto"/>
        <w:ind w:firstLine="720"/>
        <w:jc w:val="both"/>
      </w:pPr>
      <w:r w:rsidRPr="009C7A0A">
        <w:t>atzīts par nevainīgu pret viņu celtajā apsūdzībā pēc Krimināllikuma 319. panta trešās daļas un attaisnots.</w:t>
      </w:r>
    </w:p>
    <w:p w14:paraId="58295B39" w14:textId="5DA8F767" w:rsidR="00B978FF" w:rsidRPr="009C7A0A" w:rsidRDefault="00B978FF" w:rsidP="009C7A0A">
      <w:pPr>
        <w:spacing w:line="276" w:lineRule="auto"/>
        <w:ind w:firstLine="720"/>
        <w:jc w:val="both"/>
      </w:pPr>
      <w:r w:rsidRPr="009C7A0A">
        <w:rPr>
          <w:color w:val="000000"/>
        </w:rPr>
        <w:t>[1.9] </w:t>
      </w:r>
      <w:r w:rsidR="00D83584">
        <w:rPr>
          <w:color w:val="000000"/>
        </w:rPr>
        <w:t>[Pers. BO]</w:t>
      </w:r>
      <w:r w:rsidRPr="009C7A0A">
        <w:rPr>
          <w:color w:val="000000"/>
        </w:rPr>
        <w:t xml:space="preserve">, personas kods </w:t>
      </w:r>
      <w:r w:rsidR="00D83584">
        <w:rPr>
          <w:color w:val="000000"/>
        </w:rPr>
        <w:t>[..]</w:t>
      </w:r>
      <w:r w:rsidRPr="009C7A0A">
        <w:rPr>
          <w:color w:val="000000"/>
        </w:rPr>
        <w:t>,</w:t>
      </w:r>
    </w:p>
    <w:p w14:paraId="0021BF70" w14:textId="740186DC" w:rsidR="00B138E4" w:rsidRPr="009C7A0A" w:rsidRDefault="00F37B48" w:rsidP="009C7A0A">
      <w:pPr>
        <w:spacing w:line="276" w:lineRule="auto"/>
        <w:ind w:firstLine="720"/>
        <w:jc w:val="both"/>
      </w:pPr>
      <w:r w:rsidRPr="009C7A0A">
        <w:t>atzīta par nevainīgu pret viņu celtajā apsūdzībā pēc Krimināllikuma 146. panta otrās daļas un attaisnota.</w:t>
      </w:r>
    </w:p>
    <w:p w14:paraId="50778407" w14:textId="5777E61E" w:rsidR="00623C18" w:rsidRPr="009C7A0A" w:rsidRDefault="00623C18" w:rsidP="009C7A0A">
      <w:pPr>
        <w:autoSpaceDE w:val="0"/>
        <w:autoSpaceDN w:val="0"/>
        <w:adjustRightInd w:val="0"/>
        <w:spacing w:line="276" w:lineRule="auto"/>
        <w:ind w:firstLine="720"/>
        <w:jc w:val="both"/>
        <w:rPr>
          <w:bCs/>
          <w:color w:val="000000"/>
        </w:rPr>
      </w:pPr>
      <w:r w:rsidRPr="009C7A0A">
        <w:t>[1.10] Izbeigts kriminālprocess daļā par piespiedu ietekmēšanas līdzekļ</w:t>
      </w:r>
      <w:r w:rsidR="00B13E68" w:rsidRPr="009C7A0A">
        <w:t>a</w:t>
      </w:r>
      <w:r w:rsidRPr="009C7A0A">
        <w:t xml:space="preserve"> piemērošanu </w:t>
      </w:r>
      <w:r w:rsidR="0030504A" w:rsidRPr="009C7A0A">
        <w:t>sabiedrībai ar ierobežotu atbildību </w:t>
      </w:r>
      <w:r w:rsidRPr="009C7A0A">
        <w:t>„</w:t>
      </w:r>
      <w:r w:rsidR="00D83584">
        <w:t>[Nosaukums A]</w:t>
      </w:r>
      <w:r w:rsidRPr="009C7A0A">
        <w:t>”</w:t>
      </w:r>
      <w:r w:rsidR="00A5768F" w:rsidRPr="009C7A0A">
        <w:t xml:space="preserve"> (turpmāk – SIA „</w:t>
      </w:r>
      <w:r w:rsidR="00D83584">
        <w:t>[Nosaukums A]</w:t>
      </w:r>
      <w:r w:rsidR="00A5768F" w:rsidRPr="009C7A0A">
        <w:t>”)</w:t>
      </w:r>
      <w:r w:rsidRPr="009C7A0A">
        <w:t>, SIA „</w:t>
      </w:r>
      <w:r w:rsidR="00D83584">
        <w:t>[Nosaukums B]</w:t>
      </w:r>
      <w:r w:rsidRPr="009C7A0A">
        <w:rPr>
          <w:color w:val="000000"/>
        </w:rPr>
        <w:t xml:space="preserve">”, </w:t>
      </w:r>
      <w:r w:rsidR="0030504A" w:rsidRPr="009C7A0A">
        <w:rPr>
          <w:color w:val="000000"/>
        </w:rPr>
        <w:t>sabiedrībai ar ierobežotu atbildību </w:t>
      </w:r>
      <w:r w:rsidRPr="009C7A0A">
        <w:rPr>
          <w:color w:val="000000"/>
        </w:rPr>
        <w:t>„</w:t>
      </w:r>
      <w:r w:rsidR="00D83584">
        <w:rPr>
          <w:color w:val="000000"/>
        </w:rPr>
        <w:t>[Nosaukums C]</w:t>
      </w:r>
      <w:r w:rsidRPr="009C7A0A">
        <w:rPr>
          <w:color w:val="000000"/>
        </w:rPr>
        <w:t>”</w:t>
      </w:r>
      <w:r w:rsidR="00833640" w:rsidRPr="009C7A0A">
        <w:rPr>
          <w:color w:val="000000"/>
        </w:rPr>
        <w:t xml:space="preserve"> </w:t>
      </w:r>
      <w:r w:rsidR="00833640" w:rsidRPr="009C7A0A">
        <w:t>(turpmāk – SIA „</w:t>
      </w:r>
      <w:r w:rsidR="00D83584">
        <w:t>[Nosaukums C]</w:t>
      </w:r>
      <w:r w:rsidR="00833640" w:rsidRPr="009C7A0A">
        <w:rPr>
          <w:color w:val="000000"/>
        </w:rPr>
        <w:t>”</w:t>
      </w:r>
      <w:r w:rsidR="00833640" w:rsidRPr="009C7A0A">
        <w:t>)</w:t>
      </w:r>
      <w:r w:rsidRPr="009C7A0A">
        <w:rPr>
          <w:color w:val="000000"/>
        </w:rPr>
        <w:t xml:space="preserve">, </w:t>
      </w:r>
      <w:r w:rsidR="0030504A" w:rsidRPr="009C7A0A">
        <w:rPr>
          <w:color w:val="000000"/>
        </w:rPr>
        <w:t>sabiedrībai ar ierobežotu atbildību </w:t>
      </w:r>
      <w:r w:rsidR="0030504A" w:rsidRPr="009C7A0A" w:rsidDel="0030504A">
        <w:rPr>
          <w:color w:val="000000"/>
        </w:rPr>
        <w:t xml:space="preserve"> </w:t>
      </w:r>
      <w:r w:rsidRPr="009C7A0A">
        <w:rPr>
          <w:color w:val="000000"/>
        </w:rPr>
        <w:t>„</w:t>
      </w:r>
      <w:r w:rsidR="00D83584">
        <w:rPr>
          <w:color w:val="000000"/>
        </w:rPr>
        <w:t>[Nosaukums D]</w:t>
      </w:r>
      <w:r w:rsidRPr="009C7A0A">
        <w:rPr>
          <w:color w:val="000000"/>
        </w:rPr>
        <w:t>”</w:t>
      </w:r>
      <w:r w:rsidR="00833640" w:rsidRPr="009C7A0A">
        <w:rPr>
          <w:color w:val="000000"/>
        </w:rPr>
        <w:t xml:space="preserve"> </w:t>
      </w:r>
      <w:r w:rsidR="00833640" w:rsidRPr="009C7A0A">
        <w:t>(turpmāk – SIA „</w:t>
      </w:r>
      <w:r w:rsidR="00D83584">
        <w:t>[Nosaukums D]</w:t>
      </w:r>
      <w:r w:rsidR="00833640" w:rsidRPr="009C7A0A">
        <w:rPr>
          <w:color w:val="000000"/>
        </w:rPr>
        <w:t>”</w:t>
      </w:r>
      <w:r w:rsidR="00833640" w:rsidRPr="009C7A0A">
        <w:t>)</w:t>
      </w:r>
      <w:r w:rsidRPr="009C7A0A">
        <w:rPr>
          <w:color w:val="000000"/>
        </w:rPr>
        <w:t>, SIA „</w:t>
      </w:r>
      <w:r w:rsidR="00D83584">
        <w:rPr>
          <w:color w:val="000000"/>
        </w:rPr>
        <w:t>[Nosaukums E]</w:t>
      </w:r>
      <w:r w:rsidRPr="009C7A0A">
        <w:rPr>
          <w:color w:val="000000"/>
        </w:rPr>
        <w:t>”</w:t>
      </w:r>
      <w:r w:rsidRPr="009C7A0A">
        <w:rPr>
          <w:bCs/>
          <w:color w:val="000000"/>
        </w:rPr>
        <w:t>.</w:t>
      </w:r>
    </w:p>
    <w:p w14:paraId="108F66CE" w14:textId="10D0ABC4" w:rsidR="0035041E" w:rsidRPr="009C7A0A" w:rsidRDefault="008F63C1" w:rsidP="009C7A0A">
      <w:pPr>
        <w:spacing w:line="276" w:lineRule="auto"/>
        <w:ind w:firstLine="720"/>
        <w:jc w:val="both"/>
      </w:pPr>
      <w:r w:rsidRPr="009C7A0A">
        <w:t>[</w:t>
      </w:r>
      <w:r w:rsidR="00F2639A" w:rsidRPr="009C7A0A">
        <w:t>1</w:t>
      </w:r>
      <w:r w:rsidR="007A496B" w:rsidRPr="009C7A0A">
        <w:t>.</w:t>
      </w:r>
      <w:r w:rsidR="00F2639A" w:rsidRPr="009C7A0A">
        <w:t>11</w:t>
      </w:r>
      <w:r w:rsidRPr="009C7A0A">
        <w:t>]</w:t>
      </w:r>
      <w:r w:rsidR="000E1FE7" w:rsidRPr="009C7A0A">
        <w:t> Izlemts jautājums par pieteiktajām kaitējuma kompensācijām</w:t>
      </w:r>
      <w:r w:rsidR="00E15786" w:rsidRPr="009C7A0A">
        <w:t>, ta</w:t>
      </w:r>
      <w:r w:rsidR="00A5768F" w:rsidRPr="009C7A0A">
        <w:t xml:space="preserve">i </w:t>
      </w:r>
      <w:r w:rsidR="00E15786" w:rsidRPr="009C7A0A">
        <w:t xml:space="preserve"> skaitā</w:t>
      </w:r>
    </w:p>
    <w:p w14:paraId="237200CA" w14:textId="6C40EC3A" w:rsidR="008F63C1" w:rsidRPr="009C7A0A" w:rsidRDefault="00E15786" w:rsidP="0063047B">
      <w:pPr>
        <w:spacing w:line="276" w:lineRule="auto"/>
        <w:jc w:val="both"/>
      </w:pPr>
      <w:r w:rsidRPr="009C7A0A">
        <w:t>n</w:t>
      </w:r>
      <w:r w:rsidR="006D4834" w:rsidRPr="009C7A0A">
        <w:t xml:space="preserve">o apsūdzētā </w:t>
      </w:r>
      <w:r w:rsidR="00095526">
        <w:t>[pers. A]</w:t>
      </w:r>
      <w:r w:rsidR="006D4834" w:rsidRPr="009C7A0A">
        <w:t xml:space="preserve"> cietušā </w:t>
      </w:r>
      <w:r w:rsidR="00095526">
        <w:t>[pers.</w:t>
      </w:r>
      <w:r w:rsidR="0063047B">
        <w:t> </w:t>
      </w:r>
      <w:r w:rsidR="00095526">
        <w:t>BG]</w:t>
      </w:r>
      <w:r w:rsidR="006D4834" w:rsidRPr="009C7A0A">
        <w:t xml:space="preserve"> labā piedzīta</w:t>
      </w:r>
      <w:r w:rsidR="002655EF" w:rsidRPr="009C7A0A">
        <w:t xml:space="preserve"> kaitējuma kompensācija par morālo aizskārumu 50</w:t>
      </w:r>
      <w:r w:rsidR="006D4834" w:rsidRPr="009C7A0A">
        <w:t> </w:t>
      </w:r>
      <w:r w:rsidR="002655EF" w:rsidRPr="009C7A0A">
        <w:t>000</w:t>
      </w:r>
      <w:r w:rsidR="006D4834" w:rsidRPr="009C7A0A">
        <w:t> </w:t>
      </w:r>
      <w:proofErr w:type="spellStart"/>
      <w:r w:rsidR="002655EF" w:rsidRPr="009C7A0A">
        <w:rPr>
          <w:i/>
          <w:iCs/>
        </w:rPr>
        <w:t>euro</w:t>
      </w:r>
      <w:proofErr w:type="spellEnd"/>
      <w:r w:rsidR="00776007" w:rsidRPr="009C7A0A">
        <w:t>,</w:t>
      </w:r>
      <w:r w:rsidR="00C956D1">
        <w:t xml:space="preserve"> </w:t>
      </w:r>
      <w:r w:rsidR="00776007" w:rsidRPr="009C7A0A">
        <w:t>p</w:t>
      </w:r>
      <w:r w:rsidR="002655EF" w:rsidRPr="009C7A0A">
        <w:t xml:space="preserve">ārējā daļā – </w:t>
      </w:r>
      <w:r w:rsidR="00B13E68" w:rsidRPr="009C7A0A">
        <w:t xml:space="preserve">par </w:t>
      </w:r>
      <w:r w:rsidR="002655EF" w:rsidRPr="009C7A0A">
        <w:t>250</w:t>
      </w:r>
      <w:r w:rsidR="006D4834" w:rsidRPr="009C7A0A">
        <w:t> </w:t>
      </w:r>
      <w:r w:rsidR="002655EF" w:rsidRPr="009C7A0A">
        <w:t>000</w:t>
      </w:r>
      <w:r w:rsidR="006D4834" w:rsidRPr="009C7A0A">
        <w:t> </w:t>
      </w:r>
      <w:proofErr w:type="spellStart"/>
      <w:r w:rsidR="002655EF" w:rsidRPr="009C7A0A">
        <w:rPr>
          <w:i/>
          <w:iCs/>
        </w:rPr>
        <w:t>euro</w:t>
      </w:r>
      <w:proofErr w:type="spellEnd"/>
      <w:r w:rsidR="002655EF" w:rsidRPr="009C7A0A">
        <w:t xml:space="preserve"> </w:t>
      </w:r>
      <w:r w:rsidR="006D4834" w:rsidRPr="009C7A0A">
        <w:t>–kaitējuma kompensācija</w:t>
      </w:r>
      <w:r w:rsidR="00776007" w:rsidRPr="009C7A0A">
        <w:t xml:space="preserve"> par morālo aizskārumu</w:t>
      </w:r>
      <w:r w:rsidR="006D4834" w:rsidRPr="009C7A0A">
        <w:t xml:space="preserve"> nav noteikta.</w:t>
      </w:r>
      <w:r w:rsidR="00517ED0" w:rsidRPr="009C7A0A">
        <w:t xml:space="preserve"> </w:t>
      </w:r>
      <w:r w:rsidR="00177FC8" w:rsidRPr="009C7A0A">
        <w:t xml:space="preserve">Cietušā </w:t>
      </w:r>
      <w:r w:rsidR="0063047B">
        <w:t>[pers. BG]</w:t>
      </w:r>
      <w:r w:rsidR="00177FC8" w:rsidRPr="009C7A0A">
        <w:t xml:space="preserve"> kaitējuma kompensācijas </w:t>
      </w:r>
      <w:r w:rsidR="00A5768F" w:rsidRPr="009C7A0A">
        <w:t xml:space="preserve">par morālo aizskārumu </w:t>
      </w:r>
      <w:r w:rsidR="00177FC8" w:rsidRPr="009C7A0A">
        <w:t>pieteikums d</w:t>
      </w:r>
      <w:r w:rsidR="00517ED0" w:rsidRPr="009C7A0A">
        <w:t xml:space="preserve">aļā pret </w:t>
      </w:r>
      <w:r w:rsidR="00BC7A98" w:rsidRPr="009C7A0A">
        <w:t xml:space="preserve">apsūdzētajiem </w:t>
      </w:r>
      <w:r w:rsidR="0063047B">
        <w:t>[pers. BI]</w:t>
      </w:r>
      <w:r w:rsidR="00517ED0" w:rsidRPr="009C7A0A">
        <w:t xml:space="preserve">, </w:t>
      </w:r>
      <w:r w:rsidR="0063047B">
        <w:t>[pers. BJ]</w:t>
      </w:r>
      <w:r w:rsidR="00517ED0" w:rsidRPr="009C7A0A">
        <w:t xml:space="preserve">, </w:t>
      </w:r>
      <w:r w:rsidR="0063047B">
        <w:t>[pers. BK]</w:t>
      </w:r>
      <w:r w:rsidR="00517ED0" w:rsidRPr="009C7A0A">
        <w:t xml:space="preserve">, </w:t>
      </w:r>
      <w:r w:rsidR="0063047B">
        <w:t>[pers. BL]</w:t>
      </w:r>
      <w:r w:rsidR="00517ED0" w:rsidRPr="009C7A0A">
        <w:t xml:space="preserve">, </w:t>
      </w:r>
      <w:r w:rsidR="0063047B">
        <w:t>[pers. BH]</w:t>
      </w:r>
      <w:r w:rsidR="00517ED0" w:rsidRPr="009C7A0A">
        <w:t xml:space="preserve">, </w:t>
      </w:r>
      <w:r w:rsidR="0063047B">
        <w:t>[pers. BM]</w:t>
      </w:r>
      <w:r w:rsidR="00517ED0" w:rsidRPr="009C7A0A">
        <w:t xml:space="preserve"> un </w:t>
      </w:r>
      <w:r w:rsidR="0063047B">
        <w:t>[pers. BN]</w:t>
      </w:r>
      <w:r w:rsidR="00517ED0" w:rsidRPr="009C7A0A">
        <w:t xml:space="preserve"> </w:t>
      </w:r>
      <w:r w:rsidR="00177FC8" w:rsidRPr="009C7A0A">
        <w:t>atstāts bez izskatīšanas.</w:t>
      </w:r>
    </w:p>
    <w:p w14:paraId="66BE291A" w14:textId="171BDC6A" w:rsidR="00623C18" w:rsidRPr="009C7A0A" w:rsidRDefault="00623C18" w:rsidP="009C7A0A">
      <w:pPr>
        <w:spacing w:line="276" w:lineRule="auto"/>
        <w:ind w:firstLine="720"/>
        <w:jc w:val="both"/>
        <w:rPr>
          <w:color w:val="000000"/>
        </w:rPr>
      </w:pPr>
      <w:r w:rsidRPr="009C7A0A">
        <w:t>[</w:t>
      </w:r>
      <w:r w:rsidR="003F2A8D" w:rsidRPr="009C7A0A">
        <w:t>1</w:t>
      </w:r>
      <w:r w:rsidRPr="009C7A0A">
        <w:t>.</w:t>
      </w:r>
      <w:r w:rsidR="003F2A8D" w:rsidRPr="009C7A0A">
        <w:t>12</w:t>
      </w:r>
      <w:r w:rsidRPr="009C7A0A">
        <w:t>]</w:t>
      </w:r>
      <w:r w:rsidR="00B561CF" w:rsidRPr="009C7A0A">
        <w:t> </w:t>
      </w:r>
      <w:r w:rsidRPr="009C7A0A">
        <w:t xml:space="preserve">Izlemts jautājums par </w:t>
      </w:r>
      <w:r w:rsidR="00B561CF" w:rsidRPr="009C7A0A">
        <w:t>rīc</w:t>
      </w:r>
      <w:r w:rsidR="00E431CA" w:rsidRPr="009C7A0A">
        <w:t>ī</w:t>
      </w:r>
      <w:r w:rsidR="00B561CF" w:rsidRPr="009C7A0A">
        <w:t xml:space="preserve">bu ar </w:t>
      </w:r>
      <w:r w:rsidRPr="009C7A0A">
        <w:t xml:space="preserve">apsūdzēto </w:t>
      </w:r>
      <w:r w:rsidR="004476A9">
        <w:t>[pers. A]</w:t>
      </w:r>
      <w:r w:rsidRPr="009C7A0A">
        <w:t xml:space="preserve">, </w:t>
      </w:r>
      <w:r w:rsidR="004476A9">
        <w:t>[pers. BI]</w:t>
      </w:r>
      <w:r w:rsidRPr="009C7A0A">
        <w:t xml:space="preserve">, </w:t>
      </w:r>
      <w:r w:rsidR="004476A9">
        <w:t>[pers. BJ]</w:t>
      </w:r>
      <w:r w:rsidR="00B561CF" w:rsidRPr="009C7A0A">
        <w:t xml:space="preserve">, </w:t>
      </w:r>
      <w:r w:rsidR="004476A9">
        <w:t>[pers. BK]</w:t>
      </w:r>
      <w:r w:rsidR="00B561CF" w:rsidRPr="009C7A0A">
        <w:t xml:space="preserve">, </w:t>
      </w:r>
      <w:r w:rsidR="004476A9">
        <w:t>[pers. BL]</w:t>
      </w:r>
      <w:r w:rsidR="00EA053C" w:rsidRPr="009C7A0A">
        <w:t xml:space="preserve">, </w:t>
      </w:r>
      <w:r w:rsidR="00B561CF" w:rsidRPr="009C7A0A">
        <w:t>SIA „</w:t>
      </w:r>
      <w:r w:rsidR="004476A9">
        <w:t>[Nosaukums A]</w:t>
      </w:r>
      <w:r w:rsidR="00B561CF" w:rsidRPr="009C7A0A">
        <w:t>”, SIA „</w:t>
      </w:r>
      <w:r w:rsidR="004476A9">
        <w:t>[Nosaukums B]</w:t>
      </w:r>
      <w:r w:rsidR="00B561CF" w:rsidRPr="009C7A0A">
        <w:rPr>
          <w:color w:val="000000"/>
        </w:rPr>
        <w:t>”</w:t>
      </w:r>
      <w:r w:rsidR="002E4F32" w:rsidRPr="009C7A0A">
        <w:rPr>
          <w:color w:val="000000"/>
        </w:rPr>
        <w:t xml:space="preserve"> un </w:t>
      </w:r>
      <w:r w:rsidR="00B561CF" w:rsidRPr="009C7A0A">
        <w:rPr>
          <w:color w:val="000000"/>
        </w:rPr>
        <w:t>SIA „</w:t>
      </w:r>
      <w:r w:rsidR="004476A9">
        <w:rPr>
          <w:color w:val="000000"/>
        </w:rPr>
        <w:t>[Nosaukums E]</w:t>
      </w:r>
      <w:r w:rsidR="00B561CF" w:rsidRPr="009C7A0A">
        <w:rPr>
          <w:color w:val="000000"/>
        </w:rPr>
        <w:t>”</w:t>
      </w:r>
      <w:r w:rsidR="00357A46" w:rsidRPr="009C7A0A">
        <w:rPr>
          <w:color w:val="000000"/>
        </w:rPr>
        <w:t xml:space="preserve"> mantu, kurai </w:t>
      </w:r>
      <w:proofErr w:type="spellStart"/>
      <w:r w:rsidR="00357A46" w:rsidRPr="009C7A0A">
        <w:rPr>
          <w:color w:val="000000"/>
        </w:rPr>
        <w:t>pirmstiesas</w:t>
      </w:r>
      <w:proofErr w:type="spellEnd"/>
      <w:r w:rsidR="00357A46" w:rsidRPr="009C7A0A">
        <w:rPr>
          <w:color w:val="000000"/>
        </w:rPr>
        <w:t xml:space="preserve"> procesā uzlikts arests.</w:t>
      </w:r>
    </w:p>
    <w:p w14:paraId="7BF2D193" w14:textId="77777777" w:rsidR="00A5768F" w:rsidRPr="009C7A0A" w:rsidRDefault="00357A46" w:rsidP="009C7A0A">
      <w:pPr>
        <w:spacing w:line="276" w:lineRule="auto"/>
        <w:ind w:firstLine="720"/>
        <w:jc w:val="both"/>
        <w:rPr>
          <w:color w:val="000000"/>
        </w:rPr>
      </w:pPr>
      <w:r w:rsidRPr="009C7A0A">
        <w:rPr>
          <w:color w:val="000000"/>
        </w:rPr>
        <w:t>[</w:t>
      </w:r>
      <w:r w:rsidR="003F2A8D" w:rsidRPr="009C7A0A">
        <w:rPr>
          <w:color w:val="000000"/>
        </w:rPr>
        <w:t>1</w:t>
      </w:r>
      <w:r w:rsidRPr="009C7A0A">
        <w:rPr>
          <w:color w:val="000000"/>
        </w:rPr>
        <w:t>.</w:t>
      </w:r>
      <w:r w:rsidR="003F2A8D" w:rsidRPr="009C7A0A">
        <w:rPr>
          <w:color w:val="000000"/>
        </w:rPr>
        <w:t>13</w:t>
      </w:r>
      <w:r w:rsidRPr="009C7A0A">
        <w:rPr>
          <w:color w:val="000000"/>
        </w:rPr>
        <w:t>]</w:t>
      </w:r>
      <w:r w:rsidR="00120994" w:rsidRPr="009C7A0A">
        <w:rPr>
          <w:color w:val="000000"/>
        </w:rPr>
        <w:t> </w:t>
      </w:r>
      <w:r w:rsidR="00091A9F" w:rsidRPr="009C7A0A">
        <w:rPr>
          <w:color w:val="000000"/>
        </w:rPr>
        <w:t>Izlemts jautājums par procesuālo izdevumu piedziņu.</w:t>
      </w:r>
    </w:p>
    <w:p w14:paraId="7C3E3ED0" w14:textId="51BD5246" w:rsidR="00551322" w:rsidRPr="009C7A0A" w:rsidRDefault="00091A9F" w:rsidP="009C7A0A">
      <w:pPr>
        <w:spacing w:line="276" w:lineRule="auto"/>
        <w:ind w:firstLine="720"/>
        <w:jc w:val="both"/>
        <w:rPr>
          <w:color w:val="000000"/>
        </w:rPr>
      </w:pPr>
      <w:r w:rsidRPr="009C7A0A">
        <w:rPr>
          <w:color w:val="000000"/>
        </w:rPr>
        <w:t>N</w:t>
      </w:r>
      <w:r w:rsidR="00551322" w:rsidRPr="009C7A0A">
        <w:rPr>
          <w:color w:val="000000"/>
        </w:rPr>
        <w:t xml:space="preserve">o apsūdzētā </w:t>
      </w:r>
      <w:r w:rsidR="000C4ACD">
        <w:rPr>
          <w:color w:val="000000"/>
        </w:rPr>
        <w:t>[pers. A]</w:t>
      </w:r>
      <w:r w:rsidR="00551322" w:rsidRPr="009C7A0A">
        <w:rPr>
          <w:color w:val="000000"/>
        </w:rPr>
        <w:t xml:space="preserve"> valsts labā piedzīti procesuālie izdevumi</w:t>
      </w:r>
      <w:r w:rsidRPr="009C7A0A">
        <w:rPr>
          <w:color w:val="000000"/>
        </w:rPr>
        <w:t>:</w:t>
      </w:r>
      <w:r w:rsidR="00A5768F" w:rsidRPr="009C7A0A">
        <w:rPr>
          <w:color w:val="000000"/>
        </w:rPr>
        <w:t xml:space="preserve"> </w:t>
      </w:r>
      <w:r w:rsidR="00551322" w:rsidRPr="009C7A0A">
        <w:rPr>
          <w:color w:val="000000"/>
        </w:rPr>
        <w:t>244 469,75</w:t>
      </w:r>
      <w:r w:rsidRPr="009C7A0A">
        <w:rPr>
          <w:color w:val="000000"/>
        </w:rPr>
        <w:t> </w:t>
      </w:r>
      <w:proofErr w:type="spellStart"/>
      <w:r w:rsidR="00551322" w:rsidRPr="009C7A0A">
        <w:rPr>
          <w:i/>
          <w:iCs/>
          <w:color w:val="000000"/>
        </w:rPr>
        <w:t>euro</w:t>
      </w:r>
      <w:proofErr w:type="spellEnd"/>
      <w:r w:rsidR="00551322" w:rsidRPr="009C7A0A">
        <w:rPr>
          <w:color w:val="000000"/>
        </w:rPr>
        <w:t xml:space="preserve"> par kompleksās būvniecības ekspertīzes veikšanu</w:t>
      </w:r>
      <w:r w:rsidR="009F49B7" w:rsidRPr="009C7A0A">
        <w:rPr>
          <w:color w:val="000000"/>
        </w:rPr>
        <w:t xml:space="preserve"> </w:t>
      </w:r>
      <w:r w:rsidR="00A5768F" w:rsidRPr="009C7A0A">
        <w:rPr>
          <w:color w:val="000000"/>
        </w:rPr>
        <w:t xml:space="preserve">un </w:t>
      </w:r>
      <w:r w:rsidR="00551322" w:rsidRPr="009C7A0A">
        <w:rPr>
          <w:color w:val="000000"/>
        </w:rPr>
        <w:t>97 681,68</w:t>
      </w:r>
      <w:r w:rsidRPr="009C7A0A">
        <w:rPr>
          <w:color w:val="000000"/>
        </w:rPr>
        <w:t> </w:t>
      </w:r>
      <w:proofErr w:type="spellStart"/>
      <w:r w:rsidR="00551322" w:rsidRPr="009C7A0A">
        <w:rPr>
          <w:i/>
          <w:iCs/>
          <w:color w:val="000000"/>
        </w:rPr>
        <w:t>euro</w:t>
      </w:r>
      <w:proofErr w:type="spellEnd"/>
      <w:r w:rsidR="00551322" w:rsidRPr="009C7A0A">
        <w:rPr>
          <w:color w:val="000000"/>
        </w:rPr>
        <w:t xml:space="preserve"> par </w:t>
      </w:r>
      <w:r w:rsidR="004C0C60" w:rsidRPr="009C7A0A">
        <w:rPr>
          <w:color w:val="000000"/>
        </w:rPr>
        <w:t>lietisko pierādījumu glabāšanu</w:t>
      </w:r>
      <w:r w:rsidRPr="009C7A0A">
        <w:rPr>
          <w:color w:val="000000"/>
        </w:rPr>
        <w:t>.</w:t>
      </w:r>
    </w:p>
    <w:p w14:paraId="529B9941" w14:textId="2B10716E" w:rsidR="004C0C60" w:rsidRPr="009C7A0A" w:rsidRDefault="0073210D" w:rsidP="009C7A0A">
      <w:pPr>
        <w:spacing w:line="276" w:lineRule="auto"/>
        <w:ind w:firstLine="720"/>
        <w:jc w:val="both"/>
      </w:pPr>
      <w:r w:rsidRPr="009C7A0A">
        <w:t>Procesuālie izdevumi 21 209,10 </w:t>
      </w:r>
      <w:proofErr w:type="spellStart"/>
      <w:r w:rsidRPr="009C7A0A">
        <w:rPr>
          <w:i/>
          <w:iCs/>
        </w:rPr>
        <w:t>euro</w:t>
      </w:r>
      <w:proofErr w:type="spellEnd"/>
      <w:r w:rsidRPr="009C7A0A">
        <w:t xml:space="preserve"> par zvērinātas advokātes Olitas </w:t>
      </w:r>
      <w:proofErr w:type="spellStart"/>
      <w:r w:rsidRPr="009C7A0A">
        <w:t>Kauces</w:t>
      </w:r>
      <w:proofErr w:type="spellEnd"/>
      <w:r w:rsidRPr="009C7A0A">
        <w:t xml:space="preserve"> piedalīšanos pirmās instances tiesā segti no valsts līdzekļiem.</w:t>
      </w:r>
    </w:p>
    <w:p w14:paraId="47F42BA1" w14:textId="12913B3B" w:rsidR="00C545C8" w:rsidRPr="009C7A0A" w:rsidRDefault="00C545C8" w:rsidP="009C7A0A">
      <w:pPr>
        <w:spacing w:line="276" w:lineRule="auto"/>
        <w:ind w:firstLine="720"/>
        <w:jc w:val="both"/>
      </w:pPr>
      <w:r w:rsidRPr="009C7A0A">
        <w:t>[</w:t>
      </w:r>
      <w:r w:rsidR="003F2A8D" w:rsidRPr="009C7A0A">
        <w:t>1.14</w:t>
      </w:r>
      <w:r w:rsidRPr="009C7A0A">
        <w:t>]</w:t>
      </w:r>
      <w:r w:rsidR="00401176" w:rsidRPr="009C7A0A">
        <w:t> </w:t>
      </w:r>
      <w:r w:rsidRPr="009C7A0A">
        <w:t>Izlemts jautājums par galī</w:t>
      </w:r>
      <w:r w:rsidR="00666002" w:rsidRPr="009C7A0A">
        <w:t>g</w:t>
      </w:r>
      <w:r w:rsidRPr="009C7A0A">
        <w:t>o rīcību ar lietiskajiem pierādījumiem.</w:t>
      </w:r>
    </w:p>
    <w:p w14:paraId="6AE7578C" w14:textId="3F3CC3C1" w:rsidR="008641EE" w:rsidRPr="009C7A0A" w:rsidRDefault="00145A99" w:rsidP="009C7A0A">
      <w:pPr>
        <w:autoSpaceDE w:val="0"/>
        <w:autoSpaceDN w:val="0"/>
        <w:adjustRightInd w:val="0"/>
        <w:spacing w:line="276" w:lineRule="auto"/>
        <w:ind w:firstLine="720"/>
        <w:jc w:val="both"/>
        <w:rPr>
          <w:bCs/>
          <w:color w:val="000000"/>
        </w:rPr>
      </w:pPr>
      <w:r w:rsidRPr="009C7A0A">
        <w:rPr>
          <w:bCs/>
          <w:color w:val="000000"/>
        </w:rPr>
        <w:lastRenderedPageBreak/>
        <w:t>[</w:t>
      </w:r>
      <w:r w:rsidR="003F2A8D" w:rsidRPr="009C7A0A">
        <w:rPr>
          <w:bCs/>
          <w:color w:val="000000"/>
        </w:rPr>
        <w:t>1</w:t>
      </w:r>
      <w:r w:rsidR="00154A10" w:rsidRPr="009C7A0A">
        <w:rPr>
          <w:bCs/>
          <w:color w:val="000000"/>
        </w:rPr>
        <w:t>.</w:t>
      </w:r>
      <w:r w:rsidR="003F2A8D" w:rsidRPr="009C7A0A">
        <w:rPr>
          <w:bCs/>
          <w:color w:val="000000"/>
        </w:rPr>
        <w:t>15</w:t>
      </w:r>
      <w:r w:rsidRPr="009C7A0A">
        <w:rPr>
          <w:bCs/>
          <w:color w:val="000000"/>
        </w:rPr>
        <w:t>]</w:t>
      </w:r>
      <w:r w:rsidR="00967D5A" w:rsidRPr="009C7A0A">
        <w:rPr>
          <w:bCs/>
          <w:color w:val="000000"/>
        </w:rPr>
        <w:t> </w:t>
      </w:r>
      <w:r w:rsidR="008641EE" w:rsidRPr="009C7A0A">
        <w:rPr>
          <w:bCs/>
          <w:color w:val="000000"/>
        </w:rPr>
        <w:t>Pirmās instances tiesa 2020. gada 18. februārī pieņēma blakus lēmumu</w:t>
      </w:r>
      <w:r w:rsidR="00164D8D" w:rsidRPr="009C7A0A">
        <w:rPr>
          <w:bCs/>
          <w:color w:val="000000"/>
        </w:rPr>
        <w:t xml:space="preserve"> pa</w:t>
      </w:r>
      <w:r w:rsidR="005F2CE2" w:rsidRPr="009C7A0A">
        <w:rPr>
          <w:bCs/>
          <w:color w:val="000000"/>
        </w:rPr>
        <w:t xml:space="preserve">r Rīgas tiesas apgabala prokuratūras </w:t>
      </w:r>
      <w:r w:rsidR="005F2CE2" w:rsidRPr="00916115">
        <w:rPr>
          <w:bCs/>
          <w:color w:val="000000"/>
        </w:rPr>
        <w:t>prokuroriem K</w:t>
      </w:r>
      <w:r w:rsidR="007679AB" w:rsidRPr="00916115">
        <w:rPr>
          <w:bCs/>
          <w:color w:val="000000"/>
        </w:rPr>
        <w:t xml:space="preserve">asparu </w:t>
      </w:r>
      <w:proofErr w:type="spellStart"/>
      <w:r w:rsidR="005F2CE2" w:rsidRPr="00916115">
        <w:rPr>
          <w:bCs/>
          <w:color w:val="000000"/>
        </w:rPr>
        <w:t>Cakulu</w:t>
      </w:r>
      <w:proofErr w:type="spellEnd"/>
      <w:r w:rsidR="005F2CE2" w:rsidRPr="00916115">
        <w:rPr>
          <w:bCs/>
          <w:color w:val="000000"/>
        </w:rPr>
        <w:t>, J</w:t>
      </w:r>
      <w:r w:rsidR="007679AB" w:rsidRPr="00916115">
        <w:rPr>
          <w:bCs/>
          <w:color w:val="000000"/>
        </w:rPr>
        <w:t xml:space="preserve">ekaterinu </w:t>
      </w:r>
      <w:proofErr w:type="spellStart"/>
      <w:r w:rsidR="005F2CE2" w:rsidRPr="00916115">
        <w:rPr>
          <w:bCs/>
          <w:color w:val="000000"/>
        </w:rPr>
        <w:t>Kušakovu</w:t>
      </w:r>
      <w:proofErr w:type="spellEnd"/>
      <w:r w:rsidR="005F2CE2" w:rsidRPr="00916115">
        <w:rPr>
          <w:bCs/>
          <w:color w:val="000000"/>
        </w:rPr>
        <w:t xml:space="preserve"> un A. </w:t>
      </w:r>
      <w:proofErr w:type="spellStart"/>
      <w:r w:rsidR="005F2CE2" w:rsidRPr="00916115">
        <w:rPr>
          <w:bCs/>
          <w:color w:val="000000"/>
        </w:rPr>
        <w:t>Skradaili</w:t>
      </w:r>
      <w:proofErr w:type="spellEnd"/>
      <w:r w:rsidR="005F2CE2" w:rsidRPr="00916115">
        <w:rPr>
          <w:bCs/>
          <w:color w:val="000000"/>
        </w:rPr>
        <w:t>, viņu rīcībā konstat</w:t>
      </w:r>
      <w:r w:rsidR="005F2CE2" w:rsidRPr="009C7A0A">
        <w:rPr>
          <w:bCs/>
          <w:color w:val="000000"/>
        </w:rPr>
        <w:t>ējot Kriminālprocesa likumā noteikto pienākumu nepienāc</w:t>
      </w:r>
      <w:r w:rsidR="00A826AD" w:rsidRPr="009C7A0A">
        <w:rPr>
          <w:bCs/>
          <w:color w:val="000000"/>
        </w:rPr>
        <w:t>ī</w:t>
      </w:r>
      <w:r w:rsidR="005F2CE2" w:rsidRPr="009C7A0A">
        <w:rPr>
          <w:bCs/>
          <w:color w:val="000000"/>
        </w:rPr>
        <w:t>gu pildīšanu</w:t>
      </w:r>
      <w:r w:rsidR="00A826AD" w:rsidRPr="009C7A0A">
        <w:rPr>
          <w:bCs/>
          <w:color w:val="000000"/>
        </w:rPr>
        <w:t>,</w:t>
      </w:r>
      <w:r w:rsidR="005F2CE2" w:rsidRPr="009C7A0A">
        <w:rPr>
          <w:bCs/>
          <w:color w:val="000000"/>
        </w:rPr>
        <w:t xml:space="preserve"> veicot kriminālprocesa uzraudzību </w:t>
      </w:r>
      <w:proofErr w:type="spellStart"/>
      <w:r w:rsidR="005F2CE2" w:rsidRPr="009C7A0A">
        <w:rPr>
          <w:bCs/>
          <w:color w:val="000000"/>
        </w:rPr>
        <w:t>pirmstiesas</w:t>
      </w:r>
      <w:proofErr w:type="spellEnd"/>
      <w:r w:rsidR="005F2CE2" w:rsidRPr="009C7A0A">
        <w:rPr>
          <w:bCs/>
          <w:color w:val="000000"/>
        </w:rPr>
        <w:t xml:space="preserve"> procesā </w:t>
      </w:r>
      <w:r w:rsidR="007F3E9A" w:rsidRPr="009C7A0A">
        <w:rPr>
          <w:bCs/>
          <w:color w:val="000000"/>
        </w:rPr>
        <w:t>un</w:t>
      </w:r>
      <w:r w:rsidR="005F2CE2" w:rsidRPr="009C7A0A">
        <w:rPr>
          <w:bCs/>
          <w:color w:val="000000"/>
        </w:rPr>
        <w:t xml:space="preserve"> uzturot</w:t>
      </w:r>
      <w:r w:rsidR="00A826AD" w:rsidRPr="009C7A0A">
        <w:rPr>
          <w:bCs/>
          <w:color w:val="000000"/>
        </w:rPr>
        <w:t xml:space="preserve"> </w:t>
      </w:r>
      <w:r w:rsidR="005F2CE2" w:rsidRPr="009C7A0A">
        <w:rPr>
          <w:bCs/>
          <w:color w:val="000000"/>
        </w:rPr>
        <w:t>valsts apsūdzību R</w:t>
      </w:r>
      <w:r w:rsidR="00A826AD" w:rsidRPr="009C7A0A">
        <w:rPr>
          <w:bCs/>
          <w:color w:val="000000"/>
        </w:rPr>
        <w:t>ī</w:t>
      </w:r>
      <w:r w:rsidR="005F2CE2" w:rsidRPr="009C7A0A">
        <w:rPr>
          <w:bCs/>
          <w:color w:val="000000"/>
        </w:rPr>
        <w:t>gas pilsētas Pārdaugavas tiesā</w:t>
      </w:r>
      <w:r w:rsidR="00164D8D" w:rsidRPr="009C7A0A">
        <w:rPr>
          <w:bCs/>
          <w:color w:val="000000"/>
        </w:rPr>
        <w:t>.</w:t>
      </w:r>
    </w:p>
    <w:p w14:paraId="187AE368" w14:textId="37BBF124" w:rsidR="00A826AD" w:rsidRPr="009C7A0A" w:rsidRDefault="00164D8D" w:rsidP="009C7A0A">
      <w:pPr>
        <w:autoSpaceDE w:val="0"/>
        <w:autoSpaceDN w:val="0"/>
        <w:adjustRightInd w:val="0"/>
        <w:spacing w:line="276" w:lineRule="auto"/>
        <w:ind w:firstLine="720"/>
        <w:jc w:val="both"/>
        <w:rPr>
          <w:bCs/>
          <w:color w:val="000000"/>
        </w:rPr>
      </w:pPr>
      <w:r w:rsidRPr="009C7A0A">
        <w:rPr>
          <w:bCs/>
          <w:color w:val="000000"/>
        </w:rPr>
        <w:t xml:space="preserve">Turklāt pirmās instances tiesa 2020. gada 18. februārī pieņēma blakus lēmumu, </w:t>
      </w:r>
      <w:r w:rsidR="00B13E68" w:rsidRPr="009C7A0A">
        <w:rPr>
          <w:bCs/>
          <w:color w:val="000000"/>
        </w:rPr>
        <w:t xml:space="preserve">ar kuru </w:t>
      </w:r>
      <w:r w:rsidRPr="009C7A0A">
        <w:rPr>
          <w:bCs/>
          <w:color w:val="000000"/>
        </w:rPr>
        <w:t>informē</w:t>
      </w:r>
      <w:r w:rsidR="00B13E68" w:rsidRPr="009C7A0A">
        <w:rPr>
          <w:bCs/>
          <w:color w:val="000000"/>
        </w:rPr>
        <w:t>jusi</w:t>
      </w:r>
      <w:r w:rsidR="002F32BB" w:rsidRPr="009C7A0A">
        <w:rPr>
          <w:bCs/>
          <w:color w:val="000000"/>
        </w:rPr>
        <w:t xml:space="preserve"> Rīgas tiesas apgabala prokuratūru par krimināllietā </w:t>
      </w:r>
      <w:r w:rsidRPr="009C7A0A">
        <w:rPr>
          <w:bCs/>
          <w:color w:val="000000"/>
        </w:rPr>
        <w:t xml:space="preserve">Nr. 11511002713 </w:t>
      </w:r>
      <w:r w:rsidR="002F32BB" w:rsidRPr="009C7A0A">
        <w:rPr>
          <w:bCs/>
          <w:color w:val="000000"/>
        </w:rPr>
        <w:t>konstatētajiem apstākļiem jautājuma izlemšanai par kriminālprocesa uzsākšanu pret likvidētās SIA</w:t>
      </w:r>
      <w:r w:rsidR="00154A10" w:rsidRPr="009C7A0A">
        <w:rPr>
          <w:bCs/>
          <w:color w:val="000000"/>
        </w:rPr>
        <w:t> </w:t>
      </w:r>
      <w:r w:rsidR="002F32BB" w:rsidRPr="009C7A0A">
        <w:rPr>
          <w:bCs/>
          <w:color w:val="000000"/>
        </w:rPr>
        <w:t>„</w:t>
      </w:r>
      <w:r w:rsidR="000C4ACD">
        <w:rPr>
          <w:bCs/>
          <w:color w:val="000000"/>
        </w:rPr>
        <w:t>[Nosaukums F]</w:t>
      </w:r>
      <w:r w:rsidR="002F32BB" w:rsidRPr="009C7A0A">
        <w:rPr>
          <w:bCs/>
          <w:color w:val="000000"/>
        </w:rPr>
        <w:t>”</w:t>
      </w:r>
      <w:r w:rsidR="009F49B7" w:rsidRPr="009C7A0A">
        <w:rPr>
          <w:bCs/>
          <w:color w:val="000000"/>
        </w:rPr>
        <w:t xml:space="preserve"> </w:t>
      </w:r>
      <w:r w:rsidR="002F32BB" w:rsidRPr="009C7A0A">
        <w:rPr>
          <w:bCs/>
          <w:color w:val="000000"/>
        </w:rPr>
        <w:t>bijušajām amatpersonām un darbiniekiem.</w:t>
      </w:r>
    </w:p>
    <w:p w14:paraId="211FF375" w14:textId="77777777" w:rsidR="00556732" w:rsidRPr="009C7A0A" w:rsidRDefault="00556732" w:rsidP="009C7A0A">
      <w:pPr>
        <w:spacing w:line="276" w:lineRule="auto"/>
        <w:ind w:firstLine="720"/>
        <w:jc w:val="both"/>
      </w:pPr>
    </w:p>
    <w:p w14:paraId="194059CF" w14:textId="67AB832B" w:rsidR="00603E14" w:rsidRPr="009C7A0A" w:rsidRDefault="00FA704C" w:rsidP="004D7BEB">
      <w:pPr>
        <w:spacing w:line="276" w:lineRule="auto"/>
        <w:ind w:firstLine="720"/>
        <w:jc w:val="both"/>
      </w:pPr>
      <w:r w:rsidRPr="009C7A0A">
        <w:t>[</w:t>
      </w:r>
      <w:r w:rsidR="002658F3" w:rsidRPr="009C7A0A">
        <w:t>2</w:t>
      </w:r>
      <w:r w:rsidRPr="009C7A0A">
        <w:t>]</w:t>
      </w:r>
      <w:r w:rsidR="004A3EE2" w:rsidRPr="009C7A0A">
        <w:t> </w:t>
      </w:r>
      <w:r w:rsidR="0052295C" w:rsidRPr="009C7A0A">
        <w:t xml:space="preserve">Ar </w:t>
      </w:r>
      <w:r w:rsidR="004A3EE2" w:rsidRPr="009C7A0A">
        <w:t xml:space="preserve">Rīgas apgabaltiesas </w:t>
      </w:r>
      <w:r w:rsidR="009229C4" w:rsidRPr="009C7A0A">
        <w:t xml:space="preserve">2023. gada 24. janvāra </w:t>
      </w:r>
      <w:r w:rsidR="004A3EE2" w:rsidRPr="009C7A0A">
        <w:t xml:space="preserve">spriedumu, </w:t>
      </w:r>
      <w:r w:rsidR="0052295C" w:rsidRPr="009C7A0A">
        <w:t>iztiesājot lietu sakarā ar</w:t>
      </w:r>
      <w:r w:rsidR="00BA779D" w:rsidRPr="009C7A0A">
        <w:t xml:space="preserve"> </w:t>
      </w:r>
      <w:r w:rsidR="00680109" w:rsidRPr="009C7A0A">
        <w:t>Rīgas tiesas apgabala prokuratūras prokurora A. </w:t>
      </w:r>
      <w:proofErr w:type="spellStart"/>
      <w:r w:rsidR="00680109" w:rsidRPr="009C7A0A">
        <w:t>Skradaiļa</w:t>
      </w:r>
      <w:proofErr w:type="spellEnd"/>
      <w:r w:rsidR="00680109" w:rsidRPr="009C7A0A">
        <w:t xml:space="preserve"> apelācijas protestu, apsūdzētā </w:t>
      </w:r>
      <w:r w:rsidR="004B38C5">
        <w:t>[pers. A]</w:t>
      </w:r>
      <w:r w:rsidR="00680109" w:rsidRPr="009C7A0A">
        <w:t xml:space="preserve"> aizstāvja A. Zvejsalnieka, cietušo </w:t>
      </w:r>
      <w:r w:rsidR="004B38C5">
        <w:t>[pers. V]</w:t>
      </w:r>
      <w:r w:rsidR="00680109" w:rsidRPr="009C7A0A">
        <w:t xml:space="preserve">, </w:t>
      </w:r>
      <w:r w:rsidR="004B38C5">
        <w:t>[pers. U]</w:t>
      </w:r>
      <w:r w:rsidR="00680109" w:rsidRPr="009C7A0A">
        <w:t xml:space="preserve">, </w:t>
      </w:r>
      <w:r w:rsidR="004B38C5">
        <w:t>[pers. E]</w:t>
      </w:r>
      <w:r w:rsidR="00680109" w:rsidRPr="009C7A0A">
        <w:t xml:space="preserve">, </w:t>
      </w:r>
      <w:r w:rsidR="004B38C5">
        <w:t>[pers. BP]</w:t>
      </w:r>
      <w:r w:rsidR="00680109" w:rsidRPr="009C7A0A">
        <w:t xml:space="preserve"> (pirms uzvārda maiņas – </w:t>
      </w:r>
      <w:r w:rsidR="004B38C5">
        <w:t>[Uzvārds]</w:t>
      </w:r>
      <w:r w:rsidR="00680109" w:rsidRPr="009C7A0A">
        <w:t xml:space="preserve">), </w:t>
      </w:r>
      <w:r w:rsidR="004B38C5">
        <w:t>[pers. F]</w:t>
      </w:r>
      <w:r w:rsidR="00680109" w:rsidRPr="009C7A0A">
        <w:t xml:space="preserve">, </w:t>
      </w:r>
      <w:r w:rsidR="004B38C5">
        <w:t>[pers. BR]</w:t>
      </w:r>
      <w:r w:rsidR="00680109" w:rsidRPr="009C7A0A">
        <w:t xml:space="preserve">, </w:t>
      </w:r>
      <w:r w:rsidR="004B38C5">
        <w:t>[pers. K]</w:t>
      </w:r>
      <w:r w:rsidR="00680109" w:rsidRPr="009C7A0A">
        <w:t xml:space="preserve">, </w:t>
      </w:r>
      <w:r w:rsidR="004B38C5">
        <w:t>[pers. BS]</w:t>
      </w:r>
      <w:r w:rsidR="00680109" w:rsidRPr="009C7A0A">
        <w:t xml:space="preserve">, </w:t>
      </w:r>
      <w:r w:rsidR="00CA43FF">
        <w:t>[pers. I]</w:t>
      </w:r>
      <w:r w:rsidR="00680109" w:rsidRPr="009C7A0A">
        <w:t xml:space="preserve">, </w:t>
      </w:r>
      <w:r w:rsidR="00CA43FF">
        <w:t>[pers. C]</w:t>
      </w:r>
      <w:r w:rsidR="00680109" w:rsidRPr="009C7A0A">
        <w:t xml:space="preserve">, </w:t>
      </w:r>
      <w:r w:rsidR="00CA43FF">
        <w:t>[pers. M]</w:t>
      </w:r>
      <w:r w:rsidR="00680109" w:rsidRPr="009C7A0A">
        <w:t xml:space="preserve">, </w:t>
      </w:r>
      <w:r w:rsidR="000B0089" w:rsidRPr="00916115">
        <w:t>sabiedrības ar ierobežotu atbildību </w:t>
      </w:r>
      <w:r w:rsidR="003E12E0" w:rsidRPr="00916115">
        <w:rPr>
          <w:color w:val="000000"/>
        </w:rPr>
        <w:t>„Pērle </w:t>
      </w:r>
      <w:proofErr w:type="spellStart"/>
      <w:r w:rsidR="003E12E0" w:rsidRPr="00916115">
        <w:rPr>
          <w:color w:val="000000"/>
        </w:rPr>
        <w:t>Lux</w:t>
      </w:r>
      <w:proofErr w:type="spellEnd"/>
      <w:r w:rsidR="003E12E0" w:rsidRPr="00916115">
        <w:rPr>
          <w:color w:val="000000"/>
        </w:rPr>
        <w:t>”</w:t>
      </w:r>
      <w:r w:rsidR="00784174" w:rsidRPr="00916115">
        <w:t xml:space="preserve"> (turpmāk – SIA </w:t>
      </w:r>
      <w:r w:rsidR="003E12E0" w:rsidRPr="00916115">
        <w:rPr>
          <w:color w:val="000000"/>
        </w:rPr>
        <w:t>„Pērle </w:t>
      </w:r>
      <w:proofErr w:type="spellStart"/>
      <w:r w:rsidR="003E12E0" w:rsidRPr="00916115">
        <w:rPr>
          <w:color w:val="000000"/>
        </w:rPr>
        <w:t>Lux</w:t>
      </w:r>
      <w:proofErr w:type="spellEnd"/>
      <w:r w:rsidR="003E12E0" w:rsidRPr="00916115">
        <w:rPr>
          <w:color w:val="000000"/>
        </w:rPr>
        <w:t>”</w:t>
      </w:r>
      <w:r w:rsidR="00784174" w:rsidRPr="00916115">
        <w:t>)</w:t>
      </w:r>
      <w:r w:rsidR="00680109" w:rsidRPr="00916115">
        <w:t xml:space="preserve">, </w:t>
      </w:r>
      <w:r w:rsidR="00CA43FF" w:rsidRPr="00916115">
        <w:t>[pers. N</w:t>
      </w:r>
      <w:r w:rsidR="00CA43FF">
        <w:t>]</w:t>
      </w:r>
      <w:r w:rsidR="00680109" w:rsidRPr="009C7A0A">
        <w:t xml:space="preserve">, </w:t>
      </w:r>
      <w:r w:rsidR="00CA43FF">
        <w:t>[pers. BT]</w:t>
      </w:r>
      <w:r w:rsidR="00680109" w:rsidRPr="009C7A0A">
        <w:t xml:space="preserve">, </w:t>
      </w:r>
      <w:r w:rsidR="00CA43FF">
        <w:t>[pers. BU]</w:t>
      </w:r>
      <w:r w:rsidR="00680109" w:rsidRPr="009C7A0A">
        <w:t xml:space="preserve">, </w:t>
      </w:r>
      <w:r w:rsidR="00CA43FF">
        <w:t>[pers. BV]</w:t>
      </w:r>
      <w:r w:rsidR="00680109" w:rsidRPr="009C7A0A">
        <w:t xml:space="preserve"> (pirms uzvārda maiņas – </w:t>
      </w:r>
      <w:r w:rsidR="00CA43FF">
        <w:t>[Uzvārds]</w:t>
      </w:r>
      <w:r w:rsidR="00680109" w:rsidRPr="009C7A0A">
        <w:t xml:space="preserve">), </w:t>
      </w:r>
      <w:r w:rsidR="00CA43FF">
        <w:t>[pers. </w:t>
      </w:r>
      <w:r w:rsidR="00E8719A">
        <w:t>BZ</w:t>
      </w:r>
      <w:r w:rsidR="00CA43FF">
        <w:t>]</w:t>
      </w:r>
      <w:r w:rsidR="00680109" w:rsidRPr="009C7A0A">
        <w:t xml:space="preserve">, </w:t>
      </w:r>
      <w:r w:rsidR="00CA43FF">
        <w:t>[pers. O]</w:t>
      </w:r>
      <w:r w:rsidR="00680109" w:rsidRPr="009C7A0A">
        <w:t xml:space="preserve">, </w:t>
      </w:r>
      <w:r w:rsidR="00CA43FF">
        <w:t>[pers. C</w:t>
      </w:r>
      <w:r w:rsidR="00E8719A">
        <w:t>A</w:t>
      </w:r>
      <w:r w:rsidR="00CA43FF">
        <w:t>]</w:t>
      </w:r>
      <w:r w:rsidR="00680109" w:rsidRPr="009C7A0A">
        <w:t xml:space="preserve">, cietušo </w:t>
      </w:r>
      <w:r w:rsidR="00CA43FF">
        <w:t>[pers. C</w:t>
      </w:r>
      <w:r w:rsidR="00E8719A">
        <w:t>B</w:t>
      </w:r>
      <w:r w:rsidR="00CA43FF">
        <w:t>]</w:t>
      </w:r>
      <w:r w:rsidR="00680109" w:rsidRPr="009C7A0A">
        <w:t xml:space="preserve"> un </w:t>
      </w:r>
      <w:r w:rsidR="00CA43FF">
        <w:t>[pers. C</w:t>
      </w:r>
      <w:r w:rsidR="00E8719A">
        <w:t>D</w:t>
      </w:r>
      <w:r w:rsidR="00CA43FF">
        <w:t>]</w:t>
      </w:r>
      <w:r w:rsidR="00680109" w:rsidRPr="009C7A0A">
        <w:t xml:space="preserve">, </w:t>
      </w:r>
      <w:r w:rsidR="00CA43FF">
        <w:t>[pers. S]</w:t>
      </w:r>
      <w:r w:rsidR="00680109" w:rsidRPr="009C7A0A">
        <w:t xml:space="preserve"> un </w:t>
      </w:r>
      <w:r w:rsidR="00CA43FF">
        <w:t>[pers. T]</w:t>
      </w:r>
      <w:r w:rsidR="00973884" w:rsidRPr="009C7A0A">
        <w:t xml:space="preserve">, </w:t>
      </w:r>
      <w:r w:rsidR="00CA43FF">
        <w:t>[pers. AD]</w:t>
      </w:r>
      <w:r w:rsidR="00680109" w:rsidRPr="009C7A0A">
        <w:t xml:space="preserve"> un </w:t>
      </w:r>
      <w:r w:rsidR="00CA43FF">
        <w:t>[pers. AE]</w:t>
      </w:r>
      <w:r w:rsidR="00680109" w:rsidRPr="009C7A0A">
        <w:t xml:space="preserve">, </w:t>
      </w:r>
      <w:r w:rsidR="00791183">
        <w:t>[pers. CE]</w:t>
      </w:r>
      <w:r w:rsidR="00680109" w:rsidRPr="009C7A0A">
        <w:t xml:space="preserve"> un </w:t>
      </w:r>
      <w:r w:rsidR="00791183">
        <w:t>[pers. CF]</w:t>
      </w:r>
      <w:r w:rsidR="00680109" w:rsidRPr="009C7A0A">
        <w:t xml:space="preserve">, </w:t>
      </w:r>
      <w:r w:rsidR="00791183">
        <w:t>[pers. AL]</w:t>
      </w:r>
      <w:r w:rsidR="00680109" w:rsidRPr="009C7A0A">
        <w:t xml:space="preserve"> un </w:t>
      </w:r>
      <w:r w:rsidR="00791183">
        <w:t>[pers. AN]</w:t>
      </w:r>
      <w:r w:rsidR="00680109" w:rsidRPr="009C7A0A">
        <w:t xml:space="preserve">, </w:t>
      </w:r>
      <w:r w:rsidR="00791183">
        <w:t>[pers. Z]</w:t>
      </w:r>
      <w:r w:rsidR="00680109" w:rsidRPr="009C7A0A">
        <w:t xml:space="preserve"> un </w:t>
      </w:r>
      <w:r w:rsidR="00791183">
        <w:t>[pers. AA]</w:t>
      </w:r>
      <w:r w:rsidR="00680109" w:rsidRPr="009C7A0A">
        <w:t xml:space="preserve">, cietušo </w:t>
      </w:r>
      <w:r w:rsidR="00791183">
        <w:t>[pers. CG]</w:t>
      </w:r>
      <w:r w:rsidR="00680109" w:rsidRPr="009C7A0A">
        <w:t xml:space="preserve">, </w:t>
      </w:r>
      <w:r w:rsidR="00791183">
        <w:t>[pers. CH]</w:t>
      </w:r>
      <w:r w:rsidR="00680109" w:rsidRPr="009C7A0A">
        <w:t xml:space="preserve"> un </w:t>
      </w:r>
      <w:r w:rsidR="00791183">
        <w:t>[pers. L]</w:t>
      </w:r>
      <w:r w:rsidR="00680109" w:rsidRPr="009C7A0A">
        <w:t xml:space="preserve">, </w:t>
      </w:r>
      <w:r w:rsidR="00791183">
        <w:t>[pers. AO]</w:t>
      </w:r>
      <w:r w:rsidR="00680109" w:rsidRPr="009C7A0A">
        <w:t xml:space="preserve">, </w:t>
      </w:r>
      <w:r w:rsidR="00791183">
        <w:t>[pers. AP]</w:t>
      </w:r>
      <w:r w:rsidR="00680109" w:rsidRPr="009C7A0A">
        <w:t xml:space="preserve"> un </w:t>
      </w:r>
      <w:r w:rsidR="00791183">
        <w:t>[pers. AR]</w:t>
      </w:r>
      <w:r w:rsidR="00680109" w:rsidRPr="009C7A0A">
        <w:t xml:space="preserve">, </w:t>
      </w:r>
      <w:r w:rsidR="00791183">
        <w:t>[pers. AI]</w:t>
      </w:r>
      <w:r w:rsidR="00680109" w:rsidRPr="009C7A0A">
        <w:t xml:space="preserve">, </w:t>
      </w:r>
      <w:r w:rsidR="00791183">
        <w:t>[pers. AJ]</w:t>
      </w:r>
      <w:r w:rsidR="00680109" w:rsidRPr="009C7A0A">
        <w:t xml:space="preserve"> un </w:t>
      </w:r>
      <w:r w:rsidR="00791183">
        <w:t>[pers. AK]</w:t>
      </w:r>
      <w:r w:rsidR="00680109" w:rsidRPr="009C7A0A">
        <w:t xml:space="preserve">, </w:t>
      </w:r>
      <w:r w:rsidR="00791183">
        <w:t>[pers. AH]</w:t>
      </w:r>
      <w:r w:rsidR="00680109" w:rsidRPr="009C7A0A">
        <w:t xml:space="preserve">, </w:t>
      </w:r>
      <w:r w:rsidR="00791183">
        <w:t>[pers. AF]</w:t>
      </w:r>
      <w:r w:rsidR="00680109" w:rsidRPr="009C7A0A">
        <w:t xml:space="preserve"> un </w:t>
      </w:r>
      <w:r w:rsidR="00791183">
        <w:t>[pers. AG]</w:t>
      </w:r>
      <w:r w:rsidR="00680109" w:rsidRPr="009C7A0A">
        <w:t xml:space="preserve">, </w:t>
      </w:r>
      <w:r w:rsidR="00791183">
        <w:t>[pers. CI]</w:t>
      </w:r>
      <w:r w:rsidR="00680109" w:rsidRPr="009C7A0A">
        <w:t xml:space="preserve"> un </w:t>
      </w:r>
      <w:r w:rsidR="00791183">
        <w:t>[pers. CJ]</w:t>
      </w:r>
      <w:r w:rsidR="00680109" w:rsidRPr="009C7A0A">
        <w:t xml:space="preserve">, </w:t>
      </w:r>
      <w:r w:rsidR="00791183">
        <w:t>[pers. D]</w:t>
      </w:r>
      <w:r w:rsidR="00680109" w:rsidRPr="009C7A0A">
        <w:t xml:space="preserve">, </w:t>
      </w:r>
      <w:r w:rsidR="00791183">
        <w:t>[pers. AB]</w:t>
      </w:r>
      <w:r w:rsidR="00680109" w:rsidRPr="009C7A0A">
        <w:t xml:space="preserve"> un </w:t>
      </w:r>
      <w:r w:rsidR="00791183">
        <w:t>[pers. AC]</w:t>
      </w:r>
      <w:r w:rsidR="00680109" w:rsidRPr="009C7A0A">
        <w:t xml:space="preserve">, cietušo </w:t>
      </w:r>
      <w:r w:rsidR="00791183">
        <w:t>[pers. AT]</w:t>
      </w:r>
      <w:r w:rsidR="00680109" w:rsidRPr="009C7A0A">
        <w:t xml:space="preserve">, </w:t>
      </w:r>
      <w:r w:rsidR="00791183">
        <w:t>[pers. AS]</w:t>
      </w:r>
      <w:r w:rsidR="00680109" w:rsidRPr="009C7A0A">
        <w:t xml:space="preserve">, </w:t>
      </w:r>
      <w:r w:rsidR="00791183">
        <w:t>[pers. AU]</w:t>
      </w:r>
      <w:r w:rsidR="00680109" w:rsidRPr="009C7A0A">
        <w:t xml:space="preserve">, </w:t>
      </w:r>
      <w:r w:rsidR="00791183">
        <w:t>[pers. AV]</w:t>
      </w:r>
      <w:r w:rsidR="00A066F7" w:rsidRPr="009C7A0A">
        <w:t xml:space="preserve">, </w:t>
      </w:r>
      <w:r w:rsidR="00680109" w:rsidRPr="009C7A0A">
        <w:t xml:space="preserve">cietušo </w:t>
      </w:r>
      <w:r w:rsidR="00791183">
        <w:t>[pers. AZ]</w:t>
      </w:r>
      <w:r w:rsidR="00680109" w:rsidRPr="009C7A0A">
        <w:t>,</w:t>
      </w:r>
      <w:r w:rsidR="00791183">
        <w:t xml:space="preserve"> </w:t>
      </w:r>
      <w:r w:rsidR="00C33A61">
        <w:t>[pers. CK]</w:t>
      </w:r>
      <w:r w:rsidR="00680109" w:rsidRPr="009C7A0A">
        <w:t xml:space="preserve">, </w:t>
      </w:r>
      <w:r w:rsidR="00C33A61">
        <w:t>[pers. BC]</w:t>
      </w:r>
      <w:r w:rsidR="00680109" w:rsidRPr="009C7A0A">
        <w:t xml:space="preserve">, </w:t>
      </w:r>
      <w:r w:rsidR="00C33A61">
        <w:t>[pers. B]</w:t>
      </w:r>
      <w:r w:rsidR="00680109" w:rsidRPr="009C7A0A">
        <w:t xml:space="preserve">, </w:t>
      </w:r>
      <w:r w:rsidR="00C33A61">
        <w:t>[pers. BA]</w:t>
      </w:r>
      <w:r w:rsidR="00680109" w:rsidRPr="009C7A0A">
        <w:t xml:space="preserve">, </w:t>
      </w:r>
      <w:r w:rsidR="00C33A61">
        <w:t>[pers. BB]</w:t>
      </w:r>
      <w:r w:rsidR="00680109" w:rsidRPr="009C7A0A">
        <w:t xml:space="preserve"> un </w:t>
      </w:r>
      <w:r w:rsidR="00C33A61">
        <w:t>[pers. BD]</w:t>
      </w:r>
      <w:r w:rsidR="00680109" w:rsidRPr="009C7A0A">
        <w:t xml:space="preserve">, cietušās </w:t>
      </w:r>
      <w:r w:rsidR="00C33A61">
        <w:t>[pers. BE]</w:t>
      </w:r>
      <w:r w:rsidR="00680109" w:rsidRPr="009C7A0A">
        <w:t xml:space="preserve"> likumiskā pārstāvja </w:t>
      </w:r>
      <w:r w:rsidR="00C33A61">
        <w:t>[pers. BF]</w:t>
      </w:r>
      <w:r w:rsidR="00680109" w:rsidRPr="009C7A0A">
        <w:t xml:space="preserve">, cietušā </w:t>
      </w:r>
      <w:r w:rsidR="00C33A61">
        <w:t>[pers. CL]</w:t>
      </w:r>
      <w:r w:rsidR="00680109" w:rsidRPr="009C7A0A">
        <w:t xml:space="preserve"> (</w:t>
      </w:r>
      <w:r w:rsidR="00C33A61">
        <w:rPr>
          <w:i/>
          <w:iCs/>
        </w:rPr>
        <w:t>[pers. CL]</w:t>
      </w:r>
      <w:r w:rsidR="00680109" w:rsidRPr="009C7A0A">
        <w:t xml:space="preserve">) pārstāvja zvērināta advokāta Laura </w:t>
      </w:r>
      <w:proofErr w:type="spellStart"/>
      <w:r w:rsidR="00680109" w:rsidRPr="009C7A0A">
        <w:t>Brikmaņa</w:t>
      </w:r>
      <w:proofErr w:type="spellEnd"/>
      <w:r w:rsidR="00680109" w:rsidRPr="009C7A0A">
        <w:t xml:space="preserve">, cietušā </w:t>
      </w:r>
      <w:r w:rsidR="00C33A61">
        <w:t>[pers. CM]</w:t>
      </w:r>
      <w:r w:rsidR="00680109" w:rsidRPr="009C7A0A">
        <w:t xml:space="preserve"> (</w:t>
      </w:r>
      <w:r w:rsidR="00C33A61">
        <w:rPr>
          <w:i/>
          <w:iCs/>
        </w:rPr>
        <w:t>[pers. CM]</w:t>
      </w:r>
      <w:r w:rsidR="00680109" w:rsidRPr="009C7A0A">
        <w:t xml:space="preserve">) pārstāvja </w:t>
      </w:r>
      <w:r w:rsidR="00C33A61">
        <w:t>[pers. CN]</w:t>
      </w:r>
      <w:r w:rsidR="00680109" w:rsidRPr="009C7A0A">
        <w:t xml:space="preserve">, cietušā </w:t>
      </w:r>
      <w:r w:rsidR="00C33A61">
        <w:t>[pers. CO]</w:t>
      </w:r>
      <w:r w:rsidR="00680109" w:rsidRPr="009C7A0A">
        <w:t xml:space="preserve"> likumīgās pārstāves </w:t>
      </w:r>
      <w:r w:rsidR="00C33A61">
        <w:t>[pers. CP]</w:t>
      </w:r>
      <w:r w:rsidR="00680109" w:rsidRPr="009C7A0A">
        <w:t xml:space="preserve"> un cietušās </w:t>
      </w:r>
      <w:r w:rsidR="00C33A61">
        <w:t>[pers. CR]</w:t>
      </w:r>
      <w:r w:rsidR="00680109" w:rsidRPr="009C7A0A">
        <w:t xml:space="preserve">, cietušo </w:t>
      </w:r>
      <w:r w:rsidR="00C33A61">
        <w:t>[pers. </w:t>
      </w:r>
      <w:r w:rsidR="007471AE">
        <w:t>J</w:t>
      </w:r>
      <w:r w:rsidR="00C33A61">
        <w:t>]</w:t>
      </w:r>
      <w:r w:rsidR="00680109" w:rsidRPr="009C7A0A">
        <w:t xml:space="preserve">, </w:t>
      </w:r>
      <w:r w:rsidR="00C33A61">
        <w:t>[pers. BG]</w:t>
      </w:r>
      <w:r w:rsidR="00680109" w:rsidRPr="009C7A0A">
        <w:t xml:space="preserve">, </w:t>
      </w:r>
      <w:r w:rsidR="00C33A61">
        <w:t>[pers. CT]</w:t>
      </w:r>
      <w:r w:rsidR="00680109" w:rsidRPr="009C7A0A">
        <w:t xml:space="preserve">, </w:t>
      </w:r>
      <w:r w:rsidR="00C33A61">
        <w:t>[pers. CU]</w:t>
      </w:r>
      <w:r w:rsidR="00680109" w:rsidRPr="009C7A0A">
        <w:t xml:space="preserve">, </w:t>
      </w:r>
      <w:r w:rsidR="00252A71">
        <w:t>[pers. CV]</w:t>
      </w:r>
      <w:r w:rsidR="00680109" w:rsidRPr="009C7A0A">
        <w:t xml:space="preserve">, </w:t>
      </w:r>
      <w:r w:rsidR="00252A71">
        <w:t>[pers. CZ]</w:t>
      </w:r>
      <w:r w:rsidR="00680109" w:rsidRPr="009C7A0A">
        <w:t xml:space="preserve">, </w:t>
      </w:r>
      <w:r w:rsidR="00252A71">
        <w:t>[pers. DA]</w:t>
      </w:r>
      <w:r w:rsidR="00680109" w:rsidRPr="009C7A0A">
        <w:t xml:space="preserve">, </w:t>
      </w:r>
      <w:r w:rsidR="00252A71">
        <w:t>[pers. DB]</w:t>
      </w:r>
      <w:r w:rsidR="00680109" w:rsidRPr="009C7A0A">
        <w:t xml:space="preserve">, </w:t>
      </w:r>
      <w:r w:rsidR="00252A71">
        <w:t>[pers. DC]</w:t>
      </w:r>
      <w:r w:rsidR="00680109" w:rsidRPr="009C7A0A">
        <w:t xml:space="preserve">, cietušo </w:t>
      </w:r>
      <w:r w:rsidR="00252A71">
        <w:t>[pers. DE]</w:t>
      </w:r>
      <w:r w:rsidR="00680109" w:rsidRPr="009C7A0A">
        <w:t xml:space="preserve"> (</w:t>
      </w:r>
      <w:r w:rsidR="00252A71">
        <w:rPr>
          <w:i/>
          <w:iCs/>
        </w:rPr>
        <w:t>[pers. DE]</w:t>
      </w:r>
      <w:r w:rsidR="00680109" w:rsidRPr="009C7A0A">
        <w:t xml:space="preserve">) un </w:t>
      </w:r>
      <w:r w:rsidR="00252A71">
        <w:t>[pers. DF]</w:t>
      </w:r>
      <w:r w:rsidR="00680109" w:rsidRPr="009C7A0A">
        <w:t xml:space="preserve">, </w:t>
      </w:r>
      <w:r w:rsidR="00252A71">
        <w:t>[pers. DG]</w:t>
      </w:r>
      <w:r w:rsidR="00680109" w:rsidRPr="009C7A0A">
        <w:t xml:space="preserve"> un </w:t>
      </w:r>
      <w:r w:rsidR="00252A71">
        <w:t>[pers. DH]</w:t>
      </w:r>
      <w:r w:rsidR="00680109" w:rsidRPr="009C7A0A">
        <w:t xml:space="preserve">, cietušo </w:t>
      </w:r>
      <w:r w:rsidR="00252A71">
        <w:t>[pers. G]</w:t>
      </w:r>
      <w:r w:rsidR="00680109" w:rsidRPr="009C7A0A">
        <w:t xml:space="preserve">, </w:t>
      </w:r>
      <w:r w:rsidR="00252A71">
        <w:t>[pers. P]</w:t>
      </w:r>
      <w:r w:rsidR="00680109" w:rsidRPr="009C7A0A">
        <w:t xml:space="preserve"> un </w:t>
      </w:r>
      <w:r w:rsidR="00252A71">
        <w:t>[pers. R]</w:t>
      </w:r>
      <w:r w:rsidR="00680109" w:rsidRPr="009C7A0A">
        <w:t xml:space="preserve">, </w:t>
      </w:r>
      <w:r w:rsidR="00252A71">
        <w:t>[pers. DI]</w:t>
      </w:r>
      <w:r w:rsidR="00680109" w:rsidRPr="009C7A0A">
        <w:t xml:space="preserve">, </w:t>
      </w:r>
      <w:r w:rsidR="00252A71">
        <w:t>[pers. DJ]</w:t>
      </w:r>
      <w:r w:rsidR="00680109" w:rsidRPr="009C7A0A">
        <w:t xml:space="preserve"> (</w:t>
      </w:r>
      <w:r w:rsidR="00252A71">
        <w:rPr>
          <w:i/>
          <w:iCs/>
        </w:rPr>
        <w:t>[pers. DJ]</w:t>
      </w:r>
      <w:r w:rsidR="00680109" w:rsidRPr="009C7A0A">
        <w:t xml:space="preserve">) un </w:t>
      </w:r>
      <w:r w:rsidR="00252A71">
        <w:t>[pers. DK]</w:t>
      </w:r>
      <w:r w:rsidR="00680109" w:rsidRPr="009C7A0A">
        <w:t xml:space="preserve"> (</w:t>
      </w:r>
      <w:r w:rsidR="00252A71">
        <w:rPr>
          <w:i/>
          <w:iCs/>
        </w:rPr>
        <w:t>[pers. DK]</w:t>
      </w:r>
      <w:r w:rsidR="00680109" w:rsidRPr="009C7A0A">
        <w:t xml:space="preserve">) un cietušo </w:t>
      </w:r>
      <w:r w:rsidR="00252A71">
        <w:t>[pers. DL]</w:t>
      </w:r>
      <w:r w:rsidR="00680109" w:rsidRPr="009C7A0A">
        <w:t xml:space="preserve">, </w:t>
      </w:r>
      <w:r w:rsidR="00252A71">
        <w:t>[pers. DM]</w:t>
      </w:r>
      <w:r w:rsidR="00680109" w:rsidRPr="009C7A0A">
        <w:t xml:space="preserve">, </w:t>
      </w:r>
      <w:r w:rsidR="004D7BEB">
        <w:t>[pers. DN]</w:t>
      </w:r>
      <w:r w:rsidR="00680109" w:rsidRPr="009C7A0A">
        <w:t xml:space="preserve">, </w:t>
      </w:r>
      <w:r w:rsidR="004D7BEB">
        <w:t>[pers. DO]</w:t>
      </w:r>
      <w:r w:rsidR="00680109" w:rsidRPr="009C7A0A">
        <w:t xml:space="preserve">, </w:t>
      </w:r>
      <w:r w:rsidR="004D7BEB">
        <w:t>[pers. DP]</w:t>
      </w:r>
      <w:r w:rsidR="00680109" w:rsidRPr="009C7A0A">
        <w:t xml:space="preserve"> un </w:t>
      </w:r>
      <w:r w:rsidR="004D7BEB">
        <w:t>[pers. DR]</w:t>
      </w:r>
      <w:r w:rsidR="00680109" w:rsidRPr="009C7A0A">
        <w:t xml:space="preserve"> pārstāves zvērinātas advokātes J. </w:t>
      </w:r>
      <w:proofErr w:type="spellStart"/>
      <w:r w:rsidR="00680109" w:rsidRPr="009C7A0A">
        <w:t>Tverjanovičas-Bores</w:t>
      </w:r>
      <w:proofErr w:type="spellEnd"/>
      <w:r w:rsidR="00680109" w:rsidRPr="009C7A0A">
        <w:t xml:space="preserve"> apelācijas sūdzībām</w:t>
      </w:r>
      <w:r w:rsidR="001F6E68" w:rsidRPr="009C7A0A">
        <w:t xml:space="preserve">, Rīgas pilsētas Pārdaugavas tiesas 2020. gada 18. februāra spriedums </w:t>
      </w:r>
      <w:r w:rsidR="00590D15" w:rsidRPr="009C7A0A">
        <w:t>atcelts daļā</w:t>
      </w:r>
      <w:r w:rsidR="00336174" w:rsidRPr="009C7A0A">
        <w:t xml:space="preserve"> par</w:t>
      </w:r>
      <w:r w:rsidR="0007531D" w:rsidRPr="009C7A0A">
        <w:t>:</w:t>
      </w:r>
    </w:p>
    <w:p w14:paraId="1980AA3C" w14:textId="00060F48" w:rsidR="0007531D" w:rsidRPr="009C7A0A" w:rsidRDefault="00D32B56" w:rsidP="009C7A0A">
      <w:pPr>
        <w:spacing w:line="276" w:lineRule="auto"/>
        <w:ind w:firstLine="720"/>
        <w:jc w:val="both"/>
      </w:pPr>
      <w:r w:rsidRPr="009C7A0A">
        <w:t xml:space="preserve">apsūdzētā </w:t>
      </w:r>
      <w:r w:rsidR="004D7BEB">
        <w:t>[pers. A]</w:t>
      </w:r>
      <w:r w:rsidR="0031293F" w:rsidRPr="009C7A0A">
        <w:t xml:space="preserve"> atzīšanu par vainīgu</w:t>
      </w:r>
      <w:r w:rsidR="00885251" w:rsidRPr="009C7A0A">
        <w:t xml:space="preserve"> </w:t>
      </w:r>
      <w:r w:rsidR="00336174" w:rsidRPr="009C7A0A">
        <w:t xml:space="preserve">un sodīšanu </w:t>
      </w:r>
      <w:r w:rsidR="00885251" w:rsidRPr="009C7A0A">
        <w:t>pēc</w:t>
      </w:r>
      <w:r w:rsidR="0031293F" w:rsidRPr="009C7A0A">
        <w:t xml:space="preserve"> Krimināllikuma 239. panta otrā</w:t>
      </w:r>
      <w:r w:rsidR="00885251" w:rsidRPr="009C7A0A">
        <w:t>s</w:t>
      </w:r>
      <w:r w:rsidR="0031293F" w:rsidRPr="009C7A0A">
        <w:t xml:space="preserve"> daļ</w:t>
      </w:r>
      <w:r w:rsidR="00885251" w:rsidRPr="009C7A0A">
        <w:t>as,</w:t>
      </w:r>
      <w:r w:rsidR="0031293F" w:rsidRPr="009C7A0A">
        <w:t xml:space="preserve"> 123. panta ot</w:t>
      </w:r>
      <w:r w:rsidR="00885251" w:rsidRPr="009C7A0A">
        <w:t>r</w:t>
      </w:r>
      <w:r w:rsidR="0031293F" w:rsidRPr="009C7A0A">
        <w:t>ā</w:t>
      </w:r>
      <w:r w:rsidR="00885251" w:rsidRPr="009C7A0A">
        <w:t>s</w:t>
      </w:r>
      <w:r w:rsidR="0031293F" w:rsidRPr="009C7A0A">
        <w:t xml:space="preserve"> daļ</w:t>
      </w:r>
      <w:r w:rsidR="00885251" w:rsidRPr="009C7A0A">
        <w:t>as</w:t>
      </w:r>
      <w:r w:rsidR="0007531D" w:rsidRPr="009C7A0A">
        <w:t>;</w:t>
      </w:r>
    </w:p>
    <w:p w14:paraId="04579B63" w14:textId="169A6A4A" w:rsidR="00AC542F" w:rsidRPr="009C7A0A" w:rsidRDefault="00AC542F" w:rsidP="009C7A0A">
      <w:pPr>
        <w:spacing w:line="276" w:lineRule="auto"/>
        <w:ind w:firstLine="720"/>
        <w:jc w:val="both"/>
      </w:pPr>
      <w:r w:rsidRPr="009C7A0A">
        <w:t xml:space="preserve">apsūdzētajam </w:t>
      </w:r>
      <w:r w:rsidR="002346B6">
        <w:t>[pers. A]</w:t>
      </w:r>
      <w:r w:rsidRPr="009C7A0A">
        <w:t xml:space="preserve"> noteikto galīgo sodu saskaņā ar Krimināllikuma 50. panta pirmo un otro daļu;</w:t>
      </w:r>
    </w:p>
    <w:p w14:paraId="340B1201" w14:textId="500FA9A6" w:rsidR="0007531D" w:rsidRPr="009C7A0A" w:rsidRDefault="0031293F" w:rsidP="009C7A0A">
      <w:pPr>
        <w:spacing w:line="276" w:lineRule="auto"/>
        <w:ind w:firstLine="720"/>
        <w:jc w:val="both"/>
      </w:pPr>
      <w:r w:rsidRPr="009C7A0A">
        <w:t>kaitējuma kompensācijām</w:t>
      </w:r>
      <w:r w:rsidR="0007531D" w:rsidRPr="009C7A0A">
        <w:t>;</w:t>
      </w:r>
    </w:p>
    <w:p w14:paraId="484775CE" w14:textId="369B37BF" w:rsidR="0007531D" w:rsidRPr="009C7A0A" w:rsidRDefault="00F5520C" w:rsidP="00C7571D">
      <w:pPr>
        <w:spacing w:line="276" w:lineRule="auto"/>
        <w:ind w:firstLine="720"/>
        <w:jc w:val="both"/>
      </w:pPr>
      <w:r w:rsidRPr="009C7A0A">
        <w:t xml:space="preserve">apsūdzēto </w:t>
      </w:r>
      <w:r w:rsidR="00C7571D">
        <w:t>[pers. BI]</w:t>
      </w:r>
      <w:r w:rsidR="0031293F" w:rsidRPr="009C7A0A">
        <w:t xml:space="preserve">, </w:t>
      </w:r>
      <w:r w:rsidR="00C7571D">
        <w:t>[pers. BJ]</w:t>
      </w:r>
      <w:r w:rsidR="0031293F" w:rsidRPr="009C7A0A">
        <w:t xml:space="preserve">, </w:t>
      </w:r>
      <w:r w:rsidR="00C7571D">
        <w:t>[pers. BK]</w:t>
      </w:r>
      <w:r w:rsidR="0031293F" w:rsidRPr="009C7A0A">
        <w:t xml:space="preserve"> un </w:t>
      </w:r>
      <w:r w:rsidR="00C7571D">
        <w:t>[pers. BL]</w:t>
      </w:r>
      <w:r w:rsidR="0031293F" w:rsidRPr="009C7A0A">
        <w:t xml:space="preserve"> atzīšanu par nevainīgiem </w:t>
      </w:r>
      <w:r w:rsidRPr="009C7A0A">
        <w:t xml:space="preserve">pret viņiem celtajā apsūdzībā </w:t>
      </w:r>
      <w:r w:rsidR="00936313" w:rsidRPr="009C7A0A">
        <w:t xml:space="preserve">pēc </w:t>
      </w:r>
      <w:r w:rsidR="0031293F" w:rsidRPr="009C7A0A">
        <w:t>Krimināllikuma 239.</w:t>
      </w:r>
      <w:r w:rsidR="00936313" w:rsidRPr="009C7A0A">
        <w:t> </w:t>
      </w:r>
      <w:r w:rsidR="0031293F" w:rsidRPr="009C7A0A">
        <w:t>panta otrās daļas, 123.</w:t>
      </w:r>
      <w:r w:rsidR="00936313" w:rsidRPr="009C7A0A">
        <w:t> </w:t>
      </w:r>
      <w:r w:rsidR="0031293F" w:rsidRPr="009C7A0A">
        <w:t>panta otrās daļas un attaisnošanu</w:t>
      </w:r>
      <w:r w:rsidR="0007531D" w:rsidRPr="009C7A0A">
        <w:t>;</w:t>
      </w:r>
    </w:p>
    <w:p w14:paraId="3D2BC8F9" w14:textId="1950D9B8" w:rsidR="0007531D" w:rsidRPr="009C7A0A" w:rsidRDefault="00DA5C7F" w:rsidP="00855710">
      <w:pPr>
        <w:spacing w:line="276" w:lineRule="auto"/>
        <w:ind w:firstLine="720"/>
        <w:jc w:val="both"/>
      </w:pPr>
      <w:r w:rsidRPr="009C7A0A">
        <w:t xml:space="preserve">apsūdzēto </w:t>
      </w:r>
      <w:r w:rsidR="00855710">
        <w:t>[pers. BM]</w:t>
      </w:r>
      <w:r w:rsidR="0031293F" w:rsidRPr="009C7A0A">
        <w:t xml:space="preserve"> un </w:t>
      </w:r>
      <w:r w:rsidR="00855710">
        <w:t>[pers. BN]</w:t>
      </w:r>
      <w:r w:rsidR="0031293F" w:rsidRPr="009C7A0A">
        <w:t xml:space="preserve"> atzīšanu par nevainīgiem</w:t>
      </w:r>
      <w:r w:rsidR="00936313" w:rsidRPr="009C7A0A">
        <w:t xml:space="preserve"> </w:t>
      </w:r>
      <w:r w:rsidR="00C90A04" w:rsidRPr="009C7A0A">
        <w:t xml:space="preserve">pret viņiem celtajā apsūdzībā </w:t>
      </w:r>
      <w:r w:rsidR="00936313" w:rsidRPr="009C7A0A">
        <w:t xml:space="preserve">pēc </w:t>
      </w:r>
      <w:r w:rsidR="0031293F" w:rsidRPr="009C7A0A">
        <w:t>Krimināllikuma 319.</w:t>
      </w:r>
      <w:r w:rsidR="00936313" w:rsidRPr="009C7A0A">
        <w:t> </w:t>
      </w:r>
      <w:r w:rsidR="0031293F" w:rsidRPr="009C7A0A">
        <w:t>panta trešās daļas un attaisnošanu</w:t>
      </w:r>
      <w:r w:rsidR="0007531D" w:rsidRPr="009C7A0A">
        <w:t>;</w:t>
      </w:r>
    </w:p>
    <w:p w14:paraId="2BB287FE" w14:textId="7A4D3FB7" w:rsidR="0007531D" w:rsidRPr="009C7A0A" w:rsidRDefault="00DA5C7F" w:rsidP="009C7A0A">
      <w:pPr>
        <w:spacing w:line="276" w:lineRule="auto"/>
        <w:ind w:firstLine="720"/>
        <w:jc w:val="both"/>
      </w:pPr>
      <w:r w:rsidRPr="009C7A0A">
        <w:t xml:space="preserve">apsūdzētās </w:t>
      </w:r>
      <w:r w:rsidR="00855710">
        <w:t>[pers. BO]</w:t>
      </w:r>
      <w:r w:rsidR="0031293F" w:rsidRPr="009C7A0A">
        <w:t xml:space="preserve"> atzīšanu par nevainīg</w:t>
      </w:r>
      <w:r w:rsidR="00936313" w:rsidRPr="009C7A0A">
        <w:t xml:space="preserve">u </w:t>
      </w:r>
      <w:r w:rsidR="00C90A04" w:rsidRPr="009C7A0A">
        <w:t xml:space="preserve">pret viņu celtajā apsūdzībā </w:t>
      </w:r>
      <w:r w:rsidR="0031293F" w:rsidRPr="009C7A0A">
        <w:t>pēc Krimināllikuma 146.</w:t>
      </w:r>
      <w:r w:rsidR="00936313" w:rsidRPr="009C7A0A">
        <w:t> </w:t>
      </w:r>
      <w:r w:rsidR="0031293F" w:rsidRPr="009C7A0A">
        <w:t>panta otrās daļas un attaisnošanu</w:t>
      </w:r>
      <w:r w:rsidR="0007531D" w:rsidRPr="009C7A0A">
        <w:t>;</w:t>
      </w:r>
    </w:p>
    <w:p w14:paraId="10603747" w14:textId="67D56984" w:rsidR="002F41E3" w:rsidRPr="009C7A0A" w:rsidRDefault="0031293F" w:rsidP="009C7A0A">
      <w:pPr>
        <w:spacing w:line="276" w:lineRule="auto"/>
        <w:ind w:firstLine="720"/>
        <w:jc w:val="both"/>
      </w:pPr>
      <w:r w:rsidRPr="009C7A0A">
        <w:lastRenderedPageBreak/>
        <w:t>kriminālprocesa izbeigšanu daļā par piespiedu ietekmēšanas līdzekļ</w:t>
      </w:r>
      <w:r w:rsidR="00E904C4" w:rsidRPr="009C7A0A">
        <w:t>a</w:t>
      </w:r>
      <w:r w:rsidRPr="009C7A0A">
        <w:t xml:space="preserve"> piemērošanu </w:t>
      </w:r>
      <w:r w:rsidR="00AE0296" w:rsidRPr="009C7A0A">
        <w:t xml:space="preserve">juridiskajām personām </w:t>
      </w:r>
      <w:r w:rsidRPr="009C7A0A">
        <w:t>SIA</w:t>
      </w:r>
      <w:r w:rsidR="00AB19C9">
        <w:t> </w:t>
      </w:r>
      <w:r w:rsidR="00936313" w:rsidRPr="009C7A0A">
        <w:t>„</w:t>
      </w:r>
      <w:r w:rsidR="00855710">
        <w:t>[Nosaukums B]</w:t>
      </w:r>
      <w:r w:rsidRPr="009C7A0A">
        <w:t>”,</w:t>
      </w:r>
      <w:r w:rsidR="00AB19C9">
        <w:t> </w:t>
      </w:r>
      <w:r w:rsidRPr="009C7A0A">
        <w:t>SIA</w:t>
      </w:r>
      <w:r w:rsidR="00936313" w:rsidRPr="009C7A0A">
        <w:t> „</w:t>
      </w:r>
      <w:r w:rsidR="00855710">
        <w:t>[Nosaukums C]</w:t>
      </w:r>
      <w:r w:rsidRPr="009C7A0A">
        <w:t>”, SIA</w:t>
      </w:r>
      <w:r w:rsidR="00936313" w:rsidRPr="009C7A0A">
        <w:t> „</w:t>
      </w:r>
      <w:r w:rsidR="00855710">
        <w:t>[Nosaukums D]</w:t>
      </w:r>
      <w:r w:rsidRPr="009C7A0A">
        <w:t>”, SIA</w:t>
      </w:r>
      <w:r w:rsidR="00936313" w:rsidRPr="009C7A0A">
        <w:t> „</w:t>
      </w:r>
      <w:r w:rsidR="00855710">
        <w:t>[Nosaukums E]</w:t>
      </w:r>
      <w:r w:rsidRPr="009C7A0A">
        <w:t>”.</w:t>
      </w:r>
    </w:p>
    <w:p w14:paraId="641F2F34" w14:textId="5480B4CF" w:rsidR="00EA11D2" w:rsidRPr="009C7A0A" w:rsidRDefault="00EA11D2" w:rsidP="009C7A0A">
      <w:pPr>
        <w:spacing w:line="276" w:lineRule="auto"/>
        <w:ind w:firstLine="720"/>
        <w:jc w:val="both"/>
      </w:pPr>
      <w:r w:rsidRPr="009C7A0A">
        <w:t>[2.1] </w:t>
      </w:r>
      <w:r w:rsidR="002F41E3" w:rsidRPr="009C7A0A">
        <w:t xml:space="preserve">Apelācijas tiesvedība </w:t>
      </w:r>
      <w:r w:rsidR="00855710">
        <w:t>[pers. BH]</w:t>
      </w:r>
      <w:r w:rsidR="002F41E3" w:rsidRPr="009C7A0A">
        <w:t xml:space="preserve"> </w:t>
      </w:r>
      <w:r w:rsidRPr="009C7A0A">
        <w:t>apsūdzībā pēc Krimināllikuma 319. panta treš</w:t>
      </w:r>
      <w:r w:rsidR="00E4283B" w:rsidRPr="009C7A0A">
        <w:t>ās</w:t>
      </w:r>
      <w:r w:rsidRPr="009C7A0A">
        <w:t xml:space="preserve"> daļ</w:t>
      </w:r>
      <w:r w:rsidR="00E4283B" w:rsidRPr="009C7A0A">
        <w:t>as</w:t>
      </w:r>
      <w:r w:rsidR="002F41E3" w:rsidRPr="009C7A0A">
        <w:t xml:space="preserve"> izbeigta</w:t>
      </w:r>
      <w:r w:rsidR="00931597" w:rsidRPr="009C7A0A">
        <w:t>.</w:t>
      </w:r>
    </w:p>
    <w:p w14:paraId="1E1FE1AD" w14:textId="054AD9A0" w:rsidR="00DC4853" w:rsidRPr="009C7A0A" w:rsidRDefault="00931597" w:rsidP="009C7A0A">
      <w:pPr>
        <w:spacing w:line="276" w:lineRule="auto"/>
        <w:ind w:firstLine="720"/>
        <w:jc w:val="both"/>
        <w:rPr>
          <w:color w:val="000000"/>
        </w:rPr>
      </w:pPr>
      <w:r w:rsidRPr="009C7A0A">
        <w:t>[2.2] </w:t>
      </w:r>
      <w:r w:rsidR="00FB088C">
        <w:t>[Pers. A]</w:t>
      </w:r>
    </w:p>
    <w:p w14:paraId="7CF19B8F" w14:textId="62136BEA" w:rsidR="00931597" w:rsidRPr="009C7A0A" w:rsidRDefault="00931597" w:rsidP="009C7A0A">
      <w:pPr>
        <w:spacing w:line="276" w:lineRule="auto"/>
        <w:ind w:firstLine="720"/>
        <w:jc w:val="both"/>
        <w:rPr>
          <w:color w:val="000000"/>
        </w:rPr>
      </w:pPr>
      <w:r w:rsidRPr="009C7A0A">
        <w:t xml:space="preserve">atzīts par vainīgu Krimināllikuma </w:t>
      </w:r>
      <w:r w:rsidRPr="009C7A0A">
        <w:rPr>
          <w:color w:val="000000"/>
        </w:rPr>
        <w:t>239. panta otrajā daļā</w:t>
      </w:r>
      <w:r w:rsidRPr="009C7A0A">
        <w:t xml:space="preserve"> paredzētajā noziedzīgajā nodarījumā un sodīts ar brīvības atņemšanu uz 3 gadiem</w:t>
      </w:r>
      <w:r w:rsidR="00BA4A09" w:rsidRPr="009C7A0A">
        <w:t xml:space="preserve"> 6 mēnešiem</w:t>
      </w:r>
      <w:r w:rsidRPr="009C7A0A">
        <w:t>, atņemot tiesības veikt atbildīgā būvkonstrukciju daļas vadītāja pienākumus uz 5 gadiem;</w:t>
      </w:r>
    </w:p>
    <w:p w14:paraId="5BE9AFF6" w14:textId="5B564202" w:rsidR="00931597" w:rsidRPr="009C7A0A" w:rsidRDefault="00FB088C" w:rsidP="009C7A0A">
      <w:pPr>
        <w:widowControl w:val="0"/>
        <w:spacing w:line="276" w:lineRule="auto"/>
        <w:ind w:firstLine="720"/>
        <w:jc w:val="both"/>
      </w:pPr>
      <w:r>
        <w:t>[pers. A]</w:t>
      </w:r>
      <w:r w:rsidR="00834A58" w:rsidRPr="009C7A0A">
        <w:t xml:space="preserve"> </w:t>
      </w:r>
      <w:r w:rsidR="00931597" w:rsidRPr="009C7A0A">
        <w:t>atzīts par vainīgu Krimināllikuma 123. panta otrajā daļā paredzētajā noziedzīgajā nodarījumā un sodīts ar brīvības atņemšanu uz 4 gadiem</w:t>
      </w:r>
      <w:r w:rsidR="00BA4A09" w:rsidRPr="009C7A0A">
        <w:t xml:space="preserve"> 6 mēnešiem</w:t>
      </w:r>
      <w:r w:rsidR="00931597" w:rsidRPr="009C7A0A">
        <w:t>.</w:t>
      </w:r>
    </w:p>
    <w:p w14:paraId="2F1069AD" w14:textId="2C9CF4C4" w:rsidR="00931597" w:rsidRPr="009C7A0A" w:rsidRDefault="00931597" w:rsidP="009C7A0A">
      <w:pPr>
        <w:spacing w:line="276" w:lineRule="auto"/>
        <w:ind w:firstLine="720"/>
        <w:jc w:val="both"/>
        <w:rPr>
          <w:color w:val="000000"/>
        </w:rPr>
      </w:pPr>
      <w:r w:rsidRPr="009C7A0A">
        <w:rPr>
          <w:color w:val="000000" w:themeColor="text1"/>
        </w:rPr>
        <w:t xml:space="preserve">Saskaņā ar Krimināllikuma 50. panta pirmo un otro daļu galīgais sods </w:t>
      </w:r>
      <w:r w:rsidR="00FB088C">
        <w:rPr>
          <w:color w:val="000000" w:themeColor="text1"/>
        </w:rPr>
        <w:t>[pers. A]</w:t>
      </w:r>
      <w:r w:rsidRPr="009C7A0A">
        <w:rPr>
          <w:color w:val="000000"/>
        </w:rPr>
        <w:t xml:space="preserve"> </w:t>
      </w:r>
      <w:r w:rsidRPr="009C7A0A">
        <w:t>noteikts brīvības atņemšana uz 6 gadiem</w:t>
      </w:r>
      <w:r w:rsidR="00BA4A09" w:rsidRPr="009C7A0A">
        <w:t xml:space="preserve"> 6 mēnešiem</w:t>
      </w:r>
      <w:r w:rsidRPr="009C7A0A">
        <w:t>, atņemot tiesības veikt atbildīgā būvkonstrukciju daļas vadītāja pienākumus uz 5 gadiem.</w:t>
      </w:r>
    </w:p>
    <w:p w14:paraId="3F713651" w14:textId="14AC3174" w:rsidR="00A464AD" w:rsidRPr="009C7A0A" w:rsidRDefault="00931597" w:rsidP="009C7A0A">
      <w:pPr>
        <w:spacing w:line="276" w:lineRule="auto"/>
        <w:ind w:firstLine="720"/>
        <w:jc w:val="both"/>
        <w:rPr>
          <w:color w:val="000000"/>
        </w:rPr>
      </w:pPr>
      <w:r w:rsidRPr="009C7A0A">
        <w:t>[2.</w:t>
      </w:r>
      <w:r w:rsidR="00BA4A09" w:rsidRPr="009C7A0A">
        <w:t>3</w:t>
      </w:r>
      <w:r w:rsidRPr="009C7A0A">
        <w:t>] </w:t>
      </w:r>
      <w:r w:rsidR="001E2205">
        <w:t>[Pers. BI]</w:t>
      </w:r>
    </w:p>
    <w:p w14:paraId="42820799" w14:textId="108AFF4F" w:rsidR="00F32B01" w:rsidRPr="009C7A0A" w:rsidRDefault="00931597" w:rsidP="009C7A0A">
      <w:pPr>
        <w:spacing w:line="276" w:lineRule="auto"/>
        <w:ind w:firstLine="720"/>
        <w:jc w:val="both"/>
        <w:rPr>
          <w:color w:val="000000"/>
        </w:rPr>
      </w:pPr>
      <w:r w:rsidRPr="009C7A0A">
        <w:t>atzīts par nevainīgu pret viņu celtajā apsūdzībā pēc Krimināllikuma 239. panta otrās daļas</w:t>
      </w:r>
      <w:r w:rsidR="00F32B01" w:rsidRPr="009C7A0A">
        <w:t xml:space="preserve"> un attaisnots;</w:t>
      </w:r>
    </w:p>
    <w:p w14:paraId="7BC90E62" w14:textId="680D3869" w:rsidR="00931597" w:rsidRPr="009C7A0A" w:rsidRDefault="00F32B01" w:rsidP="009C7A0A">
      <w:pPr>
        <w:spacing w:line="276" w:lineRule="auto"/>
        <w:ind w:firstLine="720"/>
        <w:jc w:val="both"/>
      </w:pPr>
      <w:r w:rsidRPr="009C7A0A">
        <w:t>atzīts par nevainīgu pret viņu celtajā apsūdzībā pēc Krimināllikuma</w:t>
      </w:r>
      <w:r w:rsidR="00A464AD" w:rsidRPr="009C7A0A">
        <w:t xml:space="preserve"> </w:t>
      </w:r>
      <w:r w:rsidR="00931597" w:rsidRPr="009C7A0A">
        <w:t>123. panta otrās daļas un attaisnots.</w:t>
      </w:r>
    </w:p>
    <w:p w14:paraId="4730A0F7" w14:textId="0210D193" w:rsidR="00A464AD" w:rsidRPr="009C7A0A" w:rsidRDefault="00931597" w:rsidP="009C7A0A">
      <w:pPr>
        <w:spacing w:line="276" w:lineRule="auto"/>
        <w:ind w:firstLine="720"/>
        <w:jc w:val="both"/>
        <w:rPr>
          <w:color w:val="000000"/>
        </w:rPr>
      </w:pPr>
      <w:r w:rsidRPr="009C7A0A">
        <w:rPr>
          <w:color w:val="000000"/>
        </w:rPr>
        <w:t>[</w:t>
      </w:r>
      <w:r w:rsidR="00BA4A09" w:rsidRPr="009C7A0A">
        <w:rPr>
          <w:color w:val="000000"/>
        </w:rPr>
        <w:t>2</w:t>
      </w:r>
      <w:r w:rsidRPr="009C7A0A">
        <w:rPr>
          <w:color w:val="000000"/>
        </w:rPr>
        <w:t>.</w:t>
      </w:r>
      <w:r w:rsidR="00BA4A09" w:rsidRPr="009C7A0A">
        <w:rPr>
          <w:color w:val="000000"/>
        </w:rPr>
        <w:t>4</w:t>
      </w:r>
      <w:r w:rsidRPr="009C7A0A">
        <w:rPr>
          <w:color w:val="000000"/>
        </w:rPr>
        <w:t>] </w:t>
      </w:r>
      <w:r w:rsidR="00FA20F5">
        <w:rPr>
          <w:color w:val="000000"/>
        </w:rPr>
        <w:t>[Pers. BJ]</w:t>
      </w:r>
    </w:p>
    <w:p w14:paraId="2045A12B" w14:textId="44B74DCE" w:rsidR="00F32B01" w:rsidRPr="009C7A0A" w:rsidRDefault="00931597" w:rsidP="009C7A0A">
      <w:pPr>
        <w:spacing w:line="276" w:lineRule="auto"/>
        <w:ind w:firstLine="720"/>
        <w:jc w:val="both"/>
        <w:rPr>
          <w:color w:val="000000"/>
        </w:rPr>
      </w:pPr>
      <w:r w:rsidRPr="009C7A0A">
        <w:t>atzīts par nevainīgu pret viņu celtajā apsūdzībā pēc Krimināllikuma 239. panta otrās daļas</w:t>
      </w:r>
      <w:r w:rsidR="00F32B01" w:rsidRPr="009C7A0A">
        <w:t xml:space="preserve"> un attaisnots;</w:t>
      </w:r>
    </w:p>
    <w:p w14:paraId="2385B4A7" w14:textId="572CB4DE" w:rsidR="00931597" w:rsidRPr="009C7A0A" w:rsidRDefault="00F32B01" w:rsidP="009C7A0A">
      <w:pPr>
        <w:spacing w:line="276" w:lineRule="auto"/>
        <w:ind w:firstLine="720"/>
        <w:jc w:val="both"/>
      </w:pPr>
      <w:r w:rsidRPr="009C7A0A">
        <w:t>atzīts par nevainīgu pret viņu celtajā apsūdzībā pēc Krimināllikuma</w:t>
      </w:r>
      <w:r w:rsidR="00931597" w:rsidRPr="009C7A0A">
        <w:t xml:space="preserve"> 123. panta otrās daļas un attaisnots.</w:t>
      </w:r>
    </w:p>
    <w:p w14:paraId="5225E4B0" w14:textId="5A446EB8" w:rsidR="00A464AD" w:rsidRPr="009C7A0A" w:rsidRDefault="00BA4A09" w:rsidP="009C7A0A">
      <w:pPr>
        <w:spacing w:line="276" w:lineRule="auto"/>
        <w:ind w:firstLine="720"/>
        <w:jc w:val="both"/>
        <w:rPr>
          <w:color w:val="000000"/>
        </w:rPr>
      </w:pPr>
      <w:r w:rsidRPr="009C7A0A">
        <w:t>[2.5] </w:t>
      </w:r>
      <w:r w:rsidR="00FA20F5">
        <w:t>[Pers. BK]</w:t>
      </w:r>
    </w:p>
    <w:p w14:paraId="0598B4CF" w14:textId="46E82024" w:rsidR="00F32B01" w:rsidRPr="009C7A0A" w:rsidRDefault="00931597" w:rsidP="009C7A0A">
      <w:pPr>
        <w:spacing w:line="276" w:lineRule="auto"/>
        <w:ind w:firstLine="720"/>
        <w:jc w:val="both"/>
        <w:rPr>
          <w:color w:val="000000"/>
        </w:rPr>
      </w:pPr>
      <w:r w:rsidRPr="009C7A0A">
        <w:t>atzīts par nevainīgu pret viņu celtajā apsūdzībā pēc Krimināllikuma 239. panta otrās daļas</w:t>
      </w:r>
      <w:r w:rsidR="00F32B01" w:rsidRPr="009C7A0A">
        <w:t xml:space="preserve"> un attaisnots;</w:t>
      </w:r>
    </w:p>
    <w:p w14:paraId="79B9A6A9" w14:textId="12C30517" w:rsidR="00931597" w:rsidRPr="009C7A0A" w:rsidRDefault="00F32B01" w:rsidP="009C7A0A">
      <w:pPr>
        <w:spacing w:line="276" w:lineRule="auto"/>
        <w:ind w:firstLine="720"/>
        <w:jc w:val="both"/>
      </w:pPr>
      <w:r w:rsidRPr="009C7A0A">
        <w:t>atzīts par nevainīgu pret viņu celtajā apsūdzībā pēc Krimināllikuma</w:t>
      </w:r>
      <w:r w:rsidR="00931597" w:rsidRPr="009C7A0A">
        <w:t xml:space="preserve"> 123. panta otrās daļas un attaisnots.</w:t>
      </w:r>
    </w:p>
    <w:p w14:paraId="5D40EA77" w14:textId="1290E083" w:rsidR="00F32B01" w:rsidRPr="009C7A0A" w:rsidRDefault="00BA4A09" w:rsidP="009C7A0A">
      <w:pPr>
        <w:spacing w:line="276" w:lineRule="auto"/>
        <w:ind w:firstLine="720"/>
        <w:jc w:val="both"/>
      </w:pPr>
      <w:r w:rsidRPr="009C7A0A">
        <w:t>[2.6] </w:t>
      </w:r>
      <w:r w:rsidR="00FA20F5">
        <w:t>[Pers. BL]</w:t>
      </w:r>
      <w:r w:rsidRPr="009C7A0A">
        <w:rPr>
          <w:color w:val="000000"/>
        </w:rPr>
        <w:t xml:space="preserve"> </w:t>
      </w:r>
      <w:r w:rsidR="00931597" w:rsidRPr="009C7A0A">
        <w:t>atzīts par nevainīgu pret viņu celtajā apsūdzībā pēc Krimināllikuma 239. panta otrās daļas</w:t>
      </w:r>
      <w:r w:rsidR="00F32B01" w:rsidRPr="009C7A0A">
        <w:t xml:space="preserve"> un attaisnots;</w:t>
      </w:r>
    </w:p>
    <w:p w14:paraId="20FEA702" w14:textId="2F9C085C" w:rsidR="00931597" w:rsidRPr="009C7A0A" w:rsidRDefault="00F32B01" w:rsidP="009C7A0A">
      <w:pPr>
        <w:spacing w:line="276" w:lineRule="auto"/>
        <w:ind w:firstLine="720"/>
        <w:jc w:val="both"/>
      </w:pPr>
      <w:r w:rsidRPr="009C7A0A">
        <w:t>atzīts par nevainīgu pret viņu celtajā apsūdzībā pēc Krimināllikuma</w:t>
      </w:r>
      <w:r w:rsidR="00931597" w:rsidRPr="009C7A0A">
        <w:t xml:space="preserve"> 123. panta otrās daļas un attaisnots.</w:t>
      </w:r>
    </w:p>
    <w:p w14:paraId="7B0983E4" w14:textId="5170C8EA" w:rsidR="00931597" w:rsidRPr="009C7A0A" w:rsidRDefault="00BA4A09" w:rsidP="009C7A0A">
      <w:pPr>
        <w:spacing w:line="276" w:lineRule="auto"/>
        <w:ind w:firstLine="720"/>
        <w:jc w:val="both"/>
      </w:pPr>
      <w:r w:rsidRPr="009C7A0A">
        <w:t>[2.7] </w:t>
      </w:r>
      <w:r w:rsidR="00312516">
        <w:t>[Pers. BM]</w:t>
      </w:r>
      <w:r w:rsidRPr="009C7A0A">
        <w:rPr>
          <w:color w:val="000000"/>
        </w:rPr>
        <w:t xml:space="preserve"> </w:t>
      </w:r>
      <w:r w:rsidR="00931597" w:rsidRPr="009C7A0A">
        <w:t>atzīta par nevainīgu pret viņu celtajā apsūdzībā pēc Krimināllikuma 319. panta trešās daļas un attaisnota.</w:t>
      </w:r>
    </w:p>
    <w:p w14:paraId="3C95CD84" w14:textId="6A796A7D" w:rsidR="00BA4A09" w:rsidRPr="009C7A0A" w:rsidRDefault="00BA4A09" w:rsidP="009C7A0A">
      <w:pPr>
        <w:widowControl w:val="0"/>
        <w:spacing w:line="276" w:lineRule="auto"/>
        <w:ind w:firstLine="720"/>
        <w:jc w:val="both"/>
      </w:pPr>
      <w:r w:rsidRPr="009C7A0A">
        <w:t>[2.8] </w:t>
      </w:r>
      <w:r w:rsidR="00312516">
        <w:t>[Pers. </w:t>
      </w:r>
      <w:r w:rsidR="00AF61E6">
        <w:t>BN]</w:t>
      </w:r>
      <w:r w:rsidRPr="009C7A0A">
        <w:rPr>
          <w:color w:val="000000"/>
        </w:rPr>
        <w:t xml:space="preserve"> </w:t>
      </w:r>
      <w:r w:rsidR="00931597" w:rsidRPr="009C7A0A">
        <w:t>atzīts par nevainīgu pret viņu celtajā apsūdzībā pēc Krimināllikuma 319. panta trešās daļas un attaisnots.</w:t>
      </w:r>
    </w:p>
    <w:p w14:paraId="2189654C" w14:textId="33C68E71" w:rsidR="00931597" w:rsidRPr="009C7A0A" w:rsidRDefault="00BA4A09" w:rsidP="009C7A0A">
      <w:pPr>
        <w:widowControl w:val="0"/>
        <w:spacing w:line="276" w:lineRule="auto"/>
        <w:ind w:firstLine="720"/>
        <w:jc w:val="both"/>
      </w:pPr>
      <w:r w:rsidRPr="009C7A0A">
        <w:t>[2.9] </w:t>
      </w:r>
      <w:r w:rsidR="00AF61E6">
        <w:t>[Pers. BO]</w:t>
      </w:r>
      <w:r w:rsidRPr="009C7A0A">
        <w:rPr>
          <w:color w:val="000000"/>
        </w:rPr>
        <w:t xml:space="preserve"> a</w:t>
      </w:r>
      <w:r w:rsidR="00931597" w:rsidRPr="009C7A0A">
        <w:t>tzīta par nevainīgu pret viņu celtajā apsūdzībā pēc Krimināllikuma 146. panta otrās daļas un attaisnota.</w:t>
      </w:r>
    </w:p>
    <w:p w14:paraId="3BC2F82C" w14:textId="39CBCC90" w:rsidR="00EA11D2" w:rsidRPr="009C7A0A" w:rsidRDefault="00BA4A09" w:rsidP="009C7A0A">
      <w:pPr>
        <w:spacing w:line="276" w:lineRule="auto"/>
        <w:ind w:firstLine="720"/>
        <w:jc w:val="both"/>
        <w:rPr>
          <w:color w:val="000000"/>
        </w:rPr>
      </w:pPr>
      <w:r w:rsidRPr="009C7A0A">
        <w:t>[2.10] </w:t>
      </w:r>
      <w:r w:rsidR="00931597" w:rsidRPr="009C7A0A">
        <w:t xml:space="preserve">Izbeigts </w:t>
      </w:r>
      <w:r w:rsidR="00931597" w:rsidRPr="009C7A0A">
        <w:rPr>
          <w:color w:val="000000"/>
        </w:rPr>
        <w:t>kriminālprocess daļā par piespiedu ietekmēšanas līdzekļ</w:t>
      </w:r>
      <w:r w:rsidR="00CA6CFF" w:rsidRPr="009C7A0A">
        <w:rPr>
          <w:color w:val="000000"/>
        </w:rPr>
        <w:t>a</w:t>
      </w:r>
      <w:r w:rsidR="00931597" w:rsidRPr="009C7A0A">
        <w:rPr>
          <w:color w:val="000000"/>
        </w:rPr>
        <w:t xml:space="preserve"> piemērošanu SIA „</w:t>
      </w:r>
      <w:r w:rsidR="00AF61E6">
        <w:rPr>
          <w:color w:val="000000"/>
        </w:rPr>
        <w:t>[Nosaukums B]</w:t>
      </w:r>
      <w:r w:rsidR="00931597" w:rsidRPr="009C7A0A">
        <w:rPr>
          <w:color w:val="000000"/>
        </w:rPr>
        <w:t>”, SIA „</w:t>
      </w:r>
      <w:r w:rsidR="00AF61E6">
        <w:rPr>
          <w:color w:val="000000"/>
        </w:rPr>
        <w:t>[Nosaukums C]</w:t>
      </w:r>
      <w:r w:rsidR="00931597" w:rsidRPr="009C7A0A">
        <w:rPr>
          <w:color w:val="000000"/>
        </w:rPr>
        <w:t>”, SIA „</w:t>
      </w:r>
      <w:r w:rsidR="00AF61E6">
        <w:rPr>
          <w:color w:val="000000"/>
        </w:rPr>
        <w:t>[Nosaukums D]</w:t>
      </w:r>
      <w:r w:rsidR="00931597" w:rsidRPr="009C7A0A">
        <w:rPr>
          <w:color w:val="000000"/>
        </w:rPr>
        <w:t>”, SIA „</w:t>
      </w:r>
      <w:r w:rsidR="00AF61E6">
        <w:rPr>
          <w:color w:val="000000"/>
        </w:rPr>
        <w:t>[Nosaukums E]</w:t>
      </w:r>
      <w:r w:rsidR="00931597" w:rsidRPr="009C7A0A">
        <w:rPr>
          <w:color w:val="000000"/>
        </w:rPr>
        <w:t>”.</w:t>
      </w:r>
    </w:p>
    <w:p w14:paraId="2947F8E7" w14:textId="095CF0BB" w:rsidR="00F736A6" w:rsidRPr="009C7A0A" w:rsidRDefault="00EB3C54" w:rsidP="00512985">
      <w:pPr>
        <w:spacing w:line="276" w:lineRule="auto"/>
        <w:ind w:firstLine="720"/>
        <w:jc w:val="both"/>
        <w:rPr>
          <w:color w:val="000000"/>
        </w:rPr>
      </w:pPr>
      <w:r w:rsidRPr="009C7A0A">
        <w:rPr>
          <w:color w:val="000000"/>
        </w:rPr>
        <w:t>[</w:t>
      </w:r>
      <w:r w:rsidR="00A464AD" w:rsidRPr="009C7A0A">
        <w:rPr>
          <w:color w:val="000000"/>
        </w:rPr>
        <w:t>2.11</w:t>
      </w:r>
      <w:r w:rsidRPr="009C7A0A">
        <w:rPr>
          <w:color w:val="000000"/>
        </w:rPr>
        <w:t>]</w:t>
      </w:r>
      <w:r w:rsidR="00E83EE7" w:rsidRPr="009C7A0A">
        <w:rPr>
          <w:color w:val="000000"/>
        </w:rPr>
        <w:t> </w:t>
      </w:r>
      <w:r w:rsidRPr="00CE5298">
        <w:rPr>
          <w:color w:val="000000"/>
        </w:rPr>
        <w:t xml:space="preserve">Izlemts jautājums par </w:t>
      </w:r>
      <w:r w:rsidR="00574FB9" w:rsidRPr="00CE5298">
        <w:rPr>
          <w:color w:val="000000"/>
        </w:rPr>
        <w:t>sabiedrības ar ierobežotu atbildību </w:t>
      </w:r>
      <w:r w:rsidR="00E83EE7" w:rsidRPr="00CE5298">
        <w:rPr>
          <w:color w:val="000000"/>
        </w:rPr>
        <w:t>„</w:t>
      </w:r>
      <w:r w:rsidR="002B75C8" w:rsidRPr="00CE5298">
        <w:rPr>
          <w:color w:val="000000"/>
        </w:rPr>
        <w:t>Money</w:t>
      </w:r>
      <w:r w:rsidR="00282228" w:rsidRPr="00CE5298">
        <w:rPr>
          <w:color w:val="000000"/>
        </w:rPr>
        <w:t> </w:t>
      </w:r>
      <w:r w:rsidR="002B75C8" w:rsidRPr="00CE5298">
        <w:rPr>
          <w:color w:val="000000"/>
        </w:rPr>
        <w:t xml:space="preserve">Express”, </w:t>
      </w:r>
      <w:r w:rsidR="004F7EBB" w:rsidRPr="00CE5298">
        <w:rPr>
          <w:color w:val="000000"/>
        </w:rPr>
        <w:t>sabiedrības ar ierobežotu atbildību </w:t>
      </w:r>
      <w:r w:rsidR="00E83EE7" w:rsidRPr="00CE5298">
        <w:rPr>
          <w:color w:val="000000"/>
        </w:rPr>
        <w:t>„</w:t>
      </w:r>
      <w:r w:rsidR="002B75C8" w:rsidRPr="00CE5298">
        <w:rPr>
          <w:color w:val="000000"/>
        </w:rPr>
        <w:t>LD</w:t>
      </w:r>
      <w:r w:rsidR="0068621A" w:rsidRPr="00CE5298">
        <w:rPr>
          <w:color w:val="000000"/>
        </w:rPr>
        <w:t> </w:t>
      </w:r>
      <w:r w:rsidR="002B75C8" w:rsidRPr="00CE5298">
        <w:rPr>
          <w:color w:val="000000"/>
        </w:rPr>
        <w:t xml:space="preserve">STELS”, </w:t>
      </w:r>
      <w:r w:rsidR="003E12E0" w:rsidRPr="00CE5298">
        <w:rPr>
          <w:color w:val="000000"/>
        </w:rPr>
        <w:t>SIA „Pērle </w:t>
      </w:r>
      <w:proofErr w:type="spellStart"/>
      <w:r w:rsidR="003E12E0" w:rsidRPr="00CE5298">
        <w:rPr>
          <w:color w:val="000000"/>
        </w:rPr>
        <w:t>Lux</w:t>
      </w:r>
      <w:proofErr w:type="spellEnd"/>
      <w:r w:rsidR="003E12E0" w:rsidRPr="00CE5298">
        <w:rPr>
          <w:color w:val="000000"/>
        </w:rPr>
        <w:t>”</w:t>
      </w:r>
      <w:r w:rsidR="002B75C8" w:rsidRPr="00CE5298">
        <w:rPr>
          <w:color w:val="000000"/>
        </w:rPr>
        <w:t xml:space="preserve">, </w:t>
      </w:r>
      <w:r w:rsidR="00D03164" w:rsidRPr="00CE5298">
        <w:rPr>
          <w:color w:val="000000"/>
        </w:rPr>
        <w:t>sabiedrības ar ierobežotu atbildību </w:t>
      </w:r>
      <w:r w:rsidR="00E83EE7" w:rsidRPr="00CE5298">
        <w:rPr>
          <w:color w:val="000000"/>
        </w:rPr>
        <w:t>„</w:t>
      </w:r>
      <w:r w:rsidR="002B75C8" w:rsidRPr="00CE5298">
        <w:rPr>
          <w:color w:val="000000"/>
        </w:rPr>
        <w:t>DENIELS”, SIA</w:t>
      </w:r>
      <w:r w:rsidR="00E83EE7" w:rsidRPr="00CE5298">
        <w:rPr>
          <w:color w:val="000000"/>
        </w:rPr>
        <w:t> „</w:t>
      </w:r>
      <w:r w:rsidR="002B75C8" w:rsidRPr="00CE5298">
        <w:rPr>
          <w:color w:val="000000"/>
        </w:rPr>
        <w:t>ZOO</w:t>
      </w:r>
      <w:r w:rsidR="00E83EE7" w:rsidRPr="00CE5298">
        <w:rPr>
          <w:color w:val="000000"/>
        </w:rPr>
        <w:t> </w:t>
      </w:r>
      <w:r w:rsidR="002B75C8" w:rsidRPr="00CE5298">
        <w:rPr>
          <w:color w:val="000000"/>
        </w:rPr>
        <w:t xml:space="preserve">Centrs”, </w:t>
      </w:r>
      <w:r w:rsidR="0051053D" w:rsidRPr="00CE5298">
        <w:rPr>
          <w:color w:val="000000"/>
        </w:rPr>
        <w:t>sabiedrības ar ierobežotu atbildību </w:t>
      </w:r>
      <w:r w:rsidR="00E83EE7" w:rsidRPr="00CE5298">
        <w:rPr>
          <w:color w:val="000000"/>
        </w:rPr>
        <w:t>„</w:t>
      </w:r>
      <w:r w:rsidR="002B75C8" w:rsidRPr="00CE5298">
        <w:rPr>
          <w:color w:val="000000"/>
        </w:rPr>
        <w:t>KORS</w:t>
      </w:r>
      <w:r w:rsidR="00E83EE7" w:rsidRPr="00CE5298">
        <w:rPr>
          <w:color w:val="000000"/>
        </w:rPr>
        <w:t> </w:t>
      </w:r>
      <w:r w:rsidR="002B75C8" w:rsidRPr="00CE5298">
        <w:rPr>
          <w:color w:val="000000"/>
        </w:rPr>
        <w:t>N”,</w:t>
      </w:r>
      <w:r w:rsidR="002B75C8" w:rsidRPr="009C7A0A">
        <w:rPr>
          <w:color w:val="000000"/>
        </w:rPr>
        <w:t xml:space="preserve"> </w:t>
      </w:r>
      <w:r w:rsidR="00AF61E6">
        <w:rPr>
          <w:color w:val="000000"/>
        </w:rPr>
        <w:t>[pers. DS]</w:t>
      </w:r>
      <w:r w:rsidR="00E83EE7" w:rsidRPr="009C7A0A">
        <w:rPr>
          <w:color w:val="000000"/>
        </w:rPr>
        <w:t xml:space="preserve">, </w:t>
      </w:r>
      <w:r w:rsidR="00AF61E6">
        <w:rPr>
          <w:color w:val="000000"/>
        </w:rPr>
        <w:t>[pers. DT]</w:t>
      </w:r>
      <w:r w:rsidR="00E83EE7" w:rsidRPr="009C7A0A">
        <w:rPr>
          <w:color w:val="000000"/>
        </w:rPr>
        <w:t xml:space="preserve">, </w:t>
      </w:r>
      <w:r w:rsidR="00AF61E6">
        <w:rPr>
          <w:color w:val="000000"/>
        </w:rPr>
        <w:t>[pers. BZ]</w:t>
      </w:r>
      <w:r w:rsidR="00E83EE7" w:rsidRPr="009C7A0A">
        <w:rPr>
          <w:color w:val="000000"/>
        </w:rPr>
        <w:t xml:space="preserve">, </w:t>
      </w:r>
      <w:r w:rsidR="00AF61E6">
        <w:rPr>
          <w:color w:val="000000"/>
        </w:rPr>
        <w:lastRenderedPageBreak/>
        <w:t>[pers. DU]</w:t>
      </w:r>
      <w:r w:rsidR="00E83EE7" w:rsidRPr="009C7A0A">
        <w:rPr>
          <w:color w:val="000000"/>
        </w:rPr>
        <w:t xml:space="preserve">, </w:t>
      </w:r>
      <w:r w:rsidR="00AF61E6">
        <w:rPr>
          <w:color w:val="000000"/>
        </w:rPr>
        <w:t>[pers. DV]</w:t>
      </w:r>
      <w:r w:rsidR="00E83EE7" w:rsidRPr="009C7A0A">
        <w:rPr>
          <w:color w:val="000000"/>
        </w:rPr>
        <w:t xml:space="preserve">, </w:t>
      </w:r>
      <w:r w:rsidR="00AF61E6">
        <w:rPr>
          <w:color w:val="000000"/>
        </w:rPr>
        <w:t>[pers. DZ]</w:t>
      </w:r>
      <w:r w:rsidR="00E83EE7" w:rsidRPr="009C7A0A">
        <w:rPr>
          <w:color w:val="000000"/>
        </w:rPr>
        <w:t xml:space="preserve">, </w:t>
      </w:r>
      <w:r w:rsidR="00D22E60">
        <w:rPr>
          <w:color w:val="000000"/>
        </w:rPr>
        <w:t>[pers. EA]</w:t>
      </w:r>
      <w:r w:rsidR="00874F09" w:rsidRPr="009C7A0A">
        <w:rPr>
          <w:color w:val="000000"/>
        </w:rPr>
        <w:t xml:space="preserve">, </w:t>
      </w:r>
      <w:r w:rsidR="00D22E60">
        <w:rPr>
          <w:color w:val="000000"/>
        </w:rPr>
        <w:t>[pers. EB]</w:t>
      </w:r>
      <w:r w:rsidR="00E83EE7" w:rsidRPr="009C7A0A">
        <w:rPr>
          <w:color w:val="000000"/>
        </w:rPr>
        <w:t xml:space="preserve">, </w:t>
      </w:r>
      <w:r w:rsidR="00D22E60">
        <w:rPr>
          <w:color w:val="000000"/>
        </w:rPr>
        <w:t>[pers. CZ]</w:t>
      </w:r>
      <w:r w:rsidR="00E83EE7" w:rsidRPr="009C7A0A">
        <w:rPr>
          <w:color w:val="000000"/>
        </w:rPr>
        <w:t xml:space="preserve">, </w:t>
      </w:r>
      <w:r w:rsidR="00D22E60">
        <w:rPr>
          <w:color w:val="000000"/>
        </w:rPr>
        <w:t>[pers. EC]</w:t>
      </w:r>
      <w:r w:rsidR="00E83EE7" w:rsidRPr="009C7A0A">
        <w:rPr>
          <w:color w:val="000000"/>
        </w:rPr>
        <w:t xml:space="preserve">, </w:t>
      </w:r>
      <w:r w:rsidR="00D22E60">
        <w:rPr>
          <w:color w:val="000000"/>
        </w:rPr>
        <w:t>[pers. ED]</w:t>
      </w:r>
      <w:r w:rsidR="00E83EE7" w:rsidRPr="009C7A0A">
        <w:rPr>
          <w:color w:val="000000"/>
        </w:rPr>
        <w:t xml:space="preserve">, </w:t>
      </w:r>
      <w:r w:rsidR="00D22E60">
        <w:rPr>
          <w:color w:val="000000"/>
        </w:rPr>
        <w:t>[pers. EE]</w:t>
      </w:r>
      <w:r w:rsidR="00E83EE7" w:rsidRPr="009C7A0A">
        <w:rPr>
          <w:color w:val="000000"/>
        </w:rPr>
        <w:t xml:space="preserve">, </w:t>
      </w:r>
      <w:r w:rsidR="00D22E60">
        <w:rPr>
          <w:color w:val="000000"/>
        </w:rPr>
        <w:t>[pers. EF]</w:t>
      </w:r>
      <w:r w:rsidR="00E83EE7" w:rsidRPr="009C7A0A">
        <w:rPr>
          <w:color w:val="000000"/>
        </w:rPr>
        <w:t xml:space="preserve">, </w:t>
      </w:r>
      <w:r w:rsidR="00D22E60">
        <w:rPr>
          <w:color w:val="000000"/>
        </w:rPr>
        <w:t>[pers. EG]</w:t>
      </w:r>
      <w:r w:rsidR="00E83EE7" w:rsidRPr="009C7A0A">
        <w:rPr>
          <w:color w:val="000000"/>
        </w:rPr>
        <w:t xml:space="preserve">, </w:t>
      </w:r>
      <w:r w:rsidR="00D22E60">
        <w:rPr>
          <w:color w:val="000000"/>
        </w:rPr>
        <w:t>[pers.</w:t>
      </w:r>
      <w:r w:rsidR="006603B9">
        <w:rPr>
          <w:color w:val="000000"/>
        </w:rPr>
        <w:t> </w:t>
      </w:r>
      <w:r w:rsidR="00D22E60">
        <w:rPr>
          <w:color w:val="000000"/>
        </w:rPr>
        <w:t>EH]</w:t>
      </w:r>
      <w:r w:rsidR="00E83EE7" w:rsidRPr="009C7A0A">
        <w:rPr>
          <w:color w:val="000000"/>
        </w:rPr>
        <w:t xml:space="preserve">, </w:t>
      </w:r>
      <w:r w:rsidR="006603B9">
        <w:rPr>
          <w:color w:val="000000"/>
        </w:rPr>
        <w:t>[pers. EI]</w:t>
      </w:r>
      <w:r w:rsidR="00E83EE7" w:rsidRPr="009C7A0A">
        <w:rPr>
          <w:color w:val="000000"/>
        </w:rPr>
        <w:t xml:space="preserve">, </w:t>
      </w:r>
      <w:r w:rsidR="006603B9">
        <w:rPr>
          <w:color w:val="000000"/>
        </w:rPr>
        <w:t>[pers. </w:t>
      </w:r>
      <w:r w:rsidR="009404BC">
        <w:rPr>
          <w:color w:val="000000"/>
        </w:rPr>
        <w:t>EJ]</w:t>
      </w:r>
      <w:r w:rsidR="00E83EE7" w:rsidRPr="009C7A0A">
        <w:rPr>
          <w:color w:val="000000"/>
        </w:rPr>
        <w:t xml:space="preserve">, </w:t>
      </w:r>
      <w:r w:rsidR="009404BC">
        <w:rPr>
          <w:color w:val="000000"/>
        </w:rPr>
        <w:t>[pers. EK]</w:t>
      </w:r>
      <w:r w:rsidR="00E83EE7" w:rsidRPr="009C7A0A">
        <w:rPr>
          <w:color w:val="000000"/>
        </w:rPr>
        <w:t xml:space="preserve">, </w:t>
      </w:r>
      <w:r w:rsidR="009404BC">
        <w:rPr>
          <w:color w:val="000000"/>
        </w:rPr>
        <w:t>[pers. DB]</w:t>
      </w:r>
      <w:r w:rsidR="00E83EE7" w:rsidRPr="009C7A0A">
        <w:rPr>
          <w:color w:val="000000"/>
        </w:rPr>
        <w:t xml:space="preserve">, </w:t>
      </w:r>
      <w:r w:rsidR="009404BC">
        <w:rPr>
          <w:color w:val="000000"/>
        </w:rPr>
        <w:t>[pers. EL]</w:t>
      </w:r>
      <w:r w:rsidR="00B17460" w:rsidRPr="009C7A0A">
        <w:rPr>
          <w:color w:val="000000"/>
        </w:rPr>
        <w:t xml:space="preserve">, </w:t>
      </w:r>
      <w:r w:rsidR="009404BC">
        <w:rPr>
          <w:color w:val="000000"/>
        </w:rPr>
        <w:t>[pers. EM]</w:t>
      </w:r>
      <w:r w:rsidR="00B17460" w:rsidRPr="009C7A0A">
        <w:rPr>
          <w:color w:val="000000"/>
        </w:rPr>
        <w:t xml:space="preserve">, </w:t>
      </w:r>
      <w:r w:rsidR="009404BC">
        <w:rPr>
          <w:color w:val="000000"/>
        </w:rPr>
        <w:t>[pers. E</w:t>
      </w:r>
      <w:r w:rsidR="00353B29">
        <w:rPr>
          <w:color w:val="000000"/>
        </w:rPr>
        <w:t>N</w:t>
      </w:r>
      <w:r w:rsidR="009404BC">
        <w:rPr>
          <w:color w:val="000000"/>
        </w:rPr>
        <w:t>]</w:t>
      </w:r>
      <w:r w:rsidR="00B17460" w:rsidRPr="009C7A0A">
        <w:rPr>
          <w:color w:val="000000"/>
        </w:rPr>
        <w:t xml:space="preserve">, </w:t>
      </w:r>
      <w:r w:rsidR="009404BC">
        <w:rPr>
          <w:color w:val="000000"/>
        </w:rPr>
        <w:t>[pers. EO]</w:t>
      </w:r>
      <w:r w:rsidR="00B17460" w:rsidRPr="009C7A0A">
        <w:rPr>
          <w:color w:val="000000"/>
        </w:rPr>
        <w:t xml:space="preserve">, </w:t>
      </w:r>
      <w:r w:rsidR="009404BC">
        <w:rPr>
          <w:color w:val="000000"/>
        </w:rPr>
        <w:t>[pers. EP]</w:t>
      </w:r>
      <w:r w:rsidR="00B17460" w:rsidRPr="009C7A0A">
        <w:rPr>
          <w:color w:val="000000"/>
        </w:rPr>
        <w:t xml:space="preserve">, </w:t>
      </w:r>
      <w:r w:rsidR="009404BC">
        <w:rPr>
          <w:color w:val="000000"/>
        </w:rPr>
        <w:t>[pers. ER]</w:t>
      </w:r>
      <w:r w:rsidR="00B17460" w:rsidRPr="009C7A0A">
        <w:rPr>
          <w:color w:val="000000"/>
        </w:rPr>
        <w:t xml:space="preserve">, </w:t>
      </w:r>
      <w:r w:rsidR="009404BC">
        <w:rPr>
          <w:color w:val="000000"/>
        </w:rPr>
        <w:t>[pers. ES]</w:t>
      </w:r>
      <w:r w:rsidR="00B17460" w:rsidRPr="009C7A0A">
        <w:rPr>
          <w:color w:val="000000"/>
        </w:rPr>
        <w:t xml:space="preserve">, </w:t>
      </w:r>
      <w:r w:rsidR="009404BC">
        <w:rPr>
          <w:color w:val="000000"/>
        </w:rPr>
        <w:t>[pers. ET]</w:t>
      </w:r>
      <w:r w:rsidR="00B17460" w:rsidRPr="009C7A0A">
        <w:rPr>
          <w:color w:val="000000"/>
        </w:rPr>
        <w:t xml:space="preserve">, </w:t>
      </w:r>
      <w:r w:rsidR="009404BC">
        <w:rPr>
          <w:color w:val="000000"/>
        </w:rPr>
        <w:t>[pers. EU]</w:t>
      </w:r>
      <w:r w:rsidR="00B17460" w:rsidRPr="009C7A0A">
        <w:rPr>
          <w:color w:val="000000"/>
        </w:rPr>
        <w:t xml:space="preserve">, </w:t>
      </w:r>
      <w:r w:rsidR="009404BC">
        <w:rPr>
          <w:color w:val="000000"/>
        </w:rPr>
        <w:t>[pers. EV]</w:t>
      </w:r>
      <w:r w:rsidR="00B17460" w:rsidRPr="009C7A0A">
        <w:rPr>
          <w:color w:val="000000"/>
        </w:rPr>
        <w:t xml:space="preserve">, </w:t>
      </w:r>
      <w:r w:rsidR="009404BC">
        <w:rPr>
          <w:color w:val="000000"/>
        </w:rPr>
        <w:t>[pers. EZ]</w:t>
      </w:r>
      <w:r w:rsidR="00B17460" w:rsidRPr="009C7A0A">
        <w:rPr>
          <w:color w:val="000000"/>
        </w:rPr>
        <w:t xml:space="preserve">, </w:t>
      </w:r>
      <w:r w:rsidR="009404BC">
        <w:rPr>
          <w:color w:val="000000"/>
        </w:rPr>
        <w:t>[pers. FA]</w:t>
      </w:r>
      <w:r w:rsidR="00B17460" w:rsidRPr="009C7A0A">
        <w:rPr>
          <w:color w:val="000000"/>
        </w:rPr>
        <w:t xml:space="preserve">, </w:t>
      </w:r>
      <w:r w:rsidR="009404BC">
        <w:rPr>
          <w:color w:val="000000"/>
        </w:rPr>
        <w:t>[pers. FB]</w:t>
      </w:r>
      <w:r w:rsidR="00B17460" w:rsidRPr="009C7A0A">
        <w:rPr>
          <w:color w:val="000000"/>
        </w:rPr>
        <w:t xml:space="preserve">, </w:t>
      </w:r>
      <w:r w:rsidR="009404BC">
        <w:rPr>
          <w:color w:val="000000"/>
        </w:rPr>
        <w:t>[pers. FC]</w:t>
      </w:r>
      <w:r w:rsidR="00B17460" w:rsidRPr="009C7A0A">
        <w:rPr>
          <w:color w:val="000000"/>
        </w:rPr>
        <w:t xml:space="preserve">, </w:t>
      </w:r>
      <w:r w:rsidR="009404BC">
        <w:rPr>
          <w:color w:val="000000"/>
        </w:rPr>
        <w:t>[pers. FD]</w:t>
      </w:r>
      <w:r w:rsidR="00B17460" w:rsidRPr="009C7A0A">
        <w:rPr>
          <w:color w:val="000000"/>
        </w:rPr>
        <w:t xml:space="preserve">, </w:t>
      </w:r>
      <w:r w:rsidR="008E4F25">
        <w:rPr>
          <w:color w:val="000000"/>
        </w:rPr>
        <w:t>[pers. FE]</w:t>
      </w:r>
      <w:r w:rsidR="000F0EC7" w:rsidRPr="009C7A0A">
        <w:rPr>
          <w:color w:val="000000"/>
        </w:rPr>
        <w:t xml:space="preserve">, </w:t>
      </w:r>
      <w:r w:rsidR="008E4F25">
        <w:rPr>
          <w:color w:val="000000"/>
        </w:rPr>
        <w:t>[pers. FF]</w:t>
      </w:r>
      <w:r w:rsidR="000F0EC7" w:rsidRPr="009C7A0A">
        <w:rPr>
          <w:color w:val="000000"/>
        </w:rPr>
        <w:t xml:space="preserve">, </w:t>
      </w:r>
      <w:r w:rsidR="008E4F25">
        <w:rPr>
          <w:color w:val="000000"/>
        </w:rPr>
        <w:t>[pers. FG]</w:t>
      </w:r>
      <w:r w:rsidR="000F0EC7" w:rsidRPr="009C7A0A">
        <w:rPr>
          <w:color w:val="000000"/>
        </w:rPr>
        <w:t xml:space="preserve">, </w:t>
      </w:r>
      <w:r w:rsidR="008E4F25">
        <w:rPr>
          <w:color w:val="000000"/>
        </w:rPr>
        <w:t>[pers. FH]</w:t>
      </w:r>
      <w:r w:rsidR="000F0EC7" w:rsidRPr="009C7A0A">
        <w:rPr>
          <w:color w:val="000000"/>
        </w:rPr>
        <w:t xml:space="preserve">, </w:t>
      </w:r>
      <w:r w:rsidR="008E4F25">
        <w:rPr>
          <w:color w:val="000000"/>
        </w:rPr>
        <w:t>[pers. FI]</w:t>
      </w:r>
      <w:r w:rsidR="000F0EC7" w:rsidRPr="009C7A0A">
        <w:rPr>
          <w:color w:val="000000"/>
        </w:rPr>
        <w:t xml:space="preserve">, </w:t>
      </w:r>
      <w:r w:rsidR="008E4F25">
        <w:rPr>
          <w:color w:val="000000"/>
        </w:rPr>
        <w:t>[pers. FJ]</w:t>
      </w:r>
      <w:r w:rsidR="000F0EC7" w:rsidRPr="009C7A0A">
        <w:rPr>
          <w:color w:val="000000"/>
        </w:rPr>
        <w:t xml:space="preserve">, </w:t>
      </w:r>
      <w:r w:rsidR="008E4F25">
        <w:rPr>
          <w:color w:val="000000"/>
        </w:rPr>
        <w:t>[pers. FK]</w:t>
      </w:r>
      <w:r w:rsidR="000F0EC7" w:rsidRPr="009C7A0A">
        <w:rPr>
          <w:color w:val="000000"/>
        </w:rPr>
        <w:t xml:space="preserve">, </w:t>
      </w:r>
      <w:r w:rsidR="008E4F25">
        <w:rPr>
          <w:color w:val="000000"/>
        </w:rPr>
        <w:t>[pers. FL]</w:t>
      </w:r>
      <w:r w:rsidR="000F0EC7" w:rsidRPr="009C7A0A">
        <w:rPr>
          <w:color w:val="000000"/>
        </w:rPr>
        <w:t xml:space="preserve">, </w:t>
      </w:r>
      <w:r w:rsidR="008E4F25">
        <w:rPr>
          <w:color w:val="000000"/>
        </w:rPr>
        <w:t>[pers. BU]</w:t>
      </w:r>
      <w:r w:rsidR="000F0EC7" w:rsidRPr="009C7A0A">
        <w:rPr>
          <w:color w:val="000000"/>
        </w:rPr>
        <w:t xml:space="preserve">, </w:t>
      </w:r>
      <w:r w:rsidR="008E4F25">
        <w:rPr>
          <w:color w:val="000000"/>
        </w:rPr>
        <w:t>[pers. FM]</w:t>
      </w:r>
      <w:r w:rsidR="00A32EC7" w:rsidRPr="009C7A0A">
        <w:rPr>
          <w:color w:val="000000"/>
        </w:rPr>
        <w:t xml:space="preserve">, </w:t>
      </w:r>
      <w:r w:rsidR="008E4F25">
        <w:rPr>
          <w:color w:val="000000"/>
        </w:rPr>
        <w:t>[pers. DA]</w:t>
      </w:r>
      <w:r w:rsidR="00A32EC7" w:rsidRPr="009C7A0A">
        <w:rPr>
          <w:color w:val="000000"/>
        </w:rPr>
        <w:t xml:space="preserve">, </w:t>
      </w:r>
      <w:r w:rsidR="008E4F25">
        <w:rPr>
          <w:color w:val="000000"/>
        </w:rPr>
        <w:t>[pers. FN]</w:t>
      </w:r>
      <w:r w:rsidR="00A32EC7" w:rsidRPr="009C7A0A">
        <w:rPr>
          <w:color w:val="000000"/>
        </w:rPr>
        <w:t xml:space="preserve">, </w:t>
      </w:r>
      <w:r w:rsidR="008E4F25">
        <w:rPr>
          <w:color w:val="000000"/>
        </w:rPr>
        <w:t>[pers. DC]</w:t>
      </w:r>
      <w:r w:rsidR="00A32EC7" w:rsidRPr="009C7A0A">
        <w:rPr>
          <w:color w:val="000000"/>
        </w:rPr>
        <w:t xml:space="preserve">, </w:t>
      </w:r>
      <w:r w:rsidR="008E4F25">
        <w:rPr>
          <w:color w:val="000000"/>
        </w:rPr>
        <w:t>[pers. FO]</w:t>
      </w:r>
      <w:r w:rsidR="00A32EC7" w:rsidRPr="009C7A0A">
        <w:rPr>
          <w:color w:val="000000"/>
        </w:rPr>
        <w:t xml:space="preserve">, </w:t>
      </w:r>
      <w:r w:rsidR="008E4F25">
        <w:rPr>
          <w:color w:val="000000"/>
        </w:rPr>
        <w:t>[pers. FP]</w:t>
      </w:r>
      <w:r w:rsidR="0034034D" w:rsidRPr="009C7A0A">
        <w:rPr>
          <w:color w:val="000000"/>
        </w:rPr>
        <w:t xml:space="preserve">, </w:t>
      </w:r>
      <w:r w:rsidR="008E4F25">
        <w:rPr>
          <w:color w:val="000000"/>
        </w:rPr>
        <w:t>[pers. FR]</w:t>
      </w:r>
      <w:r w:rsidR="0034034D" w:rsidRPr="009C7A0A">
        <w:rPr>
          <w:color w:val="000000"/>
        </w:rPr>
        <w:t xml:space="preserve">, </w:t>
      </w:r>
      <w:r w:rsidR="008E4F25">
        <w:rPr>
          <w:color w:val="000000"/>
        </w:rPr>
        <w:t>[pers. BS]</w:t>
      </w:r>
      <w:r w:rsidR="00D839AF" w:rsidRPr="009C7A0A">
        <w:rPr>
          <w:color w:val="000000"/>
        </w:rPr>
        <w:t xml:space="preserve">, </w:t>
      </w:r>
      <w:r w:rsidR="008E4F25">
        <w:rPr>
          <w:color w:val="000000"/>
        </w:rPr>
        <w:t>[pers.</w:t>
      </w:r>
      <w:r w:rsidR="008E4F25">
        <w:t> FS]</w:t>
      </w:r>
      <w:r w:rsidR="0034034D" w:rsidRPr="009C7A0A">
        <w:rPr>
          <w:color w:val="000000"/>
        </w:rPr>
        <w:t xml:space="preserve">, </w:t>
      </w:r>
      <w:r w:rsidR="008E4F25">
        <w:rPr>
          <w:color w:val="000000"/>
        </w:rPr>
        <w:t>[pers. CE]</w:t>
      </w:r>
      <w:r w:rsidR="0034034D" w:rsidRPr="009C7A0A">
        <w:rPr>
          <w:color w:val="000000"/>
        </w:rPr>
        <w:t xml:space="preserve">, </w:t>
      </w:r>
      <w:r w:rsidR="008E4F25">
        <w:rPr>
          <w:color w:val="000000"/>
        </w:rPr>
        <w:t>[pers. FT]</w:t>
      </w:r>
      <w:r w:rsidR="0034034D" w:rsidRPr="009C7A0A">
        <w:rPr>
          <w:color w:val="000000"/>
        </w:rPr>
        <w:t xml:space="preserve">, </w:t>
      </w:r>
      <w:r w:rsidR="00842CC8">
        <w:rPr>
          <w:color w:val="000000"/>
        </w:rPr>
        <w:t>[pers. CV]</w:t>
      </w:r>
      <w:r w:rsidR="0034034D" w:rsidRPr="009C7A0A">
        <w:rPr>
          <w:color w:val="000000"/>
        </w:rPr>
        <w:t xml:space="preserve">, </w:t>
      </w:r>
      <w:r w:rsidR="00842CC8">
        <w:rPr>
          <w:color w:val="000000"/>
        </w:rPr>
        <w:t>[pers. CT]</w:t>
      </w:r>
      <w:r w:rsidR="0034034D" w:rsidRPr="009C7A0A">
        <w:rPr>
          <w:color w:val="000000"/>
        </w:rPr>
        <w:t xml:space="preserve">, </w:t>
      </w:r>
      <w:r w:rsidR="00842CC8">
        <w:rPr>
          <w:color w:val="000000"/>
        </w:rPr>
        <w:t>[pers. DI]</w:t>
      </w:r>
      <w:r w:rsidR="0034034D" w:rsidRPr="009C7A0A">
        <w:rPr>
          <w:color w:val="000000"/>
        </w:rPr>
        <w:t xml:space="preserve">, </w:t>
      </w:r>
      <w:r w:rsidR="00842CC8">
        <w:rPr>
          <w:color w:val="000000"/>
        </w:rPr>
        <w:t>[pers. DK]</w:t>
      </w:r>
      <w:r w:rsidR="0034034D" w:rsidRPr="009C7A0A">
        <w:rPr>
          <w:color w:val="000000"/>
        </w:rPr>
        <w:t xml:space="preserve">, </w:t>
      </w:r>
      <w:r w:rsidR="00842CC8">
        <w:rPr>
          <w:color w:val="000000"/>
        </w:rPr>
        <w:t>[pers. DJ]</w:t>
      </w:r>
      <w:r w:rsidR="0034034D" w:rsidRPr="009C7A0A">
        <w:rPr>
          <w:color w:val="000000"/>
        </w:rPr>
        <w:t xml:space="preserve">, </w:t>
      </w:r>
      <w:r w:rsidR="00842CC8">
        <w:rPr>
          <w:color w:val="000000"/>
        </w:rPr>
        <w:t>[pers. FU]</w:t>
      </w:r>
      <w:r w:rsidR="0034034D" w:rsidRPr="009C7A0A">
        <w:rPr>
          <w:color w:val="000000"/>
        </w:rPr>
        <w:t xml:space="preserve">, </w:t>
      </w:r>
      <w:r w:rsidR="00842CC8">
        <w:rPr>
          <w:color w:val="000000"/>
        </w:rPr>
        <w:t>[pers. FV]</w:t>
      </w:r>
      <w:r w:rsidR="0034034D" w:rsidRPr="009C7A0A">
        <w:rPr>
          <w:color w:val="000000"/>
        </w:rPr>
        <w:t xml:space="preserve">, </w:t>
      </w:r>
      <w:r w:rsidR="00842CC8">
        <w:rPr>
          <w:color w:val="000000"/>
        </w:rPr>
        <w:t>[pers. FZ]</w:t>
      </w:r>
      <w:r w:rsidR="0034034D" w:rsidRPr="009C7A0A">
        <w:rPr>
          <w:color w:val="000000"/>
        </w:rPr>
        <w:t xml:space="preserve">, </w:t>
      </w:r>
      <w:r w:rsidR="00842CC8">
        <w:rPr>
          <w:color w:val="000000"/>
        </w:rPr>
        <w:t>[pers. AI]</w:t>
      </w:r>
      <w:r w:rsidR="0034034D" w:rsidRPr="009C7A0A">
        <w:rPr>
          <w:color w:val="000000"/>
        </w:rPr>
        <w:t xml:space="preserve">, </w:t>
      </w:r>
      <w:r w:rsidR="00842CC8">
        <w:rPr>
          <w:color w:val="000000"/>
        </w:rPr>
        <w:t>[pers. AJ]</w:t>
      </w:r>
      <w:r w:rsidR="0034034D" w:rsidRPr="009C7A0A">
        <w:rPr>
          <w:color w:val="000000"/>
        </w:rPr>
        <w:t xml:space="preserve">, </w:t>
      </w:r>
      <w:r w:rsidR="00842CC8">
        <w:rPr>
          <w:color w:val="000000"/>
        </w:rPr>
        <w:t>[pers. AL]</w:t>
      </w:r>
      <w:r w:rsidR="00C750AC" w:rsidRPr="009C7A0A">
        <w:rPr>
          <w:color w:val="000000"/>
        </w:rPr>
        <w:t xml:space="preserve">, </w:t>
      </w:r>
      <w:r w:rsidR="00842CC8">
        <w:rPr>
          <w:color w:val="000000"/>
        </w:rPr>
        <w:t>[pers. AN]</w:t>
      </w:r>
      <w:r w:rsidR="00C750AC" w:rsidRPr="009C7A0A">
        <w:rPr>
          <w:color w:val="000000"/>
        </w:rPr>
        <w:t xml:space="preserve">, </w:t>
      </w:r>
      <w:r w:rsidR="00842CC8">
        <w:rPr>
          <w:color w:val="000000"/>
        </w:rPr>
        <w:t>[pers. GA]</w:t>
      </w:r>
      <w:r w:rsidR="00C750AC" w:rsidRPr="009C7A0A">
        <w:rPr>
          <w:color w:val="000000"/>
        </w:rPr>
        <w:t xml:space="preserve">, </w:t>
      </w:r>
      <w:r w:rsidR="00842CC8">
        <w:rPr>
          <w:color w:val="000000"/>
        </w:rPr>
        <w:t>[pers. AM]</w:t>
      </w:r>
      <w:r w:rsidR="00C750AC" w:rsidRPr="009C7A0A">
        <w:rPr>
          <w:color w:val="000000"/>
        </w:rPr>
        <w:t xml:space="preserve">, </w:t>
      </w:r>
      <w:r w:rsidR="00842CC8">
        <w:rPr>
          <w:color w:val="000000"/>
        </w:rPr>
        <w:t>[pers. GB]</w:t>
      </w:r>
      <w:r w:rsidR="00C750AC" w:rsidRPr="009C7A0A">
        <w:rPr>
          <w:color w:val="000000"/>
        </w:rPr>
        <w:t xml:space="preserve">, </w:t>
      </w:r>
      <w:r w:rsidR="00842CC8">
        <w:rPr>
          <w:color w:val="000000"/>
        </w:rPr>
        <w:t>[pers. GC]</w:t>
      </w:r>
      <w:r w:rsidR="00C750AC" w:rsidRPr="009C7A0A">
        <w:rPr>
          <w:color w:val="000000"/>
        </w:rPr>
        <w:t xml:space="preserve">, </w:t>
      </w:r>
      <w:r w:rsidR="00842CC8">
        <w:rPr>
          <w:color w:val="000000"/>
        </w:rPr>
        <w:t>[pers. GD]</w:t>
      </w:r>
      <w:r w:rsidR="00C750AC" w:rsidRPr="009C7A0A">
        <w:rPr>
          <w:color w:val="000000"/>
        </w:rPr>
        <w:t xml:space="preserve">, </w:t>
      </w:r>
      <w:r w:rsidR="00842CC8">
        <w:rPr>
          <w:color w:val="000000"/>
        </w:rPr>
        <w:t>[pers. CF]</w:t>
      </w:r>
      <w:r w:rsidR="005E0F4E" w:rsidRPr="009C7A0A">
        <w:rPr>
          <w:color w:val="000000"/>
        </w:rPr>
        <w:t xml:space="preserve">, </w:t>
      </w:r>
      <w:r w:rsidR="00842CC8">
        <w:rPr>
          <w:color w:val="000000"/>
        </w:rPr>
        <w:t>[pers. </w:t>
      </w:r>
      <w:r w:rsidR="00D607AF">
        <w:rPr>
          <w:color w:val="000000"/>
        </w:rPr>
        <w:t>J</w:t>
      </w:r>
      <w:r w:rsidR="00842CC8">
        <w:rPr>
          <w:color w:val="000000"/>
        </w:rPr>
        <w:t>]</w:t>
      </w:r>
      <w:r w:rsidR="005E0F4E" w:rsidRPr="009C7A0A">
        <w:rPr>
          <w:color w:val="000000"/>
        </w:rPr>
        <w:t xml:space="preserve">, </w:t>
      </w:r>
      <w:r w:rsidR="0005287B">
        <w:rPr>
          <w:color w:val="000000"/>
        </w:rPr>
        <w:t>[pers. AS]</w:t>
      </w:r>
      <w:r w:rsidR="005E0F4E" w:rsidRPr="009C7A0A">
        <w:rPr>
          <w:color w:val="000000"/>
        </w:rPr>
        <w:t xml:space="preserve">, </w:t>
      </w:r>
      <w:r w:rsidR="0005287B">
        <w:rPr>
          <w:color w:val="000000"/>
        </w:rPr>
        <w:t>[pers. AV]</w:t>
      </w:r>
      <w:r w:rsidR="005E0F4E" w:rsidRPr="009C7A0A">
        <w:rPr>
          <w:color w:val="000000"/>
        </w:rPr>
        <w:t xml:space="preserve">, </w:t>
      </w:r>
      <w:r w:rsidR="0005287B">
        <w:rPr>
          <w:color w:val="000000"/>
        </w:rPr>
        <w:t>[pers. AF]</w:t>
      </w:r>
      <w:r w:rsidR="005E0F4E" w:rsidRPr="009C7A0A">
        <w:rPr>
          <w:color w:val="000000"/>
        </w:rPr>
        <w:t xml:space="preserve">, </w:t>
      </w:r>
      <w:r w:rsidR="0005287B">
        <w:rPr>
          <w:color w:val="000000"/>
        </w:rPr>
        <w:t>[pers. AH]</w:t>
      </w:r>
      <w:r w:rsidR="005E0F4E" w:rsidRPr="009C7A0A">
        <w:rPr>
          <w:color w:val="000000"/>
        </w:rPr>
        <w:t xml:space="preserve">, </w:t>
      </w:r>
      <w:r w:rsidR="0005287B">
        <w:rPr>
          <w:color w:val="000000"/>
        </w:rPr>
        <w:t>[pers. AG]</w:t>
      </w:r>
      <w:r w:rsidR="005E0F4E" w:rsidRPr="009C7A0A">
        <w:rPr>
          <w:color w:val="000000"/>
        </w:rPr>
        <w:t xml:space="preserve">, </w:t>
      </w:r>
      <w:r w:rsidR="0005287B">
        <w:rPr>
          <w:color w:val="000000"/>
        </w:rPr>
        <w:t>[pers. AB]</w:t>
      </w:r>
      <w:r w:rsidR="005E0F4E" w:rsidRPr="009C7A0A">
        <w:rPr>
          <w:color w:val="000000"/>
        </w:rPr>
        <w:t xml:space="preserve">, </w:t>
      </w:r>
      <w:r w:rsidR="0005287B">
        <w:rPr>
          <w:color w:val="000000"/>
        </w:rPr>
        <w:t>[pers. D]</w:t>
      </w:r>
      <w:r w:rsidR="005E0F4E" w:rsidRPr="009C7A0A">
        <w:rPr>
          <w:color w:val="000000"/>
        </w:rPr>
        <w:t xml:space="preserve">, </w:t>
      </w:r>
      <w:r w:rsidR="0005287B">
        <w:rPr>
          <w:color w:val="000000"/>
        </w:rPr>
        <w:t>[pers. AC]</w:t>
      </w:r>
      <w:r w:rsidR="00587592" w:rsidRPr="009C7A0A">
        <w:rPr>
          <w:color w:val="000000"/>
        </w:rPr>
        <w:t xml:space="preserve">, </w:t>
      </w:r>
      <w:r w:rsidR="0005287B">
        <w:rPr>
          <w:color w:val="000000"/>
        </w:rPr>
        <w:t>[pers. GE]</w:t>
      </w:r>
      <w:r w:rsidR="00587592" w:rsidRPr="009C7A0A">
        <w:rPr>
          <w:color w:val="000000"/>
        </w:rPr>
        <w:t xml:space="preserve">, </w:t>
      </w:r>
      <w:r w:rsidR="0005287B">
        <w:rPr>
          <w:color w:val="000000"/>
        </w:rPr>
        <w:t>[pers. GF]</w:t>
      </w:r>
      <w:r w:rsidR="00587592" w:rsidRPr="009C7A0A">
        <w:rPr>
          <w:color w:val="000000"/>
        </w:rPr>
        <w:t xml:space="preserve">, </w:t>
      </w:r>
      <w:r w:rsidR="0005287B">
        <w:rPr>
          <w:color w:val="000000"/>
        </w:rPr>
        <w:t>[pers. GG]</w:t>
      </w:r>
      <w:r w:rsidR="00587592" w:rsidRPr="009C7A0A">
        <w:rPr>
          <w:color w:val="000000"/>
        </w:rPr>
        <w:t xml:space="preserve">, </w:t>
      </w:r>
      <w:r w:rsidR="0005287B">
        <w:rPr>
          <w:color w:val="000000"/>
        </w:rPr>
        <w:t>[pers. GH]</w:t>
      </w:r>
      <w:r w:rsidR="00587592" w:rsidRPr="009C7A0A">
        <w:rPr>
          <w:color w:val="000000"/>
        </w:rPr>
        <w:t xml:space="preserve">, </w:t>
      </w:r>
      <w:r w:rsidR="0005287B">
        <w:rPr>
          <w:color w:val="000000"/>
        </w:rPr>
        <w:t>[pers. GI]</w:t>
      </w:r>
      <w:r w:rsidR="00587592" w:rsidRPr="009C7A0A">
        <w:rPr>
          <w:color w:val="000000"/>
        </w:rPr>
        <w:t xml:space="preserve">, </w:t>
      </w:r>
      <w:r w:rsidR="0005287B">
        <w:rPr>
          <w:color w:val="000000"/>
        </w:rPr>
        <w:t>[pers. GJ]</w:t>
      </w:r>
      <w:r w:rsidR="00587592" w:rsidRPr="009C7A0A">
        <w:rPr>
          <w:color w:val="000000"/>
        </w:rPr>
        <w:t xml:space="preserve">, </w:t>
      </w:r>
      <w:r w:rsidR="0005287B">
        <w:rPr>
          <w:color w:val="000000"/>
        </w:rPr>
        <w:t>[pers. AZ]</w:t>
      </w:r>
      <w:r w:rsidR="00587592" w:rsidRPr="009C7A0A">
        <w:rPr>
          <w:color w:val="000000"/>
        </w:rPr>
        <w:t>,</w:t>
      </w:r>
      <w:r w:rsidR="004B24FD" w:rsidRPr="009C7A0A">
        <w:rPr>
          <w:color w:val="000000"/>
        </w:rPr>
        <w:t xml:space="preserve"> </w:t>
      </w:r>
      <w:r w:rsidR="0005287B">
        <w:rPr>
          <w:color w:val="000000"/>
        </w:rPr>
        <w:t>[pers. BA]</w:t>
      </w:r>
      <w:r w:rsidR="004B24FD" w:rsidRPr="009C7A0A">
        <w:rPr>
          <w:color w:val="000000"/>
        </w:rPr>
        <w:t xml:space="preserve">, </w:t>
      </w:r>
      <w:r w:rsidR="0005287B">
        <w:rPr>
          <w:color w:val="000000"/>
        </w:rPr>
        <w:t>[pers. B]</w:t>
      </w:r>
      <w:r w:rsidR="004B24FD" w:rsidRPr="009C7A0A">
        <w:rPr>
          <w:color w:val="000000"/>
        </w:rPr>
        <w:t xml:space="preserve">, </w:t>
      </w:r>
      <w:r w:rsidR="0005287B">
        <w:rPr>
          <w:color w:val="000000"/>
        </w:rPr>
        <w:t>[pers. BC]</w:t>
      </w:r>
      <w:r w:rsidR="004B24FD" w:rsidRPr="009C7A0A">
        <w:rPr>
          <w:color w:val="000000"/>
        </w:rPr>
        <w:t xml:space="preserve">, </w:t>
      </w:r>
      <w:r w:rsidR="0005287B">
        <w:rPr>
          <w:color w:val="000000"/>
        </w:rPr>
        <w:t>[pers. BD]</w:t>
      </w:r>
      <w:r w:rsidR="004B24FD" w:rsidRPr="009C7A0A">
        <w:rPr>
          <w:color w:val="000000"/>
        </w:rPr>
        <w:t xml:space="preserve">, </w:t>
      </w:r>
      <w:r w:rsidR="0005287B">
        <w:rPr>
          <w:color w:val="000000"/>
        </w:rPr>
        <w:t>[pers. BB]</w:t>
      </w:r>
      <w:r w:rsidR="004B24FD" w:rsidRPr="009C7A0A">
        <w:rPr>
          <w:color w:val="000000"/>
        </w:rPr>
        <w:t xml:space="preserve">, </w:t>
      </w:r>
      <w:r w:rsidR="0005287B">
        <w:rPr>
          <w:color w:val="000000"/>
        </w:rPr>
        <w:t>[pers. CK]</w:t>
      </w:r>
      <w:r w:rsidR="004B24FD" w:rsidRPr="009C7A0A">
        <w:rPr>
          <w:color w:val="000000"/>
        </w:rPr>
        <w:t xml:space="preserve">,  </w:t>
      </w:r>
      <w:r w:rsidR="0005287B">
        <w:rPr>
          <w:color w:val="000000"/>
        </w:rPr>
        <w:t>[pers. E]</w:t>
      </w:r>
      <w:r w:rsidR="004B24FD" w:rsidRPr="009C7A0A">
        <w:rPr>
          <w:color w:val="000000"/>
        </w:rPr>
        <w:t xml:space="preserve">, </w:t>
      </w:r>
      <w:r w:rsidR="0005287B">
        <w:rPr>
          <w:color w:val="000000"/>
        </w:rPr>
        <w:t>[pers. GK]</w:t>
      </w:r>
      <w:r w:rsidR="004B24FD" w:rsidRPr="009C7A0A">
        <w:rPr>
          <w:color w:val="000000"/>
        </w:rPr>
        <w:t xml:space="preserve">, </w:t>
      </w:r>
      <w:r w:rsidR="0005287B">
        <w:rPr>
          <w:color w:val="000000"/>
        </w:rPr>
        <w:t>[pers. BE]</w:t>
      </w:r>
      <w:r w:rsidR="004B24FD" w:rsidRPr="009C7A0A">
        <w:rPr>
          <w:color w:val="000000"/>
        </w:rPr>
        <w:t xml:space="preserve">, </w:t>
      </w:r>
      <w:r w:rsidR="0005287B">
        <w:rPr>
          <w:color w:val="000000"/>
        </w:rPr>
        <w:t>[pers. </w:t>
      </w:r>
      <w:r w:rsidR="003F05AC">
        <w:rPr>
          <w:color w:val="000000"/>
        </w:rPr>
        <w:t>CR]</w:t>
      </w:r>
      <w:r w:rsidR="00F43C61" w:rsidRPr="009C7A0A">
        <w:rPr>
          <w:color w:val="000000"/>
        </w:rPr>
        <w:t xml:space="preserve">, </w:t>
      </w:r>
      <w:r w:rsidR="003F05AC">
        <w:rPr>
          <w:color w:val="000000"/>
        </w:rPr>
        <w:t>[pers. GL]</w:t>
      </w:r>
      <w:r w:rsidR="00465F4F" w:rsidRPr="009C7A0A">
        <w:rPr>
          <w:color w:val="000000"/>
        </w:rPr>
        <w:t xml:space="preserve">, </w:t>
      </w:r>
      <w:r w:rsidR="003F05AC">
        <w:rPr>
          <w:color w:val="000000"/>
        </w:rPr>
        <w:t>[pers. AO]</w:t>
      </w:r>
      <w:r w:rsidR="00465F4F" w:rsidRPr="009C7A0A">
        <w:rPr>
          <w:color w:val="000000"/>
        </w:rPr>
        <w:t xml:space="preserve">, </w:t>
      </w:r>
      <w:r w:rsidR="003F05AC">
        <w:rPr>
          <w:color w:val="000000"/>
        </w:rPr>
        <w:t>[pers. AP]</w:t>
      </w:r>
      <w:r w:rsidR="00465F4F" w:rsidRPr="009C7A0A">
        <w:rPr>
          <w:color w:val="000000"/>
        </w:rPr>
        <w:t xml:space="preserve">, </w:t>
      </w:r>
      <w:r w:rsidR="003F05AC">
        <w:rPr>
          <w:color w:val="000000"/>
        </w:rPr>
        <w:t>[pers. AR]</w:t>
      </w:r>
      <w:r w:rsidR="00465F4F" w:rsidRPr="009C7A0A">
        <w:rPr>
          <w:color w:val="000000"/>
        </w:rPr>
        <w:t xml:space="preserve">, </w:t>
      </w:r>
      <w:r w:rsidR="009901FB">
        <w:rPr>
          <w:color w:val="000000"/>
        </w:rPr>
        <w:t>[pers. GM]</w:t>
      </w:r>
      <w:r w:rsidR="00465F4F" w:rsidRPr="009C7A0A">
        <w:rPr>
          <w:color w:val="000000"/>
        </w:rPr>
        <w:t xml:space="preserve">, </w:t>
      </w:r>
      <w:r w:rsidR="009901FB">
        <w:rPr>
          <w:color w:val="000000"/>
        </w:rPr>
        <w:t>[pers. CL]</w:t>
      </w:r>
      <w:r w:rsidR="00465F4F" w:rsidRPr="009C7A0A">
        <w:rPr>
          <w:color w:val="000000"/>
        </w:rPr>
        <w:t xml:space="preserve">, </w:t>
      </w:r>
      <w:r w:rsidR="009901FB">
        <w:rPr>
          <w:color w:val="000000"/>
        </w:rPr>
        <w:t>[pers. BV]</w:t>
      </w:r>
      <w:r w:rsidR="00465F4F" w:rsidRPr="009C7A0A">
        <w:rPr>
          <w:color w:val="000000"/>
        </w:rPr>
        <w:t xml:space="preserve">, </w:t>
      </w:r>
      <w:r w:rsidR="009901FB">
        <w:rPr>
          <w:color w:val="000000"/>
        </w:rPr>
        <w:t>[pers. GN]</w:t>
      </w:r>
      <w:r w:rsidR="00465F4F" w:rsidRPr="009C7A0A">
        <w:rPr>
          <w:color w:val="000000"/>
        </w:rPr>
        <w:t xml:space="preserve">, </w:t>
      </w:r>
      <w:r w:rsidR="009901FB">
        <w:rPr>
          <w:color w:val="000000"/>
        </w:rPr>
        <w:t>[pers. GO]</w:t>
      </w:r>
      <w:r w:rsidR="00465F4F" w:rsidRPr="009C7A0A">
        <w:rPr>
          <w:color w:val="000000"/>
        </w:rPr>
        <w:t xml:space="preserve">, </w:t>
      </w:r>
      <w:r w:rsidR="009901FB">
        <w:rPr>
          <w:color w:val="000000"/>
        </w:rPr>
        <w:t>[pers. M]</w:t>
      </w:r>
      <w:r w:rsidR="005E3A96" w:rsidRPr="009C7A0A">
        <w:rPr>
          <w:color w:val="000000"/>
        </w:rPr>
        <w:t xml:space="preserve">, </w:t>
      </w:r>
      <w:r w:rsidR="009901FB">
        <w:rPr>
          <w:color w:val="000000"/>
        </w:rPr>
        <w:t>[pers. GP]</w:t>
      </w:r>
      <w:r w:rsidR="005E3A96" w:rsidRPr="009C7A0A">
        <w:rPr>
          <w:color w:val="000000"/>
        </w:rPr>
        <w:t xml:space="preserve">, </w:t>
      </w:r>
      <w:r w:rsidR="009901FB">
        <w:rPr>
          <w:color w:val="000000"/>
        </w:rPr>
        <w:t>[pers. BR]</w:t>
      </w:r>
      <w:r w:rsidR="005E3A96" w:rsidRPr="009C7A0A">
        <w:rPr>
          <w:color w:val="000000"/>
        </w:rPr>
        <w:t xml:space="preserve">, </w:t>
      </w:r>
      <w:r w:rsidR="009901FB">
        <w:rPr>
          <w:color w:val="000000"/>
        </w:rPr>
        <w:t>[pers. DE]</w:t>
      </w:r>
      <w:r w:rsidR="005E3A96" w:rsidRPr="009C7A0A">
        <w:rPr>
          <w:color w:val="000000"/>
        </w:rPr>
        <w:t xml:space="preserve">, </w:t>
      </w:r>
      <w:r w:rsidR="009901FB">
        <w:rPr>
          <w:color w:val="000000"/>
        </w:rPr>
        <w:t>[pers. I]</w:t>
      </w:r>
      <w:r w:rsidR="005E3A96" w:rsidRPr="009C7A0A">
        <w:rPr>
          <w:color w:val="000000"/>
        </w:rPr>
        <w:t xml:space="preserve">, </w:t>
      </w:r>
      <w:r w:rsidR="009901FB">
        <w:rPr>
          <w:color w:val="000000"/>
        </w:rPr>
        <w:t>[pers. Z]</w:t>
      </w:r>
      <w:r w:rsidR="005E3A96" w:rsidRPr="009C7A0A">
        <w:rPr>
          <w:color w:val="000000"/>
        </w:rPr>
        <w:t xml:space="preserve">, </w:t>
      </w:r>
      <w:r w:rsidR="009901FB">
        <w:rPr>
          <w:color w:val="000000"/>
        </w:rPr>
        <w:t>[pers. GR]</w:t>
      </w:r>
      <w:r w:rsidR="00F33B8A" w:rsidRPr="009C7A0A">
        <w:rPr>
          <w:color w:val="000000"/>
        </w:rPr>
        <w:t xml:space="preserve">, </w:t>
      </w:r>
      <w:r w:rsidR="00FE03D5">
        <w:rPr>
          <w:color w:val="000000"/>
        </w:rPr>
        <w:t>[pers. AA]</w:t>
      </w:r>
      <w:r w:rsidR="00F33B8A" w:rsidRPr="009C7A0A">
        <w:rPr>
          <w:color w:val="000000"/>
        </w:rPr>
        <w:t xml:space="preserve">, </w:t>
      </w:r>
      <w:r w:rsidR="00FE03D5">
        <w:rPr>
          <w:color w:val="000000"/>
        </w:rPr>
        <w:t>[pers. GS]</w:t>
      </w:r>
      <w:r w:rsidR="00F33B8A" w:rsidRPr="009C7A0A">
        <w:rPr>
          <w:color w:val="000000"/>
        </w:rPr>
        <w:t xml:space="preserve">, </w:t>
      </w:r>
      <w:r w:rsidR="00FE03D5">
        <w:rPr>
          <w:color w:val="000000"/>
        </w:rPr>
        <w:t>[pers. GT]</w:t>
      </w:r>
      <w:r w:rsidR="00F33B8A" w:rsidRPr="009C7A0A">
        <w:rPr>
          <w:color w:val="000000"/>
        </w:rPr>
        <w:t xml:space="preserve">, </w:t>
      </w:r>
      <w:r w:rsidR="00365D64">
        <w:rPr>
          <w:color w:val="000000"/>
        </w:rPr>
        <w:t>[pers. AD]</w:t>
      </w:r>
      <w:r w:rsidR="00F33B8A" w:rsidRPr="009C7A0A">
        <w:rPr>
          <w:color w:val="000000"/>
        </w:rPr>
        <w:t xml:space="preserve">, </w:t>
      </w:r>
      <w:r w:rsidR="00365D64">
        <w:rPr>
          <w:color w:val="000000"/>
        </w:rPr>
        <w:t>[pers. AE]</w:t>
      </w:r>
      <w:r w:rsidR="00F33B8A" w:rsidRPr="009C7A0A">
        <w:rPr>
          <w:color w:val="000000"/>
        </w:rPr>
        <w:t xml:space="preserve">, </w:t>
      </w:r>
      <w:r w:rsidR="00A14D60">
        <w:rPr>
          <w:color w:val="000000"/>
        </w:rPr>
        <w:t>[pers. CG]</w:t>
      </w:r>
      <w:r w:rsidR="00F33B8A" w:rsidRPr="009C7A0A">
        <w:rPr>
          <w:color w:val="000000"/>
        </w:rPr>
        <w:t xml:space="preserve">, </w:t>
      </w:r>
      <w:r w:rsidR="00A14D60">
        <w:rPr>
          <w:color w:val="000000"/>
        </w:rPr>
        <w:t>[pers. CH]</w:t>
      </w:r>
      <w:r w:rsidR="00F33B8A" w:rsidRPr="009C7A0A">
        <w:rPr>
          <w:color w:val="000000"/>
        </w:rPr>
        <w:t xml:space="preserve">, </w:t>
      </w:r>
      <w:r w:rsidR="00A14D60">
        <w:rPr>
          <w:color w:val="000000"/>
        </w:rPr>
        <w:t>[pers. S]</w:t>
      </w:r>
      <w:r w:rsidR="00F33B8A" w:rsidRPr="009C7A0A">
        <w:rPr>
          <w:color w:val="000000"/>
        </w:rPr>
        <w:t xml:space="preserve">, </w:t>
      </w:r>
      <w:r w:rsidR="00A14D60">
        <w:rPr>
          <w:color w:val="000000"/>
        </w:rPr>
        <w:t>[pers. T]</w:t>
      </w:r>
      <w:r w:rsidR="00F33B8A" w:rsidRPr="009C7A0A">
        <w:rPr>
          <w:color w:val="000000"/>
        </w:rPr>
        <w:t xml:space="preserve">, </w:t>
      </w:r>
      <w:r w:rsidR="00A14D60">
        <w:rPr>
          <w:color w:val="000000"/>
        </w:rPr>
        <w:t>[pers. GU]</w:t>
      </w:r>
      <w:r w:rsidR="00F33B8A" w:rsidRPr="009C7A0A">
        <w:rPr>
          <w:color w:val="000000"/>
        </w:rPr>
        <w:t xml:space="preserve">, </w:t>
      </w:r>
      <w:r w:rsidR="00A14D60">
        <w:rPr>
          <w:color w:val="000000"/>
        </w:rPr>
        <w:t>[pers. GV]</w:t>
      </w:r>
      <w:r w:rsidR="00F33B8A" w:rsidRPr="009C7A0A">
        <w:rPr>
          <w:color w:val="000000"/>
        </w:rPr>
        <w:t xml:space="preserve">, </w:t>
      </w:r>
      <w:r w:rsidR="00A14D60">
        <w:rPr>
          <w:color w:val="000000"/>
        </w:rPr>
        <w:t>[pers. C]</w:t>
      </w:r>
      <w:r w:rsidR="001512A5" w:rsidRPr="009C7A0A">
        <w:rPr>
          <w:color w:val="000000"/>
        </w:rPr>
        <w:t xml:space="preserve">, </w:t>
      </w:r>
      <w:r w:rsidR="00A14D60">
        <w:rPr>
          <w:color w:val="000000"/>
        </w:rPr>
        <w:t>[pers. N]</w:t>
      </w:r>
      <w:r w:rsidR="001512A5" w:rsidRPr="009C7A0A">
        <w:rPr>
          <w:color w:val="000000"/>
        </w:rPr>
        <w:t xml:space="preserve">, </w:t>
      </w:r>
      <w:r w:rsidR="00A14D60">
        <w:rPr>
          <w:color w:val="000000"/>
        </w:rPr>
        <w:t>[pers. U]</w:t>
      </w:r>
      <w:r w:rsidR="001512A5" w:rsidRPr="009C7A0A">
        <w:rPr>
          <w:color w:val="000000"/>
        </w:rPr>
        <w:t xml:space="preserve">, </w:t>
      </w:r>
      <w:r w:rsidR="00A14D60">
        <w:rPr>
          <w:color w:val="000000"/>
        </w:rPr>
        <w:t>[pers. GZ]</w:t>
      </w:r>
      <w:r w:rsidR="001512A5" w:rsidRPr="009C7A0A">
        <w:rPr>
          <w:color w:val="000000"/>
        </w:rPr>
        <w:t xml:space="preserve">, </w:t>
      </w:r>
      <w:r w:rsidR="00A14D60">
        <w:rPr>
          <w:color w:val="000000"/>
        </w:rPr>
        <w:t>[pers. CB]</w:t>
      </w:r>
      <w:r w:rsidR="001512A5" w:rsidRPr="009C7A0A">
        <w:rPr>
          <w:color w:val="000000"/>
        </w:rPr>
        <w:t xml:space="preserve">, </w:t>
      </w:r>
      <w:r w:rsidR="00A14D60">
        <w:rPr>
          <w:color w:val="000000"/>
        </w:rPr>
        <w:t>[pers. CD]</w:t>
      </w:r>
      <w:r w:rsidR="00B32295" w:rsidRPr="009C7A0A">
        <w:rPr>
          <w:color w:val="000000"/>
        </w:rPr>
        <w:t xml:space="preserve">, </w:t>
      </w:r>
      <w:r w:rsidR="00A14D60">
        <w:rPr>
          <w:color w:val="000000"/>
        </w:rPr>
        <w:t>[pers. CN]</w:t>
      </w:r>
      <w:r w:rsidR="00B32295" w:rsidRPr="009C7A0A">
        <w:rPr>
          <w:color w:val="000000"/>
        </w:rPr>
        <w:t xml:space="preserve">, </w:t>
      </w:r>
      <w:r w:rsidR="00A14D60">
        <w:rPr>
          <w:color w:val="000000"/>
        </w:rPr>
        <w:t>[pers. HA]</w:t>
      </w:r>
      <w:r w:rsidR="00DF272B" w:rsidRPr="009C7A0A">
        <w:rPr>
          <w:color w:val="000000"/>
        </w:rPr>
        <w:t xml:space="preserve">, </w:t>
      </w:r>
      <w:r w:rsidR="00C95C40">
        <w:rPr>
          <w:color w:val="000000"/>
        </w:rPr>
        <w:t>[pers. G]</w:t>
      </w:r>
      <w:r w:rsidR="00DF272B" w:rsidRPr="009C7A0A">
        <w:rPr>
          <w:color w:val="000000"/>
        </w:rPr>
        <w:t xml:space="preserve">, </w:t>
      </w:r>
      <w:r w:rsidR="00C95C40">
        <w:rPr>
          <w:color w:val="000000"/>
        </w:rPr>
        <w:t>[pers. P]</w:t>
      </w:r>
      <w:r w:rsidR="00DF272B" w:rsidRPr="009C7A0A">
        <w:rPr>
          <w:color w:val="000000"/>
        </w:rPr>
        <w:t xml:space="preserve">, </w:t>
      </w:r>
      <w:r w:rsidR="00C95C40">
        <w:rPr>
          <w:color w:val="000000"/>
        </w:rPr>
        <w:t>[pers. R]</w:t>
      </w:r>
      <w:r w:rsidR="00DF272B" w:rsidRPr="009C7A0A">
        <w:rPr>
          <w:color w:val="000000"/>
        </w:rPr>
        <w:t xml:space="preserve">, </w:t>
      </w:r>
      <w:r w:rsidR="00C95C40">
        <w:rPr>
          <w:color w:val="000000"/>
        </w:rPr>
        <w:t>[pers. K]</w:t>
      </w:r>
      <w:r w:rsidR="00DF272B" w:rsidRPr="009C7A0A">
        <w:rPr>
          <w:color w:val="000000"/>
        </w:rPr>
        <w:t xml:space="preserve">, </w:t>
      </w:r>
      <w:r w:rsidR="00C95C40">
        <w:rPr>
          <w:color w:val="000000"/>
        </w:rPr>
        <w:t>[pers. HB]</w:t>
      </w:r>
      <w:r w:rsidR="00DF272B" w:rsidRPr="009C7A0A">
        <w:rPr>
          <w:color w:val="000000"/>
        </w:rPr>
        <w:t xml:space="preserve">, </w:t>
      </w:r>
      <w:r w:rsidR="00C95C40">
        <w:rPr>
          <w:color w:val="000000"/>
        </w:rPr>
        <w:t>[pers. HC]</w:t>
      </w:r>
      <w:r w:rsidR="00DF272B" w:rsidRPr="009C7A0A">
        <w:rPr>
          <w:color w:val="000000"/>
        </w:rPr>
        <w:t xml:space="preserve">, </w:t>
      </w:r>
      <w:r w:rsidR="00C95C40">
        <w:rPr>
          <w:color w:val="000000"/>
        </w:rPr>
        <w:t>[pers. HD]</w:t>
      </w:r>
      <w:r w:rsidR="00DF272B" w:rsidRPr="009C7A0A">
        <w:rPr>
          <w:color w:val="000000"/>
        </w:rPr>
        <w:t xml:space="preserve">, </w:t>
      </w:r>
      <w:r w:rsidR="00C95C40">
        <w:rPr>
          <w:color w:val="000000"/>
        </w:rPr>
        <w:t>[pers. HE]</w:t>
      </w:r>
      <w:r w:rsidR="00DF272B" w:rsidRPr="009C7A0A">
        <w:rPr>
          <w:color w:val="000000"/>
        </w:rPr>
        <w:t xml:space="preserve">, </w:t>
      </w:r>
      <w:r w:rsidR="0012459C">
        <w:rPr>
          <w:color w:val="000000"/>
        </w:rPr>
        <w:t>[pers. HF]</w:t>
      </w:r>
      <w:r w:rsidR="00DF272B" w:rsidRPr="009C7A0A">
        <w:rPr>
          <w:color w:val="000000"/>
        </w:rPr>
        <w:t xml:space="preserve">, </w:t>
      </w:r>
      <w:r w:rsidR="0012459C">
        <w:rPr>
          <w:color w:val="000000"/>
        </w:rPr>
        <w:t>[pers. HG]</w:t>
      </w:r>
      <w:r w:rsidR="00DF272B" w:rsidRPr="009C7A0A">
        <w:rPr>
          <w:color w:val="000000"/>
        </w:rPr>
        <w:t xml:space="preserve">, </w:t>
      </w:r>
      <w:r w:rsidR="0012459C">
        <w:rPr>
          <w:color w:val="000000"/>
        </w:rPr>
        <w:t>[pers. HH]</w:t>
      </w:r>
      <w:r w:rsidR="00DF272B" w:rsidRPr="009C7A0A">
        <w:rPr>
          <w:color w:val="000000"/>
        </w:rPr>
        <w:t xml:space="preserve">, </w:t>
      </w:r>
      <w:r w:rsidR="0012459C">
        <w:rPr>
          <w:color w:val="000000"/>
        </w:rPr>
        <w:t>[pers. DR]</w:t>
      </w:r>
      <w:r w:rsidR="00DF272B" w:rsidRPr="009C7A0A">
        <w:rPr>
          <w:color w:val="000000"/>
        </w:rPr>
        <w:t xml:space="preserve">, </w:t>
      </w:r>
      <w:r w:rsidR="0012459C">
        <w:rPr>
          <w:color w:val="000000"/>
        </w:rPr>
        <w:t>[pers. HI]</w:t>
      </w:r>
      <w:r w:rsidR="00DF272B" w:rsidRPr="009C7A0A">
        <w:rPr>
          <w:color w:val="000000"/>
        </w:rPr>
        <w:t xml:space="preserve">, </w:t>
      </w:r>
      <w:r w:rsidR="0012459C">
        <w:rPr>
          <w:color w:val="000000"/>
        </w:rPr>
        <w:t>[pers. HJ]</w:t>
      </w:r>
      <w:r w:rsidR="00DF272B" w:rsidRPr="009C7A0A">
        <w:rPr>
          <w:color w:val="000000"/>
        </w:rPr>
        <w:t xml:space="preserve">, </w:t>
      </w:r>
      <w:r w:rsidR="0012459C">
        <w:rPr>
          <w:color w:val="000000"/>
        </w:rPr>
        <w:t>[pers. HK]</w:t>
      </w:r>
      <w:r w:rsidR="00503463" w:rsidRPr="009C7A0A">
        <w:rPr>
          <w:color w:val="000000"/>
        </w:rPr>
        <w:t xml:space="preserve">, </w:t>
      </w:r>
      <w:r w:rsidR="0012459C">
        <w:rPr>
          <w:color w:val="000000"/>
        </w:rPr>
        <w:t>[pers. HL]</w:t>
      </w:r>
      <w:r w:rsidR="00503463" w:rsidRPr="009C7A0A">
        <w:rPr>
          <w:color w:val="000000"/>
        </w:rPr>
        <w:t xml:space="preserve">, </w:t>
      </w:r>
      <w:r w:rsidR="0012459C">
        <w:rPr>
          <w:color w:val="000000"/>
        </w:rPr>
        <w:t>[pers. HM]</w:t>
      </w:r>
      <w:r w:rsidR="00503463" w:rsidRPr="009C7A0A">
        <w:rPr>
          <w:color w:val="000000"/>
        </w:rPr>
        <w:t xml:space="preserve">, </w:t>
      </w:r>
      <w:r w:rsidR="0012459C">
        <w:rPr>
          <w:color w:val="000000"/>
        </w:rPr>
        <w:t>[pers. HN]</w:t>
      </w:r>
      <w:r w:rsidR="00503463" w:rsidRPr="009C7A0A">
        <w:rPr>
          <w:color w:val="000000"/>
        </w:rPr>
        <w:t xml:space="preserve">, </w:t>
      </w:r>
      <w:r w:rsidR="0012459C">
        <w:rPr>
          <w:color w:val="000000"/>
        </w:rPr>
        <w:t>[pers. HO]</w:t>
      </w:r>
      <w:r w:rsidR="00503463" w:rsidRPr="009C7A0A">
        <w:rPr>
          <w:color w:val="000000"/>
        </w:rPr>
        <w:t xml:space="preserve">, </w:t>
      </w:r>
      <w:r w:rsidR="0012459C">
        <w:rPr>
          <w:color w:val="000000"/>
        </w:rPr>
        <w:t>[pers. HP]</w:t>
      </w:r>
      <w:r w:rsidR="00503463" w:rsidRPr="009C7A0A">
        <w:rPr>
          <w:color w:val="000000"/>
        </w:rPr>
        <w:t xml:space="preserve">, </w:t>
      </w:r>
      <w:r w:rsidR="0012459C">
        <w:rPr>
          <w:color w:val="000000"/>
        </w:rPr>
        <w:t>[pers. HR]</w:t>
      </w:r>
      <w:r w:rsidR="00503463" w:rsidRPr="009C7A0A">
        <w:rPr>
          <w:color w:val="000000"/>
        </w:rPr>
        <w:t xml:space="preserve">, </w:t>
      </w:r>
      <w:r w:rsidR="0012459C">
        <w:rPr>
          <w:color w:val="000000"/>
        </w:rPr>
        <w:t>[pers. HS]</w:t>
      </w:r>
      <w:r w:rsidR="00503463" w:rsidRPr="009C7A0A">
        <w:rPr>
          <w:color w:val="000000"/>
        </w:rPr>
        <w:t xml:space="preserve">, </w:t>
      </w:r>
      <w:r w:rsidR="0012459C">
        <w:rPr>
          <w:color w:val="000000"/>
        </w:rPr>
        <w:t>[pers. HT]</w:t>
      </w:r>
      <w:r w:rsidR="00503463" w:rsidRPr="009C7A0A">
        <w:rPr>
          <w:color w:val="000000"/>
        </w:rPr>
        <w:t xml:space="preserve">, </w:t>
      </w:r>
      <w:r w:rsidR="0012459C">
        <w:rPr>
          <w:color w:val="000000"/>
        </w:rPr>
        <w:t>[pers. BT]</w:t>
      </w:r>
      <w:r w:rsidR="006B17A1" w:rsidRPr="009C7A0A">
        <w:rPr>
          <w:color w:val="000000"/>
        </w:rPr>
        <w:t xml:space="preserve">, </w:t>
      </w:r>
      <w:r w:rsidR="0012459C">
        <w:rPr>
          <w:color w:val="000000"/>
        </w:rPr>
        <w:t>[pers. HU]</w:t>
      </w:r>
      <w:r w:rsidR="006B17A1" w:rsidRPr="009C7A0A">
        <w:rPr>
          <w:color w:val="000000"/>
        </w:rPr>
        <w:t xml:space="preserve">, </w:t>
      </w:r>
      <w:r w:rsidR="0012459C">
        <w:rPr>
          <w:color w:val="000000"/>
        </w:rPr>
        <w:t>[pers. </w:t>
      </w:r>
      <w:r w:rsidR="001549A8">
        <w:rPr>
          <w:color w:val="000000"/>
        </w:rPr>
        <w:t>DH</w:t>
      </w:r>
      <w:r w:rsidR="0012459C">
        <w:rPr>
          <w:color w:val="000000"/>
        </w:rPr>
        <w:t>]</w:t>
      </w:r>
      <w:r w:rsidR="006B17A1" w:rsidRPr="009C7A0A">
        <w:rPr>
          <w:color w:val="000000"/>
        </w:rPr>
        <w:t xml:space="preserve">, </w:t>
      </w:r>
      <w:r w:rsidR="0012459C">
        <w:rPr>
          <w:color w:val="000000"/>
        </w:rPr>
        <w:t>[pers. O]</w:t>
      </w:r>
      <w:r w:rsidR="006B17A1" w:rsidRPr="009C7A0A">
        <w:rPr>
          <w:color w:val="000000"/>
        </w:rPr>
        <w:t xml:space="preserve">, </w:t>
      </w:r>
      <w:r w:rsidR="0012459C">
        <w:rPr>
          <w:color w:val="000000"/>
        </w:rPr>
        <w:t>[pers. DL]</w:t>
      </w:r>
      <w:r w:rsidR="006B17A1" w:rsidRPr="009C7A0A">
        <w:rPr>
          <w:color w:val="000000"/>
        </w:rPr>
        <w:t xml:space="preserve">, </w:t>
      </w:r>
      <w:r w:rsidR="0012459C">
        <w:rPr>
          <w:color w:val="000000"/>
        </w:rPr>
        <w:t>[pers. DM]</w:t>
      </w:r>
      <w:r w:rsidR="006B17A1" w:rsidRPr="009C7A0A">
        <w:rPr>
          <w:color w:val="000000"/>
        </w:rPr>
        <w:t xml:space="preserve">, </w:t>
      </w:r>
      <w:r w:rsidR="0012459C">
        <w:rPr>
          <w:color w:val="000000"/>
        </w:rPr>
        <w:t>[pers. DO]</w:t>
      </w:r>
      <w:r w:rsidR="00E71AB7" w:rsidRPr="009C7A0A">
        <w:rPr>
          <w:color w:val="000000"/>
        </w:rPr>
        <w:t xml:space="preserve">, </w:t>
      </w:r>
      <w:r w:rsidR="0012459C">
        <w:rPr>
          <w:color w:val="000000"/>
        </w:rPr>
        <w:t>[pers. DN]</w:t>
      </w:r>
      <w:r w:rsidR="00E71AB7" w:rsidRPr="009C7A0A">
        <w:rPr>
          <w:color w:val="000000"/>
        </w:rPr>
        <w:t xml:space="preserve">, </w:t>
      </w:r>
      <w:r w:rsidR="0012459C">
        <w:rPr>
          <w:color w:val="000000"/>
        </w:rPr>
        <w:t>[pers. DP]</w:t>
      </w:r>
      <w:r w:rsidR="00E71AB7" w:rsidRPr="009C7A0A">
        <w:rPr>
          <w:color w:val="000000"/>
        </w:rPr>
        <w:t xml:space="preserve">, </w:t>
      </w:r>
      <w:r w:rsidR="0012459C">
        <w:rPr>
          <w:color w:val="000000"/>
        </w:rPr>
        <w:t>[pers. DE]</w:t>
      </w:r>
      <w:r w:rsidR="00E71AB7" w:rsidRPr="009C7A0A">
        <w:rPr>
          <w:color w:val="000000"/>
        </w:rPr>
        <w:t xml:space="preserve">, </w:t>
      </w:r>
      <w:r w:rsidR="0012459C">
        <w:rPr>
          <w:color w:val="000000"/>
        </w:rPr>
        <w:t>[pers. DF]</w:t>
      </w:r>
      <w:r w:rsidR="00E71AB7" w:rsidRPr="009C7A0A">
        <w:rPr>
          <w:color w:val="000000"/>
        </w:rPr>
        <w:t xml:space="preserve">, </w:t>
      </w:r>
      <w:r w:rsidR="000A3ED0">
        <w:rPr>
          <w:color w:val="000000"/>
        </w:rPr>
        <w:t>[pers. AK]</w:t>
      </w:r>
      <w:r w:rsidR="00E71AB7" w:rsidRPr="009C7A0A">
        <w:rPr>
          <w:color w:val="000000"/>
        </w:rPr>
        <w:t>,</w:t>
      </w:r>
      <w:r w:rsidR="000A3ED0">
        <w:rPr>
          <w:color w:val="000000"/>
        </w:rPr>
        <w:t xml:space="preserve"> [pers. L]</w:t>
      </w:r>
      <w:r w:rsidR="00E71AB7" w:rsidRPr="009C7A0A">
        <w:rPr>
          <w:color w:val="000000"/>
        </w:rPr>
        <w:t xml:space="preserve">, </w:t>
      </w:r>
      <w:r w:rsidR="00D1645C">
        <w:rPr>
          <w:color w:val="000000"/>
        </w:rPr>
        <w:t>[pers. HZ]</w:t>
      </w:r>
      <w:r w:rsidR="00E71AB7" w:rsidRPr="009C7A0A">
        <w:rPr>
          <w:color w:val="000000"/>
        </w:rPr>
        <w:t xml:space="preserve">, </w:t>
      </w:r>
      <w:r w:rsidR="00D1645C">
        <w:rPr>
          <w:color w:val="000000"/>
        </w:rPr>
        <w:t>[pers. IA]</w:t>
      </w:r>
      <w:r w:rsidR="00E71AB7" w:rsidRPr="009C7A0A">
        <w:rPr>
          <w:color w:val="000000"/>
        </w:rPr>
        <w:t xml:space="preserve">, </w:t>
      </w:r>
      <w:r w:rsidR="00D1645C">
        <w:rPr>
          <w:color w:val="000000"/>
        </w:rPr>
        <w:t>[pers. IB]</w:t>
      </w:r>
      <w:r w:rsidR="008B4438" w:rsidRPr="009C7A0A">
        <w:rPr>
          <w:color w:val="000000"/>
        </w:rPr>
        <w:t xml:space="preserve">, </w:t>
      </w:r>
      <w:r w:rsidR="00D1645C">
        <w:rPr>
          <w:color w:val="000000"/>
        </w:rPr>
        <w:t>[pers. IC]</w:t>
      </w:r>
      <w:r w:rsidR="008B4438" w:rsidRPr="009C7A0A">
        <w:rPr>
          <w:color w:val="000000"/>
        </w:rPr>
        <w:t xml:space="preserve">, </w:t>
      </w:r>
      <w:r w:rsidR="00D1645C">
        <w:rPr>
          <w:color w:val="000000"/>
        </w:rPr>
        <w:t>[pers. ID]</w:t>
      </w:r>
      <w:r w:rsidR="008B4438" w:rsidRPr="009C7A0A">
        <w:rPr>
          <w:color w:val="000000"/>
        </w:rPr>
        <w:t xml:space="preserve">, </w:t>
      </w:r>
      <w:r w:rsidR="00D1645C">
        <w:rPr>
          <w:color w:val="000000"/>
        </w:rPr>
        <w:t>[pers. CU]</w:t>
      </w:r>
      <w:r w:rsidR="008B4438" w:rsidRPr="009C7A0A">
        <w:rPr>
          <w:color w:val="000000"/>
        </w:rPr>
        <w:t xml:space="preserve">, </w:t>
      </w:r>
      <w:r w:rsidR="00D1645C">
        <w:rPr>
          <w:color w:val="000000"/>
        </w:rPr>
        <w:t>[pers. AU]</w:t>
      </w:r>
      <w:r w:rsidR="008B4438" w:rsidRPr="009C7A0A">
        <w:rPr>
          <w:color w:val="000000"/>
        </w:rPr>
        <w:t xml:space="preserve">, </w:t>
      </w:r>
      <w:r w:rsidR="00D1645C">
        <w:rPr>
          <w:color w:val="000000"/>
        </w:rPr>
        <w:t>[pers. IE]</w:t>
      </w:r>
      <w:r w:rsidR="008B4438" w:rsidRPr="009C7A0A">
        <w:rPr>
          <w:color w:val="000000"/>
        </w:rPr>
        <w:t xml:space="preserve">, </w:t>
      </w:r>
      <w:r w:rsidR="00D1645C">
        <w:rPr>
          <w:color w:val="000000"/>
        </w:rPr>
        <w:t>[pers. IF]</w:t>
      </w:r>
      <w:r w:rsidR="008B4438" w:rsidRPr="009C7A0A">
        <w:rPr>
          <w:color w:val="000000"/>
        </w:rPr>
        <w:t xml:space="preserve">, </w:t>
      </w:r>
      <w:r w:rsidR="0007338F">
        <w:rPr>
          <w:color w:val="000000"/>
        </w:rPr>
        <w:t>[pers. V]</w:t>
      </w:r>
      <w:r w:rsidR="008B4438" w:rsidRPr="009C7A0A">
        <w:rPr>
          <w:color w:val="000000"/>
        </w:rPr>
        <w:t xml:space="preserve">, </w:t>
      </w:r>
      <w:r w:rsidR="006853EE">
        <w:rPr>
          <w:color w:val="000000"/>
        </w:rPr>
        <w:t>[pers. IG]</w:t>
      </w:r>
      <w:r w:rsidR="00B9672D" w:rsidRPr="009C7A0A">
        <w:rPr>
          <w:color w:val="000000"/>
        </w:rPr>
        <w:t xml:space="preserve">, </w:t>
      </w:r>
      <w:r w:rsidR="006853EE">
        <w:rPr>
          <w:color w:val="000000"/>
        </w:rPr>
        <w:t>[pers. IH]</w:t>
      </w:r>
      <w:r w:rsidR="00B9672D" w:rsidRPr="009C7A0A">
        <w:rPr>
          <w:color w:val="000000"/>
        </w:rPr>
        <w:t xml:space="preserve">, </w:t>
      </w:r>
      <w:r w:rsidR="006853EE">
        <w:rPr>
          <w:color w:val="000000"/>
        </w:rPr>
        <w:t>[pers. II]</w:t>
      </w:r>
      <w:r w:rsidR="00B9672D" w:rsidRPr="009C7A0A">
        <w:rPr>
          <w:color w:val="000000"/>
        </w:rPr>
        <w:t xml:space="preserve">, </w:t>
      </w:r>
      <w:r w:rsidR="006853EE">
        <w:rPr>
          <w:color w:val="000000"/>
        </w:rPr>
        <w:t>[pers. IJ]</w:t>
      </w:r>
      <w:r w:rsidR="00B9672D" w:rsidRPr="009C7A0A">
        <w:rPr>
          <w:color w:val="000000"/>
        </w:rPr>
        <w:t xml:space="preserve">, </w:t>
      </w:r>
      <w:r w:rsidR="006853EE">
        <w:rPr>
          <w:color w:val="000000"/>
        </w:rPr>
        <w:t>[pers. IK]</w:t>
      </w:r>
      <w:r w:rsidR="00B9672D" w:rsidRPr="009C7A0A">
        <w:rPr>
          <w:color w:val="000000"/>
        </w:rPr>
        <w:t xml:space="preserve">, </w:t>
      </w:r>
      <w:r w:rsidR="006853EE">
        <w:rPr>
          <w:color w:val="000000"/>
        </w:rPr>
        <w:t>[pers. IL]</w:t>
      </w:r>
      <w:r w:rsidR="00B9672D" w:rsidRPr="009C7A0A">
        <w:rPr>
          <w:color w:val="000000"/>
        </w:rPr>
        <w:t xml:space="preserve">, </w:t>
      </w:r>
      <w:r w:rsidR="006853EE">
        <w:rPr>
          <w:color w:val="000000"/>
        </w:rPr>
        <w:t>[pers. IM]</w:t>
      </w:r>
      <w:r w:rsidR="00B9672D" w:rsidRPr="009C7A0A">
        <w:rPr>
          <w:color w:val="000000"/>
        </w:rPr>
        <w:t xml:space="preserve">, </w:t>
      </w:r>
      <w:r w:rsidR="006853EE">
        <w:rPr>
          <w:color w:val="000000"/>
        </w:rPr>
        <w:t>[pers. IN]</w:t>
      </w:r>
      <w:r w:rsidR="00B9672D" w:rsidRPr="009C7A0A">
        <w:rPr>
          <w:color w:val="000000"/>
        </w:rPr>
        <w:t xml:space="preserve">, </w:t>
      </w:r>
      <w:r w:rsidR="006853EE">
        <w:rPr>
          <w:color w:val="000000"/>
        </w:rPr>
        <w:t>[pers. IO]</w:t>
      </w:r>
      <w:r w:rsidR="00B9672D" w:rsidRPr="009C7A0A">
        <w:rPr>
          <w:color w:val="000000"/>
        </w:rPr>
        <w:t xml:space="preserve">, </w:t>
      </w:r>
      <w:r w:rsidR="006853EE">
        <w:rPr>
          <w:color w:val="000000"/>
        </w:rPr>
        <w:t>[pers. IP]</w:t>
      </w:r>
      <w:r w:rsidR="00B9672D" w:rsidRPr="009C7A0A">
        <w:rPr>
          <w:color w:val="000000"/>
        </w:rPr>
        <w:t xml:space="preserve">, </w:t>
      </w:r>
      <w:r w:rsidR="006853EE">
        <w:rPr>
          <w:color w:val="000000"/>
        </w:rPr>
        <w:t>[pers. IR]</w:t>
      </w:r>
      <w:r w:rsidR="00B9672D" w:rsidRPr="009C7A0A">
        <w:rPr>
          <w:color w:val="000000"/>
        </w:rPr>
        <w:t xml:space="preserve">, </w:t>
      </w:r>
      <w:r w:rsidR="006853EE">
        <w:rPr>
          <w:color w:val="000000"/>
        </w:rPr>
        <w:t>[pers. IS]</w:t>
      </w:r>
      <w:r w:rsidR="00B35388" w:rsidRPr="009C7A0A">
        <w:rPr>
          <w:color w:val="000000"/>
        </w:rPr>
        <w:t xml:space="preserve">, </w:t>
      </w:r>
      <w:r w:rsidR="006853EE">
        <w:rPr>
          <w:color w:val="000000"/>
        </w:rPr>
        <w:t>[pers. IT]</w:t>
      </w:r>
      <w:r w:rsidR="00B35388" w:rsidRPr="009C7A0A">
        <w:rPr>
          <w:color w:val="000000"/>
        </w:rPr>
        <w:t xml:space="preserve">, </w:t>
      </w:r>
      <w:r w:rsidR="006853EE">
        <w:rPr>
          <w:color w:val="000000"/>
        </w:rPr>
        <w:t>[pers. IU]</w:t>
      </w:r>
      <w:r w:rsidR="00B35388" w:rsidRPr="009C7A0A">
        <w:rPr>
          <w:color w:val="000000"/>
        </w:rPr>
        <w:t xml:space="preserve">, </w:t>
      </w:r>
      <w:r w:rsidR="006853EE">
        <w:rPr>
          <w:color w:val="000000"/>
        </w:rPr>
        <w:t>[pers. IV]</w:t>
      </w:r>
      <w:r w:rsidR="00B35388" w:rsidRPr="009C7A0A">
        <w:rPr>
          <w:color w:val="000000"/>
        </w:rPr>
        <w:t xml:space="preserve">, </w:t>
      </w:r>
      <w:r w:rsidR="006853EE">
        <w:rPr>
          <w:color w:val="000000"/>
        </w:rPr>
        <w:t>[pers. H]</w:t>
      </w:r>
      <w:r w:rsidR="00B35388" w:rsidRPr="009C7A0A">
        <w:rPr>
          <w:color w:val="000000"/>
        </w:rPr>
        <w:t xml:space="preserve">, </w:t>
      </w:r>
      <w:r w:rsidR="006853EE">
        <w:rPr>
          <w:color w:val="000000"/>
        </w:rPr>
        <w:t>[pers. IZ]</w:t>
      </w:r>
      <w:r w:rsidR="00CF3C93" w:rsidRPr="009C7A0A">
        <w:rPr>
          <w:color w:val="000000"/>
        </w:rPr>
        <w:t xml:space="preserve">, </w:t>
      </w:r>
      <w:r w:rsidR="006853EE">
        <w:rPr>
          <w:color w:val="000000"/>
        </w:rPr>
        <w:t>[pers. JA]</w:t>
      </w:r>
      <w:r w:rsidR="00CF3C93" w:rsidRPr="009C7A0A">
        <w:rPr>
          <w:color w:val="000000"/>
        </w:rPr>
        <w:t xml:space="preserve">, </w:t>
      </w:r>
      <w:r w:rsidR="006853EE">
        <w:rPr>
          <w:color w:val="000000"/>
        </w:rPr>
        <w:t>[pers. JB]</w:t>
      </w:r>
      <w:r w:rsidR="00CF3C93" w:rsidRPr="009C7A0A">
        <w:rPr>
          <w:color w:val="000000"/>
        </w:rPr>
        <w:t xml:space="preserve">, </w:t>
      </w:r>
      <w:r w:rsidR="006853EE">
        <w:rPr>
          <w:color w:val="000000"/>
        </w:rPr>
        <w:t>[pers. JC]</w:t>
      </w:r>
      <w:r w:rsidR="00CF3C93" w:rsidRPr="009C7A0A">
        <w:rPr>
          <w:color w:val="000000"/>
        </w:rPr>
        <w:t xml:space="preserve">, </w:t>
      </w:r>
      <w:r w:rsidR="006853EE">
        <w:rPr>
          <w:color w:val="000000"/>
        </w:rPr>
        <w:t>[pers. JD]</w:t>
      </w:r>
      <w:r w:rsidR="00CF3C93" w:rsidRPr="009C7A0A">
        <w:rPr>
          <w:color w:val="000000"/>
        </w:rPr>
        <w:t xml:space="preserve">, </w:t>
      </w:r>
      <w:r w:rsidR="006853EE">
        <w:rPr>
          <w:color w:val="000000"/>
        </w:rPr>
        <w:t>[pers. JE]</w:t>
      </w:r>
      <w:r w:rsidR="00852B6B" w:rsidRPr="009C7A0A">
        <w:rPr>
          <w:color w:val="000000"/>
        </w:rPr>
        <w:t xml:space="preserve">, </w:t>
      </w:r>
      <w:r w:rsidR="006853EE">
        <w:rPr>
          <w:color w:val="000000"/>
        </w:rPr>
        <w:t>[pers. JF]</w:t>
      </w:r>
      <w:r w:rsidR="00852B6B" w:rsidRPr="009C7A0A">
        <w:rPr>
          <w:color w:val="000000"/>
        </w:rPr>
        <w:t xml:space="preserve">, </w:t>
      </w:r>
      <w:r w:rsidR="006853EE">
        <w:rPr>
          <w:color w:val="000000"/>
        </w:rPr>
        <w:t>[pers. JG]</w:t>
      </w:r>
      <w:r w:rsidR="00852B6B" w:rsidRPr="009C7A0A">
        <w:rPr>
          <w:color w:val="000000"/>
        </w:rPr>
        <w:t xml:space="preserve">, </w:t>
      </w:r>
      <w:r w:rsidR="006853EE">
        <w:rPr>
          <w:color w:val="000000"/>
        </w:rPr>
        <w:t>[pers. JH]</w:t>
      </w:r>
      <w:r w:rsidR="00852B6B" w:rsidRPr="009C7A0A">
        <w:rPr>
          <w:color w:val="000000"/>
        </w:rPr>
        <w:t xml:space="preserve">, </w:t>
      </w:r>
      <w:r w:rsidR="006853EE">
        <w:rPr>
          <w:color w:val="000000"/>
        </w:rPr>
        <w:t>[pers. JI]</w:t>
      </w:r>
      <w:r w:rsidR="00852B6B" w:rsidRPr="009C7A0A">
        <w:rPr>
          <w:color w:val="000000"/>
        </w:rPr>
        <w:t xml:space="preserve">, </w:t>
      </w:r>
      <w:r w:rsidR="006853EE">
        <w:rPr>
          <w:color w:val="000000"/>
        </w:rPr>
        <w:t>[pers. AT]</w:t>
      </w:r>
      <w:r w:rsidR="00852B6B" w:rsidRPr="009C7A0A">
        <w:rPr>
          <w:color w:val="000000"/>
        </w:rPr>
        <w:t xml:space="preserve">, </w:t>
      </w:r>
      <w:r w:rsidR="006853EE">
        <w:rPr>
          <w:color w:val="000000"/>
        </w:rPr>
        <w:t>[pers. JJ]</w:t>
      </w:r>
      <w:r w:rsidR="00852B6B" w:rsidRPr="009C7A0A">
        <w:rPr>
          <w:color w:val="000000"/>
        </w:rPr>
        <w:t xml:space="preserve">, </w:t>
      </w:r>
      <w:r w:rsidR="006853EE">
        <w:rPr>
          <w:color w:val="000000"/>
        </w:rPr>
        <w:t>[pers. JK]</w:t>
      </w:r>
      <w:r w:rsidR="00852B6B" w:rsidRPr="009C7A0A">
        <w:rPr>
          <w:color w:val="000000"/>
        </w:rPr>
        <w:t xml:space="preserve">, </w:t>
      </w:r>
      <w:r w:rsidR="006853EE">
        <w:rPr>
          <w:color w:val="000000"/>
        </w:rPr>
        <w:t>[pers. F]</w:t>
      </w:r>
      <w:r w:rsidR="00852B6B" w:rsidRPr="009C7A0A">
        <w:rPr>
          <w:color w:val="000000"/>
        </w:rPr>
        <w:t xml:space="preserve">, </w:t>
      </w:r>
      <w:r w:rsidR="00E37121">
        <w:rPr>
          <w:color w:val="000000"/>
        </w:rPr>
        <w:t>[pers. JL]</w:t>
      </w:r>
      <w:r w:rsidR="00852B6B" w:rsidRPr="009C7A0A">
        <w:rPr>
          <w:color w:val="000000"/>
        </w:rPr>
        <w:t xml:space="preserve">, </w:t>
      </w:r>
      <w:r w:rsidR="00E37121">
        <w:rPr>
          <w:color w:val="000000"/>
        </w:rPr>
        <w:t>[pers. JM]</w:t>
      </w:r>
      <w:r w:rsidR="00852B6B" w:rsidRPr="009C7A0A">
        <w:rPr>
          <w:color w:val="000000"/>
        </w:rPr>
        <w:t xml:space="preserve">, </w:t>
      </w:r>
      <w:r w:rsidR="00E37121">
        <w:rPr>
          <w:color w:val="000000"/>
        </w:rPr>
        <w:t>[pers. JN]</w:t>
      </w:r>
      <w:r w:rsidR="00F736A6" w:rsidRPr="009C7A0A">
        <w:rPr>
          <w:color w:val="000000"/>
        </w:rPr>
        <w:t xml:space="preserve">, </w:t>
      </w:r>
      <w:r w:rsidR="00F736A6" w:rsidRPr="00677093">
        <w:rPr>
          <w:color w:val="000000"/>
        </w:rPr>
        <w:t>AS</w:t>
      </w:r>
      <w:r w:rsidR="002868B2" w:rsidRPr="00677093">
        <w:rPr>
          <w:color w:val="000000"/>
        </w:rPr>
        <w:t> „</w:t>
      </w:r>
      <w:r w:rsidR="00F736A6" w:rsidRPr="00677093">
        <w:rPr>
          <w:color w:val="000000"/>
        </w:rPr>
        <w:t>PNB</w:t>
      </w:r>
      <w:r w:rsidR="002868B2" w:rsidRPr="00677093">
        <w:rPr>
          <w:color w:val="000000"/>
        </w:rPr>
        <w:t> </w:t>
      </w:r>
      <w:r w:rsidR="00F736A6" w:rsidRPr="00677093">
        <w:rPr>
          <w:color w:val="000000"/>
        </w:rPr>
        <w:t xml:space="preserve">Banka”, </w:t>
      </w:r>
      <w:r w:rsidR="00E93811" w:rsidRPr="00677093">
        <w:rPr>
          <w:color w:val="000000"/>
        </w:rPr>
        <w:t>sabiedrības ar ierobežotu atbildību </w:t>
      </w:r>
      <w:r w:rsidR="002868B2" w:rsidRPr="00677093">
        <w:rPr>
          <w:color w:val="000000"/>
        </w:rPr>
        <w:t>„</w:t>
      </w:r>
      <w:proofErr w:type="spellStart"/>
      <w:r w:rsidR="00F736A6" w:rsidRPr="00677093">
        <w:rPr>
          <w:color w:val="000000"/>
        </w:rPr>
        <w:t>Papaya</w:t>
      </w:r>
      <w:proofErr w:type="spellEnd"/>
      <w:r w:rsidR="0080498C" w:rsidRPr="00677093">
        <w:rPr>
          <w:color w:val="000000"/>
        </w:rPr>
        <w:t> </w:t>
      </w:r>
      <w:proofErr w:type="spellStart"/>
      <w:r w:rsidR="00F736A6" w:rsidRPr="00677093">
        <w:rPr>
          <w:color w:val="000000"/>
        </w:rPr>
        <w:t>Baltic</w:t>
      </w:r>
      <w:proofErr w:type="spellEnd"/>
      <w:r w:rsidR="00F736A6" w:rsidRPr="00677093">
        <w:rPr>
          <w:color w:val="000000"/>
        </w:rPr>
        <w:t xml:space="preserve">”, </w:t>
      </w:r>
      <w:r w:rsidR="00D567D7" w:rsidRPr="00677093">
        <w:rPr>
          <w:color w:val="000000"/>
        </w:rPr>
        <w:t>SIA "</w:t>
      </w:r>
      <w:proofErr w:type="spellStart"/>
      <w:r w:rsidR="00D567D7" w:rsidRPr="00677093">
        <w:rPr>
          <w:color w:val="000000"/>
        </w:rPr>
        <w:t>Reitan</w:t>
      </w:r>
      <w:proofErr w:type="spellEnd"/>
      <w:r w:rsidR="00D567D7" w:rsidRPr="00677093">
        <w:rPr>
          <w:color w:val="000000"/>
        </w:rPr>
        <w:t xml:space="preserve"> </w:t>
      </w:r>
      <w:proofErr w:type="spellStart"/>
      <w:r w:rsidR="00D567D7" w:rsidRPr="00677093">
        <w:rPr>
          <w:color w:val="000000"/>
        </w:rPr>
        <w:t>Convenience</w:t>
      </w:r>
      <w:proofErr w:type="spellEnd"/>
      <w:r w:rsidR="00D567D7" w:rsidRPr="00677093">
        <w:rPr>
          <w:color w:val="000000"/>
        </w:rPr>
        <w:t xml:space="preserve"> Latvia" (pirms nosaukuma maiņas – </w:t>
      </w:r>
      <w:r w:rsidR="00272487" w:rsidRPr="00677093">
        <w:rPr>
          <w:color w:val="000000"/>
        </w:rPr>
        <w:t>SIA</w:t>
      </w:r>
      <w:r w:rsidR="002868B2" w:rsidRPr="00677093">
        <w:rPr>
          <w:color w:val="000000"/>
        </w:rPr>
        <w:t> „</w:t>
      </w:r>
      <w:proofErr w:type="spellStart"/>
      <w:r w:rsidR="00272487" w:rsidRPr="00677093">
        <w:rPr>
          <w:color w:val="000000"/>
        </w:rPr>
        <w:t>Narvesen</w:t>
      </w:r>
      <w:proofErr w:type="spellEnd"/>
      <w:r w:rsidR="0080498C" w:rsidRPr="00677093">
        <w:rPr>
          <w:color w:val="000000"/>
        </w:rPr>
        <w:t> </w:t>
      </w:r>
      <w:r w:rsidR="00272487" w:rsidRPr="00677093">
        <w:rPr>
          <w:color w:val="000000"/>
        </w:rPr>
        <w:t>Baltija”</w:t>
      </w:r>
      <w:r w:rsidR="00D567D7" w:rsidRPr="00677093">
        <w:rPr>
          <w:color w:val="000000"/>
        </w:rPr>
        <w:t>)</w:t>
      </w:r>
      <w:r w:rsidR="00272487" w:rsidRPr="00677093">
        <w:rPr>
          <w:color w:val="000000"/>
        </w:rPr>
        <w:t xml:space="preserve">, </w:t>
      </w:r>
      <w:r w:rsidR="00A63BAF" w:rsidRPr="00677093">
        <w:rPr>
          <w:color w:val="000000"/>
        </w:rPr>
        <w:t xml:space="preserve">sabiedrības ar ierobežotu atbildību  </w:t>
      </w:r>
      <w:r w:rsidR="002868B2" w:rsidRPr="00677093">
        <w:rPr>
          <w:color w:val="000000"/>
        </w:rPr>
        <w:t>„</w:t>
      </w:r>
      <w:r w:rsidR="00272487" w:rsidRPr="00677093">
        <w:rPr>
          <w:color w:val="000000"/>
        </w:rPr>
        <w:t>TINEO”, SIA</w:t>
      </w:r>
      <w:r w:rsidR="002868B2" w:rsidRPr="00677093">
        <w:rPr>
          <w:color w:val="000000"/>
        </w:rPr>
        <w:t> „</w:t>
      </w:r>
      <w:r w:rsidR="003E12E0" w:rsidRPr="00677093">
        <w:rPr>
          <w:color w:val="000000"/>
        </w:rPr>
        <w:t>[Nosaukums E]</w:t>
      </w:r>
      <w:r w:rsidR="00272487" w:rsidRPr="00677093">
        <w:rPr>
          <w:color w:val="000000"/>
        </w:rPr>
        <w:t xml:space="preserve">”, </w:t>
      </w:r>
      <w:r w:rsidR="00512985" w:rsidRPr="00677093">
        <w:rPr>
          <w:color w:val="000000"/>
        </w:rPr>
        <w:t>[pers. CS]</w:t>
      </w:r>
      <w:r w:rsidR="00272487" w:rsidRPr="00677093">
        <w:rPr>
          <w:color w:val="000000"/>
        </w:rPr>
        <w:t xml:space="preserve">, </w:t>
      </w:r>
      <w:r w:rsidR="00AB19C9" w:rsidRPr="00677093">
        <w:rPr>
          <w:color w:val="000000"/>
        </w:rPr>
        <w:t>[pers. CO]</w:t>
      </w:r>
      <w:r w:rsidR="00272487" w:rsidRPr="00677093">
        <w:rPr>
          <w:color w:val="000000"/>
        </w:rPr>
        <w:t>, SIA</w:t>
      </w:r>
      <w:r w:rsidR="0080498C" w:rsidRPr="00677093">
        <w:rPr>
          <w:color w:val="000000"/>
        </w:rPr>
        <w:t> „</w:t>
      </w:r>
      <w:r w:rsidR="00272487" w:rsidRPr="00677093">
        <w:rPr>
          <w:color w:val="000000"/>
        </w:rPr>
        <w:t>RIKI</w:t>
      </w:r>
      <w:r w:rsidR="0080498C" w:rsidRPr="00677093">
        <w:rPr>
          <w:color w:val="000000"/>
        </w:rPr>
        <w:t> </w:t>
      </w:r>
      <w:r w:rsidR="00272487" w:rsidRPr="00677093">
        <w:rPr>
          <w:color w:val="000000"/>
        </w:rPr>
        <w:t>TRADE” (</w:t>
      </w:r>
      <w:r w:rsidR="00CA6BDE" w:rsidRPr="00677093">
        <w:rPr>
          <w:color w:val="000000"/>
        </w:rPr>
        <w:t xml:space="preserve">pirms nosaukuma maiņas </w:t>
      </w:r>
      <w:r w:rsidR="00851703" w:rsidRPr="00677093">
        <w:rPr>
          <w:color w:val="000000"/>
        </w:rPr>
        <w:t>sabiedrības ar ierobežotu atbildību </w:t>
      </w:r>
      <w:r w:rsidR="0080498C" w:rsidRPr="00677093">
        <w:rPr>
          <w:color w:val="000000"/>
        </w:rPr>
        <w:t>„</w:t>
      </w:r>
      <w:r w:rsidR="00272487" w:rsidRPr="00677093">
        <w:rPr>
          <w:color w:val="000000"/>
        </w:rPr>
        <w:t>OPTILUKS”),</w:t>
      </w:r>
      <w:r w:rsidR="00272487" w:rsidRPr="009C7A0A">
        <w:rPr>
          <w:color w:val="000000"/>
        </w:rPr>
        <w:t xml:space="preserve"> </w:t>
      </w:r>
      <w:r w:rsidR="00A41ED8">
        <w:rPr>
          <w:color w:val="000000"/>
        </w:rPr>
        <w:t>[pers. JO]</w:t>
      </w:r>
      <w:r w:rsidR="00272487" w:rsidRPr="009C7A0A">
        <w:rPr>
          <w:color w:val="000000"/>
        </w:rPr>
        <w:t xml:space="preserve">, </w:t>
      </w:r>
      <w:r w:rsidR="00A41ED8">
        <w:rPr>
          <w:color w:val="000000"/>
        </w:rPr>
        <w:t>[pers. CI]</w:t>
      </w:r>
      <w:r w:rsidR="00272487" w:rsidRPr="009C7A0A">
        <w:rPr>
          <w:color w:val="000000"/>
        </w:rPr>
        <w:t xml:space="preserve">, </w:t>
      </w:r>
      <w:r w:rsidR="00A41ED8">
        <w:rPr>
          <w:color w:val="000000"/>
        </w:rPr>
        <w:t>[pers. CJ]</w:t>
      </w:r>
      <w:r w:rsidR="00272487" w:rsidRPr="009C7A0A">
        <w:rPr>
          <w:color w:val="000000"/>
        </w:rPr>
        <w:t xml:space="preserve">, </w:t>
      </w:r>
      <w:r w:rsidR="00A41ED8">
        <w:rPr>
          <w:color w:val="000000"/>
        </w:rPr>
        <w:t>[pers. JP]</w:t>
      </w:r>
      <w:r w:rsidR="00272487" w:rsidRPr="009C7A0A">
        <w:rPr>
          <w:color w:val="000000"/>
        </w:rPr>
        <w:t xml:space="preserve">, </w:t>
      </w:r>
      <w:r w:rsidR="00A41ED8">
        <w:rPr>
          <w:color w:val="000000"/>
        </w:rPr>
        <w:t>[pers. BP]</w:t>
      </w:r>
      <w:r w:rsidR="002868B2" w:rsidRPr="009C7A0A">
        <w:rPr>
          <w:color w:val="000000"/>
        </w:rPr>
        <w:t xml:space="preserve">, </w:t>
      </w:r>
      <w:r w:rsidR="00A41ED8">
        <w:rPr>
          <w:color w:val="000000"/>
        </w:rPr>
        <w:t>[pers. JR]</w:t>
      </w:r>
      <w:r w:rsidR="002868B2" w:rsidRPr="009C7A0A">
        <w:rPr>
          <w:color w:val="000000"/>
        </w:rPr>
        <w:t xml:space="preserve">, </w:t>
      </w:r>
      <w:r w:rsidR="00A41ED8">
        <w:rPr>
          <w:color w:val="000000"/>
        </w:rPr>
        <w:t>[pers. JS]</w:t>
      </w:r>
      <w:r w:rsidR="002868B2" w:rsidRPr="009C7A0A">
        <w:rPr>
          <w:color w:val="000000"/>
        </w:rPr>
        <w:t xml:space="preserve">, </w:t>
      </w:r>
      <w:r w:rsidR="002C4401">
        <w:rPr>
          <w:color w:val="000000"/>
        </w:rPr>
        <w:t xml:space="preserve">[pers. JT], </w:t>
      </w:r>
      <w:r w:rsidR="00A41ED8">
        <w:rPr>
          <w:color w:val="000000"/>
        </w:rPr>
        <w:t>[pers. CA]</w:t>
      </w:r>
      <w:r w:rsidR="002868B2" w:rsidRPr="009C7A0A">
        <w:rPr>
          <w:color w:val="000000"/>
        </w:rPr>
        <w:t xml:space="preserve">, </w:t>
      </w:r>
      <w:r w:rsidR="00A41ED8">
        <w:rPr>
          <w:color w:val="000000"/>
        </w:rPr>
        <w:t>[pers. </w:t>
      </w:r>
      <w:r w:rsidR="00B263C5">
        <w:rPr>
          <w:color w:val="000000"/>
        </w:rPr>
        <w:t>HV</w:t>
      </w:r>
      <w:r w:rsidR="00A41ED8">
        <w:rPr>
          <w:color w:val="000000"/>
        </w:rPr>
        <w:t>]</w:t>
      </w:r>
      <w:r w:rsidR="002868B2" w:rsidRPr="009C7A0A">
        <w:rPr>
          <w:color w:val="000000"/>
        </w:rPr>
        <w:t xml:space="preserve">, </w:t>
      </w:r>
      <w:r w:rsidR="00A41ED8">
        <w:rPr>
          <w:color w:val="000000"/>
        </w:rPr>
        <w:t>[pers. JU]</w:t>
      </w:r>
      <w:r w:rsidR="002868B2" w:rsidRPr="009C7A0A">
        <w:rPr>
          <w:color w:val="000000"/>
        </w:rPr>
        <w:t xml:space="preserve">, </w:t>
      </w:r>
      <w:r w:rsidR="00A41ED8">
        <w:rPr>
          <w:color w:val="000000"/>
        </w:rPr>
        <w:t>[pers. JV]</w:t>
      </w:r>
      <w:r w:rsidR="002868B2" w:rsidRPr="009C7A0A">
        <w:rPr>
          <w:color w:val="000000"/>
        </w:rPr>
        <w:t xml:space="preserve">, </w:t>
      </w:r>
      <w:r w:rsidR="00A41ED8">
        <w:rPr>
          <w:color w:val="000000"/>
        </w:rPr>
        <w:t>[pers. JZ]</w:t>
      </w:r>
      <w:r w:rsidR="002868B2" w:rsidRPr="009C7A0A">
        <w:rPr>
          <w:color w:val="000000"/>
        </w:rPr>
        <w:t xml:space="preserve">, </w:t>
      </w:r>
      <w:r w:rsidR="00A41ED8">
        <w:rPr>
          <w:color w:val="000000"/>
        </w:rPr>
        <w:t>[pers. KA]</w:t>
      </w:r>
      <w:r w:rsidR="0085769C" w:rsidRPr="009C7A0A">
        <w:rPr>
          <w:color w:val="000000"/>
        </w:rPr>
        <w:t xml:space="preserve">, </w:t>
      </w:r>
      <w:r w:rsidR="00A41ED8">
        <w:rPr>
          <w:color w:val="000000"/>
        </w:rPr>
        <w:t>[pers. KB]</w:t>
      </w:r>
      <w:r w:rsidR="0085769C" w:rsidRPr="009C7A0A">
        <w:rPr>
          <w:color w:val="000000"/>
        </w:rPr>
        <w:t xml:space="preserve">, </w:t>
      </w:r>
      <w:r w:rsidR="00A41ED8">
        <w:rPr>
          <w:color w:val="000000"/>
        </w:rPr>
        <w:t>[pers. KC]</w:t>
      </w:r>
      <w:r w:rsidR="0085769C" w:rsidRPr="009C7A0A">
        <w:rPr>
          <w:color w:val="000000"/>
        </w:rPr>
        <w:t xml:space="preserve">, </w:t>
      </w:r>
      <w:r w:rsidR="00A41ED8">
        <w:rPr>
          <w:color w:val="000000"/>
        </w:rPr>
        <w:t>[pers. KD]</w:t>
      </w:r>
      <w:r w:rsidR="0085769C" w:rsidRPr="009C7A0A">
        <w:rPr>
          <w:color w:val="000000"/>
        </w:rPr>
        <w:t>,</w:t>
      </w:r>
      <w:r w:rsidR="00A41ED8">
        <w:rPr>
          <w:color w:val="000000"/>
        </w:rPr>
        <w:t xml:space="preserve"> [pers. KE]</w:t>
      </w:r>
      <w:r w:rsidR="0085769C" w:rsidRPr="009C7A0A">
        <w:rPr>
          <w:color w:val="000000"/>
        </w:rPr>
        <w:t xml:space="preserve">, </w:t>
      </w:r>
      <w:r w:rsidR="00A41ED8">
        <w:rPr>
          <w:color w:val="000000"/>
        </w:rPr>
        <w:t>[pers. KF]</w:t>
      </w:r>
      <w:r w:rsidR="0085769C" w:rsidRPr="009C7A0A">
        <w:rPr>
          <w:color w:val="000000"/>
        </w:rPr>
        <w:t xml:space="preserve">, </w:t>
      </w:r>
      <w:r w:rsidR="00A41ED8">
        <w:rPr>
          <w:color w:val="000000"/>
        </w:rPr>
        <w:t>[pers. KG]</w:t>
      </w:r>
      <w:r w:rsidR="0085769C" w:rsidRPr="009C7A0A">
        <w:rPr>
          <w:color w:val="000000"/>
        </w:rPr>
        <w:t xml:space="preserve">, </w:t>
      </w:r>
      <w:r w:rsidR="00A41ED8">
        <w:rPr>
          <w:color w:val="000000"/>
        </w:rPr>
        <w:t>[pers. KH]</w:t>
      </w:r>
      <w:r w:rsidR="00A749F4" w:rsidRPr="009C7A0A">
        <w:rPr>
          <w:color w:val="000000"/>
        </w:rPr>
        <w:t xml:space="preserve"> p</w:t>
      </w:r>
      <w:r w:rsidR="00F736A6" w:rsidRPr="009C7A0A">
        <w:rPr>
          <w:color w:val="000000"/>
        </w:rPr>
        <w:t>ieteiktajām kaitējuma kompensācijām.</w:t>
      </w:r>
    </w:p>
    <w:p w14:paraId="0E9E7106" w14:textId="363BB6A5" w:rsidR="008C5A78" w:rsidRPr="009C7A0A" w:rsidRDefault="00A749F4" w:rsidP="00943903">
      <w:pPr>
        <w:widowControl w:val="0"/>
        <w:spacing w:line="276" w:lineRule="auto"/>
        <w:ind w:firstLine="720"/>
        <w:jc w:val="both"/>
      </w:pPr>
      <w:r w:rsidRPr="009C7A0A">
        <w:t>[</w:t>
      </w:r>
      <w:r w:rsidR="00A464AD" w:rsidRPr="009C7A0A">
        <w:t>2.12</w:t>
      </w:r>
      <w:r w:rsidRPr="009C7A0A">
        <w:t>] </w:t>
      </w:r>
      <w:r w:rsidR="008C5A78" w:rsidRPr="009C7A0A">
        <w:t>I</w:t>
      </w:r>
      <w:r w:rsidRPr="009C7A0A">
        <w:t xml:space="preserve">zbeigts kriminālprocess daļā par </w:t>
      </w:r>
      <w:r w:rsidR="00A41ED8">
        <w:t>[pers. JK]</w:t>
      </w:r>
      <w:r w:rsidR="00CE5BEF" w:rsidRPr="009C7A0A">
        <w:t xml:space="preserve">, </w:t>
      </w:r>
      <w:r w:rsidR="00A41ED8">
        <w:t>[pers. KI]</w:t>
      </w:r>
      <w:r w:rsidR="00CE5BEF" w:rsidRPr="009C7A0A">
        <w:t xml:space="preserve">, </w:t>
      </w:r>
      <w:r w:rsidR="00943903">
        <w:t>[pers. KJ]</w:t>
      </w:r>
      <w:r w:rsidR="00CE5BEF" w:rsidRPr="009C7A0A">
        <w:t xml:space="preserve">, </w:t>
      </w:r>
      <w:r w:rsidR="00943903">
        <w:t>[pers. CM]</w:t>
      </w:r>
      <w:r w:rsidR="00CE5BEF" w:rsidRPr="009C7A0A">
        <w:t xml:space="preserve">, </w:t>
      </w:r>
      <w:r w:rsidR="00943903">
        <w:t>[pers. KK]</w:t>
      </w:r>
      <w:r w:rsidR="00CE5BEF" w:rsidRPr="009C7A0A">
        <w:t xml:space="preserve">, </w:t>
      </w:r>
      <w:r w:rsidR="00943903">
        <w:t>[pers. KL]</w:t>
      </w:r>
      <w:r w:rsidR="00CE5BEF" w:rsidRPr="009C7A0A">
        <w:t xml:space="preserve">, </w:t>
      </w:r>
      <w:r w:rsidR="00943903">
        <w:t>[pers. KM]</w:t>
      </w:r>
      <w:r w:rsidR="00CE5BEF" w:rsidRPr="009C7A0A">
        <w:t xml:space="preserve">, </w:t>
      </w:r>
      <w:r w:rsidR="00943903">
        <w:t>[pers. KN]</w:t>
      </w:r>
      <w:r w:rsidR="00CE5BEF" w:rsidRPr="009C7A0A">
        <w:t xml:space="preserve">, </w:t>
      </w:r>
      <w:r w:rsidR="00943903">
        <w:t>[pers. KO]</w:t>
      </w:r>
      <w:r w:rsidR="00CE5BEF" w:rsidRPr="009C7A0A">
        <w:t xml:space="preserve">, </w:t>
      </w:r>
      <w:r w:rsidR="00943903">
        <w:t>[pers. KP]</w:t>
      </w:r>
      <w:r w:rsidR="00CE5BEF" w:rsidRPr="009C7A0A">
        <w:t xml:space="preserve">, </w:t>
      </w:r>
      <w:r w:rsidR="00943903">
        <w:t>[pers. KR]</w:t>
      </w:r>
      <w:r w:rsidR="00CE5BEF" w:rsidRPr="009C7A0A">
        <w:t xml:space="preserve">, </w:t>
      </w:r>
      <w:r w:rsidR="00943903">
        <w:t>[pers. KS]</w:t>
      </w:r>
      <w:r w:rsidR="00BD63D7" w:rsidRPr="009C7A0A">
        <w:t xml:space="preserve"> un </w:t>
      </w:r>
      <w:r w:rsidR="00943903">
        <w:t>[pers. KT]</w:t>
      </w:r>
      <w:r w:rsidR="00CE5BEF" w:rsidRPr="009C7A0A">
        <w:t xml:space="preserve"> </w:t>
      </w:r>
      <w:r w:rsidR="008C5A78" w:rsidRPr="009C7A0A">
        <w:t>pieteiktajām morālā kaitējuma kompensācijām.</w:t>
      </w:r>
    </w:p>
    <w:p w14:paraId="0B29F0F4" w14:textId="5C42671A" w:rsidR="00A749F4" w:rsidRPr="009C7A0A" w:rsidRDefault="0087009E" w:rsidP="001B6CA0">
      <w:pPr>
        <w:widowControl w:val="0"/>
        <w:spacing w:line="276" w:lineRule="auto"/>
        <w:ind w:firstLine="720"/>
        <w:jc w:val="both"/>
      </w:pPr>
      <w:r w:rsidRPr="009C7A0A">
        <w:t>I</w:t>
      </w:r>
      <w:r w:rsidR="008C5A78" w:rsidRPr="009C7A0A">
        <w:t xml:space="preserve">zbeigts kriminālprocess daļā par </w:t>
      </w:r>
      <w:r w:rsidR="001B6CA0">
        <w:t>[pers. BG]</w:t>
      </w:r>
      <w:r w:rsidR="008C5A78" w:rsidRPr="009C7A0A">
        <w:t xml:space="preserve"> pieteikto morālā kaitējuma kompensāciju 300 000 </w:t>
      </w:r>
      <w:proofErr w:type="spellStart"/>
      <w:r w:rsidR="008C5A78" w:rsidRPr="009C7A0A">
        <w:rPr>
          <w:i/>
          <w:iCs/>
        </w:rPr>
        <w:t>euro</w:t>
      </w:r>
      <w:proofErr w:type="spellEnd"/>
      <w:r w:rsidR="008C5A78" w:rsidRPr="009C7A0A">
        <w:t>.</w:t>
      </w:r>
    </w:p>
    <w:p w14:paraId="25B51791" w14:textId="3B7C19F4" w:rsidR="008A23F2" w:rsidRPr="009C7A0A" w:rsidRDefault="008A23F2" w:rsidP="009C7A0A">
      <w:pPr>
        <w:spacing w:line="276" w:lineRule="auto"/>
        <w:ind w:firstLine="720"/>
        <w:jc w:val="both"/>
      </w:pPr>
      <w:r w:rsidRPr="009C7A0A">
        <w:t>[</w:t>
      </w:r>
      <w:r w:rsidR="00A464AD" w:rsidRPr="009C7A0A">
        <w:t>2.13</w:t>
      </w:r>
      <w:r w:rsidRPr="009C7A0A">
        <w:t>] Pārējā daļā pirmās instances tiesas spriedums atstāts negrozīts.</w:t>
      </w:r>
    </w:p>
    <w:p w14:paraId="05A61B2E" w14:textId="77777777" w:rsidR="00D3500F" w:rsidRPr="009C7A0A" w:rsidRDefault="002C0372" w:rsidP="009C7A0A">
      <w:pPr>
        <w:spacing w:line="276" w:lineRule="auto"/>
        <w:ind w:firstLine="720"/>
        <w:jc w:val="both"/>
        <w:rPr>
          <w:color w:val="000000"/>
        </w:rPr>
      </w:pPr>
      <w:r w:rsidRPr="009C7A0A">
        <w:rPr>
          <w:color w:val="000000"/>
        </w:rPr>
        <w:t>[</w:t>
      </w:r>
      <w:r w:rsidR="00A464AD" w:rsidRPr="009C7A0A">
        <w:rPr>
          <w:color w:val="000000"/>
        </w:rPr>
        <w:t>2</w:t>
      </w:r>
      <w:r w:rsidRPr="009C7A0A">
        <w:rPr>
          <w:color w:val="000000"/>
        </w:rPr>
        <w:t>.</w:t>
      </w:r>
      <w:r w:rsidR="00A464AD" w:rsidRPr="009C7A0A">
        <w:rPr>
          <w:color w:val="000000"/>
        </w:rPr>
        <w:t>14</w:t>
      </w:r>
      <w:r w:rsidRPr="009C7A0A">
        <w:rPr>
          <w:color w:val="000000"/>
        </w:rPr>
        <w:t>] Atcelti Rīgas pilsētas Pārdaugavas tiesas 2020. gada 18. februāra blakus lēmumi.</w:t>
      </w:r>
    </w:p>
    <w:p w14:paraId="45B84BA9" w14:textId="4BF1054D" w:rsidR="002C0372" w:rsidRPr="009C7A0A" w:rsidRDefault="002C0372" w:rsidP="001B6CA0">
      <w:pPr>
        <w:spacing w:line="276" w:lineRule="auto"/>
        <w:ind w:firstLine="720"/>
        <w:jc w:val="both"/>
        <w:rPr>
          <w:color w:val="000000"/>
        </w:rPr>
      </w:pPr>
      <w:r w:rsidRPr="009C7A0A">
        <w:t>[</w:t>
      </w:r>
      <w:r w:rsidR="00D3500F" w:rsidRPr="009C7A0A">
        <w:t>2</w:t>
      </w:r>
      <w:r w:rsidRPr="009C7A0A">
        <w:t>.</w:t>
      </w:r>
      <w:r w:rsidR="00D3500F" w:rsidRPr="009C7A0A">
        <w:t>15</w:t>
      </w:r>
      <w:r w:rsidRPr="009C7A0A">
        <w:t>]</w:t>
      </w:r>
      <w:r w:rsidR="009C1300" w:rsidRPr="009C7A0A">
        <w:t> </w:t>
      </w:r>
      <w:r w:rsidRPr="009C7A0A">
        <w:t xml:space="preserve">No apsūdzētā </w:t>
      </w:r>
      <w:r w:rsidR="001B6CA0">
        <w:t>[pers. A]</w:t>
      </w:r>
      <w:r w:rsidRPr="009C7A0A">
        <w:t xml:space="preserve"> valsts labā piedzīti procesuālie izdevumi 2541</w:t>
      </w:r>
      <w:r w:rsidR="009C1300" w:rsidRPr="009C7A0A">
        <w:t> </w:t>
      </w:r>
      <w:proofErr w:type="spellStart"/>
      <w:r w:rsidRPr="009C7A0A">
        <w:rPr>
          <w:i/>
          <w:iCs/>
        </w:rPr>
        <w:t>euro</w:t>
      </w:r>
      <w:proofErr w:type="spellEnd"/>
      <w:r w:rsidRPr="009C7A0A">
        <w:t xml:space="preserve"> </w:t>
      </w:r>
      <w:r w:rsidR="0037091F" w:rsidRPr="009C7A0A">
        <w:t>p</w:t>
      </w:r>
      <w:r w:rsidRPr="009C7A0A">
        <w:t xml:space="preserve">ar </w:t>
      </w:r>
      <w:r w:rsidR="009C1300" w:rsidRPr="009C7A0A">
        <w:t>aizstāvja A. Zvejsalnieka piedalīšanos apelācijas instances tiesā.</w:t>
      </w:r>
    </w:p>
    <w:p w14:paraId="19B14255" w14:textId="7180912D" w:rsidR="00A16F8A" w:rsidRPr="009C7A0A" w:rsidRDefault="00A16F8A" w:rsidP="009C7A0A">
      <w:pPr>
        <w:spacing w:line="276" w:lineRule="auto"/>
        <w:ind w:firstLine="720"/>
        <w:jc w:val="both"/>
      </w:pPr>
      <w:r w:rsidRPr="009C7A0A">
        <w:lastRenderedPageBreak/>
        <w:t>[</w:t>
      </w:r>
      <w:r w:rsidR="00D3500F" w:rsidRPr="009C7A0A">
        <w:t>2</w:t>
      </w:r>
      <w:r w:rsidRPr="009C7A0A">
        <w:t>.</w:t>
      </w:r>
      <w:r w:rsidR="00D3500F" w:rsidRPr="009C7A0A">
        <w:t>16</w:t>
      </w:r>
      <w:r w:rsidRPr="009C7A0A">
        <w:t>]</w:t>
      </w:r>
      <w:r w:rsidR="00306728" w:rsidRPr="009C7A0A">
        <w:t> </w:t>
      </w:r>
      <w:r w:rsidRPr="009C7A0A">
        <w:t>Procesuāl</w:t>
      </w:r>
      <w:r w:rsidR="00306728" w:rsidRPr="009C7A0A">
        <w:t>ie</w:t>
      </w:r>
      <w:r w:rsidRPr="009C7A0A">
        <w:t xml:space="preserve"> izdevum</w:t>
      </w:r>
      <w:r w:rsidR="00306728" w:rsidRPr="009C7A0A">
        <w:t>i</w:t>
      </w:r>
      <w:r w:rsidRPr="009C7A0A">
        <w:t xml:space="preserve"> 9420</w:t>
      </w:r>
      <w:r w:rsidR="00306728" w:rsidRPr="009C7A0A">
        <w:t> </w:t>
      </w:r>
      <w:proofErr w:type="spellStart"/>
      <w:r w:rsidRPr="009C7A0A">
        <w:rPr>
          <w:i/>
          <w:iCs/>
        </w:rPr>
        <w:t>euro</w:t>
      </w:r>
      <w:proofErr w:type="spellEnd"/>
      <w:r w:rsidRPr="009C7A0A">
        <w:t xml:space="preserve"> par </w:t>
      </w:r>
      <w:r w:rsidR="00306728" w:rsidRPr="009C7A0A">
        <w:t>zvērinātu advokātu I</w:t>
      </w:r>
      <w:r w:rsidR="00A2797E" w:rsidRPr="009C7A0A">
        <w:t>. </w:t>
      </w:r>
      <w:r w:rsidR="00306728" w:rsidRPr="009C7A0A">
        <w:t>Timermanes un Ainas Bērziņas piedalīšanos apelācijas instances tiesā segti no valsts līdzekļiem.</w:t>
      </w:r>
    </w:p>
    <w:p w14:paraId="1945EFED" w14:textId="627B159F" w:rsidR="002E38CC" w:rsidRPr="009C7A0A" w:rsidRDefault="000556FD" w:rsidP="009C7A0A">
      <w:pPr>
        <w:spacing w:line="276" w:lineRule="auto"/>
        <w:ind w:firstLine="720"/>
        <w:jc w:val="both"/>
      </w:pPr>
      <w:r w:rsidRPr="009C7A0A">
        <w:t>[</w:t>
      </w:r>
      <w:r w:rsidR="00D3500F" w:rsidRPr="009C7A0A">
        <w:t>2</w:t>
      </w:r>
      <w:r w:rsidRPr="009C7A0A">
        <w:t>.</w:t>
      </w:r>
      <w:r w:rsidR="00D3500F" w:rsidRPr="009C7A0A">
        <w:t>17</w:t>
      </w:r>
      <w:r w:rsidRPr="009C7A0A">
        <w:t>] Apelācijas instances tiesa 2023. gada 24. janvārī pieņēma blakus lēmumu</w:t>
      </w:r>
      <w:r w:rsidR="002E38CC" w:rsidRPr="009C7A0A">
        <w:t>s</w:t>
      </w:r>
      <w:r w:rsidR="008559CA" w:rsidRPr="009C7A0A">
        <w:t xml:space="preserve">, </w:t>
      </w:r>
      <w:r w:rsidR="002E38CC" w:rsidRPr="009C7A0A">
        <w:t>kuros:</w:t>
      </w:r>
    </w:p>
    <w:p w14:paraId="11E4B7C1" w14:textId="7417BAD8" w:rsidR="00720C56" w:rsidRPr="009C7A0A" w:rsidRDefault="008559CA" w:rsidP="009C7A0A">
      <w:pPr>
        <w:spacing w:line="276" w:lineRule="auto"/>
        <w:ind w:firstLine="720"/>
        <w:jc w:val="both"/>
      </w:pPr>
      <w:r w:rsidRPr="009C7A0A">
        <w:t>Rīgas tiesas apgabala prokuratūras virsprokuroram norādīts uz kriminālprocesu Nr. 11511002713 veikušo amatpersonu rīcību</w:t>
      </w:r>
      <w:r w:rsidR="005F1C23" w:rsidRPr="009C7A0A">
        <w:t xml:space="preserve"> </w:t>
      </w:r>
      <w:r w:rsidR="00AF6DEF" w:rsidRPr="009C7A0A">
        <w:t xml:space="preserve">un </w:t>
      </w:r>
      <w:r w:rsidR="00720C56" w:rsidRPr="009C7A0A">
        <w:t>uz nepieciešamību izlemt jautājumu par kriminālprocesa uzsākšanu saistībā ar krimināllietas Nr. 11511002713 iztiesāšanas laikā iegūtajām ziņām par iespējamo dokumentu viltošanu</w:t>
      </w:r>
      <w:r w:rsidR="002E38CC" w:rsidRPr="009C7A0A">
        <w:t>;</w:t>
      </w:r>
    </w:p>
    <w:p w14:paraId="52E3E0C8" w14:textId="3179C0D7" w:rsidR="002E38CC" w:rsidRPr="009C7A0A" w:rsidRDefault="00347F4C" w:rsidP="009C7A0A">
      <w:pPr>
        <w:spacing w:line="276" w:lineRule="auto"/>
        <w:ind w:firstLine="720"/>
        <w:jc w:val="both"/>
      </w:pPr>
      <w:r w:rsidRPr="009C7A0A">
        <w:t>Rīgas pilsētas tiesas priekšsēdētājai norādīts uz pieļautajiem Kriminālprocesa likuma normu pārkāpumiem, taisot spriedumu krimināllietā Nr. 11511002713;</w:t>
      </w:r>
    </w:p>
    <w:p w14:paraId="52F2105F" w14:textId="24A77F01" w:rsidR="00347F4C" w:rsidRPr="009C7A0A" w:rsidRDefault="000341C5" w:rsidP="009C7A0A">
      <w:pPr>
        <w:spacing w:line="276" w:lineRule="auto"/>
        <w:ind w:firstLine="720"/>
        <w:jc w:val="both"/>
      </w:pPr>
      <w:r w:rsidRPr="009C7A0A">
        <w:t>Latvijas Zvērinātu advokātu padomei norādīts uz zvērinātas advokātes J. </w:t>
      </w:r>
      <w:proofErr w:type="spellStart"/>
      <w:r w:rsidRPr="009C7A0A">
        <w:t>Tverjanovičas-Bores</w:t>
      </w:r>
      <w:proofErr w:type="spellEnd"/>
      <w:r w:rsidRPr="009C7A0A">
        <w:t xml:space="preserve"> rīcību, īstenojot cietušā </w:t>
      </w:r>
      <w:r w:rsidR="00BD31E0">
        <w:t>[pers. BG]</w:t>
      </w:r>
      <w:r w:rsidRPr="009C7A0A">
        <w:t xml:space="preserve"> pārstāvību kriminālprocesā Nr. 11511002713 apelācijas instances tiesā.</w:t>
      </w:r>
    </w:p>
    <w:p w14:paraId="57F1CCDA" w14:textId="22CF21F9" w:rsidR="00102187" w:rsidRPr="009C7A0A" w:rsidRDefault="00102187" w:rsidP="009C7A0A">
      <w:pPr>
        <w:autoSpaceDE w:val="0"/>
        <w:spacing w:line="276" w:lineRule="auto"/>
        <w:ind w:firstLine="720"/>
        <w:jc w:val="both"/>
      </w:pPr>
    </w:p>
    <w:p w14:paraId="37739821" w14:textId="1D180B0A" w:rsidR="00645B47" w:rsidRPr="009C7A0A" w:rsidRDefault="002658F3" w:rsidP="009C7A0A">
      <w:pPr>
        <w:autoSpaceDE w:val="0"/>
        <w:spacing w:line="276" w:lineRule="auto"/>
        <w:ind w:firstLine="720"/>
        <w:jc w:val="both"/>
      </w:pPr>
      <w:r w:rsidRPr="009C7A0A">
        <w:t xml:space="preserve">[3] Ar apelācijas instances tiesas spriedumu </w:t>
      </w:r>
      <w:r w:rsidR="00C74F2F">
        <w:t>[pers. A]</w:t>
      </w:r>
      <w:r w:rsidR="0078248A" w:rsidRPr="009C7A0A">
        <w:t xml:space="preserve"> atzīts par vainīgu un sodīts pēc Krimināllikuma 239. panta otrās daļas </w:t>
      </w:r>
      <w:r w:rsidR="00D7761B" w:rsidRPr="009C7A0A">
        <w:t>par to, ka viņš pārkāpa celtņu celtniecības normas un noteikumus,</w:t>
      </w:r>
      <w:r w:rsidR="008E393E" w:rsidRPr="009C7A0A">
        <w:t xml:space="preserve"> kā</w:t>
      </w:r>
      <w:r w:rsidR="00D7761B" w:rsidRPr="009C7A0A">
        <w:t xml:space="preserve"> rezultātā sabruka būves daļa, kas izraisīja smagas sekas, </w:t>
      </w:r>
      <w:r w:rsidR="00175713" w:rsidRPr="009C7A0A">
        <w:t xml:space="preserve">un </w:t>
      </w:r>
      <w:r w:rsidR="00D7761B" w:rsidRPr="009C7A0A">
        <w:t xml:space="preserve">pēc Krimināllikuma </w:t>
      </w:r>
      <w:r w:rsidR="00175713" w:rsidRPr="009C7A0A">
        <w:t xml:space="preserve">123. panta otrās daļas </w:t>
      </w:r>
      <w:r w:rsidR="00C61733" w:rsidRPr="009C7A0A">
        <w:t xml:space="preserve">par </w:t>
      </w:r>
      <w:r w:rsidR="00A806FD" w:rsidRPr="009C7A0A">
        <w:t>vairāku personu prettiesisku nonāvēšanu aiz neuzmanības.</w:t>
      </w:r>
    </w:p>
    <w:p w14:paraId="3D92ABAE" w14:textId="13571C1D" w:rsidR="00077EE6" w:rsidRPr="009C7A0A" w:rsidRDefault="004B6FC3" w:rsidP="00C74F2F">
      <w:pPr>
        <w:autoSpaceDE w:val="0"/>
        <w:spacing w:line="276" w:lineRule="auto"/>
        <w:ind w:firstLine="720"/>
        <w:jc w:val="both"/>
      </w:pPr>
      <w:r w:rsidRPr="009C7A0A">
        <w:t>Apelācijas instances tiesā</w:t>
      </w:r>
      <w:r w:rsidR="000664F1" w:rsidRPr="009C7A0A">
        <w:t xml:space="preserve"> </w:t>
      </w:r>
      <w:r w:rsidR="00C74F2F">
        <w:t>[pers. BI]</w:t>
      </w:r>
      <w:r w:rsidR="0078248A" w:rsidRPr="009C7A0A">
        <w:rPr>
          <w:color w:val="000000"/>
        </w:rPr>
        <w:t xml:space="preserve">, </w:t>
      </w:r>
      <w:r w:rsidR="00C74F2F">
        <w:rPr>
          <w:color w:val="000000"/>
        </w:rPr>
        <w:t>[pers. BJ]</w:t>
      </w:r>
      <w:r w:rsidR="0078248A" w:rsidRPr="009C7A0A">
        <w:rPr>
          <w:color w:val="000000"/>
        </w:rPr>
        <w:t xml:space="preserve">, </w:t>
      </w:r>
      <w:r w:rsidR="00C74F2F">
        <w:rPr>
          <w:color w:val="000000"/>
        </w:rPr>
        <w:t>[pers. BL]</w:t>
      </w:r>
      <w:r w:rsidR="000664F1" w:rsidRPr="009C7A0A">
        <w:rPr>
          <w:color w:val="000000"/>
        </w:rPr>
        <w:t xml:space="preserve"> </w:t>
      </w:r>
      <w:r w:rsidR="00077EE6" w:rsidRPr="009C7A0A">
        <w:rPr>
          <w:color w:val="000000"/>
        </w:rPr>
        <w:t xml:space="preserve">un </w:t>
      </w:r>
      <w:r w:rsidR="00C74F2F">
        <w:rPr>
          <w:color w:val="000000"/>
        </w:rPr>
        <w:t>[pers. BK]</w:t>
      </w:r>
      <w:r w:rsidR="00077EE6" w:rsidRPr="009C7A0A">
        <w:rPr>
          <w:color w:val="000000"/>
        </w:rPr>
        <w:t xml:space="preserve"> </w:t>
      </w:r>
      <w:r w:rsidR="00F86181" w:rsidRPr="009C7A0A">
        <w:rPr>
          <w:color w:val="000000"/>
        </w:rPr>
        <w:t xml:space="preserve">tika </w:t>
      </w:r>
      <w:r w:rsidRPr="009C7A0A">
        <w:t xml:space="preserve">uzturēta </w:t>
      </w:r>
      <w:r w:rsidR="000664F1" w:rsidRPr="009C7A0A">
        <w:t xml:space="preserve">apsūdzība pēc Krimināllikuma </w:t>
      </w:r>
      <w:r w:rsidR="0078248A" w:rsidRPr="009C7A0A">
        <w:t>239. panta otrās daļas</w:t>
      </w:r>
      <w:r w:rsidR="000664F1" w:rsidRPr="009C7A0A">
        <w:t xml:space="preserve"> par to, ka viņi </w:t>
      </w:r>
      <w:r w:rsidR="00077EE6" w:rsidRPr="009C7A0A">
        <w:t xml:space="preserve">pārkāpa celtņu celtniecības normas un noteikumus, </w:t>
      </w:r>
      <w:r w:rsidR="00F33C52" w:rsidRPr="009C7A0A">
        <w:t xml:space="preserve">kā </w:t>
      </w:r>
      <w:r w:rsidR="00077EE6" w:rsidRPr="009C7A0A">
        <w:t>rezultātā sabruka būves daļa, kas izraisīja smagas sekas.</w:t>
      </w:r>
    </w:p>
    <w:p w14:paraId="2C1877CF" w14:textId="1F1BED68" w:rsidR="000664F1" w:rsidRPr="009C7A0A" w:rsidRDefault="004B6FC3" w:rsidP="009C7A0A">
      <w:pPr>
        <w:autoSpaceDE w:val="0"/>
        <w:spacing w:line="276" w:lineRule="auto"/>
        <w:ind w:firstLine="720"/>
        <w:jc w:val="both"/>
      </w:pPr>
      <w:r w:rsidRPr="009C7A0A">
        <w:t>Turklāt apelācijas instances tiesā</w:t>
      </w:r>
      <w:r w:rsidR="000664F1" w:rsidRPr="009C7A0A">
        <w:t xml:space="preserve"> </w:t>
      </w:r>
      <w:r w:rsidR="00EE644E">
        <w:t>[pers. BI]</w:t>
      </w:r>
      <w:r w:rsidR="000664F1" w:rsidRPr="009C7A0A">
        <w:rPr>
          <w:color w:val="000000"/>
        </w:rPr>
        <w:t xml:space="preserve">, </w:t>
      </w:r>
      <w:r w:rsidR="00EE644E">
        <w:rPr>
          <w:color w:val="000000"/>
        </w:rPr>
        <w:t>[pers. BJ]</w:t>
      </w:r>
      <w:r w:rsidR="000664F1" w:rsidRPr="009C7A0A">
        <w:rPr>
          <w:color w:val="000000"/>
        </w:rPr>
        <w:t xml:space="preserve">, </w:t>
      </w:r>
      <w:r w:rsidR="00EE644E">
        <w:rPr>
          <w:color w:val="000000"/>
        </w:rPr>
        <w:t>[pers. BL]</w:t>
      </w:r>
      <w:r w:rsidR="000664F1" w:rsidRPr="009C7A0A">
        <w:rPr>
          <w:color w:val="000000"/>
        </w:rPr>
        <w:t xml:space="preserve"> </w:t>
      </w:r>
      <w:r w:rsidR="00326AD9" w:rsidRPr="009C7A0A">
        <w:rPr>
          <w:color w:val="000000"/>
        </w:rPr>
        <w:t xml:space="preserve">un </w:t>
      </w:r>
      <w:r w:rsidR="00EE644E">
        <w:rPr>
          <w:color w:val="000000"/>
        </w:rPr>
        <w:t>[pers. BK]</w:t>
      </w:r>
      <w:r w:rsidR="00326AD9" w:rsidRPr="009C7A0A">
        <w:rPr>
          <w:color w:val="000000"/>
        </w:rPr>
        <w:t xml:space="preserve"> </w:t>
      </w:r>
      <w:r w:rsidR="00F86181" w:rsidRPr="009C7A0A">
        <w:rPr>
          <w:color w:val="000000"/>
        </w:rPr>
        <w:t xml:space="preserve">tika </w:t>
      </w:r>
      <w:r w:rsidRPr="009C7A0A">
        <w:t xml:space="preserve">uzturēta </w:t>
      </w:r>
      <w:r w:rsidR="000664F1" w:rsidRPr="009C7A0A">
        <w:t xml:space="preserve">apsūdzība </w:t>
      </w:r>
      <w:r w:rsidR="00B47650" w:rsidRPr="009C7A0A">
        <w:t xml:space="preserve">arī </w:t>
      </w:r>
      <w:r w:rsidR="000664F1" w:rsidRPr="009C7A0A">
        <w:t xml:space="preserve">pēc Krimināllikuma 123. panta otrās daļas par </w:t>
      </w:r>
      <w:r w:rsidR="004831E2" w:rsidRPr="009C7A0A">
        <w:t>vairāku personu prettiesisku nonāvēšanu aiz neuzmanības</w:t>
      </w:r>
      <w:r w:rsidR="00077EE6" w:rsidRPr="009C7A0A">
        <w:t>.</w:t>
      </w:r>
    </w:p>
    <w:p w14:paraId="78AAB128" w14:textId="75B855E3" w:rsidR="004E1C01" w:rsidRPr="009C7A0A" w:rsidRDefault="00196B24" w:rsidP="009C7A0A">
      <w:pPr>
        <w:autoSpaceDE w:val="0"/>
        <w:spacing w:line="276" w:lineRule="auto"/>
        <w:ind w:firstLine="720"/>
        <w:jc w:val="both"/>
      </w:pPr>
      <w:r w:rsidRPr="009C7A0A">
        <w:t>A</w:t>
      </w:r>
      <w:r w:rsidR="00DB4487" w:rsidRPr="009C7A0A">
        <w:t>pelācijas instances tiesā</w:t>
      </w:r>
      <w:r w:rsidR="000664F1" w:rsidRPr="009C7A0A">
        <w:t xml:space="preserve"> </w:t>
      </w:r>
      <w:r w:rsidR="002F3DB5">
        <w:t>[pers. BM]</w:t>
      </w:r>
      <w:r w:rsidR="0078248A" w:rsidRPr="009C7A0A">
        <w:rPr>
          <w:color w:val="000000"/>
        </w:rPr>
        <w:t xml:space="preserve">, </w:t>
      </w:r>
      <w:r w:rsidR="002F3DB5">
        <w:rPr>
          <w:color w:val="000000"/>
        </w:rPr>
        <w:t>[pers. BN]</w:t>
      </w:r>
      <w:r w:rsidR="00D616F9" w:rsidRPr="009C7A0A">
        <w:rPr>
          <w:color w:val="000000"/>
        </w:rPr>
        <w:t xml:space="preserve"> un </w:t>
      </w:r>
      <w:r w:rsidR="002F3DB5">
        <w:rPr>
          <w:color w:val="000000"/>
        </w:rPr>
        <w:t>[pers. BH]</w:t>
      </w:r>
      <w:r w:rsidR="00F86181" w:rsidRPr="009C7A0A">
        <w:rPr>
          <w:color w:val="000000"/>
        </w:rPr>
        <w:t xml:space="preserve"> tika</w:t>
      </w:r>
      <w:r w:rsidR="000664F1" w:rsidRPr="009C7A0A">
        <w:t xml:space="preserve"> </w:t>
      </w:r>
      <w:r w:rsidR="00333795" w:rsidRPr="009C7A0A">
        <w:t xml:space="preserve">uzturēta </w:t>
      </w:r>
      <w:r w:rsidR="000664F1" w:rsidRPr="009C7A0A">
        <w:t xml:space="preserve">apsūdzība pēc Krimināllikuma </w:t>
      </w:r>
      <w:r w:rsidR="0078248A" w:rsidRPr="009C7A0A">
        <w:t>319. panta trešās daļas</w:t>
      </w:r>
      <w:r w:rsidR="000664F1" w:rsidRPr="009C7A0A">
        <w:t xml:space="preserve"> par </w:t>
      </w:r>
      <w:r w:rsidR="00D616F9" w:rsidRPr="009C7A0A">
        <w:t xml:space="preserve">valsts amatpersonas pienākumu nepildīšanu, proti, par to, ka viņi, būdami valsts amatpersonas, aiz nolaidības neizdarīja darbības, kuras viņiem pēc likuma un </w:t>
      </w:r>
      <w:r w:rsidR="009A2952" w:rsidRPr="009C7A0A">
        <w:t>uzdot</w:t>
      </w:r>
      <w:r w:rsidR="001715FE" w:rsidRPr="009C7A0A">
        <w:t>a</w:t>
      </w:r>
      <w:r w:rsidR="009A2952" w:rsidRPr="009C7A0A">
        <w:t xml:space="preserve"> </w:t>
      </w:r>
      <w:r w:rsidR="00D616F9" w:rsidRPr="009C7A0A">
        <w:t xml:space="preserve">uzdevuma bija jāizdara, lai novērstu kaitējumu pārvaldības kārtībai un ar likumu aizsargātām personas interesēm, </w:t>
      </w:r>
      <w:r w:rsidR="009A2952" w:rsidRPr="009C7A0A">
        <w:t xml:space="preserve"> kas izraisīja</w:t>
      </w:r>
      <w:r w:rsidR="00D616F9" w:rsidRPr="009C7A0A">
        <w:t xml:space="preserve"> smagas sekas.</w:t>
      </w:r>
    </w:p>
    <w:p w14:paraId="74937878" w14:textId="720FEA09" w:rsidR="00645B47" w:rsidRPr="009C7A0A" w:rsidRDefault="00E71704" w:rsidP="009C7A0A">
      <w:pPr>
        <w:autoSpaceDE w:val="0"/>
        <w:spacing w:line="276" w:lineRule="auto"/>
        <w:ind w:firstLine="720"/>
        <w:jc w:val="both"/>
      </w:pPr>
      <w:r w:rsidRPr="009C7A0A">
        <w:t>A</w:t>
      </w:r>
      <w:r w:rsidR="00F024A9" w:rsidRPr="009C7A0A">
        <w:t xml:space="preserve">pelācijas instances tiesā </w:t>
      </w:r>
      <w:r w:rsidR="002F3DB5">
        <w:t>[pers. BO]</w:t>
      </w:r>
      <w:r w:rsidR="00F86181" w:rsidRPr="009C7A0A">
        <w:rPr>
          <w:color w:val="000000"/>
        </w:rPr>
        <w:t xml:space="preserve"> tika</w:t>
      </w:r>
      <w:r w:rsidR="000664F1" w:rsidRPr="009C7A0A">
        <w:t xml:space="preserve"> </w:t>
      </w:r>
      <w:r w:rsidR="00F024A9" w:rsidRPr="009C7A0A">
        <w:t xml:space="preserve">uzturēta </w:t>
      </w:r>
      <w:r w:rsidR="000664F1" w:rsidRPr="009C7A0A">
        <w:t xml:space="preserve">apsūdzība pēc Krimināllikuma </w:t>
      </w:r>
      <w:r w:rsidR="0078248A" w:rsidRPr="009C7A0A">
        <w:t>146. panta otrās daļas</w:t>
      </w:r>
      <w:r w:rsidR="000664F1" w:rsidRPr="009C7A0A">
        <w:t xml:space="preserve"> par to, ka viņa</w:t>
      </w:r>
      <w:r w:rsidR="00441495" w:rsidRPr="009C7A0A">
        <w:t>,</w:t>
      </w:r>
      <w:r w:rsidR="000664F1" w:rsidRPr="009C7A0A">
        <w:t xml:space="preserve"> </w:t>
      </w:r>
      <w:r w:rsidR="00015D26" w:rsidRPr="009C7A0A">
        <w:rPr>
          <w:color w:val="000000"/>
        </w:rPr>
        <w:t>būdama persona, kas uzņēmumā atbildīga par darba aizsardzīb</w:t>
      </w:r>
      <w:r w:rsidR="00FA1B0B" w:rsidRPr="009C7A0A">
        <w:rPr>
          <w:color w:val="000000"/>
        </w:rPr>
        <w:t>u</w:t>
      </w:r>
      <w:r w:rsidR="00015D26" w:rsidRPr="009C7A0A">
        <w:rPr>
          <w:color w:val="000000"/>
        </w:rPr>
        <w:t xml:space="preserve"> reglamentējošo normatīvo aktu prasību ievērošanu, pārkāpa šo normatīvo aktu prasības, kas izraisīja </w:t>
      </w:r>
      <w:r w:rsidR="00640E20" w:rsidRPr="009C7A0A">
        <w:rPr>
          <w:color w:val="000000"/>
        </w:rPr>
        <w:t xml:space="preserve">smagus </w:t>
      </w:r>
      <w:r w:rsidR="00015D26" w:rsidRPr="009C7A0A">
        <w:rPr>
          <w:color w:val="000000"/>
        </w:rPr>
        <w:t xml:space="preserve">miesas bojājumus </w:t>
      </w:r>
      <w:r w:rsidR="00640E20" w:rsidRPr="009C7A0A">
        <w:rPr>
          <w:color w:val="000000"/>
        </w:rPr>
        <w:t>vairākiem cilvēkiem un cilvēku nāvi.</w:t>
      </w:r>
    </w:p>
    <w:p w14:paraId="17CF4A5F" w14:textId="082073D9" w:rsidR="002658F3" w:rsidRPr="009C7A0A" w:rsidRDefault="002658F3" w:rsidP="009C7A0A">
      <w:pPr>
        <w:autoSpaceDE w:val="0"/>
        <w:spacing w:line="276" w:lineRule="auto"/>
        <w:ind w:firstLine="720"/>
        <w:jc w:val="both"/>
      </w:pPr>
    </w:p>
    <w:p w14:paraId="0CE2C441" w14:textId="0A3BDDBE" w:rsidR="0049135A" w:rsidRPr="009C7A0A" w:rsidRDefault="0001058A" w:rsidP="00AA7886">
      <w:pPr>
        <w:widowControl w:val="0"/>
        <w:spacing w:line="276" w:lineRule="auto"/>
        <w:ind w:firstLine="720"/>
        <w:jc w:val="both"/>
        <w:rPr>
          <w:rFonts w:eastAsia="Calibri"/>
          <w:color w:val="000000" w:themeColor="text1"/>
        </w:rPr>
      </w:pPr>
      <w:r w:rsidRPr="009C7A0A">
        <w:t>[4]</w:t>
      </w:r>
      <w:r w:rsidR="00483246" w:rsidRPr="009C7A0A">
        <w:t> </w:t>
      </w:r>
      <w:r w:rsidRPr="009C7A0A">
        <w:t xml:space="preserve">Par </w:t>
      </w:r>
      <w:r w:rsidR="000664F1" w:rsidRPr="009C7A0A">
        <w:t xml:space="preserve">Rīgas apgabaltiesas 2023. gada 24. janvāra spriedumu </w:t>
      </w:r>
      <w:r w:rsidR="00091A50" w:rsidRPr="009C7A0A">
        <w:rPr>
          <w:rFonts w:eastAsia="Calibri"/>
          <w:color w:val="000000" w:themeColor="text1"/>
        </w:rPr>
        <w:t>Rīgas tiesas apgabala prokuratūras prokurors A. </w:t>
      </w:r>
      <w:proofErr w:type="spellStart"/>
      <w:r w:rsidR="00091A50" w:rsidRPr="009C7A0A">
        <w:rPr>
          <w:rFonts w:eastAsia="Calibri"/>
          <w:color w:val="000000" w:themeColor="text1"/>
        </w:rPr>
        <w:t>Skradailis</w:t>
      </w:r>
      <w:proofErr w:type="spellEnd"/>
      <w:r w:rsidR="00091A50" w:rsidRPr="009C7A0A">
        <w:rPr>
          <w:rFonts w:eastAsia="Calibri"/>
          <w:color w:val="000000" w:themeColor="text1"/>
        </w:rPr>
        <w:t xml:space="preserve"> iesniedzis kasācijas protestu, </w:t>
      </w:r>
      <w:r w:rsidR="00F4506B" w:rsidRPr="009C7A0A">
        <w:rPr>
          <w:rFonts w:eastAsia="Calibri"/>
          <w:color w:val="000000" w:themeColor="text1"/>
        </w:rPr>
        <w:t xml:space="preserve">apsūdzētais </w:t>
      </w:r>
      <w:r w:rsidR="007B7B41">
        <w:rPr>
          <w:rFonts w:eastAsia="Calibri"/>
          <w:color w:val="000000" w:themeColor="text1"/>
        </w:rPr>
        <w:t>[pers. A]</w:t>
      </w:r>
      <w:r w:rsidR="00F4506B" w:rsidRPr="009C7A0A">
        <w:rPr>
          <w:rFonts w:eastAsia="Calibri"/>
          <w:color w:val="000000" w:themeColor="text1"/>
        </w:rPr>
        <w:t xml:space="preserve"> un viņa aizstāvis A. Zvejsalnieks, cietušie </w:t>
      </w:r>
      <w:r w:rsidR="007B7B41">
        <w:rPr>
          <w:rFonts w:eastAsia="Calibri"/>
          <w:color w:val="000000" w:themeColor="text1"/>
        </w:rPr>
        <w:t>[pers. B]</w:t>
      </w:r>
      <w:r w:rsidR="00287D43" w:rsidRPr="009C7A0A">
        <w:rPr>
          <w:rFonts w:eastAsia="Calibri"/>
          <w:color w:val="000000" w:themeColor="text1"/>
        </w:rPr>
        <w:t xml:space="preserve">, </w:t>
      </w:r>
      <w:r w:rsidR="007B7B41">
        <w:rPr>
          <w:rFonts w:eastAsia="Calibri"/>
          <w:color w:val="000000" w:themeColor="text1"/>
        </w:rPr>
        <w:t>[pers. C]</w:t>
      </w:r>
      <w:r w:rsidR="00287D43" w:rsidRPr="009C7A0A">
        <w:rPr>
          <w:rFonts w:eastAsia="Calibri"/>
          <w:color w:val="000000" w:themeColor="text1"/>
        </w:rPr>
        <w:t xml:space="preserve">, </w:t>
      </w:r>
      <w:r w:rsidR="007B7B41">
        <w:rPr>
          <w:rFonts w:eastAsia="Calibri"/>
          <w:color w:val="000000" w:themeColor="text1"/>
        </w:rPr>
        <w:t>[pers. D]</w:t>
      </w:r>
      <w:r w:rsidR="00287D43" w:rsidRPr="009C7A0A">
        <w:rPr>
          <w:rFonts w:eastAsia="Calibri"/>
          <w:color w:val="000000" w:themeColor="text1"/>
        </w:rPr>
        <w:t xml:space="preserve">, </w:t>
      </w:r>
      <w:r w:rsidR="007B7B41">
        <w:rPr>
          <w:rFonts w:eastAsia="Calibri"/>
          <w:color w:val="000000" w:themeColor="text1"/>
        </w:rPr>
        <w:t>[pers. E]</w:t>
      </w:r>
      <w:r w:rsidR="00287D43" w:rsidRPr="009C7A0A">
        <w:rPr>
          <w:rFonts w:eastAsia="Calibri"/>
          <w:color w:val="000000" w:themeColor="text1"/>
        </w:rPr>
        <w:t xml:space="preserve">, </w:t>
      </w:r>
      <w:r w:rsidR="007B7B41">
        <w:rPr>
          <w:rFonts w:eastAsia="Calibri"/>
          <w:color w:val="000000" w:themeColor="text1"/>
        </w:rPr>
        <w:t>[pers. F]</w:t>
      </w:r>
      <w:r w:rsidR="00287D43" w:rsidRPr="009C7A0A">
        <w:rPr>
          <w:rFonts w:eastAsia="Calibri"/>
          <w:color w:val="000000" w:themeColor="text1"/>
        </w:rPr>
        <w:t xml:space="preserve">, </w:t>
      </w:r>
      <w:r w:rsidR="007B7B41">
        <w:rPr>
          <w:rFonts w:eastAsia="Calibri"/>
          <w:color w:val="000000" w:themeColor="text1"/>
        </w:rPr>
        <w:t>[pers. G]</w:t>
      </w:r>
      <w:r w:rsidR="00287D43" w:rsidRPr="009C7A0A">
        <w:rPr>
          <w:rFonts w:eastAsia="Calibri"/>
          <w:color w:val="000000" w:themeColor="text1"/>
        </w:rPr>
        <w:t xml:space="preserve">, </w:t>
      </w:r>
      <w:r w:rsidR="007B7B41">
        <w:rPr>
          <w:rFonts w:eastAsia="Calibri"/>
          <w:color w:val="000000" w:themeColor="text1"/>
        </w:rPr>
        <w:t>[pers. H]</w:t>
      </w:r>
      <w:r w:rsidR="00287D43" w:rsidRPr="009C7A0A">
        <w:rPr>
          <w:rFonts w:eastAsia="Calibri"/>
          <w:color w:val="000000" w:themeColor="text1"/>
        </w:rPr>
        <w:t xml:space="preserve">, </w:t>
      </w:r>
      <w:r w:rsidR="007B7B41">
        <w:rPr>
          <w:rFonts w:eastAsia="Calibri"/>
          <w:color w:val="000000" w:themeColor="text1"/>
        </w:rPr>
        <w:t>[pers. I]</w:t>
      </w:r>
      <w:r w:rsidR="00287D43" w:rsidRPr="009C7A0A">
        <w:rPr>
          <w:rFonts w:eastAsia="Calibri"/>
          <w:color w:val="000000" w:themeColor="text1"/>
        </w:rPr>
        <w:t xml:space="preserve">, </w:t>
      </w:r>
      <w:r w:rsidR="007B7B41">
        <w:rPr>
          <w:rFonts w:eastAsia="Calibri"/>
          <w:color w:val="000000" w:themeColor="text1"/>
        </w:rPr>
        <w:t>[pers. J]</w:t>
      </w:r>
      <w:r w:rsidR="00287D43" w:rsidRPr="009C7A0A">
        <w:rPr>
          <w:rFonts w:eastAsia="Calibri"/>
          <w:color w:val="000000" w:themeColor="text1"/>
        </w:rPr>
        <w:t xml:space="preserve">, </w:t>
      </w:r>
      <w:r w:rsidR="007B7B41">
        <w:rPr>
          <w:rFonts w:eastAsia="Calibri"/>
          <w:color w:val="000000" w:themeColor="text1"/>
        </w:rPr>
        <w:t>[pers. K]</w:t>
      </w:r>
      <w:r w:rsidR="009410D1" w:rsidRPr="009C7A0A">
        <w:rPr>
          <w:rFonts w:eastAsia="Calibri"/>
          <w:color w:val="000000" w:themeColor="text1"/>
        </w:rPr>
        <w:t xml:space="preserve">, </w:t>
      </w:r>
      <w:r w:rsidR="007B7B41">
        <w:rPr>
          <w:rFonts w:eastAsia="Calibri"/>
          <w:color w:val="000000" w:themeColor="text1"/>
        </w:rPr>
        <w:t>[pers. L]</w:t>
      </w:r>
      <w:r w:rsidR="009410D1" w:rsidRPr="009C7A0A">
        <w:rPr>
          <w:rFonts w:eastAsia="Calibri"/>
          <w:color w:val="000000" w:themeColor="text1"/>
        </w:rPr>
        <w:t xml:space="preserve">, </w:t>
      </w:r>
      <w:r w:rsidR="007B7B41">
        <w:rPr>
          <w:rFonts w:eastAsia="Calibri"/>
          <w:color w:val="000000" w:themeColor="text1"/>
        </w:rPr>
        <w:t>[pers. M]</w:t>
      </w:r>
      <w:r w:rsidR="009410D1" w:rsidRPr="009C7A0A">
        <w:rPr>
          <w:rFonts w:eastAsia="Calibri"/>
          <w:color w:val="000000" w:themeColor="text1"/>
        </w:rPr>
        <w:t xml:space="preserve">, </w:t>
      </w:r>
      <w:r w:rsidR="007B7B41">
        <w:rPr>
          <w:rFonts w:eastAsia="Calibri"/>
          <w:color w:val="000000" w:themeColor="text1"/>
        </w:rPr>
        <w:t>[pers. N]</w:t>
      </w:r>
      <w:r w:rsidR="003212E9" w:rsidRPr="009C7A0A">
        <w:rPr>
          <w:rFonts w:eastAsia="Calibri"/>
          <w:color w:val="000000" w:themeColor="text1"/>
        </w:rPr>
        <w:t xml:space="preserve">, </w:t>
      </w:r>
      <w:r w:rsidR="007B7B41">
        <w:rPr>
          <w:rFonts w:eastAsia="Calibri"/>
          <w:color w:val="000000" w:themeColor="text1"/>
        </w:rPr>
        <w:t>[pers. O]</w:t>
      </w:r>
      <w:r w:rsidR="003212E9" w:rsidRPr="009C7A0A">
        <w:rPr>
          <w:rFonts w:eastAsia="Calibri"/>
          <w:color w:val="000000" w:themeColor="text1"/>
        </w:rPr>
        <w:t xml:space="preserve">, </w:t>
      </w:r>
      <w:r w:rsidR="007B7B41">
        <w:rPr>
          <w:rFonts w:eastAsia="Calibri"/>
          <w:color w:val="000000" w:themeColor="text1"/>
        </w:rPr>
        <w:t>[pers. P]</w:t>
      </w:r>
      <w:r w:rsidR="003212E9" w:rsidRPr="009C7A0A">
        <w:rPr>
          <w:rFonts w:eastAsia="Calibri"/>
          <w:color w:val="000000" w:themeColor="text1"/>
        </w:rPr>
        <w:t xml:space="preserve">, </w:t>
      </w:r>
      <w:r w:rsidR="007B7B41">
        <w:rPr>
          <w:rFonts w:eastAsia="Calibri"/>
          <w:color w:val="000000" w:themeColor="text1"/>
        </w:rPr>
        <w:t>[pers. R]</w:t>
      </w:r>
      <w:r w:rsidR="003212E9" w:rsidRPr="009C7A0A">
        <w:rPr>
          <w:rFonts w:eastAsia="Calibri"/>
          <w:color w:val="000000" w:themeColor="text1"/>
        </w:rPr>
        <w:t xml:space="preserve">, </w:t>
      </w:r>
      <w:r w:rsidR="00AE77EA" w:rsidRPr="009C7A0A">
        <w:rPr>
          <w:rFonts w:eastAsia="Calibri"/>
          <w:color w:val="000000" w:themeColor="text1"/>
        </w:rPr>
        <w:t xml:space="preserve">cietušie </w:t>
      </w:r>
      <w:r w:rsidR="007B7B41">
        <w:rPr>
          <w:rFonts w:eastAsia="Calibri"/>
          <w:color w:val="000000" w:themeColor="text1"/>
        </w:rPr>
        <w:t xml:space="preserve">[pers. S] </w:t>
      </w:r>
      <w:r w:rsidR="00F4506B" w:rsidRPr="009C7A0A">
        <w:rPr>
          <w:rFonts w:eastAsia="Calibri"/>
          <w:color w:val="000000" w:themeColor="text1"/>
        </w:rPr>
        <w:t xml:space="preserve">un </w:t>
      </w:r>
      <w:r w:rsidR="007B7B41">
        <w:rPr>
          <w:rFonts w:eastAsia="Calibri"/>
          <w:color w:val="000000" w:themeColor="text1"/>
        </w:rPr>
        <w:t>[pers. T]</w:t>
      </w:r>
      <w:r w:rsidR="00F4506B" w:rsidRPr="009C7A0A">
        <w:rPr>
          <w:rFonts w:eastAsia="Calibri"/>
          <w:color w:val="000000" w:themeColor="text1"/>
        </w:rPr>
        <w:t xml:space="preserve">, </w:t>
      </w:r>
      <w:r w:rsidR="007B7B41">
        <w:rPr>
          <w:rFonts w:eastAsia="Calibri"/>
          <w:color w:val="000000" w:themeColor="text1"/>
        </w:rPr>
        <w:t>[pers. U]</w:t>
      </w:r>
      <w:r w:rsidR="00F4506B" w:rsidRPr="009C7A0A">
        <w:rPr>
          <w:rFonts w:eastAsia="Calibri"/>
          <w:color w:val="000000" w:themeColor="text1"/>
        </w:rPr>
        <w:t xml:space="preserve"> un </w:t>
      </w:r>
      <w:r w:rsidR="007B7B41">
        <w:rPr>
          <w:rFonts w:eastAsia="Calibri"/>
          <w:color w:val="000000" w:themeColor="text1"/>
        </w:rPr>
        <w:t>[pers. V]</w:t>
      </w:r>
      <w:r w:rsidR="00F4506B" w:rsidRPr="009C7A0A">
        <w:rPr>
          <w:rFonts w:eastAsia="Calibri"/>
          <w:color w:val="000000" w:themeColor="text1"/>
        </w:rPr>
        <w:t xml:space="preserve">, </w:t>
      </w:r>
      <w:r w:rsidR="007B7B41">
        <w:rPr>
          <w:rFonts w:eastAsia="Calibri"/>
          <w:color w:val="000000" w:themeColor="text1"/>
        </w:rPr>
        <w:t>[pers. Z]</w:t>
      </w:r>
      <w:r w:rsidR="00F4506B" w:rsidRPr="009C7A0A">
        <w:rPr>
          <w:rFonts w:eastAsia="Calibri"/>
          <w:color w:val="000000" w:themeColor="text1"/>
        </w:rPr>
        <w:t xml:space="preserve"> un </w:t>
      </w:r>
      <w:r w:rsidR="00AA7886">
        <w:rPr>
          <w:rFonts w:eastAsia="Calibri"/>
          <w:color w:val="000000" w:themeColor="text1"/>
        </w:rPr>
        <w:t>[pers. AA]</w:t>
      </w:r>
      <w:r w:rsidR="00F4506B" w:rsidRPr="009C7A0A">
        <w:rPr>
          <w:rFonts w:eastAsia="Calibri"/>
          <w:color w:val="000000" w:themeColor="text1"/>
        </w:rPr>
        <w:t xml:space="preserve">, </w:t>
      </w:r>
      <w:r w:rsidR="00AA7886">
        <w:rPr>
          <w:rFonts w:eastAsia="Calibri"/>
          <w:color w:val="000000" w:themeColor="text1"/>
        </w:rPr>
        <w:t>[pers. AB]</w:t>
      </w:r>
      <w:r w:rsidR="00F4506B" w:rsidRPr="009C7A0A">
        <w:rPr>
          <w:rFonts w:eastAsia="Calibri"/>
          <w:color w:val="000000" w:themeColor="text1"/>
        </w:rPr>
        <w:t xml:space="preserve"> un </w:t>
      </w:r>
      <w:r w:rsidR="00AA7886">
        <w:rPr>
          <w:rFonts w:eastAsia="Calibri"/>
          <w:color w:val="000000" w:themeColor="text1"/>
        </w:rPr>
        <w:t>[pers. AC]</w:t>
      </w:r>
      <w:r w:rsidR="00F4506B" w:rsidRPr="009C7A0A">
        <w:rPr>
          <w:rFonts w:eastAsia="Calibri"/>
          <w:color w:val="000000" w:themeColor="text1"/>
        </w:rPr>
        <w:t xml:space="preserve">, </w:t>
      </w:r>
      <w:r w:rsidR="00AA7886">
        <w:rPr>
          <w:rFonts w:eastAsia="Calibri"/>
          <w:color w:val="000000" w:themeColor="text1"/>
        </w:rPr>
        <w:t>[pers. AD]</w:t>
      </w:r>
      <w:r w:rsidR="00AE77EA" w:rsidRPr="009C7A0A">
        <w:rPr>
          <w:rFonts w:eastAsia="Calibri"/>
          <w:color w:val="000000" w:themeColor="text1"/>
        </w:rPr>
        <w:t xml:space="preserve"> un </w:t>
      </w:r>
      <w:r w:rsidR="00AA7886">
        <w:rPr>
          <w:rFonts w:eastAsia="Calibri"/>
          <w:color w:val="000000" w:themeColor="text1"/>
        </w:rPr>
        <w:t>[pers. AE]</w:t>
      </w:r>
      <w:r w:rsidR="00AE77EA" w:rsidRPr="009C7A0A">
        <w:rPr>
          <w:rFonts w:eastAsia="Calibri"/>
          <w:color w:val="000000" w:themeColor="text1"/>
        </w:rPr>
        <w:t xml:space="preserve">, cietušie </w:t>
      </w:r>
      <w:r w:rsidR="00AA7886">
        <w:rPr>
          <w:rFonts w:eastAsia="Calibri"/>
          <w:color w:val="000000" w:themeColor="text1"/>
        </w:rPr>
        <w:t>[pers. AF]</w:t>
      </w:r>
      <w:r w:rsidR="00F4506B" w:rsidRPr="009C7A0A">
        <w:rPr>
          <w:rFonts w:eastAsia="Calibri"/>
          <w:color w:val="000000" w:themeColor="text1"/>
        </w:rPr>
        <w:t xml:space="preserve">, </w:t>
      </w:r>
      <w:r w:rsidR="00AA7886">
        <w:rPr>
          <w:rFonts w:eastAsia="Calibri"/>
          <w:color w:val="000000" w:themeColor="text1"/>
        </w:rPr>
        <w:t>[pers. AG]</w:t>
      </w:r>
      <w:r w:rsidR="00AE77EA" w:rsidRPr="009C7A0A">
        <w:rPr>
          <w:rFonts w:eastAsia="Calibri"/>
          <w:color w:val="000000" w:themeColor="text1"/>
        </w:rPr>
        <w:t xml:space="preserve"> un </w:t>
      </w:r>
      <w:r w:rsidR="00AA7886">
        <w:rPr>
          <w:rFonts w:eastAsia="Calibri"/>
          <w:color w:val="000000" w:themeColor="text1"/>
        </w:rPr>
        <w:t>[pers. AH]</w:t>
      </w:r>
      <w:r w:rsidR="00F4506B" w:rsidRPr="009C7A0A">
        <w:rPr>
          <w:rFonts w:eastAsia="Calibri"/>
          <w:color w:val="000000" w:themeColor="text1"/>
        </w:rPr>
        <w:t xml:space="preserve">, </w:t>
      </w:r>
      <w:r w:rsidR="00AA7886">
        <w:rPr>
          <w:rFonts w:eastAsia="Calibri"/>
          <w:color w:val="000000" w:themeColor="text1"/>
        </w:rPr>
        <w:t>[pers. AI]</w:t>
      </w:r>
      <w:r w:rsidR="00F4506B" w:rsidRPr="009C7A0A">
        <w:rPr>
          <w:rFonts w:eastAsia="Calibri"/>
          <w:color w:val="000000" w:themeColor="text1"/>
        </w:rPr>
        <w:t xml:space="preserve">, </w:t>
      </w:r>
      <w:r w:rsidR="00AA7886">
        <w:rPr>
          <w:rFonts w:eastAsia="Calibri"/>
          <w:color w:val="000000" w:themeColor="text1"/>
        </w:rPr>
        <w:t>[pers. JA]</w:t>
      </w:r>
      <w:r w:rsidR="00F4506B" w:rsidRPr="009C7A0A">
        <w:rPr>
          <w:rFonts w:eastAsia="Calibri"/>
          <w:color w:val="000000" w:themeColor="text1"/>
        </w:rPr>
        <w:t xml:space="preserve"> un </w:t>
      </w:r>
      <w:r w:rsidR="00AA7886">
        <w:rPr>
          <w:rFonts w:eastAsia="Calibri"/>
          <w:color w:val="000000" w:themeColor="text1"/>
        </w:rPr>
        <w:t>[pers. AK]</w:t>
      </w:r>
      <w:r w:rsidR="00F4506B" w:rsidRPr="009C7A0A">
        <w:rPr>
          <w:rFonts w:eastAsia="Calibri"/>
          <w:color w:val="000000" w:themeColor="text1"/>
        </w:rPr>
        <w:t xml:space="preserve">, </w:t>
      </w:r>
      <w:r w:rsidR="00AA7886">
        <w:rPr>
          <w:rFonts w:eastAsia="Calibri"/>
          <w:color w:val="000000" w:themeColor="text1"/>
        </w:rPr>
        <w:t>[pers. AL]</w:t>
      </w:r>
      <w:r w:rsidR="00127688" w:rsidRPr="009C7A0A">
        <w:rPr>
          <w:rFonts w:eastAsia="Calibri"/>
          <w:color w:val="000000" w:themeColor="text1"/>
        </w:rPr>
        <w:t>,</w:t>
      </w:r>
      <w:r w:rsidR="00703960" w:rsidRPr="009C7A0A">
        <w:rPr>
          <w:rFonts w:eastAsia="Calibri"/>
          <w:color w:val="000000" w:themeColor="text1"/>
        </w:rPr>
        <w:t xml:space="preserve"> </w:t>
      </w:r>
      <w:r w:rsidR="00AA7886">
        <w:rPr>
          <w:rFonts w:eastAsia="Calibri"/>
          <w:color w:val="000000" w:themeColor="text1"/>
        </w:rPr>
        <w:t>[pers. AM]</w:t>
      </w:r>
      <w:r w:rsidR="00703960" w:rsidRPr="009C7A0A" w:rsidDel="00287D43">
        <w:rPr>
          <w:rFonts w:eastAsia="Calibri"/>
          <w:color w:val="000000" w:themeColor="text1"/>
        </w:rPr>
        <w:t xml:space="preserve"> </w:t>
      </w:r>
      <w:r w:rsidR="00127688" w:rsidRPr="009C7A0A">
        <w:rPr>
          <w:rFonts w:eastAsia="Calibri"/>
          <w:color w:val="000000" w:themeColor="text1"/>
        </w:rPr>
        <w:t xml:space="preserve">un </w:t>
      </w:r>
      <w:r w:rsidR="00AA7886">
        <w:rPr>
          <w:rFonts w:eastAsia="Calibri"/>
          <w:color w:val="000000" w:themeColor="text1"/>
        </w:rPr>
        <w:t>[pers. AN]</w:t>
      </w:r>
      <w:r w:rsidR="00127688" w:rsidRPr="009C7A0A">
        <w:rPr>
          <w:rFonts w:eastAsia="Calibri"/>
          <w:color w:val="000000" w:themeColor="text1"/>
        </w:rPr>
        <w:t>,</w:t>
      </w:r>
      <w:r w:rsidR="00127688" w:rsidRPr="009C7A0A" w:rsidDel="00287D43">
        <w:rPr>
          <w:rFonts w:eastAsia="Calibri"/>
          <w:color w:val="000000" w:themeColor="text1"/>
        </w:rPr>
        <w:t xml:space="preserve"> </w:t>
      </w:r>
      <w:r w:rsidR="00AA7886">
        <w:rPr>
          <w:rFonts w:eastAsia="Calibri"/>
          <w:color w:val="000000" w:themeColor="text1"/>
        </w:rPr>
        <w:t>[pers. AO]</w:t>
      </w:r>
      <w:r w:rsidR="00127688" w:rsidRPr="009C7A0A">
        <w:rPr>
          <w:rFonts w:eastAsia="Calibri"/>
          <w:color w:val="000000" w:themeColor="text1"/>
        </w:rPr>
        <w:t xml:space="preserve">, </w:t>
      </w:r>
      <w:r w:rsidR="00AA7886">
        <w:rPr>
          <w:rFonts w:eastAsia="Calibri"/>
          <w:color w:val="000000" w:themeColor="text1"/>
        </w:rPr>
        <w:t>[pers. AP]</w:t>
      </w:r>
      <w:r w:rsidR="00127688" w:rsidRPr="009C7A0A">
        <w:rPr>
          <w:rFonts w:eastAsia="Calibri"/>
          <w:color w:val="000000" w:themeColor="text1"/>
        </w:rPr>
        <w:t xml:space="preserve"> un </w:t>
      </w:r>
      <w:r w:rsidR="00AA7886">
        <w:rPr>
          <w:rFonts w:eastAsia="Calibri"/>
          <w:color w:val="000000" w:themeColor="text1"/>
        </w:rPr>
        <w:t>[pers. AR]</w:t>
      </w:r>
      <w:r w:rsidR="00127688" w:rsidRPr="009C7A0A">
        <w:rPr>
          <w:rFonts w:eastAsia="Calibri"/>
          <w:color w:val="000000" w:themeColor="text1"/>
        </w:rPr>
        <w:t>, cietuš</w:t>
      </w:r>
      <w:r w:rsidR="00F609CD" w:rsidRPr="009C7A0A">
        <w:rPr>
          <w:rFonts w:eastAsia="Calibri"/>
          <w:color w:val="000000" w:themeColor="text1"/>
        </w:rPr>
        <w:t>ie</w:t>
      </w:r>
      <w:r w:rsidR="00127688" w:rsidRPr="009C7A0A">
        <w:rPr>
          <w:rFonts w:eastAsia="Calibri"/>
          <w:color w:val="000000" w:themeColor="text1"/>
        </w:rPr>
        <w:t xml:space="preserve"> </w:t>
      </w:r>
      <w:r w:rsidR="00AA7886">
        <w:rPr>
          <w:rFonts w:eastAsia="Calibri"/>
          <w:color w:val="000000" w:themeColor="text1"/>
        </w:rPr>
        <w:lastRenderedPageBreak/>
        <w:t>[pers. AS]</w:t>
      </w:r>
      <w:r w:rsidR="00F609CD" w:rsidRPr="009C7A0A">
        <w:rPr>
          <w:rFonts w:eastAsia="Calibri"/>
          <w:color w:val="000000" w:themeColor="text1"/>
        </w:rPr>
        <w:t xml:space="preserve">, </w:t>
      </w:r>
      <w:r w:rsidR="00AA7886">
        <w:rPr>
          <w:rFonts w:eastAsia="Calibri"/>
          <w:color w:val="000000" w:themeColor="text1"/>
        </w:rPr>
        <w:t>[pers. AT]</w:t>
      </w:r>
      <w:r w:rsidR="00F4506B" w:rsidRPr="009C7A0A">
        <w:rPr>
          <w:rFonts w:eastAsia="Calibri"/>
          <w:color w:val="000000" w:themeColor="text1"/>
        </w:rPr>
        <w:t xml:space="preserve">, </w:t>
      </w:r>
      <w:r w:rsidR="00AA7886">
        <w:rPr>
          <w:rFonts w:eastAsia="Calibri"/>
          <w:color w:val="000000" w:themeColor="text1"/>
        </w:rPr>
        <w:t>[pers. AU]</w:t>
      </w:r>
      <w:r w:rsidR="00F4506B" w:rsidRPr="009C7A0A">
        <w:rPr>
          <w:rFonts w:eastAsia="Calibri"/>
          <w:color w:val="000000" w:themeColor="text1"/>
        </w:rPr>
        <w:t xml:space="preserve"> un </w:t>
      </w:r>
      <w:r w:rsidR="00AA7886">
        <w:rPr>
          <w:rFonts w:eastAsia="Calibri"/>
          <w:color w:val="000000" w:themeColor="text1"/>
        </w:rPr>
        <w:t>[pers. AV]</w:t>
      </w:r>
      <w:r w:rsidR="00F4506B" w:rsidRPr="009C7A0A">
        <w:rPr>
          <w:rFonts w:eastAsia="Calibri"/>
          <w:color w:val="000000" w:themeColor="text1"/>
        </w:rPr>
        <w:t xml:space="preserve">, </w:t>
      </w:r>
      <w:r w:rsidR="00F609CD" w:rsidRPr="009C7A0A">
        <w:rPr>
          <w:rFonts w:eastAsia="Calibri"/>
          <w:color w:val="000000" w:themeColor="text1"/>
        </w:rPr>
        <w:t xml:space="preserve">cietušie </w:t>
      </w:r>
      <w:r w:rsidR="00AA7886">
        <w:rPr>
          <w:rFonts w:eastAsia="Calibri"/>
          <w:color w:val="000000" w:themeColor="text1"/>
        </w:rPr>
        <w:t>[pers. AZ]</w:t>
      </w:r>
      <w:r w:rsidR="00F609CD" w:rsidRPr="009C7A0A">
        <w:rPr>
          <w:rFonts w:eastAsia="Calibri"/>
          <w:color w:val="000000" w:themeColor="text1"/>
        </w:rPr>
        <w:t>,</w:t>
      </w:r>
      <w:r w:rsidR="00F609CD" w:rsidRPr="009C7A0A" w:rsidDel="009410D1">
        <w:rPr>
          <w:rFonts w:eastAsia="Calibri"/>
          <w:color w:val="000000" w:themeColor="text1"/>
        </w:rPr>
        <w:t xml:space="preserve"> </w:t>
      </w:r>
      <w:r w:rsidR="00AA7886">
        <w:rPr>
          <w:rFonts w:eastAsia="Calibri"/>
          <w:color w:val="000000" w:themeColor="text1"/>
        </w:rPr>
        <w:t>[pers. BA]</w:t>
      </w:r>
      <w:r w:rsidR="00376EE5" w:rsidRPr="009C7A0A">
        <w:rPr>
          <w:rFonts w:eastAsia="Calibri"/>
          <w:color w:val="000000" w:themeColor="text1"/>
        </w:rPr>
        <w:t>,</w:t>
      </w:r>
      <w:r w:rsidR="00F4506B" w:rsidRPr="009C7A0A">
        <w:rPr>
          <w:rFonts w:eastAsia="Calibri"/>
          <w:color w:val="000000" w:themeColor="text1"/>
        </w:rPr>
        <w:t xml:space="preserve"> </w:t>
      </w:r>
      <w:r w:rsidR="00AA7886">
        <w:rPr>
          <w:rFonts w:eastAsia="Calibri"/>
          <w:color w:val="000000" w:themeColor="text1"/>
        </w:rPr>
        <w:t>[pers. BB]</w:t>
      </w:r>
      <w:r w:rsidR="00376EE5" w:rsidRPr="009C7A0A">
        <w:rPr>
          <w:rFonts w:eastAsia="Calibri"/>
          <w:color w:val="000000" w:themeColor="text1"/>
        </w:rPr>
        <w:t xml:space="preserve">, </w:t>
      </w:r>
      <w:r w:rsidR="00AA7886">
        <w:rPr>
          <w:rFonts w:eastAsia="Calibri"/>
          <w:color w:val="000000" w:themeColor="text1"/>
        </w:rPr>
        <w:t>[pers. BC]</w:t>
      </w:r>
      <w:r w:rsidR="00376EE5" w:rsidRPr="009C7A0A" w:rsidDel="00376EE5">
        <w:rPr>
          <w:rFonts w:eastAsia="Calibri"/>
          <w:color w:val="000000" w:themeColor="text1"/>
        </w:rPr>
        <w:t xml:space="preserve"> </w:t>
      </w:r>
      <w:r w:rsidR="00376EE5" w:rsidRPr="009C7A0A">
        <w:rPr>
          <w:rFonts w:eastAsia="Calibri"/>
          <w:color w:val="000000" w:themeColor="text1"/>
        </w:rPr>
        <w:t>un</w:t>
      </w:r>
      <w:r w:rsidR="00376EE5" w:rsidRPr="009C7A0A" w:rsidDel="00376EE5">
        <w:rPr>
          <w:rFonts w:eastAsia="Calibri"/>
          <w:color w:val="000000" w:themeColor="text1"/>
        </w:rPr>
        <w:t xml:space="preserve"> </w:t>
      </w:r>
      <w:r w:rsidR="00AA7886">
        <w:rPr>
          <w:rFonts w:eastAsia="Calibri"/>
          <w:color w:val="000000" w:themeColor="text1"/>
        </w:rPr>
        <w:t>[pers. BD]</w:t>
      </w:r>
      <w:r w:rsidR="00F4506B" w:rsidRPr="009C7A0A">
        <w:rPr>
          <w:rFonts w:eastAsia="Calibri"/>
          <w:color w:val="000000" w:themeColor="text1"/>
        </w:rPr>
        <w:t xml:space="preserve">, cietušās </w:t>
      </w:r>
      <w:r w:rsidR="00AA7886">
        <w:rPr>
          <w:rFonts w:eastAsia="Calibri"/>
          <w:color w:val="000000" w:themeColor="text1"/>
        </w:rPr>
        <w:t>[pers. BE]</w:t>
      </w:r>
      <w:r w:rsidR="00F4506B" w:rsidRPr="009C7A0A">
        <w:rPr>
          <w:rFonts w:eastAsia="Calibri"/>
          <w:color w:val="000000" w:themeColor="text1"/>
        </w:rPr>
        <w:t xml:space="preserve"> likumiskais pārstāvis </w:t>
      </w:r>
      <w:r w:rsidR="00AA7886">
        <w:rPr>
          <w:rFonts w:eastAsia="Calibri"/>
          <w:color w:val="000000" w:themeColor="text1"/>
        </w:rPr>
        <w:t>[pers. BF]</w:t>
      </w:r>
      <w:r w:rsidR="00F4506B" w:rsidRPr="009C7A0A">
        <w:rPr>
          <w:rFonts w:eastAsia="Calibri"/>
          <w:color w:val="000000" w:themeColor="text1"/>
        </w:rPr>
        <w:t xml:space="preserve">, cietušā </w:t>
      </w:r>
      <w:r w:rsidR="00AA7886">
        <w:rPr>
          <w:rFonts w:eastAsia="Calibri"/>
          <w:color w:val="000000" w:themeColor="text1"/>
        </w:rPr>
        <w:t>[pers. BG]</w:t>
      </w:r>
      <w:r w:rsidR="00F4506B" w:rsidRPr="009C7A0A">
        <w:rPr>
          <w:rFonts w:eastAsia="Calibri"/>
          <w:color w:val="000000" w:themeColor="text1"/>
        </w:rPr>
        <w:t xml:space="preserve"> pārstāve </w:t>
      </w:r>
      <w:r w:rsidR="00474A75" w:rsidRPr="009C7A0A">
        <w:rPr>
          <w:rFonts w:eastAsia="Calibri"/>
          <w:color w:val="000000" w:themeColor="text1"/>
        </w:rPr>
        <w:t xml:space="preserve">zvērināta advokāte </w:t>
      </w:r>
      <w:r w:rsidR="00F4506B" w:rsidRPr="009C7A0A">
        <w:rPr>
          <w:rFonts w:eastAsia="Calibri"/>
          <w:color w:val="000000" w:themeColor="text1"/>
        </w:rPr>
        <w:t>J. </w:t>
      </w:r>
      <w:proofErr w:type="spellStart"/>
      <w:r w:rsidR="00F4506B" w:rsidRPr="009C7A0A">
        <w:rPr>
          <w:rFonts w:eastAsia="Calibri"/>
          <w:color w:val="000000" w:themeColor="text1"/>
        </w:rPr>
        <w:t>Tverjanoviča-Bore</w:t>
      </w:r>
      <w:proofErr w:type="spellEnd"/>
      <w:r w:rsidR="00A2797E" w:rsidRPr="009C7A0A">
        <w:rPr>
          <w:rFonts w:eastAsia="Calibri"/>
          <w:color w:val="000000" w:themeColor="text1"/>
        </w:rPr>
        <w:t xml:space="preserve"> un</w:t>
      </w:r>
      <w:r w:rsidR="00F4506B" w:rsidRPr="009C7A0A">
        <w:rPr>
          <w:rFonts w:eastAsia="Calibri"/>
          <w:color w:val="000000" w:themeColor="text1"/>
        </w:rPr>
        <w:t xml:space="preserve"> </w:t>
      </w:r>
      <w:r w:rsidR="00A2797E" w:rsidRPr="009C7A0A">
        <w:t xml:space="preserve">mirušās apsūdzētās </w:t>
      </w:r>
      <w:r w:rsidR="00AA7886">
        <w:t>[pers. BH]</w:t>
      </w:r>
      <w:r w:rsidR="00A2797E" w:rsidRPr="009C7A0A">
        <w:t xml:space="preserve"> aizstāve I. Timermane </w:t>
      </w:r>
      <w:r w:rsidR="0049135A" w:rsidRPr="009C7A0A">
        <w:rPr>
          <w:rFonts w:eastAsia="Calibri"/>
          <w:color w:val="000000" w:themeColor="text1"/>
        </w:rPr>
        <w:t xml:space="preserve">iesnieguši </w:t>
      </w:r>
      <w:r w:rsidR="0049135A" w:rsidRPr="009C7A0A">
        <w:t>kasācijas sūdzības.</w:t>
      </w:r>
    </w:p>
    <w:p w14:paraId="307A6B02" w14:textId="77777777" w:rsidR="00091A50" w:rsidRPr="009C7A0A" w:rsidRDefault="00091A50" w:rsidP="009C7A0A">
      <w:pPr>
        <w:widowControl w:val="0"/>
        <w:spacing w:line="276" w:lineRule="auto"/>
        <w:ind w:firstLine="720"/>
        <w:jc w:val="both"/>
        <w:rPr>
          <w:rFonts w:eastAsia="Calibri"/>
          <w:bCs/>
          <w:color w:val="000000" w:themeColor="text1"/>
        </w:rPr>
      </w:pPr>
    </w:p>
    <w:p w14:paraId="73742EA8" w14:textId="77777777" w:rsidR="00D80E45" w:rsidRPr="009C7A0A" w:rsidRDefault="008B7E58" w:rsidP="009C7A0A">
      <w:pPr>
        <w:widowControl w:val="0"/>
        <w:spacing w:line="276" w:lineRule="auto"/>
        <w:ind w:firstLine="720"/>
        <w:jc w:val="both"/>
        <w:rPr>
          <w:rFonts w:eastAsia="Calibri"/>
          <w:color w:val="000000" w:themeColor="text1"/>
        </w:rPr>
      </w:pPr>
      <w:r w:rsidRPr="009C7A0A">
        <w:rPr>
          <w:rFonts w:eastAsia="Calibri"/>
          <w:bCs/>
          <w:color w:val="000000" w:themeColor="text1"/>
        </w:rPr>
        <w:t>[5] P</w:t>
      </w:r>
      <w:r w:rsidRPr="009C7A0A">
        <w:rPr>
          <w:rFonts w:eastAsia="Calibri"/>
          <w:color w:val="000000" w:themeColor="text1"/>
        </w:rPr>
        <w:t>rokurors A. </w:t>
      </w:r>
      <w:proofErr w:type="spellStart"/>
      <w:r w:rsidRPr="009C7A0A">
        <w:rPr>
          <w:rFonts w:eastAsia="Calibri"/>
          <w:color w:val="000000" w:themeColor="text1"/>
        </w:rPr>
        <w:t>Skradailis</w:t>
      </w:r>
      <w:proofErr w:type="spellEnd"/>
      <w:r w:rsidRPr="009C7A0A">
        <w:rPr>
          <w:rFonts w:eastAsia="Calibri"/>
          <w:color w:val="000000" w:themeColor="text1"/>
        </w:rPr>
        <w:t xml:space="preserve"> kasācijas protestā lūdz atcelt apelācijas instances tiesas spriedumu daļā</w:t>
      </w:r>
      <w:r w:rsidR="006328BE" w:rsidRPr="009C7A0A">
        <w:rPr>
          <w:rFonts w:eastAsia="Calibri"/>
          <w:color w:val="000000" w:themeColor="text1"/>
        </w:rPr>
        <w:t xml:space="preserve"> par</w:t>
      </w:r>
      <w:r w:rsidR="00F1320D" w:rsidRPr="009C7A0A">
        <w:rPr>
          <w:rFonts w:eastAsia="Calibri"/>
          <w:color w:val="000000" w:themeColor="text1"/>
        </w:rPr>
        <w:t>:</w:t>
      </w:r>
    </w:p>
    <w:p w14:paraId="6AAD24FF" w14:textId="02B007E1" w:rsidR="00D80E45" w:rsidRPr="009C7A0A" w:rsidRDefault="00751338" w:rsidP="00860F1D">
      <w:pPr>
        <w:widowControl w:val="0"/>
        <w:spacing w:line="276" w:lineRule="auto"/>
        <w:ind w:firstLine="720"/>
        <w:jc w:val="both"/>
        <w:rPr>
          <w:rFonts w:eastAsia="Calibri"/>
          <w:color w:val="000000" w:themeColor="text1"/>
        </w:rPr>
      </w:pPr>
      <w:r w:rsidRPr="009C7A0A">
        <w:rPr>
          <w:rFonts w:eastAsia="Calibri"/>
          <w:color w:val="000000" w:themeColor="text1"/>
        </w:rPr>
        <w:t xml:space="preserve">apsūdzētā </w:t>
      </w:r>
      <w:r w:rsidR="00860F1D">
        <w:rPr>
          <w:rFonts w:eastAsia="Calibri"/>
          <w:color w:val="000000" w:themeColor="text1"/>
        </w:rPr>
        <w:t>[pers. A]</w:t>
      </w:r>
      <w:r w:rsidRPr="009C7A0A">
        <w:rPr>
          <w:rFonts w:eastAsia="Calibri"/>
          <w:color w:val="000000" w:themeColor="text1"/>
        </w:rPr>
        <w:t xml:space="preserve"> atzīšanu par vainīgu</w:t>
      </w:r>
      <w:r w:rsidR="001C69DC" w:rsidRPr="009C7A0A">
        <w:rPr>
          <w:rFonts w:eastAsia="Calibri"/>
          <w:color w:val="000000" w:themeColor="text1"/>
        </w:rPr>
        <w:t xml:space="preserve"> </w:t>
      </w:r>
      <w:r w:rsidR="00EE0C62" w:rsidRPr="009C7A0A">
        <w:rPr>
          <w:rFonts w:eastAsia="Calibri"/>
          <w:color w:val="000000" w:themeColor="text1"/>
        </w:rPr>
        <w:t xml:space="preserve">un sodīšanu </w:t>
      </w:r>
      <w:r w:rsidR="001C69DC" w:rsidRPr="009C7A0A">
        <w:rPr>
          <w:rFonts w:eastAsia="Calibri"/>
          <w:color w:val="000000" w:themeColor="text1"/>
        </w:rPr>
        <w:t xml:space="preserve">pēc </w:t>
      </w:r>
      <w:r w:rsidRPr="009C7A0A">
        <w:rPr>
          <w:rFonts w:eastAsia="Calibri"/>
          <w:color w:val="000000" w:themeColor="text1"/>
        </w:rPr>
        <w:t>Krimināllikuma 239. panta otrā</w:t>
      </w:r>
      <w:r w:rsidR="001C69DC" w:rsidRPr="009C7A0A">
        <w:rPr>
          <w:rFonts w:eastAsia="Calibri"/>
          <w:color w:val="000000" w:themeColor="text1"/>
        </w:rPr>
        <w:t>s</w:t>
      </w:r>
      <w:r w:rsidRPr="009C7A0A">
        <w:rPr>
          <w:rFonts w:eastAsia="Calibri"/>
          <w:color w:val="000000" w:themeColor="text1"/>
        </w:rPr>
        <w:t xml:space="preserve"> daļ</w:t>
      </w:r>
      <w:r w:rsidR="001C69DC" w:rsidRPr="009C7A0A">
        <w:rPr>
          <w:rFonts w:eastAsia="Calibri"/>
          <w:color w:val="000000" w:themeColor="text1"/>
        </w:rPr>
        <w:t>as</w:t>
      </w:r>
      <w:r w:rsidR="00EE0C62" w:rsidRPr="009C7A0A">
        <w:rPr>
          <w:rFonts w:eastAsia="Calibri"/>
          <w:color w:val="000000" w:themeColor="text1"/>
        </w:rPr>
        <w:t>,</w:t>
      </w:r>
      <w:r w:rsidRPr="009C7A0A">
        <w:rPr>
          <w:rFonts w:eastAsia="Calibri"/>
          <w:color w:val="000000" w:themeColor="text1"/>
        </w:rPr>
        <w:t xml:space="preserve"> 123. panta otrā</w:t>
      </w:r>
      <w:r w:rsidR="001C69DC" w:rsidRPr="009C7A0A">
        <w:rPr>
          <w:rFonts w:eastAsia="Calibri"/>
          <w:color w:val="000000" w:themeColor="text1"/>
        </w:rPr>
        <w:t>s</w:t>
      </w:r>
      <w:r w:rsidRPr="009C7A0A">
        <w:rPr>
          <w:rFonts w:eastAsia="Calibri"/>
          <w:color w:val="000000" w:themeColor="text1"/>
        </w:rPr>
        <w:t xml:space="preserve"> daļ</w:t>
      </w:r>
      <w:r w:rsidR="001C69DC" w:rsidRPr="009C7A0A">
        <w:rPr>
          <w:rFonts w:eastAsia="Calibri"/>
          <w:color w:val="000000" w:themeColor="text1"/>
        </w:rPr>
        <w:t>as</w:t>
      </w:r>
      <w:r w:rsidR="00EE0C62" w:rsidRPr="009C7A0A">
        <w:rPr>
          <w:rFonts w:eastAsia="Calibri"/>
          <w:color w:val="000000" w:themeColor="text1"/>
        </w:rPr>
        <w:t xml:space="preserve"> </w:t>
      </w:r>
      <w:r w:rsidR="00477D52" w:rsidRPr="009C7A0A">
        <w:rPr>
          <w:rFonts w:eastAsia="Calibri"/>
          <w:color w:val="000000" w:themeColor="text1"/>
        </w:rPr>
        <w:t xml:space="preserve">un </w:t>
      </w:r>
      <w:r w:rsidR="00860F1D">
        <w:rPr>
          <w:rFonts w:eastAsia="Calibri"/>
          <w:color w:val="000000" w:themeColor="text1"/>
        </w:rPr>
        <w:t>[pers. A]</w:t>
      </w:r>
      <w:r w:rsidR="004E099B" w:rsidRPr="009C7A0A">
        <w:rPr>
          <w:rFonts w:eastAsia="Calibri"/>
          <w:color w:val="000000" w:themeColor="text1"/>
        </w:rPr>
        <w:t xml:space="preserve"> noteikto </w:t>
      </w:r>
      <w:r w:rsidR="0032414E" w:rsidRPr="009C7A0A">
        <w:rPr>
          <w:rFonts w:eastAsia="Calibri"/>
          <w:color w:val="000000" w:themeColor="text1"/>
        </w:rPr>
        <w:t>galīgo sodu</w:t>
      </w:r>
      <w:r w:rsidR="00F1320D" w:rsidRPr="009C7A0A">
        <w:rPr>
          <w:rFonts w:eastAsia="Calibri"/>
          <w:color w:val="000000" w:themeColor="text1"/>
        </w:rPr>
        <w:t>;</w:t>
      </w:r>
    </w:p>
    <w:p w14:paraId="482EE85A" w14:textId="15D97C01" w:rsidR="00D80E45" w:rsidRPr="009C7A0A" w:rsidRDefault="00860F1D" w:rsidP="009C7A0A">
      <w:pPr>
        <w:widowControl w:val="0"/>
        <w:spacing w:line="276" w:lineRule="auto"/>
        <w:ind w:firstLine="720"/>
        <w:jc w:val="both"/>
        <w:rPr>
          <w:rFonts w:eastAsia="Calibri"/>
          <w:color w:val="000000" w:themeColor="text1"/>
        </w:rPr>
      </w:pPr>
      <w:r>
        <w:rPr>
          <w:rFonts w:eastAsia="Calibri"/>
          <w:color w:val="000000" w:themeColor="text1"/>
        </w:rPr>
        <w:t>[Pers. BI]</w:t>
      </w:r>
      <w:r w:rsidR="00751338" w:rsidRPr="009C7A0A">
        <w:rPr>
          <w:rFonts w:eastAsia="Calibri"/>
          <w:color w:val="000000" w:themeColor="text1"/>
        </w:rPr>
        <w:t xml:space="preserve">, </w:t>
      </w:r>
      <w:r>
        <w:rPr>
          <w:rFonts w:eastAsia="Calibri"/>
          <w:color w:val="000000" w:themeColor="text1"/>
        </w:rPr>
        <w:t>[pers. BJ]</w:t>
      </w:r>
      <w:r w:rsidR="00751338" w:rsidRPr="009C7A0A">
        <w:rPr>
          <w:rFonts w:eastAsia="Calibri"/>
          <w:color w:val="000000" w:themeColor="text1"/>
        </w:rPr>
        <w:t xml:space="preserve">, </w:t>
      </w:r>
      <w:r>
        <w:rPr>
          <w:rFonts w:eastAsia="Calibri"/>
          <w:color w:val="000000" w:themeColor="text1"/>
        </w:rPr>
        <w:t>[pers. BK]</w:t>
      </w:r>
      <w:r w:rsidR="00751338" w:rsidRPr="009C7A0A">
        <w:rPr>
          <w:rFonts w:eastAsia="Calibri"/>
          <w:color w:val="000000" w:themeColor="text1"/>
        </w:rPr>
        <w:t xml:space="preserve"> un </w:t>
      </w:r>
      <w:r>
        <w:rPr>
          <w:rFonts w:eastAsia="Calibri"/>
          <w:color w:val="000000" w:themeColor="text1"/>
        </w:rPr>
        <w:t>[pers. BL]</w:t>
      </w:r>
      <w:r w:rsidR="00751338" w:rsidRPr="009C7A0A">
        <w:rPr>
          <w:rFonts w:eastAsia="Calibri"/>
          <w:color w:val="000000" w:themeColor="text1"/>
        </w:rPr>
        <w:t xml:space="preserve"> atzīšanu par nevainīgiem pret viņiem celtajā apsūdzībā pēc Krimināllikuma 239.</w:t>
      </w:r>
      <w:r w:rsidR="0032414E" w:rsidRPr="009C7A0A">
        <w:rPr>
          <w:rFonts w:eastAsia="Calibri"/>
          <w:color w:val="000000" w:themeColor="text1"/>
        </w:rPr>
        <w:t> </w:t>
      </w:r>
      <w:r w:rsidR="00751338" w:rsidRPr="009C7A0A">
        <w:rPr>
          <w:rFonts w:eastAsia="Calibri"/>
          <w:color w:val="000000" w:themeColor="text1"/>
        </w:rPr>
        <w:t>panta otrās daļas, 123.</w:t>
      </w:r>
      <w:r w:rsidR="0032414E" w:rsidRPr="009C7A0A">
        <w:rPr>
          <w:rFonts w:eastAsia="Calibri"/>
          <w:color w:val="000000" w:themeColor="text1"/>
        </w:rPr>
        <w:t> </w:t>
      </w:r>
      <w:r w:rsidR="00751338" w:rsidRPr="009C7A0A">
        <w:rPr>
          <w:rFonts w:eastAsia="Calibri"/>
          <w:color w:val="000000" w:themeColor="text1"/>
        </w:rPr>
        <w:t>panta otrās daļas un attaisnošanu</w:t>
      </w:r>
      <w:r w:rsidR="00F1320D" w:rsidRPr="009C7A0A">
        <w:rPr>
          <w:rFonts w:eastAsia="Calibri"/>
          <w:color w:val="000000" w:themeColor="text1"/>
        </w:rPr>
        <w:t>;</w:t>
      </w:r>
    </w:p>
    <w:p w14:paraId="3CAF88CB" w14:textId="1B187860" w:rsidR="00D80E45" w:rsidRPr="009C7A0A" w:rsidRDefault="00571FB6" w:rsidP="009C7A0A">
      <w:pPr>
        <w:widowControl w:val="0"/>
        <w:spacing w:line="276" w:lineRule="auto"/>
        <w:ind w:firstLine="720"/>
        <w:jc w:val="both"/>
        <w:rPr>
          <w:rFonts w:eastAsia="Calibri"/>
          <w:color w:val="000000" w:themeColor="text1"/>
        </w:rPr>
      </w:pPr>
      <w:r>
        <w:rPr>
          <w:rFonts w:eastAsia="Calibri"/>
          <w:color w:val="000000" w:themeColor="text1"/>
        </w:rPr>
        <w:t>[Pers. BM]</w:t>
      </w:r>
      <w:r w:rsidR="00751338" w:rsidRPr="009C7A0A">
        <w:rPr>
          <w:rFonts w:eastAsia="Calibri"/>
          <w:color w:val="000000" w:themeColor="text1"/>
        </w:rPr>
        <w:t xml:space="preserve"> un </w:t>
      </w:r>
      <w:r>
        <w:rPr>
          <w:rFonts w:eastAsia="Calibri"/>
          <w:color w:val="000000" w:themeColor="text1"/>
        </w:rPr>
        <w:t xml:space="preserve">[pers. BN] </w:t>
      </w:r>
      <w:r w:rsidR="00751338" w:rsidRPr="009C7A0A">
        <w:rPr>
          <w:rFonts w:eastAsia="Calibri"/>
          <w:color w:val="000000" w:themeColor="text1"/>
        </w:rPr>
        <w:t>atzīšanu par nevainīgiem pret viņiem celtajā apsūdzībā pēc Krimināllikuma 319.</w:t>
      </w:r>
      <w:r w:rsidR="0032414E" w:rsidRPr="009C7A0A">
        <w:rPr>
          <w:rFonts w:eastAsia="Calibri"/>
          <w:color w:val="000000" w:themeColor="text1"/>
        </w:rPr>
        <w:t> </w:t>
      </w:r>
      <w:r w:rsidR="00751338" w:rsidRPr="009C7A0A">
        <w:rPr>
          <w:rFonts w:eastAsia="Calibri"/>
          <w:color w:val="000000" w:themeColor="text1"/>
        </w:rPr>
        <w:t>panta trešās daļas un attaisnošanu</w:t>
      </w:r>
      <w:r w:rsidR="00F1320D" w:rsidRPr="009C7A0A">
        <w:rPr>
          <w:rFonts w:eastAsia="Calibri"/>
          <w:color w:val="000000" w:themeColor="text1"/>
        </w:rPr>
        <w:t>;</w:t>
      </w:r>
    </w:p>
    <w:p w14:paraId="1A3DE492" w14:textId="5845421D" w:rsidR="00F1320D" w:rsidRPr="009C7A0A" w:rsidRDefault="00073CB9" w:rsidP="009C7A0A">
      <w:pPr>
        <w:widowControl w:val="0"/>
        <w:spacing w:line="276" w:lineRule="auto"/>
        <w:ind w:firstLine="720"/>
        <w:jc w:val="both"/>
        <w:rPr>
          <w:rFonts w:eastAsia="Calibri"/>
          <w:color w:val="000000" w:themeColor="text1"/>
        </w:rPr>
      </w:pPr>
      <w:r>
        <w:rPr>
          <w:rFonts w:eastAsia="Calibri"/>
          <w:color w:val="000000" w:themeColor="text1"/>
        </w:rPr>
        <w:t>[Pers. BO]</w:t>
      </w:r>
      <w:r w:rsidR="00751338" w:rsidRPr="009C7A0A">
        <w:rPr>
          <w:rFonts w:eastAsia="Calibri"/>
          <w:color w:val="000000" w:themeColor="text1"/>
        </w:rPr>
        <w:t xml:space="preserve"> atzīšanu par nevainīgu pret viņu celtajā apsūdzībā pēc Krimināllikuma 146.</w:t>
      </w:r>
      <w:r w:rsidR="0032414E" w:rsidRPr="009C7A0A">
        <w:rPr>
          <w:rFonts w:eastAsia="Calibri"/>
          <w:color w:val="000000" w:themeColor="text1"/>
        </w:rPr>
        <w:t> </w:t>
      </w:r>
      <w:r w:rsidR="00751338" w:rsidRPr="009C7A0A">
        <w:rPr>
          <w:rFonts w:eastAsia="Calibri"/>
          <w:color w:val="000000" w:themeColor="text1"/>
        </w:rPr>
        <w:t>panta otrās daļas un attaisnošanu</w:t>
      </w:r>
      <w:r w:rsidR="00F1320D" w:rsidRPr="009C7A0A">
        <w:rPr>
          <w:rFonts w:eastAsia="Calibri"/>
          <w:color w:val="000000" w:themeColor="text1"/>
        </w:rPr>
        <w:t>;</w:t>
      </w:r>
    </w:p>
    <w:p w14:paraId="358AF175" w14:textId="39CDF4E4" w:rsidR="00F1320D" w:rsidRPr="009C7A0A" w:rsidRDefault="00751338" w:rsidP="009C7A0A">
      <w:pPr>
        <w:widowControl w:val="0"/>
        <w:spacing w:line="276" w:lineRule="auto"/>
        <w:ind w:firstLine="720"/>
        <w:jc w:val="both"/>
        <w:rPr>
          <w:rFonts w:eastAsia="Calibri"/>
          <w:color w:val="000000" w:themeColor="text1"/>
        </w:rPr>
      </w:pPr>
      <w:r w:rsidRPr="009C7A0A">
        <w:rPr>
          <w:rFonts w:eastAsia="Calibri"/>
          <w:color w:val="000000" w:themeColor="text1"/>
        </w:rPr>
        <w:t>kriminālprocesa izbeigšanu daļā par piespiedu ietekmēšanas līdzekļ</w:t>
      </w:r>
      <w:r w:rsidR="00591580" w:rsidRPr="009C7A0A">
        <w:rPr>
          <w:rFonts w:eastAsia="Calibri"/>
          <w:color w:val="000000" w:themeColor="text1"/>
        </w:rPr>
        <w:t>a</w:t>
      </w:r>
      <w:r w:rsidRPr="009C7A0A">
        <w:rPr>
          <w:rFonts w:eastAsia="Calibri"/>
          <w:color w:val="000000" w:themeColor="text1"/>
        </w:rPr>
        <w:t xml:space="preserve"> piemērošanu </w:t>
      </w:r>
      <w:r w:rsidR="001455EA" w:rsidRPr="009C7A0A">
        <w:rPr>
          <w:rFonts w:eastAsia="Calibri"/>
          <w:color w:val="000000" w:themeColor="text1"/>
        </w:rPr>
        <w:t xml:space="preserve">juridiskajām personām </w:t>
      </w:r>
      <w:r w:rsidR="0032414E" w:rsidRPr="009C7A0A">
        <w:rPr>
          <w:rFonts w:eastAsia="Calibri"/>
          <w:color w:val="000000" w:themeColor="text1"/>
        </w:rPr>
        <w:t>SIA „</w:t>
      </w:r>
      <w:r w:rsidR="001169AB">
        <w:rPr>
          <w:rFonts w:eastAsia="Calibri"/>
          <w:color w:val="000000" w:themeColor="text1"/>
        </w:rPr>
        <w:t>[Nosaukums B]</w:t>
      </w:r>
      <w:r w:rsidR="0032414E" w:rsidRPr="009C7A0A">
        <w:rPr>
          <w:rFonts w:eastAsia="Calibri"/>
          <w:color w:val="000000" w:themeColor="text1"/>
        </w:rPr>
        <w:t>”, SIA „</w:t>
      </w:r>
      <w:r w:rsidR="001169AB">
        <w:rPr>
          <w:rFonts w:eastAsia="Calibri"/>
          <w:color w:val="000000" w:themeColor="text1"/>
        </w:rPr>
        <w:t>[Nosaukums C]</w:t>
      </w:r>
      <w:r w:rsidR="0032414E" w:rsidRPr="009C7A0A">
        <w:rPr>
          <w:rFonts w:eastAsia="Calibri"/>
          <w:color w:val="000000" w:themeColor="text1"/>
        </w:rPr>
        <w:t>”, SIA „</w:t>
      </w:r>
      <w:r w:rsidR="001169AB">
        <w:rPr>
          <w:rFonts w:eastAsia="Calibri"/>
          <w:color w:val="000000" w:themeColor="text1"/>
        </w:rPr>
        <w:t>[Nosaukums D]</w:t>
      </w:r>
      <w:r w:rsidR="0032414E" w:rsidRPr="009C7A0A">
        <w:rPr>
          <w:rFonts w:eastAsia="Calibri"/>
          <w:color w:val="000000" w:themeColor="text1"/>
        </w:rPr>
        <w:t>”, SIA „</w:t>
      </w:r>
      <w:r w:rsidR="001169AB">
        <w:rPr>
          <w:rFonts w:eastAsia="Calibri"/>
          <w:color w:val="000000" w:themeColor="text1"/>
        </w:rPr>
        <w:t>[Nosaukums E]</w:t>
      </w:r>
      <w:r w:rsidR="0032414E" w:rsidRPr="009C7A0A">
        <w:rPr>
          <w:rFonts w:eastAsia="Calibri"/>
          <w:color w:val="000000" w:themeColor="text1"/>
        </w:rPr>
        <w:t>”</w:t>
      </w:r>
      <w:r w:rsidR="00F1320D" w:rsidRPr="009C7A0A">
        <w:rPr>
          <w:rFonts w:eastAsia="Calibri"/>
          <w:color w:val="000000" w:themeColor="text1"/>
        </w:rPr>
        <w:t>;</w:t>
      </w:r>
    </w:p>
    <w:p w14:paraId="2223FCDA" w14:textId="649AA89C" w:rsidR="00D80E45" w:rsidRPr="009C7A0A" w:rsidRDefault="00751338" w:rsidP="009C7A0A">
      <w:pPr>
        <w:widowControl w:val="0"/>
        <w:spacing w:line="276" w:lineRule="auto"/>
        <w:ind w:firstLine="720"/>
        <w:jc w:val="both"/>
        <w:rPr>
          <w:rFonts w:eastAsia="Calibri"/>
          <w:color w:val="000000" w:themeColor="text1"/>
        </w:rPr>
      </w:pPr>
      <w:r w:rsidRPr="009C7A0A">
        <w:rPr>
          <w:rFonts w:eastAsia="Calibri"/>
          <w:color w:val="000000" w:themeColor="text1"/>
        </w:rPr>
        <w:t xml:space="preserve">procesuālo izdevumu, kas saistīti ar </w:t>
      </w:r>
      <w:r w:rsidR="00F84786" w:rsidRPr="009C7A0A">
        <w:rPr>
          <w:rFonts w:eastAsia="Calibri"/>
          <w:color w:val="000000" w:themeColor="text1"/>
        </w:rPr>
        <w:t xml:space="preserve">zvērinātas </w:t>
      </w:r>
      <w:r w:rsidRPr="009C7A0A">
        <w:rPr>
          <w:rFonts w:eastAsia="Calibri"/>
          <w:color w:val="000000" w:themeColor="text1"/>
        </w:rPr>
        <w:t xml:space="preserve">advokātes </w:t>
      </w:r>
      <w:r w:rsidR="008F15AE" w:rsidRPr="009C7A0A">
        <w:rPr>
          <w:rFonts w:eastAsia="Calibri"/>
          <w:color w:val="000000" w:themeColor="text1"/>
        </w:rPr>
        <w:t>A. </w:t>
      </w:r>
      <w:r w:rsidRPr="009C7A0A">
        <w:rPr>
          <w:rFonts w:eastAsia="Calibri"/>
          <w:color w:val="000000" w:themeColor="text1"/>
        </w:rPr>
        <w:t>Bērziņas piedalīšanos apelācijas instances tiesā</w:t>
      </w:r>
      <w:r w:rsidR="00F84786" w:rsidRPr="009C7A0A">
        <w:rPr>
          <w:rFonts w:eastAsia="Calibri"/>
          <w:color w:val="000000" w:themeColor="text1"/>
        </w:rPr>
        <w:t>, segšanu no valsts līdzekļiem</w:t>
      </w:r>
      <w:r w:rsidR="00F1320D" w:rsidRPr="009C7A0A">
        <w:rPr>
          <w:rFonts w:eastAsia="Calibri"/>
          <w:color w:val="000000" w:themeColor="text1"/>
        </w:rPr>
        <w:t>;</w:t>
      </w:r>
    </w:p>
    <w:p w14:paraId="3EE318AA" w14:textId="77777777" w:rsidR="00D80E45" w:rsidRPr="009C7A0A" w:rsidRDefault="00F84786" w:rsidP="009C7A0A">
      <w:pPr>
        <w:widowControl w:val="0"/>
        <w:spacing w:line="276" w:lineRule="auto"/>
        <w:ind w:firstLine="720"/>
        <w:jc w:val="both"/>
        <w:rPr>
          <w:color w:val="000000" w:themeColor="text1"/>
        </w:rPr>
      </w:pPr>
      <w:r w:rsidRPr="009C7A0A">
        <w:rPr>
          <w:rFonts w:eastAsia="Calibri"/>
          <w:color w:val="000000" w:themeColor="text1"/>
        </w:rPr>
        <w:t xml:space="preserve">un </w:t>
      </w:r>
      <w:r w:rsidR="002775F0" w:rsidRPr="009C7A0A">
        <w:rPr>
          <w:color w:val="000000" w:themeColor="text1"/>
        </w:rPr>
        <w:t xml:space="preserve">šajā daļā </w:t>
      </w:r>
      <w:r w:rsidR="008B7E58" w:rsidRPr="009C7A0A">
        <w:rPr>
          <w:color w:val="000000" w:themeColor="text1"/>
        </w:rPr>
        <w:t>nosūtīt lietu jaunai izskatīšanai apelācijas instances tiesā</w:t>
      </w:r>
      <w:r w:rsidR="00F1320D" w:rsidRPr="009C7A0A">
        <w:rPr>
          <w:color w:val="000000" w:themeColor="text1"/>
        </w:rPr>
        <w:t>.</w:t>
      </w:r>
    </w:p>
    <w:p w14:paraId="2AD9BFAD" w14:textId="03B481C5" w:rsidR="00D80E45" w:rsidRPr="009C7A0A" w:rsidRDefault="00D16743" w:rsidP="009C7A0A">
      <w:pPr>
        <w:widowControl w:val="0"/>
        <w:spacing w:line="276" w:lineRule="auto"/>
        <w:ind w:firstLine="720"/>
        <w:jc w:val="both"/>
        <w:rPr>
          <w:rFonts w:eastAsia="Calibri"/>
          <w:color w:val="000000" w:themeColor="text1"/>
        </w:rPr>
      </w:pPr>
      <w:r w:rsidRPr="009C7A0A">
        <w:rPr>
          <w:color w:val="000000" w:themeColor="text1"/>
        </w:rPr>
        <w:t>Kasācijas protestā lūgts a</w:t>
      </w:r>
      <w:r w:rsidR="00726960" w:rsidRPr="009C7A0A">
        <w:rPr>
          <w:color w:val="000000" w:themeColor="text1"/>
        </w:rPr>
        <w:t xml:space="preserve">tcelt Rīgas apgabaltiesas </w:t>
      </w:r>
      <w:r w:rsidR="00726960" w:rsidRPr="009C7A0A">
        <w:t>2023. gada 24. janvāra blakus lēmumu par iespējamo dokumentu viltošanu.</w:t>
      </w:r>
      <w:bookmarkStart w:id="0" w:name="_Hlk136531453"/>
    </w:p>
    <w:p w14:paraId="74D35BF4" w14:textId="0C04F2EB" w:rsidR="0077367B" w:rsidRPr="009C7A0A" w:rsidRDefault="002E268B" w:rsidP="000B57DD">
      <w:pPr>
        <w:widowControl w:val="0"/>
        <w:spacing w:line="276" w:lineRule="auto"/>
        <w:ind w:firstLine="720"/>
        <w:jc w:val="both"/>
        <w:rPr>
          <w:rFonts w:eastAsia="Calibri"/>
          <w:color w:val="000000" w:themeColor="text1"/>
        </w:rPr>
      </w:pPr>
      <w:r w:rsidRPr="009C7A0A">
        <w:t>I</w:t>
      </w:r>
      <w:r w:rsidR="00F1320D" w:rsidRPr="009C7A0A">
        <w:t>zslēdzot no</w:t>
      </w:r>
      <w:r w:rsidR="0077367B" w:rsidRPr="009C7A0A">
        <w:t xml:space="preserve"> </w:t>
      </w:r>
      <w:r w:rsidR="00075605">
        <w:t>[pers. A]</w:t>
      </w:r>
      <w:r w:rsidR="00F1320D" w:rsidRPr="009C7A0A">
        <w:t xml:space="preserve"> apsūdzības daļu </w:t>
      </w:r>
      <w:r w:rsidR="00674633" w:rsidRPr="009C7A0A">
        <w:rPr>
          <w:rFonts w:eastAsia="Calibri"/>
        </w:rPr>
        <w:t xml:space="preserve">par to, ka </w:t>
      </w:r>
      <w:bookmarkStart w:id="1" w:name="_Hlk156471362"/>
      <w:r w:rsidR="00674633" w:rsidRPr="009C7A0A">
        <w:rPr>
          <w:rFonts w:eastAsia="Calibri"/>
        </w:rPr>
        <w:t xml:space="preserve">aiz </w:t>
      </w:r>
      <w:r w:rsidR="00701774" w:rsidRPr="009C7A0A">
        <w:rPr>
          <w:rFonts w:eastAsia="Calibri"/>
        </w:rPr>
        <w:t xml:space="preserve">viņa </w:t>
      </w:r>
      <w:r w:rsidR="00674633" w:rsidRPr="009C7A0A">
        <w:rPr>
          <w:rFonts w:eastAsia="Calibri"/>
        </w:rPr>
        <w:t xml:space="preserve">neuzmanības iestājās </w:t>
      </w:r>
      <w:r w:rsidR="00674633" w:rsidRPr="009C7A0A">
        <w:t xml:space="preserve">Valsts ugunsdzēsības un glābšanas dienesta </w:t>
      </w:r>
      <w:r w:rsidR="00405D98" w:rsidRPr="009C7A0A">
        <w:t>(turpmāk</w:t>
      </w:r>
      <w:r w:rsidR="00B73FAA" w:rsidRPr="009C7A0A">
        <w:t xml:space="preserve"> –</w:t>
      </w:r>
      <w:r w:rsidR="00405D98" w:rsidRPr="009C7A0A">
        <w:t xml:space="preserve"> VUGD) </w:t>
      </w:r>
      <w:r w:rsidR="00674633" w:rsidRPr="009C7A0A">
        <w:t xml:space="preserve">darbinieku </w:t>
      </w:r>
      <w:r w:rsidR="00075605">
        <w:rPr>
          <w:rFonts w:eastAsia="Calibri"/>
        </w:rPr>
        <w:t>[pers. KU]</w:t>
      </w:r>
      <w:r w:rsidR="00674633" w:rsidRPr="009C7A0A">
        <w:rPr>
          <w:rFonts w:eastAsia="Calibri"/>
        </w:rPr>
        <w:t xml:space="preserve">, </w:t>
      </w:r>
      <w:r w:rsidR="00075605">
        <w:rPr>
          <w:rFonts w:eastAsia="Calibri"/>
        </w:rPr>
        <w:t>[pers. KV]</w:t>
      </w:r>
      <w:r w:rsidR="00674633" w:rsidRPr="009C7A0A">
        <w:rPr>
          <w:rFonts w:eastAsia="Calibri"/>
        </w:rPr>
        <w:t xml:space="preserve"> un </w:t>
      </w:r>
      <w:r w:rsidR="00075605">
        <w:rPr>
          <w:rFonts w:eastAsia="Calibri"/>
        </w:rPr>
        <w:t>[pers. KZ]</w:t>
      </w:r>
      <w:r w:rsidR="00674633" w:rsidRPr="009C7A0A">
        <w:rPr>
          <w:rFonts w:eastAsia="Calibri"/>
        </w:rPr>
        <w:t xml:space="preserve"> nāve un cietušajiem </w:t>
      </w:r>
      <w:r w:rsidR="00075605">
        <w:rPr>
          <w:rFonts w:eastAsia="Calibri"/>
        </w:rPr>
        <w:t>[pers. JV]</w:t>
      </w:r>
      <w:r w:rsidR="00674633" w:rsidRPr="009C7A0A">
        <w:rPr>
          <w:rFonts w:eastAsia="Calibri"/>
        </w:rPr>
        <w:t xml:space="preserve">, </w:t>
      </w:r>
      <w:r w:rsidR="00075605">
        <w:rPr>
          <w:rFonts w:eastAsia="Calibri"/>
        </w:rPr>
        <w:t>[pers. KC]</w:t>
      </w:r>
      <w:r w:rsidR="00674633" w:rsidRPr="009C7A0A">
        <w:rPr>
          <w:rFonts w:eastAsia="Calibri"/>
        </w:rPr>
        <w:t xml:space="preserve">, </w:t>
      </w:r>
      <w:r w:rsidR="00075605">
        <w:rPr>
          <w:rFonts w:eastAsia="Calibri"/>
        </w:rPr>
        <w:t>[pers. </w:t>
      </w:r>
      <w:r w:rsidR="00B263C5">
        <w:rPr>
          <w:rFonts w:eastAsia="Calibri"/>
        </w:rPr>
        <w:t>HV</w:t>
      </w:r>
      <w:r w:rsidR="000B57DD">
        <w:rPr>
          <w:rFonts w:eastAsia="Calibri"/>
        </w:rPr>
        <w:t>]</w:t>
      </w:r>
      <w:r w:rsidR="00674633" w:rsidRPr="009C7A0A">
        <w:rPr>
          <w:rFonts w:eastAsia="Calibri"/>
        </w:rPr>
        <w:t xml:space="preserve">, </w:t>
      </w:r>
      <w:r w:rsidR="000B57DD">
        <w:rPr>
          <w:rFonts w:eastAsia="Calibri"/>
        </w:rPr>
        <w:t>[pers. KF]</w:t>
      </w:r>
      <w:r w:rsidR="00674633" w:rsidRPr="009C7A0A">
        <w:rPr>
          <w:rFonts w:eastAsia="Calibri"/>
        </w:rPr>
        <w:t xml:space="preserve">, </w:t>
      </w:r>
      <w:r w:rsidR="000B57DD">
        <w:rPr>
          <w:rFonts w:eastAsia="Calibri"/>
        </w:rPr>
        <w:t>[pers. JO]</w:t>
      </w:r>
      <w:r w:rsidR="00674633" w:rsidRPr="009C7A0A">
        <w:rPr>
          <w:rFonts w:eastAsia="Calibri"/>
        </w:rPr>
        <w:t xml:space="preserve">, </w:t>
      </w:r>
      <w:r w:rsidR="000B57DD">
        <w:rPr>
          <w:rFonts w:eastAsia="Calibri"/>
        </w:rPr>
        <w:t>[pers. KG]</w:t>
      </w:r>
      <w:r w:rsidR="00674633" w:rsidRPr="009C7A0A">
        <w:rPr>
          <w:rFonts w:eastAsia="Calibri"/>
        </w:rPr>
        <w:t xml:space="preserve">, </w:t>
      </w:r>
      <w:r w:rsidR="000B57DD">
        <w:rPr>
          <w:rFonts w:eastAsia="Calibri"/>
        </w:rPr>
        <w:t>[pers. KA]</w:t>
      </w:r>
      <w:r w:rsidR="00674633" w:rsidRPr="009C7A0A">
        <w:rPr>
          <w:rFonts w:eastAsia="Calibri"/>
        </w:rPr>
        <w:t xml:space="preserve">, </w:t>
      </w:r>
      <w:r w:rsidR="000B57DD">
        <w:rPr>
          <w:rFonts w:eastAsia="Calibri"/>
        </w:rPr>
        <w:t>[pers. KH]</w:t>
      </w:r>
      <w:r w:rsidR="00674633" w:rsidRPr="009C7A0A">
        <w:rPr>
          <w:rFonts w:eastAsia="Calibri"/>
        </w:rPr>
        <w:t xml:space="preserve">, </w:t>
      </w:r>
      <w:r w:rsidR="000B57DD">
        <w:rPr>
          <w:rFonts w:eastAsia="Calibri"/>
        </w:rPr>
        <w:t>[pers. KD]</w:t>
      </w:r>
      <w:r w:rsidR="00674633" w:rsidRPr="009C7A0A">
        <w:rPr>
          <w:rFonts w:eastAsia="Calibri"/>
        </w:rPr>
        <w:t xml:space="preserve">, </w:t>
      </w:r>
      <w:r w:rsidR="000B57DD">
        <w:rPr>
          <w:rFonts w:eastAsia="Calibri"/>
        </w:rPr>
        <w:t>[pers. JU]</w:t>
      </w:r>
      <w:r w:rsidR="00674633" w:rsidRPr="009C7A0A">
        <w:rPr>
          <w:rFonts w:eastAsia="Calibri"/>
        </w:rPr>
        <w:t xml:space="preserve"> tika </w:t>
      </w:r>
      <w:r w:rsidR="00591580" w:rsidRPr="009C7A0A">
        <w:rPr>
          <w:rFonts w:eastAsia="Calibri"/>
        </w:rPr>
        <w:t>nodarīti</w:t>
      </w:r>
      <w:r w:rsidR="00674633" w:rsidRPr="009C7A0A">
        <w:rPr>
          <w:rFonts w:eastAsia="Calibri"/>
        </w:rPr>
        <w:t xml:space="preserve"> dažāda smaguma pakāpes miesas bojājumi</w:t>
      </w:r>
      <w:bookmarkEnd w:id="1"/>
      <w:r w:rsidRPr="009C7A0A">
        <w:rPr>
          <w:rFonts w:eastAsia="Calibri"/>
        </w:rPr>
        <w:t>,</w:t>
      </w:r>
      <w:r w:rsidR="00674633" w:rsidRPr="009C7A0A">
        <w:rPr>
          <w:rFonts w:eastAsia="Calibri"/>
        </w:rPr>
        <w:t xml:space="preserve"> un</w:t>
      </w:r>
      <w:r w:rsidR="00F1320D" w:rsidRPr="009C7A0A">
        <w:t xml:space="preserve"> atzīstot </w:t>
      </w:r>
      <w:r w:rsidR="00B257A9">
        <w:t>[pers. BI]</w:t>
      </w:r>
      <w:r w:rsidR="0077367B" w:rsidRPr="009C7A0A">
        <w:t xml:space="preserve">, </w:t>
      </w:r>
      <w:r w:rsidR="00B257A9">
        <w:t>[pers. BJ]</w:t>
      </w:r>
      <w:r w:rsidR="0077367B" w:rsidRPr="009C7A0A">
        <w:t xml:space="preserve">, </w:t>
      </w:r>
      <w:r w:rsidR="00B257A9">
        <w:t>[pers. BK]</w:t>
      </w:r>
      <w:r w:rsidR="0077367B" w:rsidRPr="009C7A0A">
        <w:t xml:space="preserve"> un </w:t>
      </w:r>
      <w:r w:rsidR="00B257A9">
        <w:t>[pers. BL]</w:t>
      </w:r>
      <w:r w:rsidR="0077367B" w:rsidRPr="009C7A0A">
        <w:t xml:space="preserve">, </w:t>
      </w:r>
      <w:r w:rsidR="00B257A9">
        <w:t>[pers. BM]</w:t>
      </w:r>
      <w:r w:rsidR="0077367B" w:rsidRPr="009C7A0A">
        <w:t xml:space="preserve">, </w:t>
      </w:r>
      <w:r w:rsidR="00B257A9">
        <w:t>[pers. BN]</w:t>
      </w:r>
      <w:r w:rsidR="0077367B" w:rsidRPr="009C7A0A">
        <w:t xml:space="preserve"> un </w:t>
      </w:r>
      <w:r w:rsidR="00B257A9">
        <w:t>[pers. BO]</w:t>
      </w:r>
      <w:r w:rsidR="0077367B" w:rsidRPr="009C7A0A">
        <w:t xml:space="preserve"> par nevainīgiem </w:t>
      </w:r>
      <w:r w:rsidR="00591580" w:rsidRPr="009C7A0A">
        <w:t xml:space="preserve">pret </w:t>
      </w:r>
      <w:r w:rsidR="0077367B" w:rsidRPr="009C7A0A">
        <w:t>viņiem</w:t>
      </w:r>
      <w:r w:rsidR="00591580" w:rsidRPr="009C7A0A">
        <w:t xml:space="preserve"> celtajās apsūdzībās</w:t>
      </w:r>
      <w:r w:rsidR="0077367B" w:rsidRPr="009C7A0A">
        <w:t xml:space="preserve"> </w:t>
      </w:r>
      <w:r w:rsidR="005666BA" w:rsidRPr="009C7A0A">
        <w:t>un attaisnojot</w:t>
      </w:r>
      <w:r w:rsidR="0077367B" w:rsidRPr="009C7A0A">
        <w:t xml:space="preserve">, </w:t>
      </w:r>
      <w:r w:rsidRPr="009C7A0A">
        <w:t xml:space="preserve">apelācijas instances </w:t>
      </w:r>
      <w:r w:rsidR="0077367B" w:rsidRPr="009C7A0A">
        <w:t>tiesa pārkāpusi Kriminālprocesa likuma 124., 127.–130., 511., 512. pantu un 564. panta ceturto daļu</w:t>
      </w:r>
      <w:r w:rsidRPr="009C7A0A">
        <w:t xml:space="preserve">. Turklāt </w:t>
      </w:r>
      <w:r w:rsidR="00303150" w:rsidRPr="009C7A0A">
        <w:t xml:space="preserve">tiesa, </w:t>
      </w:r>
      <w:r w:rsidR="0077367B" w:rsidRPr="009C7A0A">
        <w:t xml:space="preserve">nosakot </w:t>
      </w:r>
      <w:r w:rsidR="00D8028B">
        <w:t>[pers. A]</w:t>
      </w:r>
      <w:r w:rsidR="0077367B" w:rsidRPr="009C7A0A">
        <w:t xml:space="preserve"> </w:t>
      </w:r>
      <w:r w:rsidR="008B31B4" w:rsidRPr="009C7A0A">
        <w:t>sodu</w:t>
      </w:r>
      <w:r w:rsidR="00303150" w:rsidRPr="009C7A0A">
        <w:t>,</w:t>
      </w:r>
      <w:r w:rsidR="008B31B4" w:rsidRPr="009C7A0A">
        <w:t xml:space="preserve"> nepareizi piemērojusi Krimināllikuma Vispārīgās daļas pantus.</w:t>
      </w:r>
    </w:p>
    <w:p w14:paraId="5304A8FA" w14:textId="2BDF7DE8" w:rsidR="0077367B" w:rsidRPr="009C7A0A" w:rsidRDefault="0077367B" w:rsidP="009C7A0A">
      <w:pPr>
        <w:widowControl w:val="0"/>
        <w:spacing w:line="276" w:lineRule="auto"/>
        <w:ind w:firstLine="720"/>
        <w:contextualSpacing/>
        <w:jc w:val="both"/>
      </w:pPr>
      <w:r w:rsidRPr="009C7A0A">
        <w:t>Kasācijas protestu pamato turpmāk norādītie argumenti.</w:t>
      </w:r>
    </w:p>
    <w:p w14:paraId="33BB031D" w14:textId="7320F621" w:rsidR="00405D98" w:rsidRPr="009C7A0A" w:rsidRDefault="001E5204" w:rsidP="009C7A0A">
      <w:pPr>
        <w:widowControl w:val="0"/>
        <w:spacing w:line="276" w:lineRule="auto"/>
        <w:ind w:firstLine="720"/>
        <w:contextualSpacing/>
        <w:jc w:val="both"/>
      </w:pPr>
      <w:r w:rsidRPr="009C7A0A">
        <w:t>[5.</w:t>
      </w:r>
      <w:r w:rsidR="0077367B" w:rsidRPr="009C7A0A">
        <w:t>1</w:t>
      </w:r>
      <w:r w:rsidRPr="009C7A0A">
        <w:t>]</w:t>
      </w:r>
      <w:r w:rsidR="00091439" w:rsidRPr="009C7A0A">
        <w:t> </w:t>
      </w:r>
      <w:r w:rsidR="00405D98" w:rsidRPr="009C7A0A">
        <w:t xml:space="preserve">Par </w:t>
      </w:r>
      <w:r w:rsidR="00DE6F87">
        <w:t>[pers. A]</w:t>
      </w:r>
      <w:r w:rsidR="00405D98" w:rsidRPr="009C7A0A">
        <w:t xml:space="preserve"> apsūdzību un viņam piespriesto sodu.</w:t>
      </w:r>
    </w:p>
    <w:p w14:paraId="729DE474" w14:textId="42BCA6CE" w:rsidR="002F41E3" w:rsidRPr="009C7A0A" w:rsidRDefault="00405D98" w:rsidP="00A84225">
      <w:pPr>
        <w:spacing w:line="276" w:lineRule="auto"/>
        <w:ind w:firstLine="720"/>
        <w:jc w:val="both"/>
      </w:pPr>
      <w:r w:rsidRPr="009C7A0A">
        <w:t>[5.1.1] </w:t>
      </w:r>
      <w:r w:rsidR="007B351B" w:rsidRPr="009C7A0A">
        <w:t>Apelācijas instances tiesa</w:t>
      </w:r>
      <w:r w:rsidR="00780136" w:rsidRPr="009C7A0A">
        <w:t xml:space="preserve">, sniedzot jaunu </w:t>
      </w:r>
      <w:r w:rsidR="00591580" w:rsidRPr="009C7A0A">
        <w:t xml:space="preserve">pierādīto </w:t>
      </w:r>
      <w:r w:rsidR="00780136" w:rsidRPr="009C7A0A">
        <w:t>noziedzīgo nodarījumu aprakstu,</w:t>
      </w:r>
      <w:r w:rsidR="007B351B" w:rsidRPr="009C7A0A">
        <w:t xml:space="preserve"> nepamatoti</w:t>
      </w:r>
      <w:r w:rsidR="00780136" w:rsidRPr="009C7A0A">
        <w:t xml:space="preserve"> no tiesā uzturētās apsūdzības</w:t>
      </w:r>
      <w:r w:rsidR="007B351B" w:rsidRPr="009C7A0A">
        <w:t xml:space="preserve"> izslēgusi </w:t>
      </w:r>
      <w:r w:rsidR="00431352" w:rsidRPr="009C7A0A">
        <w:t xml:space="preserve">apsūdzētā </w:t>
      </w:r>
      <w:r w:rsidR="00F05F84">
        <w:t>[pers. A]</w:t>
      </w:r>
      <w:r w:rsidR="00431352" w:rsidRPr="009C7A0A">
        <w:t xml:space="preserve"> </w:t>
      </w:r>
      <w:r w:rsidR="00AE528D" w:rsidRPr="009C7A0A">
        <w:t>darbības, kas nav saistītas ar kopnes apakšējā mezgla aprēķinu</w:t>
      </w:r>
      <w:r w:rsidR="00612D32" w:rsidRPr="009C7A0A">
        <w:t>,</w:t>
      </w:r>
      <w:r w:rsidRPr="009C7A0A">
        <w:t xml:space="preserve"> </w:t>
      </w:r>
      <w:r w:rsidR="003F284A" w:rsidRPr="009C7A0A">
        <w:t>proti,</w:t>
      </w:r>
      <w:r w:rsidR="00CA6CFF" w:rsidRPr="009C7A0A">
        <w:t xml:space="preserve"> to</w:t>
      </w:r>
      <w:r w:rsidR="00612D32" w:rsidRPr="009C7A0A">
        <w:t>,</w:t>
      </w:r>
      <w:r w:rsidR="003F284A" w:rsidRPr="009C7A0A">
        <w:t xml:space="preserve"> ka </w:t>
      </w:r>
      <w:r w:rsidR="00A84225">
        <w:t>[pers. A]</w:t>
      </w:r>
      <w:r w:rsidR="003F284A" w:rsidRPr="009C7A0A">
        <w:t xml:space="preserve"> </w:t>
      </w:r>
      <w:r w:rsidR="00556622" w:rsidRPr="009C7A0A">
        <w:t>neizstrādāja</w:t>
      </w:r>
      <w:r w:rsidR="001D1F2F" w:rsidRPr="009C7A0A">
        <w:t xml:space="preserve"> </w:t>
      </w:r>
      <w:r w:rsidR="001D1F2F" w:rsidRPr="009C7A0A">
        <w:rPr>
          <w:rFonts w:eastAsia="Calibri"/>
        </w:rPr>
        <w:t xml:space="preserve">tērauda kopņu MK-1 montāžas mezgla </w:t>
      </w:r>
      <w:r w:rsidR="00556622" w:rsidRPr="009C7A0A">
        <w:rPr>
          <w:rFonts w:eastAsia="Calibri"/>
        </w:rPr>
        <w:t xml:space="preserve">projekta </w:t>
      </w:r>
      <w:r w:rsidR="001D1F2F" w:rsidRPr="009C7A0A">
        <w:rPr>
          <w:rFonts w:eastAsia="Calibri"/>
        </w:rPr>
        <w:t xml:space="preserve">risinājumu, nepilnvērtīgi veica </w:t>
      </w:r>
      <w:proofErr w:type="spellStart"/>
      <w:r w:rsidR="001D1F2F" w:rsidRPr="009C7A0A">
        <w:rPr>
          <w:rFonts w:eastAsia="Calibri"/>
        </w:rPr>
        <w:t>metālkopņu</w:t>
      </w:r>
      <w:proofErr w:type="spellEnd"/>
      <w:r w:rsidR="001D1F2F" w:rsidRPr="009C7A0A">
        <w:rPr>
          <w:rFonts w:eastAsia="Calibri"/>
        </w:rPr>
        <w:t xml:space="preserve">, metāla siju un saites ārējo pārbaudi, nepārliecinājās par darba veicēja personību, kvalifikāciju un dalību montāžas darbu veikšanā, nezondēja ar </w:t>
      </w:r>
      <w:proofErr w:type="spellStart"/>
      <w:r w:rsidR="001D1F2F" w:rsidRPr="009C7A0A">
        <w:rPr>
          <w:rFonts w:eastAsia="Calibri"/>
        </w:rPr>
        <w:t>mērtaustu</w:t>
      </w:r>
      <w:proofErr w:type="spellEnd"/>
      <w:r w:rsidR="001D1F2F" w:rsidRPr="009C7A0A">
        <w:rPr>
          <w:rFonts w:eastAsia="Calibri"/>
        </w:rPr>
        <w:t xml:space="preserve"> spraugu starp </w:t>
      </w:r>
      <w:proofErr w:type="spellStart"/>
      <w:r w:rsidR="001D1F2F" w:rsidRPr="009C7A0A">
        <w:rPr>
          <w:rFonts w:eastAsia="Calibri"/>
        </w:rPr>
        <w:t>fasonlapām</w:t>
      </w:r>
      <w:proofErr w:type="spellEnd"/>
      <w:r w:rsidR="001D1F2F" w:rsidRPr="009C7A0A">
        <w:rPr>
          <w:rFonts w:eastAsia="Calibri"/>
        </w:rPr>
        <w:t xml:space="preserve">, nepārliecinājās par bultskrūvju nostiepumu, nepārbaudīja izbūvētā </w:t>
      </w:r>
      <w:proofErr w:type="spellStart"/>
      <w:r w:rsidR="001D1F2F" w:rsidRPr="009C7A0A">
        <w:rPr>
          <w:rFonts w:eastAsia="Calibri"/>
        </w:rPr>
        <w:t>virsbetona</w:t>
      </w:r>
      <w:proofErr w:type="spellEnd"/>
      <w:r w:rsidR="001D1F2F" w:rsidRPr="009C7A0A">
        <w:rPr>
          <w:rFonts w:eastAsia="Calibri"/>
        </w:rPr>
        <w:t xml:space="preserve"> slāņa biezumu, pēc ugunsgrēka neveica jumta pārseguma konstrukciju, kā arī tērauda konstrukciju </w:t>
      </w:r>
      <w:r w:rsidR="003F284A" w:rsidRPr="009C7A0A">
        <w:rPr>
          <w:rFonts w:eastAsia="Calibri"/>
        </w:rPr>
        <w:t>–</w:t>
      </w:r>
      <w:r w:rsidR="001D1F2F" w:rsidRPr="009C7A0A">
        <w:rPr>
          <w:rFonts w:eastAsia="Calibri"/>
        </w:rPr>
        <w:t xml:space="preserve"> kopņu</w:t>
      </w:r>
      <w:r w:rsidR="003F284A" w:rsidRPr="009C7A0A">
        <w:rPr>
          <w:rFonts w:eastAsia="Calibri"/>
        </w:rPr>
        <w:t xml:space="preserve"> –</w:t>
      </w:r>
      <w:r w:rsidR="001D1F2F" w:rsidRPr="009C7A0A">
        <w:rPr>
          <w:rFonts w:eastAsia="Calibri"/>
        </w:rPr>
        <w:t xml:space="preserve"> stāvokļa un drošuma novērtēšanu</w:t>
      </w:r>
      <w:r w:rsidR="00770A50" w:rsidRPr="009C7A0A">
        <w:t>. Tiesa</w:t>
      </w:r>
      <w:r w:rsidR="00AE528D" w:rsidRPr="009C7A0A">
        <w:t xml:space="preserve"> nepamatoti konstatējusi, ka</w:t>
      </w:r>
      <w:r w:rsidR="00E204B4" w:rsidRPr="009C7A0A">
        <w:t xml:space="preserve"> tikai </w:t>
      </w:r>
      <w:r w:rsidR="00556622" w:rsidRPr="009C7A0A">
        <w:t xml:space="preserve">nepareizs kopnes apakšējā mezgla aprēķins </w:t>
      </w:r>
      <w:r w:rsidR="00E204B4" w:rsidRPr="009C7A0A">
        <w:t>ir bij</w:t>
      </w:r>
      <w:r w:rsidR="00556622" w:rsidRPr="009C7A0A">
        <w:t>is</w:t>
      </w:r>
      <w:r w:rsidR="00E204B4" w:rsidRPr="009C7A0A">
        <w:t xml:space="preserve"> </w:t>
      </w:r>
      <w:r w:rsidR="00F00A04" w:rsidRPr="009C7A0A">
        <w:lastRenderedPageBreak/>
        <w:t>cēloniskā sakarā ar sekām un no</w:t>
      </w:r>
      <w:r w:rsidR="00CC20A4" w:rsidRPr="009C7A0A">
        <w:t>teicis</w:t>
      </w:r>
      <w:r w:rsidR="00F00A04" w:rsidRPr="009C7A0A">
        <w:t xml:space="preserve"> </w:t>
      </w:r>
      <w:r w:rsidR="00A84225">
        <w:t>[pers. A]</w:t>
      </w:r>
      <w:r w:rsidR="00F00A04" w:rsidRPr="009C7A0A">
        <w:t xml:space="preserve"> inkriminēto noziedzīgo nodarījumu kvalifikāciju pēc Krimināllikuma 239.</w:t>
      </w:r>
      <w:r w:rsidR="00AE528D" w:rsidRPr="009C7A0A">
        <w:t> </w:t>
      </w:r>
      <w:r w:rsidR="00F00A04" w:rsidRPr="009C7A0A">
        <w:t>panta otrās daļas</w:t>
      </w:r>
      <w:r w:rsidR="005A07F6" w:rsidRPr="009C7A0A">
        <w:t>,</w:t>
      </w:r>
      <w:r w:rsidR="00F00A04" w:rsidRPr="009C7A0A">
        <w:t>123.</w:t>
      </w:r>
      <w:r w:rsidR="00AE528D" w:rsidRPr="009C7A0A">
        <w:t> </w:t>
      </w:r>
      <w:r w:rsidR="00F00A04" w:rsidRPr="009C7A0A">
        <w:t>panta otrās daļas</w:t>
      </w:r>
      <w:r w:rsidR="00AE528D" w:rsidRPr="009C7A0A">
        <w:t>.</w:t>
      </w:r>
    </w:p>
    <w:p w14:paraId="6DBB37CF" w14:textId="722D5218" w:rsidR="002F41E3" w:rsidRPr="009C7A0A" w:rsidRDefault="00AE528D" w:rsidP="009C7A0A">
      <w:pPr>
        <w:spacing w:line="276" w:lineRule="auto"/>
        <w:ind w:firstLine="720"/>
        <w:jc w:val="both"/>
      </w:pPr>
      <w:r w:rsidRPr="009C7A0A">
        <w:t>[5.</w:t>
      </w:r>
      <w:r w:rsidR="0077367B" w:rsidRPr="009C7A0A">
        <w:t>1.</w:t>
      </w:r>
      <w:r w:rsidR="00405D98" w:rsidRPr="009C7A0A">
        <w:t>2</w:t>
      </w:r>
      <w:r w:rsidRPr="009C7A0A">
        <w:t>] </w:t>
      </w:r>
      <w:r w:rsidR="0036128F" w:rsidRPr="009C7A0A">
        <w:t>Tiesa</w:t>
      </w:r>
      <w:r w:rsidR="00556622" w:rsidRPr="009C7A0A">
        <w:t xml:space="preserve"> nepamatoti</w:t>
      </w:r>
      <w:r w:rsidR="0036128F" w:rsidRPr="009C7A0A">
        <w:t xml:space="preserve"> atzinusi, ka </w:t>
      </w:r>
      <w:r w:rsidR="00405D98" w:rsidRPr="009C7A0A">
        <w:t>VUGD</w:t>
      </w:r>
      <w:r w:rsidR="0036128F" w:rsidRPr="009C7A0A">
        <w:t xml:space="preserve"> darbinieku nāve </w:t>
      </w:r>
      <w:r w:rsidR="00CA6CFF" w:rsidRPr="009C7A0A">
        <w:t>un</w:t>
      </w:r>
      <w:r w:rsidR="0036128F" w:rsidRPr="009C7A0A">
        <w:t xml:space="preserve"> </w:t>
      </w:r>
      <w:r w:rsidR="003227AC" w:rsidRPr="009C7A0A">
        <w:t xml:space="preserve">dažāda smaguma </w:t>
      </w:r>
      <w:r w:rsidR="0036128F" w:rsidRPr="009C7A0A">
        <w:t xml:space="preserve">miesas bojājumi </w:t>
      </w:r>
      <w:r w:rsidR="007F1B3E" w:rsidRPr="009C7A0A">
        <w:t xml:space="preserve">negadījuma vietā </w:t>
      </w:r>
      <w:r w:rsidR="0036128F" w:rsidRPr="009C7A0A">
        <w:t xml:space="preserve">nav radušies apsūdzētā </w:t>
      </w:r>
      <w:r w:rsidR="00565E5F">
        <w:t>[pers. A]</w:t>
      </w:r>
      <w:r w:rsidR="0036128F" w:rsidRPr="009C7A0A">
        <w:t xml:space="preserve"> izdarīto noziedzīgo nodarījumu rezultātā</w:t>
      </w:r>
      <w:r w:rsidR="00556622" w:rsidRPr="009C7A0A">
        <w:t>. Šāds atzinums neatbilst</w:t>
      </w:r>
      <w:r w:rsidR="004861E2" w:rsidRPr="009C7A0A">
        <w:t xml:space="preserve"> juridiskajā literatūrā</w:t>
      </w:r>
      <w:r w:rsidR="002F41E3" w:rsidRPr="009C7A0A">
        <w:t xml:space="preserve"> </w:t>
      </w:r>
      <w:r w:rsidR="004861E2" w:rsidRPr="009C7A0A">
        <w:t>paustajam viedoklim,</w:t>
      </w:r>
      <w:r w:rsidR="00A87334" w:rsidRPr="009C7A0A">
        <w:t xml:space="preserve"> </w:t>
      </w:r>
      <w:r w:rsidR="007F1B3E" w:rsidRPr="009C7A0A">
        <w:t xml:space="preserve">ka gadījumā, </w:t>
      </w:r>
      <w:r w:rsidR="004861E2" w:rsidRPr="009C7A0A">
        <w:t>ja apsūdzētais aiz neuzmanības izraisījis ugunsgrēku, bet vēlāk tā likvidācijas procesā iet bojā ugunsdzēsēji, cēloņsakarība pastā</w:t>
      </w:r>
      <w:r w:rsidR="00C82D95" w:rsidRPr="009C7A0A">
        <w:t>v</w:t>
      </w:r>
      <w:r w:rsidR="004861E2" w:rsidRPr="009C7A0A">
        <w:t xml:space="preserve"> ne tikai starp nevērīgu rīcību ar uguni un ugunsgrēku, bet arī ar ugunsdzēsēju nāvi. Apstāklis, ka ugunsdzēsēju brigāde pēc savas iniciatīvas devās mājas iekšienē glābšanas pasākumu veikšanai, cēloņsakarību neizslēdz</w:t>
      </w:r>
      <w:r w:rsidR="00933D7D" w:rsidRPr="009C7A0A">
        <w:t>.</w:t>
      </w:r>
    </w:p>
    <w:p w14:paraId="3EEB27A8" w14:textId="256A2BEF" w:rsidR="00E9495C" w:rsidRPr="009C7A0A" w:rsidRDefault="00E9495C" w:rsidP="009C7A0A">
      <w:pPr>
        <w:spacing w:line="276" w:lineRule="auto"/>
        <w:ind w:firstLine="720"/>
        <w:jc w:val="both"/>
        <w:rPr>
          <w:rFonts w:eastAsia="Calibri"/>
        </w:rPr>
      </w:pPr>
      <w:r w:rsidRPr="009C7A0A">
        <w:t>[5.</w:t>
      </w:r>
      <w:r w:rsidR="0077367B" w:rsidRPr="009C7A0A">
        <w:t>1.</w:t>
      </w:r>
      <w:r w:rsidR="00405D98" w:rsidRPr="009C7A0A">
        <w:t>3</w:t>
      </w:r>
      <w:r w:rsidRPr="009C7A0A">
        <w:t>]</w:t>
      </w:r>
      <w:r w:rsidR="00D45AD3" w:rsidRPr="009C7A0A">
        <w:t> </w:t>
      </w:r>
      <w:r w:rsidRPr="009C7A0A">
        <w:t xml:space="preserve">Tiesa, nosakot apsūdzētajam </w:t>
      </w:r>
      <w:r w:rsidR="003E3305">
        <w:t>[pers. A]</w:t>
      </w:r>
      <w:r w:rsidRPr="009C7A0A">
        <w:t xml:space="preserve"> sodu pēc Krimināllikuma 239. panta otrās daļas</w:t>
      </w:r>
      <w:r w:rsidR="00F37796" w:rsidRPr="009C7A0A">
        <w:t>,</w:t>
      </w:r>
      <w:r w:rsidRPr="009C7A0A">
        <w:t xml:space="preserve">123. panta otrās daļas, pārkāpusi Krimināllikuma 35. panta otro daļu un 46. pantu, jo </w:t>
      </w:r>
      <w:r w:rsidR="00A87334" w:rsidRPr="009C7A0A">
        <w:t>nav ņēmusi vērā</w:t>
      </w:r>
      <w:r w:rsidRPr="009C7A0A">
        <w:t xml:space="preserve"> </w:t>
      </w:r>
      <w:r w:rsidR="00CA6CFF" w:rsidRPr="009C7A0A">
        <w:t xml:space="preserve">izdarīto </w:t>
      </w:r>
      <w:r w:rsidRPr="009C7A0A">
        <w:t>noziedzīgo nodarījumu rakstur</w:t>
      </w:r>
      <w:r w:rsidR="00A87334" w:rsidRPr="009C7A0A">
        <w:t>u</w:t>
      </w:r>
      <w:r w:rsidRPr="009C7A0A">
        <w:t xml:space="preserve"> un radīt</w:t>
      </w:r>
      <w:r w:rsidR="00A87334" w:rsidRPr="009C7A0A">
        <w:t>o</w:t>
      </w:r>
      <w:r w:rsidRPr="009C7A0A">
        <w:t xml:space="preserve"> kaitējum</w:t>
      </w:r>
      <w:r w:rsidR="00A87334" w:rsidRPr="009C7A0A">
        <w:t>u</w:t>
      </w:r>
      <w:r w:rsidRPr="009C7A0A">
        <w:t xml:space="preserve">. Tiesa nav ņēmusi vērā, ka apsūdzētais </w:t>
      </w:r>
      <w:r w:rsidR="008370AB">
        <w:t>[pers. A]</w:t>
      </w:r>
      <w:r w:rsidRPr="009C7A0A">
        <w:t xml:space="preserve"> ir pārkāpis vairāku normatīvo </w:t>
      </w:r>
      <w:r w:rsidR="00223667" w:rsidRPr="009C7A0A">
        <w:t xml:space="preserve">tiesību </w:t>
      </w:r>
      <w:r w:rsidRPr="009C7A0A">
        <w:t>aktu prasības, ilgstoš</w:t>
      </w:r>
      <w:r w:rsidR="0047413D" w:rsidRPr="009C7A0A">
        <w:t>i (</w:t>
      </w:r>
      <w:r w:rsidRPr="009C7A0A">
        <w:t>no 2009. gada 6. augusta līdz 2013. gada 21. novembrim</w:t>
      </w:r>
      <w:r w:rsidR="0047413D" w:rsidRPr="009C7A0A">
        <w:t>)</w:t>
      </w:r>
      <w:r w:rsidRPr="009C7A0A">
        <w:t xml:space="preserve"> nevērīgi pildījis noziedzīgo nodarījumu aprakstā norādītos pienākumus</w:t>
      </w:r>
      <w:r w:rsidR="00A15E50" w:rsidRPr="009C7A0A">
        <w:t>,</w:t>
      </w:r>
      <w:r w:rsidRPr="009C7A0A">
        <w:t xml:space="preserve"> </w:t>
      </w:r>
      <w:r w:rsidR="0047413D" w:rsidRPr="009C7A0A">
        <w:t xml:space="preserve">un tā </w:t>
      </w:r>
      <w:r w:rsidRPr="009C7A0A">
        <w:t xml:space="preserve">rezultātā iestājusies </w:t>
      </w:r>
      <w:r w:rsidRPr="009C7A0A">
        <w:rPr>
          <w:rFonts w:eastAsia="Calibri"/>
          <w:color w:val="000000"/>
        </w:rPr>
        <w:t xml:space="preserve">54  </w:t>
      </w:r>
      <w:r w:rsidR="00F17D34" w:rsidRPr="009C7A0A">
        <w:rPr>
          <w:rFonts w:eastAsia="Calibri"/>
          <w:color w:val="000000"/>
        </w:rPr>
        <w:t xml:space="preserve">cilvēku </w:t>
      </w:r>
      <w:r w:rsidRPr="009C7A0A">
        <w:rPr>
          <w:rFonts w:eastAsia="Calibri"/>
          <w:color w:val="000000"/>
        </w:rPr>
        <w:t xml:space="preserve">nāve, 46 cietušajiem nodarīti dažāda smaguma miesas bojājumi, </w:t>
      </w:r>
      <w:r w:rsidR="00941D35" w:rsidRPr="009C7A0A">
        <w:t xml:space="preserve">radīts </w:t>
      </w:r>
      <w:r w:rsidRPr="009C7A0A">
        <w:t>mantiskais zaudējums, kas vairākkārt pārsniedz 50 tai laikā Latvijas Republikā noteikto minimālo mēnešalgu kopsummu</w:t>
      </w:r>
      <w:r w:rsidR="00C64CD7" w:rsidRPr="009C7A0A">
        <w:t>. Turklāt</w:t>
      </w:r>
      <w:r w:rsidRPr="009C7A0A">
        <w:t xml:space="preserve"> </w:t>
      </w:r>
      <w:r w:rsidRPr="009C7A0A">
        <w:rPr>
          <w:rFonts w:eastAsia="Calibri"/>
          <w:color w:val="000000"/>
        </w:rPr>
        <w:t>noziedzīgie nodarījumi vērsti pret vissvarīgākajām sabiedrības un indivīdu tiesībām</w:t>
      </w:r>
      <w:r w:rsidR="00C9606F" w:rsidRPr="009C7A0A">
        <w:rPr>
          <w:rFonts w:eastAsia="Calibri"/>
          <w:color w:val="000000"/>
        </w:rPr>
        <w:t xml:space="preserve"> – </w:t>
      </w:r>
      <w:r w:rsidR="00C979E9" w:rsidRPr="009C7A0A">
        <w:rPr>
          <w:rFonts w:eastAsia="Calibri"/>
          <w:color w:val="000000"/>
        </w:rPr>
        <w:t>dzīvīb</w:t>
      </w:r>
      <w:r w:rsidR="00CA6CFF" w:rsidRPr="009C7A0A">
        <w:rPr>
          <w:rFonts w:eastAsia="Calibri"/>
          <w:color w:val="000000"/>
        </w:rPr>
        <w:t>u</w:t>
      </w:r>
      <w:r w:rsidR="00C979E9" w:rsidRPr="009C7A0A">
        <w:rPr>
          <w:rFonts w:eastAsia="Calibri"/>
          <w:color w:val="000000"/>
        </w:rPr>
        <w:t>, veselīb</w:t>
      </w:r>
      <w:r w:rsidR="00CA6CFF" w:rsidRPr="009C7A0A">
        <w:rPr>
          <w:rFonts w:eastAsia="Calibri"/>
          <w:color w:val="000000"/>
        </w:rPr>
        <w:t>u</w:t>
      </w:r>
      <w:r w:rsidR="00C979E9" w:rsidRPr="009C7A0A">
        <w:rPr>
          <w:rFonts w:eastAsia="Calibri"/>
          <w:color w:val="000000"/>
        </w:rPr>
        <w:t xml:space="preserve"> un </w:t>
      </w:r>
      <w:r w:rsidR="00C9606F" w:rsidRPr="009C7A0A">
        <w:rPr>
          <w:rFonts w:eastAsia="Calibri"/>
          <w:color w:val="000000"/>
        </w:rPr>
        <w:t>vispārēj</w:t>
      </w:r>
      <w:r w:rsidR="00D45AD3" w:rsidRPr="009C7A0A">
        <w:rPr>
          <w:rFonts w:eastAsia="Calibri"/>
          <w:color w:val="000000"/>
        </w:rPr>
        <w:t>o</w:t>
      </w:r>
      <w:r w:rsidR="00C9606F" w:rsidRPr="009C7A0A">
        <w:rPr>
          <w:rFonts w:eastAsia="Calibri"/>
          <w:color w:val="000000"/>
        </w:rPr>
        <w:t xml:space="preserve"> drošīb</w:t>
      </w:r>
      <w:r w:rsidR="00CA6CFF" w:rsidRPr="009C7A0A">
        <w:rPr>
          <w:rFonts w:eastAsia="Calibri"/>
          <w:color w:val="000000"/>
        </w:rPr>
        <w:t>u</w:t>
      </w:r>
      <w:r w:rsidRPr="009C7A0A">
        <w:rPr>
          <w:rFonts w:eastAsia="Calibri"/>
          <w:color w:val="000000"/>
        </w:rPr>
        <w:t>.</w:t>
      </w:r>
    </w:p>
    <w:p w14:paraId="083F9E8B" w14:textId="0A0AE904" w:rsidR="008B31B4" w:rsidRPr="009C7A0A" w:rsidRDefault="00E9495C" w:rsidP="009C7A0A">
      <w:pPr>
        <w:widowControl w:val="0"/>
        <w:spacing w:line="276" w:lineRule="auto"/>
        <w:ind w:firstLine="720"/>
        <w:contextualSpacing/>
        <w:jc w:val="both"/>
        <w:rPr>
          <w:rFonts w:eastAsia="Calibri"/>
          <w:color w:val="000000"/>
        </w:rPr>
      </w:pPr>
      <w:r w:rsidRPr="009C7A0A">
        <w:rPr>
          <w:rFonts w:eastAsia="Calibri"/>
          <w:color w:val="000000"/>
        </w:rPr>
        <w:t xml:space="preserve">Tiesa nepamatoti konstatējusi, ka atbildību pastiprinoša apstākļa </w:t>
      </w:r>
      <w:proofErr w:type="spellStart"/>
      <w:r w:rsidRPr="009C7A0A">
        <w:rPr>
          <w:rFonts w:eastAsia="Calibri"/>
          <w:color w:val="000000"/>
        </w:rPr>
        <w:t>neesība</w:t>
      </w:r>
      <w:proofErr w:type="spellEnd"/>
      <w:r w:rsidRPr="009C7A0A">
        <w:rPr>
          <w:rFonts w:eastAsia="Calibri"/>
          <w:color w:val="000000"/>
        </w:rPr>
        <w:t xml:space="preserve"> liedz piemērot apsūdzētajam panta sankcijā paredzēto </w:t>
      </w:r>
      <w:r w:rsidR="008234B7" w:rsidRPr="009C7A0A">
        <w:rPr>
          <w:rFonts w:eastAsia="Calibri"/>
          <w:color w:val="000000"/>
        </w:rPr>
        <w:t>bargāko</w:t>
      </w:r>
      <w:r w:rsidRPr="009C7A0A">
        <w:rPr>
          <w:rFonts w:eastAsia="Calibri"/>
          <w:color w:val="000000"/>
        </w:rPr>
        <w:t xml:space="preserve"> soda mēru.</w:t>
      </w:r>
      <w:r w:rsidR="007111A6" w:rsidRPr="009C7A0A">
        <w:rPr>
          <w:rFonts w:eastAsia="Calibri"/>
          <w:color w:val="000000"/>
        </w:rPr>
        <w:t xml:space="preserve"> </w:t>
      </w:r>
      <w:r w:rsidRPr="009C7A0A">
        <w:rPr>
          <w:rFonts w:eastAsia="Calibri"/>
          <w:color w:val="000000"/>
        </w:rPr>
        <w:t xml:space="preserve">Tiesa nav motivējusi </w:t>
      </w:r>
      <w:r w:rsidR="001B60F2">
        <w:t xml:space="preserve">[pers. A] </w:t>
      </w:r>
      <w:r w:rsidRPr="009C7A0A">
        <w:t xml:space="preserve">noteiktā </w:t>
      </w:r>
      <w:r w:rsidRPr="009C7A0A">
        <w:rPr>
          <w:rFonts w:eastAsia="Calibri"/>
          <w:color w:val="000000"/>
        </w:rPr>
        <w:t>galīgā soda mēr</w:t>
      </w:r>
      <w:r w:rsidR="000C5BF5" w:rsidRPr="009C7A0A">
        <w:rPr>
          <w:rFonts w:eastAsia="Calibri"/>
          <w:color w:val="000000"/>
        </w:rPr>
        <w:t>a izvēli</w:t>
      </w:r>
      <w:r w:rsidR="00922FE3" w:rsidRPr="009C7A0A">
        <w:rPr>
          <w:rFonts w:eastAsia="Calibri"/>
          <w:color w:val="000000"/>
        </w:rPr>
        <w:t>, kas ir atzīstam</w:t>
      </w:r>
      <w:r w:rsidR="000C5BF5" w:rsidRPr="009C7A0A">
        <w:rPr>
          <w:rFonts w:eastAsia="Calibri"/>
          <w:color w:val="000000"/>
        </w:rPr>
        <w:t>s</w:t>
      </w:r>
      <w:r w:rsidR="00922FE3" w:rsidRPr="009C7A0A">
        <w:rPr>
          <w:rFonts w:eastAsia="Calibri"/>
          <w:color w:val="000000"/>
        </w:rPr>
        <w:t xml:space="preserve"> par</w:t>
      </w:r>
      <w:r w:rsidR="00A87334" w:rsidRPr="009C7A0A">
        <w:rPr>
          <w:rFonts w:eastAsia="Calibri"/>
          <w:color w:val="000000"/>
        </w:rPr>
        <w:t xml:space="preserve"> </w:t>
      </w:r>
      <w:r w:rsidR="00922FE3" w:rsidRPr="009C7A0A">
        <w:rPr>
          <w:rFonts w:eastAsia="Calibri"/>
          <w:color w:val="000000"/>
        </w:rPr>
        <w:t xml:space="preserve">Kriminālprocesa likuma </w:t>
      </w:r>
      <w:r w:rsidR="00A87334" w:rsidRPr="009C7A0A">
        <w:rPr>
          <w:rFonts w:eastAsia="Calibri"/>
          <w:color w:val="000000"/>
        </w:rPr>
        <w:t xml:space="preserve">būtisku </w:t>
      </w:r>
      <w:r w:rsidR="00922FE3" w:rsidRPr="009C7A0A">
        <w:rPr>
          <w:rFonts w:eastAsia="Calibri"/>
          <w:color w:val="000000"/>
        </w:rPr>
        <w:t>pārkāpumu</w:t>
      </w:r>
      <w:r w:rsidRPr="009C7A0A">
        <w:rPr>
          <w:rFonts w:eastAsia="Calibri"/>
          <w:color w:val="000000"/>
        </w:rPr>
        <w:t>.</w:t>
      </w:r>
    </w:p>
    <w:p w14:paraId="632500E7" w14:textId="1DF15E43" w:rsidR="005708F0" w:rsidRPr="009C7A0A" w:rsidRDefault="00B954F5" w:rsidP="009C7A0A">
      <w:pPr>
        <w:widowControl w:val="0"/>
        <w:spacing w:line="276" w:lineRule="auto"/>
        <w:ind w:firstLine="720"/>
        <w:contextualSpacing/>
        <w:jc w:val="both"/>
        <w:rPr>
          <w:rFonts w:eastAsia="Calibri"/>
          <w:color w:val="000000"/>
        </w:rPr>
      </w:pPr>
      <w:r w:rsidRPr="009C7A0A">
        <w:rPr>
          <w:rFonts w:eastAsia="Calibri"/>
          <w:color w:val="000000"/>
        </w:rPr>
        <w:t>[5.</w:t>
      </w:r>
      <w:r w:rsidR="0077367B" w:rsidRPr="009C7A0A">
        <w:rPr>
          <w:rFonts w:eastAsia="Calibri"/>
          <w:color w:val="000000"/>
        </w:rPr>
        <w:t>2</w:t>
      </w:r>
      <w:r w:rsidRPr="009C7A0A">
        <w:rPr>
          <w:rFonts w:eastAsia="Calibri"/>
          <w:color w:val="000000"/>
        </w:rPr>
        <w:t>]</w:t>
      </w:r>
      <w:r w:rsidR="004F315F" w:rsidRPr="009C7A0A">
        <w:rPr>
          <w:rFonts w:eastAsia="Calibri"/>
          <w:color w:val="000000"/>
        </w:rPr>
        <w:t> </w:t>
      </w:r>
      <w:r w:rsidR="00D2764E" w:rsidRPr="009C7A0A">
        <w:t>Tiesa</w:t>
      </w:r>
      <w:r w:rsidR="00E911AA" w:rsidRPr="009C7A0A">
        <w:t>,</w:t>
      </w:r>
      <w:r w:rsidR="00D2764E" w:rsidRPr="009C7A0A">
        <w:t xml:space="preserve"> </w:t>
      </w:r>
      <w:r w:rsidR="002E41FB" w:rsidRPr="009C7A0A">
        <w:t xml:space="preserve">atzīstot, ka apsūdzētā </w:t>
      </w:r>
      <w:r w:rsidR="00635064">
        <w:t xml:space="preserve">[pers. BI] </w:t>
      </w:r>
      <w:r w:rsidR="002E41FB" w:rsidRPr="009C7A0A">
        <w:t xml:space="preserve">rīcībā nebija rasējumu ar dalīto kopni un būvkonstrukciju sabrukšanas iemesls ir tās būvprojekta nepilnības, kuras radušās jau pēc </w:t>
      </w:r>
      <w:r w:rsidR="00635064">
        <w:t>[pers. BI]</w:t>
      </w:r>
      <w:r w:rsidR="002E41FB" w:rsidRPr="009C7A0A">
        <w:t xml:space="preserve"> </w:t>
      </w:r>
      <w:r w:rsidR="00D95F9C" w:rsidRPr="009C7A0A">
        <w:t>veiktās</w:t>
      </w:r>
      <w:r w:rsidR="002E41FB" w:rsidRPr="009C7A0A">
        <w:t xml:space="preserve"> ekspertīzes, nav ņēmusi vērā: 1) </w:t>
      </w:r>
      <w:r w:rsidR="007F7028" w:rsidRPr="009C7A0A">
        <w:t xml:space="preserve">liecinieka </w:t>
      </w:r>
      <w:r w:rsidR="007A6DA1">
        <w:t>[pers. LA]</w:t>
      </w:r>
      <w:r w:rsidR="00B26BF3" w:rsidRPr="009C7A0A">
        <w:t xml:space="preserve"> liecības par dalītās kopnes </w:t>
      </w:r>
      <w:r w:rsidR="00132637" w:rsidRPr="009C7A0A">
        <w:t>izstrādi no 2009. gada februāra līdz 2010. gada novembrim; 2) </w:t>
      </w:r>
      <w:r w:rsidR="00D40B76" w:rsidRPr="009C7A0A" w:rsidDel="00D40B76">
        <w:t xml:space="preserve"> </w:t>
      </w:r>
      <w:r w:rsidR="00D40B76" w:rsidRPr="009C7A0A">
        <w:t>sabiedrības ar ierobežotu atbildību</w:t>
      </w:r>
      <w:r w:rsidR="00F824FA">
        <w:t> </w:t>
      </w:r>
      <w:r w:rsidR="00132637" w:rsidRPr="00B146B3">
        <w:t>„</w:t>
      </w:r>
      <w:r w:rsidR="002079B8" w:rsidRPr="00B146B3">
        <w:t>[Nosaukums G]</w:t>
      </w:r>
      <w:r w:rsidR="00132637" w:rsidRPr="00B146B3">
        <w:t xml:space="preserve">” </w:t>
      </w:r>
      <w:r w:rsidR="00230062" w:rsidRPr="00B146B3">
        <w:t>(turpmāk – SIA „</w:t>
      </w:r>
      <w:r w:rsidR="002079B8" w:rsidRPr="00B146B3">
        <w:rPr>
          <w:lang w:eastAsia="lv-LV"/>
        </w:rPr>
        <w:t>[Nosaukums G</w:t>
      </w:r>
      <w:r w:rsidR="00230062" w:rsidRPr="009C7A0A">
        <w:t>”)</w:t>
      </w:r>
      <w:r w:rsidR="000315C4" w:rsidRPr="009C7A0A">
        <w:t xml:space="preserve"> </w:t>
      </w:r>
      <w:r w:rsidR="00451013" w:rsidRPr="009C7A0A">
        <w:t xml:space="preserve">2015. gada 10. aprīļa </w:t>
      </w:r>
      <w:r w:rsidR="00132637" w:rsidRPr="009C7A0A">
        <w:t>atzinumā Nr. 16/15 esošās ziņas par dalītās kopnes esību 2009. gada 4. novembra rasējumā Nr. BK-03-13</w:t>
      </w:r>
      <w:r w:rsidR="00F15311" w:rsidRPr="009C7A0A">
        <w:t>, rasējuma</w:t>
      </w:r>
      <w:r w:rsidR="00132637" w:rsidRPr="009C7A0A">
        <w:t xml:space="preserve"> 2010. gada 30. decembra revīzijā Nr. BK-03-13.5</w:t>
      </w:r>
      <w:r w:rsidR="00A43CAB" w:rsidRPr="009C7A0A">
        <w:t>,</w:t>
      </w:r>
      <w:r w:rsidR="00B45391" w:rsidRPr="009C7A0A">
        <w:t xml:space="preserve"> </w:t>
      </w:r>
      <w:r w:rsidR="005708F0" w:rsidRPr="009C7A0A">
        <w:t xml:space="preserve">un </w:t>
      </w:r>
      <w:r w:rsidR="005210AC" w:rsidRPr="009C7A0A">
        <w:t xml:space="preserve">dalītās kopnes </w:t>
      </w:r>
      <w:r w:rsidR="005708F0" w:rsidRPr="009C7A0A">
        <w:t>nestspēju</w:t>
      </w:r>
      <w:r w:rsidR="00EB4695" w:rsidRPr="009C7A0A">
        <w:t>; 3) </w:t>
      </w:r>
      <w:r w:rsidR="00496450" w:rsidRPr="009C7A0A">
        <w:t xml:space="preserve">liecinieka </w:t>
      </w:r>
      <w:r w:rsidR="007A6DA1">
        <w:t>[pers. LB]</w:t>
      </w:r>
      <w:r w:rsidR="00312597" w:rsidRPr="009C7A0A">
        <w:t xml:space="preserve"> e-pasta sūtījumu apskates protokolā esošās ziņas par </w:t>
      </w:r>
      <w:r w:rsidR="00F81C97" w:rsidRPr="009C7A0A">
        <w:t xml:space="preserve">apsūdzētā </w:t>
      </w:r>
      <w:r w:rsidR="00987B72">
        <w:t>[pers. A]</w:t>
      </w:r>
      <w:r w:rsidR="00965A03" w:rsidRPr="009C7A0A">
        <w:t xml:space="preserve"> </w:t>
      </w:r>
      <w:r w:rsidR="00496450" w:rsidRPr="009C7A0A">
        <w:t xml:space="preserve">pēc jumta nobrukuma </w:t>
      </w:r>
      <w:r w:rsidR="00965A03" w:rsidRPr="009C7A0A">
        <w:t>veiktajām izmaiņām kopņu rasējumos</w:t>
      </w:r>
      <w:r w:rsidR="00496450" w:rsidRPr="009C7A0A">
        <w:t xml:space="preserve">, kurus </w:t>
      </w:r>
      <w:r w:rsidR="009B04D5">
        <w:t>[pers. A]</w:t>
      </w:r>
      <w:r w:rsidR="00496450" w:rsidRPr="009C7A0A">
        <w:t xml:space="preserve"> nosūtījis </w:t>
      </w:r>
      <w:r w:rsidR="009B04D5">
        <w:t>[pers. LB]</w:t>
      </w:r>
      <w:r w:rsidR="00F81C97" w:rsidRPr="009C7A0A">
        <w:t xml:space="preserve">, lai radītu priekšstatu par to, ka </w:t>
      </w:r>
      <w:r w:rsidR="001E5C72">
        <w:t>[pers. BI]</w:t>
      </w:r>
      <w:r w:rsidR="00F81C97" w:rsidRPr="009C7A0A">
        <w:t xml:space="preserve"> ekspertīzes veikšanai bija nodots rasējums ar nedalītu kopni</w:t>
      </w:r>
      <w:r w:rsidR="00142CFD" w:rsidRPr="009C7A0A">
        <w:t>;</w:t>
      </w:r>
      <w:r w:rsidR="00496450" w:rsidRPr="009C7A0A">
        <w:t xml:space="preserve"> 4) </w:t>
      </w:r>
      <w:r w:rsidR="00142CFD" w:rsidRPr="009C7A0A">
        <w:t xml:space="preserve">apsūdzētā </w:t>
      </w:r>
      <w:r w:rsidR="004875A0">
        <w:t>[pers. BJ]</w:t>
      </w:r>
      <w:r w:rsidR="00142CFD" w:rsidRPr="009C7A0A">
        <w:t xml:space="preserve"> liecības par to, ka viņš neatceras, ka būtu saņēmis no </w:t>
      </w:r>
      <w:r w:rsidR="006531A8">
        <w:t>[pers. A]</w:t>
      </w:r>
      <w:r w:rsidR="008A7CB4">
        <w:t xml:space="preserve"> </w:t>
      </w:r>
      <w:r w:rsidR="00142CFD" w:rsidRPr="009C7A0A">
        <w:t>rasējumus ar veselu (ne divdaļīgu) kopni; 5)</w:t>
      </w:r>
      <w:r w:rsidR="009E7A38" w:rsidRPr="009C7A0A">
        <w:t> </w:t>
      </w:r>
      <w:r w:rsidR="00041F93" w:rsidRPr="009C7A0A">
        <w:t>ekspertu, kas veica komplekso ekspertīzi par būvkonstrukciju nobrukuma faktu, liecības par to, ka nedalītās kopnes rasējums dokumentos netika konstatēts</w:t>
      </w:r>
      <w:r w:rsidR="007F2120" w:rsidRPr="009C7A0A">
        <w:t>.</w:t>
      </w:r>
    </w:p>
    <w:p w14:paraId="1D52B344" w14:textId="3FDCEB32" w:rsidR="009E7A38" w:rsidRPr="009C7A0A" w:rsidRDefault="009E7A38" w:rsidP="009C7A0A">
      <w:pPr>
        <w:widowControl w:val="0"/>
        <w:spacing w:line="276" w:lineRule="auto"/>
        <w:ind w:firstLine="720"/>
        <w:contextualSpacing/>
        <w:jc w:val="both"/>
      </w:pPr>
      <w:r w:rsidRPr="009C7A0A">
        <w:t xml:space="preserve">[5.3] Tiesa nav </w:t>
      </w:r>
      <w:r w:rsidR="00061CA7" w:rsidRPr="009C7A0A">
        <w:t>pamatojusi</w:t>
      </w:r>
      <w:r w:rsidRPr="009C7A0A">
        <w:t xml:space="preserve">, kāpēc noraida </w:t>
      </w:r>
      <w:r w:rsidRPr="009C7A0A">
        <w:rPr>
          <w:rFonts w:eastAsia="Calibri"/>
          <w:color w:val="000000"/>
        </w:rPr>
        <w:t>apsūdzības pierādījumus, ka</w:t>
      </w:r>
      <w:r w:rsidR="00296B90" w:rsidRPr="009C7A0A">
        <w:rPr>
          <w:rFonts w:eastAsia="Calibri"/>
          <w:color w:val="000000"/>
        </w:rPr>
        <w:t xml:space="preserve"> apsūdzētais</w:t>
      </w:r>
      <w:r w:rsidRPr="009C7A0A">
        <w:rPr>
          <w:rFonts w:eastAsia="Calibri"/>
          <w:color w:val="000000"/>
        </w:rPr>
        <w:t xml:space="preserve"> </w:t>
      </w:r>
      <w:r w:rsidR="00005812">
        <w:t>[pers. BJ]</w:t>
      </w:r>
      <w:r w:rsidRPr="009C7A0A">
        <w:rPr>
          <w:rFonts w:eastAsia="Calibri"/>
          <w:color w:val="000000"/>
        </w:rPr>
        <w:t xml:space="preserve"> projekta realizācijā bija ne tikai arhitekts, bet arī </w:t>
      </w:r>
      <w:r w:rsidRPr="009C7A0A">
        <w:t>būvprojekta vadītājs.</w:t>
      </w:r>
    </w:p>
    <w:p w14:paraId="34E3F8CD" w14:textId="432122C9" w:rsidR="00F7653F" w:rsidRPr="009C7A0A" w:rsidRDefault="008E2828" w:rsidP="009C7A0A">
      <w:pPr>
        <w:widowControl w:val="0"/>
        <w:spacing w:line="276" w:lineRule="auto"/>
        <w:ind w:firstLine="720"/>
        <w:contextualSpacing/>
        <w:jc w:val="both"/>
      </w:pPr>
      <w:r w:rsidRPr="009C7A0A">
        <w:t>Tiesa</w:t>
      </w:r>
      <w:r w:rsidR="00E911AA" w:rsidRPr="009C7A0A">
        <w:t>,</w:t>
      </w:r>
      <w:r w:rsidRPr="009C7A0A">
        <w:t xml:space="preserve"> atzīstot, ka apsūdzēt</w:t>
      </w:r>
      <w:r w:rsidR="00347B73" w:rsidRPr="009C7A0A">
        <w:t>ais</w:t>
      </w:r>
      <w:r w:rsidRPr="009C7A0A">
        <w:rPr>
          <w:rFonts w:eastAsia="Calibri"/>
          <w:color w:val="000000"/>
        </w:rPr>
        <w:t xml:space="preserve"> </w:t>
      </w:r>
      <w:r w:rsidR="007536D6">
        <w:t>[pers. BJ]</w:t>
      </w:r>
      <w:r w:rsidRPr="009C7A0A">
        <w:rPr>
          <w:rFonts w:eastAsia="Calibri"/>
          <w:color w:val="000000"/>
        </w:rPr>
        <w:t xml:space="preserve"> </w:t>
      </w:r>
      <w:r w:rsidR="00347B73" w:rsidRPr="009C7A0A">
        <w:rPr>
          <w:rFonts w:eastAsia="Calibri"/>
        </w:rPr>
        <w:t>veica būvprojekta arhitektūras daļas autoruzraudzību, nevis būvkonstrukciju daļas autoruzraudzību, un viņam bija tiesības paļauties uz pārbaudēm, kuras veica attiecīgās jomas sertificētie speciālisti,</w:t>
      </w:r>
      <w:r w:rsidR="00765E96" w:rsidRPr="009C7A0A">
        <w:rPr>
          <w:rFonts w:eastAsia="Calibri"/>
        </w:rPr>
        <w:t xml:space="preserve"> nav ņēmusi </w:t>
      </w:r>
      <w:r w:rsidR="00765E96" w:rsidRPr="009C7A0A">
        <w:rPr>
          <w:rFonts w:eastAsia="Calibri"/>
        </w:rPr>
        <w:lastRenderedPageBreak/>
        <w:t>vērā: 1) </w:t>
      </w:r>
      <w:r w:rsidR="00765E96" w:rsidRPr="009C7A0A">
        <w:rPr>
          <w:rFonts w:eastAsia="Calibri"/>
          <w:color w:val="000000"/>
        </w:rPr>
        <w:t xml:space="preserve">liecinieka </w:t>
      </w:r>
      <w:r w:rsidR="00E14796">
        <w:rPr>
          <w:rFonts w:eastAsia="Calibri"/>
          <w:color w:val="000000"/>
        </w:rPr>
        <w:t>[pers. LC]</w:t>
      </w:r>
      <w:r w:rsidR="00765E96" w:rsidRPr="009C7A0A">
        <w:rPr>
          <w:rFonts w:eastAsia="Calibri"/>
          <w:color w:val="000000"/>
        </w:rPr>
        <w:t xml:space="preserve"> liecības par to, ka</w:t>
      </w:r>
      <w:r w:rsidR="00B27911" w:rsidRPr="009C7A0A">
        <w:rPr>
          <w:rFonts w:eastAsia="Calibri"/>
          <w:color w:val="000000"/>
        </w:rPr>
        <w:t xml:space="preserve">, </w:t>
      </w:r>
      <w:r w:rsidR="00B27911" w:rsidRPr="009C7A0A">
        <w:t>sagatavojot aktu par darbu pieņemšanu, būvdarbu vadītājs, būvuzraugs un projektētājs autoruzraudzības kārtībā</w:t>
      </w:r>
      <w:r w:rsidR="00986425" w:rsidRPr="009C7A0A">
        <w:t xml:space="preserve"> parakstās par visu konstrukciju atbilstību normatīvajiem</w:t>
      </w:r>
      <w:r w:rsidR="004C342D" w:rsidRPr="009C7A0A">
        <w:t xml:space="preserve"> tiesību</w:t>
      </w:r>
      <w:r w:rsidR="00986425" w:rsidRPr="009C7A0A">
        <w:t xml:space="preserve"> aktiem; 2) </w:t>
      </w:r>
      <w:r w:rsidR="00F7653F" w:rsidRPr="009C7A0A">
        <w:t xml:space="preserve">ka apsūdzētais </w:t>
      </w:r>
      <w:r w:rsidR="00EE73DB">
        <w:t>[pers. BJ]</w:t>
      </w:r>
      <w:r w:rsidR="00F7653F" w:rsidRPr="009C7A0A">
        <w:t xml:space="preserve"> nevarēja uzņemties atbildīgā būvprojekta vadītāja pienākumus, ja viņš </w:t>
      </w:r>
      <w:r w:rsidR="00B845D9" w:rsidRPr="009C7A0A">
        <w:t xml:space="preserve">saskata </w:t>
      </w:r>
      <w:r w:rsidR="00F7653F" w:rsidRPr="009C7A0A">
        <w:t xml:space="preserve">savu nekompetenci, zināšanu, izglītības un profesionālo prasmju trūkumu; 3) eksperta </w:t>
      </w:r>
      <w:r w:rsidR="00564219">
        <w:t>[pers. LD]</w:t>
      </w:r>
      <w:r w:rsidR="00F7653F" w:rsidRPr="009C7A0A">
        <w:t xml:space="preserve"> liecības par būvprojekta vadītāja atbildību projektēšanas darbu koordinēšanā, atsevišķu projekta daļu savstarpējo atbilstību un būvprojekta saturu kopumā, būvprojekta atbilstību Būvniecības likumam, Latvijas būvnormatīviem un Vispārīgajiem būvnoteikumiem.</w:t>
      </w:r>
    </w:p>
    <w:p w14:paraId="2F25C097" w14:textId="1ED884A6" w:rsidR="00C932FE" w:rsidRPr="009C7A0A" w:rsidRDefault="00C932FE" w:rsidP="009C7A0A">
      <w:pPr>
        <w:spacing w:line="276" w:lineRule="auto"/>
        <w:ind w:firstLine="720"/>
        <w:jc w:val="both"/>
      </w:pPr>
      <w:r w:rsidRPr="009C7A0A">
        <w:rPr>
          <w:rFonts w:eastAsia="Calibri"/>
        </w:rPr>
        <w:t xml:space="preserve">Tiesa nepamatoti piešķīrusi lielāku ticamību Latvijas Arhitektu savienības vēstulēs paustajam, ignorējot apstākli, ka </w:t>
      </w:r>
      <w:r w:rsidRPr="009C7A0A">
        <w:t>Būvniecības likums un Vispārīgie būvnoteikumi kā celtniecības normatīvi pieņemti ar mērķi, lai tiktu ievērota vispārējā drošība. To, ka būvprojekta vadītājs ir atbildīgs par visu projektēšanas darbu koordinēšanu, atsevišķu projekta daļu savstarpēju atbilstību un projekta saturu kopumā, noteic</w:t>
      </w:r>
      <w:r w:rsidR="00574D1D" w:rsidRPr="009C7A0A">
        <w:t>a</w:t>
      </w:r>
      <w:r w:rsidRPr="009C7A0A">
        <w:t xml:space="preserve"> M</w:t>
      </w:r>
      <w:r w:rsidR="002F5578" w:rsidRPr="009C7A0A">
        <w:t>inistru kabineta</w:t>
      </w:r>
      <w:r w:rsidR="00574D1D" w:rsidRPr="009C7A0A">
        <w:t xml:space="preserve"> 1997. gada 1. aprīļa</w:t>
      </w:r>
      <w:r w:rsidRPr="009C7A0A">
        <w:t xml:space="preserve"> noteikumu Nr.</w:t>
      </w:r>
      <w:r w:rsidR="00566360" w:rsidRPr="009C7A0A">
        <w:t> </w:t>
      </w:r>
      <w:r w:rsidRPr="009C7A0A">
        <w:t xml:space="preserve">112 „Vispārīgie </w:t>
      </w:r>
      <w:r w:rsidR="00574D1D" w:rsidRPr="009C7A0A">
        <w:t>b</w:t>
      </w:r>
      <w:r w:rsidRPr="009C7A0A">
        <w:t>ūvnoteikumi” 69. punkts.</w:t>
      </w:r>
    </w:p>
    <w:p w14:paraId="314C79CB" w14:textId="316769B6" w:rsidR="00561118" w:rsidRPr="009C7A0A" w:rsidRDefault="002A0715" w:rsidP="009C7A0A">
      <w:pPr>
        <w:spacing w:line="276" w:lineRule="auto"/>
        <w:ind w:firstLine="720"/>
        <w:jc w:val="both"/>
      </w:pPr>
      <w:r w:rsidRPr="009C7A0A">
        <w:t>[5.</w:t>
      </w:r>
      <w:r w:rsidR="00B45B5E" w:rsidRPr="009C7A0A">
        <w:t>4</w:t>
      </w:r>
      <w:r w:rsidRPr="009C7A0A">
        <w:t>] </w:t>
      </w:r>
      <w:r w:rsidR="0092504C" w:rsidRPr="009C7A0A">
        <w:t>Ties</w:t>
      </w:r>
      <w:r w:rsidR="00B90180" w:rsidRPr="009C7A0A">
        <w:t>a nepamatoti atzinusi</w:t>
      </w:r>
      <w:r w:rsidR="0092504C" w:rsidRPr="009C7A0A">
        <w:t>, ka apsūdzēta</w:t>
      </w:r>
      <w:r w:rsidR="000919C0" w:rsidRPr="009C7A0A">
        <w:t>jam</w:t>
      </w:r>
      <w:r w:rsidR="0092504C" w:rsidRPr="009C7A0A">
        <w:t xml:space="preserve"> </w:t>
      </w:r>
      <w:r w:rsidR="00BA5E16">
        <w:t>[pers. BK]</w:t>
      </w:r>
      <w:r w:rsidR="000919C0" w:rsidRPr="009C7A0A">
        <w:t xml:space="preserve"> celtajā apsūdzībā norādītās celtņu celtniecības normas</w:t>
      </w:r>
      <w:r w:rsidR="005E085A" w:rsidRPr="009C7A0A">
        <w:t xml:space="preserve"> nosaka būves projektēšana</w:t>
      </w:r>
      <w:r w:rsidR="00AC6A32" w:rsidRPr="009C7A0A">
        <w:t>s</w:t>
      </w:r>
      <w:r w:rsidR="005E085A" w:rsidRPr="009C7A0A">
        <w:t xml:space="preserve"> un būvniecība</w:t>
      </w:r>
      <w:r w:rsidR="00AC6A32" w:rsidRPr="009C7A0A">
        <w:t>s principus</w:t>
      </w:r>
      <w:r w:rsidR="005E085A" w:rsidRPr="009C7A0A">
        <w:t xml:space="preserve">, bet </w:t>
      </w:r>
      <w:r w:rsidR="000919C0" w:rsidRPr="009C7A0A">
        <w:t xml:space="preserve">neparedz konkrētas tiesības, pienākumus, rīcības priekšrakstus vai prasības, par kuru neievērošanu varētu saukt pie kriminālatbildības </w:t>
      </w:r>
      <w:r w:rsidR="005E085A" w:rsidRPr="009C7A0A">
        <w:t>pēc</w:t>
      </w:r>
      <w:r w:rsidR="000919C0" w:rsidRPr="009C7A0A">
        <w:t xml:space="preserve"> Krimināllikuma 239. panta otr</w:t>
      </w:r>
      <w:r w:rsidR="005E085A" w:rsidRPr="009C7A0A">
        <w:t>ās</w:t>
      </w:r>
      <w:r w:rsidR="000919C0" w:rsidRPr="009C7A0A">
        <w:t xml:space="preserve"> daļ</w:t>
      </w:r>
      <w:r w:rsidR="005E085A" w:rsidRPr="009C7A0A">
        <w:t>as.</w:t>
      </w:r>
    </w:p>
    <w:p w14:paraId="3CB2CAFE" w14:textId="03F6952E" w:rsidR="0034131A" w:rsidRPr="009C7A0A" w:rsidRDefault="0034131A" w:rsidP="009C7A0A">
      <w:pPr>
        <w:spacing w:line="276" w:lineRule="auto"/>
        <w:ind w:firstLine="720"/>
        <w:jc w:val="both"/>
      </w:pPr>
      <w:r w:rsidRPr="009C7A0A">
        <w:t>Lai arī celtniecības normām ir vispārīgs</w:t>
      </w:r>
      <w:r w:rsidR="00CB692D" w:rsidRPr="009C7A0A">
        <w:t xml:space="preserve"> rakstur</w:t>
      </w:r>
      <w:r w:rsidRPr="009C7A0A">
        <w:t>s</w:t>
      </w:r>
      <w:r w:rsidR="00CB692D" w:rsidRPr="009C7A0A">
        <w:t xml:space="preserve">, </w:t>
      </w:r>
      <w:r w:rsidRPr="009C7A0A">
        <w:t>tās</w:t>
      </w:r>
      <w:r w:rsidR="00CB692D" w:rsidRPr="009C7A0A">
        <w:t xml:space="preserve"> būvniecības procesa dalībniekiem neļauj pavirši </w:t>
      </w:r>
      <w:r w:rsidR="00AC6A32" w:rsidRPr="009C7A0A">
        <w:t xml:space="preserve">izturēties </w:t>
      </w:r>
      <w:r w:rsidR="00CB692D" w:rsidRPr="009C7A0A">
        <w:t>pret sav</w:t>
      </w:r>
      <w:r w:rsidR="00E7190E" w:rsidRPr="009C7A0A">
        <w:t>iem</w:t>
      </w:r>
      <w:r w:rsidR="00CB692D" w:rsidRPr="009C7A0A">
        <w:t xml:space="preserve"> pienākum</w:t>
      </w:r>
      <w:r w:rsidR="00AC6A32" w:rsidRPr="009C7A0A">
        <w:t>iem</w:t>
      </w:r>
      <w:r w:rsidR="00CB692D" w:rsidRPr="009C7A0A">
        <w:t>.</w:t>
      </w:r>
      <w:r w:rsidR="00BD74B0" w:rsidRPr="009C7A0A">
        <w:t xml:space="preserve"> </w:t>
      </w:r>
      <w:r w:rsidR="00BD74B0" w:rsidRPr="009C7A0A">
        <w:rPr>
          <w:color w:val="000000"/>
        </w:rPr>
        <w:t xml:space="preserve">No apsūdzībā norādītajām tiesību normām nepārprotami izriet, ka </w:t>
      </w:r>
      <w:r w:rsidR="00BA5E16">
        <w:t>[pers. BK]</w:t>
      </w:r>
      <w:r w:rsidR="00BD74B0" w:rsidRPr="009C7A0A">
        <w:rPr>
          <w:color w:val="000000"/>
        </w:rPr>
        <w:t xml:space="preserve"> bija jāveic savi pienākumi tā, lai nodrošinātu būves </w:t>
      </w:r>
      <w:r w:rsidR="00BD74B0" w:rsidRPr="009C7A0A">
        <w:t>stiprību, stabilitāti un drošību</w:t>
      </w:r>
      <w:r w:rsidR="00CB692D" w:rsidRPr="009C7A0A">
        <w:t>.</w:t>
      </w:r>
    </w:p>
    <w:p w14:paraId="053EF7C5" w14:textId="028ADB8D" w:rsidR="009F33B7" w:rsidRPr="009C7A0A" w:rsidRDefault="00061A18" w:rsidP="009C7A0A">
      <w:pPr>
        <w:spacing w:line="276" w:lineRule="auto"/>
        <w:ind w:firstLine="720"/>
        <w:jc w:val="both"/>
      </w:pPr>
      <w:r w:rsidRPr="009C7A0A">
        <w:t>Tiesa, vērtējot, vai būvniecības dokumentācija bija pietiekam</w:t>
      </w:r>
      <w:r w:rsidR="006D7868" w:rsidRPr="009C7A0A">
        <w:t>a</w:t>
      </w:r>
      <w:r w:rsidRPr="009C7A0A">
        <w:t>, lai varētu veikt metāla kopne</w:t>
      </w:r>
      <w:r w:rsidR="006D7868" w:rsidRPr="009C7A0A">
        <w:t>s</w:t>
      </w:r>
      <w:r w:rsidRPr="009C7A0A">
        <w:t xml:space="preserve"> MK-1</w:t>
      </w:r>
      <w:r w:rsidR="006D7868" w:rsidRPr="009C7A0A">
        <w:t xml:space="preserve"> montāžas darbus</w:t>
      </w:r>
      <w:r w:rsidR="00A93D2E" w:rsidRPr="009C7A0A">
        <w:t>,</w:t>
      </w:r>
      <w:r w:rsidRPr="009C7A0A">
        <w:t xml:space="preserve"> nav ņēmusi vērā, ka no </w:t>
      </w:r>
      <w:proofErr w:type="spellStart"/>
      <w:r w:rsidR="00E911AA" w:rsidRPr="009C7A0A">
        <w:t>skrūvsavienojumu</w:t>
      </w:r>
      <w:proofErr w:type="spellEnd"/>
      <w:r w:rsidR="00E911AA" w:rsidRPr="009C7A0A">
        <w:t xml:space="preserve"> specifikācij</w:t>
      </w:r>
      <w:r w:rsidRPr="009C7A0A">
        <w:t>as</w:t>
      </w:r>
      <w:r w:rsidR="00E911AA" w:rsidRPr="009C7A0A">
        <w:t xml:space="preserve"> un eksperta </w:t>
      </w:r>
      <w:r w:rsidR="00E7665A">
        <w:t>[pers. LE]</w:t>
      </w:r>
      <w:r w:rsidR="00E911AA" w:rsidRPr="009C7A0A">
        <w:t xml:space="preserve"> liecīb</w:t>
      </w:r>
      <w:r w:rsidRPr="009C7A0A">
        <w:t xml:space="preserve">ām </w:t>
      </w:r>
      <w:r w:rsidR="006D7868" w:rsidRPr="009C7A0A">
        <w:t>izriet</w:t>
      </w:r>
      <w:r w:rsidR="00E911AA" w:rsidRPr="009C7A0A">
        <w:t xml:space="preserve">, ka kopņu savienojumu mezglos faktiski tika ieskrūvētas </w:t>
      </w:r>
      <w:r w:rsidR="006F52FD" w:rsidRPr="009C7A0A">
        <w:t xml:space="preserve">skrūves, kas neatbilda </w:t>
      </w:r>
      <w:r w:rsidR="00ED09EE" w:rsidRPr="009C7A0A">
        <w:t>b</w:t>
      </w:r>
      <w:r w:rsidR="00E76F85" w:rsidRPr="009C7A0A">
        <w:t>ūvniecības norm</w:t>
      </w:r>
      <w:r w:rsidR="00ED09EE" w:rsidRPr="009C7A0A">
        <w:t>u</w:t>
      </w:r>
      <w:r w:rsidR="00E76F85" w:rsidRPr="009C7A0A">
        <w:t xml:space="preserve"> un noteikum</w:t>
      </w:r>
      <w:r w:rsidR="00ED09EE" w:rsidRPr="009C7A0A">
        <w:t>u</w:t>
      </w:r>
      <w:r w:rsidR="00E76F85" w:rsidRPr="009C7A0A">
        <w:t xml:space="preserve"> (turpmāk – </w:t>
      </w:r>
      <w:proofErr w:type="spellStart"/>
      <w:r w:rsidR="006F52FD" w:rsidRPr="009C7A0A">
        <w:t>SNiP</w:t>
      </w:r>
      <w:proofErr w:type="spellEnd"/>
      <w:r w:rsidR="00E76F85" w:rsidRPr="009C7A0A">
        <w:t>)</w:t>
      </w:r>
      <w:r w:rsidR="006F52FD" w:rsidRPr="009C7A0A">
        <w:t xml:space="preserve"> </w:t>
      </w:r>
      <w:r w:rsidR="00ED09EE" w:rsidRPr="009C7A0A">
        <w:t xml:space="preserve">daļas </w:t>
      </w:r>
      <w:r w:rsidR="005328D9" w:rsidRPr="009C7A0A">
        <w:t>3.03.01.-87</w:t>
      </w:r>
      <w:r w:rsidR="00ED09EE" w:rsidRPr="009C7A0A">
        <w:t>, kas attiecas uz</w:t>
      </w:r>
      <w:r w:rsidR="005328D9" w:rsidRPr="009C7A0A">
        <w:t xml:space="preserve"> </w:t>
      </w:r>
      <w:r w:rsidR="00ED09EE" w:rsidRPr="009C7A0A">
        <w:t>n</w:t>
      </w:r>
      <w:r w:rsidR="005328D9" w:rsidRPr="009C7A0A">
        <w:t>esoš</w:t>
      </w:r>
      <w:r w:rsidR="00ED09EE" w:rsidRPr="009C7A0A">
        <w:t>ajām</w:t>
      </w:r>
      <w:r w:rsidR="005328D9" w:rsidRPr="009C7A0A">
        <w:t xml:space="preserve"> un norobežojoš</w:t>
      </w:r>
      <w:r w:rsidR="00ED09EE" w:rsidRPr="009C7A0A">
        <w:t>ām</w:t>
      </w:r>
      <w:r w:rsidR="005328D9" w:rsidRPr="009C7A0A">
        <w:t xml:space="preserve"> konstrukcij</w:t>
      </w:r>
      <w:r w:rsidR="008134B4" w:rsidRPr="009C7A0A">
        <w:t>ām,</w:t>
      </w:r>
      <w:r w:rsidR="005328D9" w:rsidRPr="009C7A0A">
        <w:t xml:space="preserve"> </w:t>
      </w:r>
      <w:r w:rsidR="006F52FD" w:rsidRPr="009C7A0A">
        <w:t>nosacījumiem</w:t>
      </w:r>
      <w:r w:rsidR="00667F06" w:rsidRPr="009C7A0A">
        <w:t xml:space="preserve">. </w:t>
      </w:r>
      <w:r w:rsidR="005328D9" w:rsidRPr="009C7A0A">
        <w:t>T</w:t>
      </w:r>
      <w:r w:rsidRPr="009C7A0A">
        <w:t>āpat t</w:t>
      </w:r>
      <w:r w:rsidR="005328D9" w:rsidRPr="009C7A0A">
        <w:t>iesa nav motivējusi, kāpēc minētās normas pārkāpums nav atzīstams par Krimināllikuma 239. panta otrās daļas objektīvās puses pazīmi.</w:t>
      </w:r>
    </w:p>
    <w:p w14:paraId="6CD59FD4" w14:textId="29A1097D" w:rsidR="00A14930" w:rsidRPr="009C7A0A" w:rsidRDefault="004403C0" w:rsidP="009C7A0A">
      <w:pPr>
        <w:spacing w:line="276" w:lineRule="auto"/>
        <w:ind w:firstLine="720"/>
        <w:jc w:val="both"/>
        <w:rPr>
          <w:bCs/>
        </w:rPr>
      </w:pPr>
      <w:r w:rsidRPr="009C7A0A">
        <w:t>Tiesas secinājum</w:t>
      </w:r>
      <w:r w:rsidR="00BE6381" w:rsidRPr="009C7A0A">
        <w:t>i</w:t>
      </w:r>
      <w:r w:rsidRPr="009C7A0A">
        <w:t xml:space="preserve"> par to, ka </w:t>
      </w:r>
      <w:r w:rsidR="00E7665A">
        <w:t>[pers. BK]</w:t>
      </w:r>
      <w:r w:rsidR="00E7665A" w:rsidRPr="009C7A0A">
        <w:t xml:space="preserve"> </w:t>
      </w:r>
      <w:r w:rsidRPr="009C7A0A">
        <w:t xml:space="preserve">kā atbildīgā būvdarbu vadītāja kompetencē nebija </w:t>
      </w:r>
      <w:r w:rsidR="00A14930" w:rsidRPr="009C7A0A">
        <w:t>konstatēt</w:t>
      </w:r>
      <w:r w:rsidRPr="009C7A0A">
        <w:t xml:space="preserve"> kļūdu būvkonstrukciju projektā, jo tas ir pretrunā būvniecības normatīvajos aktos nostiprinātajiem specializācijas, sertifikācijas un paļāvības principiem, kā arī</w:t>
      </w:r>
      <w:r w:rsidR="00BE6381" w:rsidRPr="009C7A0A">
        <w:t xml:space="preserve"> par to</w:t>
      </w:r>
      <w:r w:rsidRPr="009C7A0A">
        <w:t xml:space="preserve">, ka kopnes </w:t>
      </w:r>
      <w:proofErr w:type="spellStart"/>
      <w:r w:rsidRPr="009C7A0A">
        <w:t>apakšjoslas</w:t>
      </w:r>
      <w:proofErr w:type="spellEnd"/>
      <w:r w:rsidRPr="009C7A0A">
        <w:t xml:space="preserve"> vidējā savienojumā faktiski izmantotie </w:t>
      </w:r>
      <w:proofErr w:type="spellStart"/>
      <w:r w:rsidRPr="009C7A0A">
        <w:t>skrūvsavienojumi</w:t>
      </w:r>
      <w:proofErr w:type="spellEnd"/>
      <w:r w:rsidRPr="009C7A0A">
        <w:t xml:space="preserve"> nav tiešā cēloniskā sakarā ar jumta nobrukumu, jo tas būtu noticis arī </w:t>
      </w:r>
      <w:r w:rsidR="00BE6381" w:rsidRPr="009C7A0A">
        <w:t xml:space="preserve">izmantojot </w:t>
      </w:r>
      <w:r w:rsidRPr="009C7A0A">
        <w:t>stiprāku</w:t>
      </w:r>
      <w:r w:rsidR="00BE6381" w:rsidRPr="009C7A0A">
        <w:t>s</w:t>
      </w:r>
      <w:r w:rsidRPr="009C7A0A">
        <w:t xml:space="preserve"> </w:t>
      </w:r>
      <w:proofErr w:type="spellStart"/>
      <w:r w:rsidRPr="009C7A0A">
        <w:t>skrūvsavienojumu</w:t>
      </w:r>
      <w:r w:rsidR="00BE6381" w:rsidRPr="009C7A0A">
        <w:t>s</w:t>
      </w:r>
      <w:proofErr w:type="spellEnd"/>
      <w:r w:rsidRPr="009C7A0A">
        <w:t xml:space="preserve">, ir </w:t>
      </w:r>
      <w:r w:rsidR="00EB204B" w:rsidRPr="009C7A0A">
        <w:t xml:space="preserve">neatbilstoši </w:t>
      </w:r>
      <w:r w:rsidRPr="009C7A0A">
        <w:t>lietas materiālos esošajām ziņām, proti</w:t>
      </w:r>
      <w:r w:rsidR="00A14930" w:rsidRPr="009C7A0A">
        <w:t>:</w:t>
      </w:r>
      <w:r w:rsidRPr="009C7A0A">
        <w:t xml:space="preserve"> </w:t>
      </w:r>
      <w:r w:rsidR="00076453" w:rsidRPr="009C7A0A">
        <w:t>1) </w:t>
      </w:r>
      <w:r w:rsidR="00BE6381" w:rsidRPr="009C7A0A">
        <w:t xml:space="preserve">ar </w:t>
      </w:r>
      <w:r w:rsidRPr="009C7A0A">
        <w:t>kompleksās ekspertīzes atzinum</w:t>
      </w:r>
      <w:r w:rsidR="00667F06" w:rsidRPr="009C7A0A">
        <w:t xml:space="preserve">ā norādīto, </w:t>
      </w:r>
      <w:r w:rsidRPr="009C7A0A">
        <w:t>ka k</w:t>
      </w:r>
      <w:r w:rsidRPr="009C7A0A">
        <w:rPr>
          <w:iCs/>
          <w:lang w:bidi="lv-LV"/>
        </w:rPr>
        <w:t xml:space="preserve">opņu </w:t>
      </w:r>
      <w:proofErr w:type="spellStart"/>
      <w:r w:rsidRPr="009C7A0A">
        <w:rPr>
          <w:iCs/>
          <w:lang w:bidi="lv-LV"/>
        </w:rPr>
        <w:t>skrūvsavienojumā</w:t>
      </w:r>
      <w:proofErr w:type="spellEnd"/>
      <w:r w:rsidRPr="009C7A0A">
        <w:rPr>
          <w:iCs/>
          <w:lang w:bidi="lv-LV"/>
        </w:rPr>
        <w:t xml:space="preserve"> izmantoto uzgriežņu tehniskie parametri būtiski ietekmēja jumta konstrukcijas nestspēju, </w:t>
      </w:r>
      <w:r w:rsidR="00076453" w:rsidRPr="009C7A0A">
        <w:rPr>
          <w:iCs/>
          <w:lang w:bidi="lv-LV"/>
        </w:rPr>
        <w:t>samazinot</w:t>
      </w:r>
      <w:r w:rsidRPr="009C7A0A">
        <w:rPr>
          <w:iCs/>
          <w:lang w:bidi="lv-LV"/>
        </w:rPr>
        <w:t xml:space="preserve"> jumta konstrukcijas sabrukuma laiku</w:t>
      </w:r>
      <w:r w:rsidR="00A14930" w:rsidRPr="009C7A0A">
        <w:rPr>
          <w:iCs/>
          <w:lang w:bidi="lv-LV"/>
        </w:rPr>
        <w:t>;</w:t>
      </w:r>
      <w:r w:rsidRPr="009C7A0A">
        <w:rPr>
          <w:iCs/>
          <w:lang w:bidi="lv-LV"/>
        </w:rPr>
        <w:t xml:space="preserve"> </w:t>
      </w:r>
      <w:r w:rsidR="00076453" w:rsidRPr="009C7A0A">
        <w:rPr>
          <w:iCs/>
          <w:lang w:bidi="lv-LV"/>
        </w:rPr>
        <w:t>2) </w:t>
      </w:r>
      <w:r w:rsidR="00BE6381" w:rsidRPr="009C7A0A">
        <w:rPr>
          <w:iCs/>
          <w:lang w:bidi="lv-LV"/>
        </w:rPr>
        <w:t xml:space="preserve">ar </w:t>
      </w:r>
      <w:r w:rsidRPr="009C7A0A">
        <w:t xml:space="preserve">eksperta </w:t>
      </w:r>
      <w:r w:rsidR="00E7665A">
        <w:t>[pers. LE]</w:t>
      </w:r>
      <w:r w:rsidR="00E7665A" w:rsidRPr="009C7A0A">
        <w:t xml:space="preserve"> </w:t>
      </w:r>
      <w:r w:rsidR="00A14930" w:rsidRPr="009C7A0A">
        <w:t>liecībām par</w:t>
      </w:r>
      <w:r w:rsidRPr="009C7A0A">
        <w:t xml:space="preserve"> ekspertīzes ietvaros vei</w:t>
      </w:r>
      <w:r w:rsidR="00A14930" w:rsidRPr="009C7A0A">
        <w:t>kto</w:t>
      </w:r>
      <w:r w:rsidRPr="009C7A0A">
        <w:t xml:space="preserve"> eksperimentu saistībā ar būvkonstrukciju sabrukuma iemesliem</w:t>
      </w:r>
      <w:r w:rsidR="00A14930" w:rsidRPr="009C7A0A">
        <w:t>;</w:t>
      </w:r>
      <w:r w:rsidR="00200932" w:rsidRPr="009C7A0A">
        <w:t xml:space="preserve"> </w:t>
      </w:r>
      <w:r w:rsidR="00076453" w:rsidRPr="009C7A0A">
        <w:t>3) </w:t>
      </w:r>
      <w:r w:rsidR="00BE6381" w:rsidRPr="009C7A0A">
        <w:t xml:space="preserve">ar </w:t>
      </w:r>
      <w:r w:rsidRPr="009C7A0A">
        <w:t>Patērētāju tiesību aizsardzības centra atzinum</w:t>
      </w:r>
      <w:r w:rsidR="00A14930" w:rsidRPr="009C7A0A">
        <w:t xml:space="preserve">u un </w:t>
      </w:r>
      <w:bookmarkStart w:id="2" w:name="_Hlk183438024"/>
      <w:r w:rsidR="00A14930" w:rsidRPr="009C7A0A">
        <w:t xml:space="preserve">liecinieces </w:t>
      </w:r>
      <w:r w:rsidR="00E7665A">
        <w:t>[pers. LF]</w:t>
      </w:r>
      <w:r w:rsidRPr="009C7A0A">
        <w:t xml:space="preserve"> (</w:t>
      </w:r>
      <w:r w:rsidR="0042733C" w:rsidRPr="009C7A0A">
        <w:t xml:space="preserve">pirms uzvārda maiņas – </w:t>
      </w:r>
      <w:r w:rsidR="00E7665A">
        <w:t>[Uzvārds]</w:t>
      </w:r>
      <w:r w:rsidRPr="009C7A0A">
        <w:t>)</w:t>
      </w:r>
      <w:bookmarkEnd w:id="2"/>
      <w:r w:rsidRPr="009C7A0A">
        <w:t xml:space="preserve"> liecībām</w:t>
      </w:r>
      <w:r w:rsidR="005924C5" w:rsidRPr="009C7A0A">
        <w:t xml:space="preserve"> par </w:t>
      </w:r>
      <w:r w:rsidR="00A14930" w:rsidRPr="009C7A0A">
        <w:t xml:space="preserve">to, ka </w:t>
      </w:r>
      <w:r w:rsidR="00A14930" w:rsidRPr="009C7A0A">
        <w:rPr>
          <w:bCs/>
        </w:rPr>
        <w:t>bija nepieciešams nodrošināt tādu</w:t>
      </w:r>
      <w:r w:rsidR="005924C5" w:rsidRPr="009C7A0A">
        <w:rPr>
          <w:bCs/>
        </w:rPr>
        <w:t xml:space="preserve"> skrūvju un uzgriežņu izmantošanu slodzi nesošo </w:t>
      </w:r>
      <w:r w:rsidR="005924C5" w:rsidRPr="009C7A0A">
        <w:rPr>
          <w:bCs/>
        </w:rPr>
        <w:lastRenderedPageBreak/>
        <w:t xml:space="preserve">metāla konstrukciju savienojumu vietās, kas atbilst saskaņotajam standartam </w:t>
      </w:r>
      <w:r w:rsidR="005D204E" w:rsidRPr="009C7A0A">
        <w:rPr>
          <w:bCs/>
        </w:rPr>
        <w:t>un tiek atbilstoši marķēts</w:t>
      </w:r>
      <w:r w:rsidR="00A14930" w:rsidRPr="009C7A0A">
        <w:rPr>
          <w:bCs/>
        </w:rPr>
        <w:t>.</w:t>
      </w:r>
    </w:p>
    <w:p w14:paraId="1AB2BAC7" w14:textId="0A0B7C1D" w:rsidR="00561118" w:rsidRPr="009C7A0A" w:rsidRDefault="00F16718" w:rsidP="009C7A0A">
      <w:pPr>
        <w:spacing w:line="276" w:lineRule="auto"/>
        <w:ind w:firstLine="720"/>
        <w:jc w:val="both"/>
      </w:pPr>
      <w:r w:rsidRPr="009C7A0A">
        <w:t>T</w:t>
      </w:r>
      <w:r w:rsidR="00667F06" w:rsidRPr="009C7A0A">
        <w:t>āpat t</w:t>
      </w:r>
      <w:r w:rsidRPr="009C7A0A">
        <w:t xml:space="preserve">iesa, atzīstot, ka lietā nav pierādījumu tam, ka </w:t>
      </w:r>
      <w:r w:rsidR="001C0A03">
        <w:t>[pers. BK]</w:t>
      </w:r>
      <w:r w:rsidRPr="009C7A0A">
        <w:t xml:space="preserve"> atbilstoši būvniecību regulējoš</w:t>
      </w:r>
      <w:r w:rsidR="00375BEA" w:rsidRPr="009C7A0A">
        <w:t>aj</w:t>
      </w:r>
      <w:r w:rsidRPr="009C7A0A">
        <w:t>iem normatīv</w:t>
      </w:r>
      <w:r w:rsidR="00375BEA" w:rsidRPr="009C7A0A">
        <w:t>aj</w:t>
      </w:r>
      <w:r w:rsidRPr="009C7A0A">
        <w:t xml:space="preserve">iem </w:t>
      </w:r>
      <w:r w:rsidR="00375BEA" w:rsidRPr="009C7A0A">
        <w:t xml:space="preserve">tiesību </w:t>
      </w:r>
      <w:r w:rsidRPr="009C7A0A">
        <w:t>aktiem bija pienākums kontrolēt to, kura persona veic ierakstus būvdarbu žurnālā</w:t>
      </w:r>
      <w:r w:rsidR="00275B0E" w:rsidRPr="009C7A0A">
        <w:t>,</w:t>
      </w:r>
      <w:r w:rsidR="00667F06" w:rsidRPr="009C7A0A">
        <w:t xml:space="preserve"> </w:t>
      </w:r>
      <w:r w:rsidRPr="009C7A0A">
        <w:t xml:space="preserve">un pārliecināties par </w:t>
      </w:r>
      <w:r w:rsidR="00667F06" w:rsidRPr="009C7A0A">
        <w:t>darba veicēja</w:t>
      </w:r>
      <w:r w:rsidRPr="009C7A0A">
        <w:t xml:space="preserve"> personību un kvalifikāciju, nav ņēmusi vērā: 1) </w:t>
      </w:r>
      <w:r w:rsidR="00466707">
        <w:t>[pers. LG</w:t>
      </w:r>
      <w:r w:rsidR="004814A7">
        <w:t>]</w:t>
      </w:r>
      <w:r w:rsidR="00F65820" w:rsidRPr="009C7A0A">
        <w:t xml:space="preserve"> </w:t>
      </w:r>
      <w:r w:rsidR="0043616F" w:rsidRPr="009C7A0A">
        <w:rPr>
          <w:color w:val="000000"/>
        </w:rPr>
        <w:t>2018. gada 6. februāra</w:t>
      </w:r>
      <w:r w:rsidR="0043616F" w:rsidRPr="009C7A0A">
        <w:t xml:space="preserve"> </w:t>
      </w:r>
      <w:r w:rsidR="00F65820" w:rsidRPr="009C7A0A">
        <w:t xml:space="preserve">liecības, ka </w:t>
      </w:r>
      <w:r w:rsidR="00A84DC5" w:rsidRPr="009C7A0A">
        <w:t>būvdarbu vadītājs ir atbildīgs par būvdarbu žurnāla aizpildīšanu</w:t>
      </w:r>
      <w:r w:rsidR="00F0341B" w:rsidRPr="009C7A0A">
        <w:t>,</w:t>
      </w:r>
      <w:r w:rsidR="004F71CD" w:rsidRPr="009C7A0A">
        <w:t xml:space="preserve"> un</w:t>
      </w:r>
      <w:r w:rsidR="00F0341B" w:rsidRPr="009C7A0A">
        <w:t xml:space="preserve"> c</w:t>
      </w:r>
      <w:r w:rsidR="00A84DC5" w:rsidRPr="009C7A0A">
        <w:t>itas personas</w:t>
      </w:r>
      <w:r w:rsidR="00F0341B" w:rsidRPr="009C7A0A">
        <w:t xml:space="preserve"> tajā</w:t>
      </w:r>
      <w:r w:rsidR="00A84DC5" w:rsidRPr="009C7A0A">
        <w:t xml:space="preserve"> nevar veikt ierakstus</w:t>
      </w:r>
      <w:r w:rsidR="00F0341B" w:rsidRPr="009C7A0A">
        <w:t>; 2) Vides attīstības un reģionālās attīstības ministrijas 2003. gada 24. janvāra rīkojumā Nr. 26 „Par būvdarbu žurnālu”</w:t>
      </w:r>
      <w:r w:rsidR="00EC5745" w:rsidRPr="009C7A0A">
        <w:t xml:space="preserve"> </w:t>
      </w:r>
      <w:r w:rsidR="004F71CD" w:rsidRPr="009C7A0A">
        <w:t xml:space="preserve">esošās ziņas </w:t>
      </w:r>
      <w:r w:rsidR="00EC5745" w:rsidRPr="009C7A0A">
        <w:t>par būvdarbu žurnālā norādāmo informāciju.</w:t>
      </w:r>
    </w:p>
    <w:p w14:paraId="7B1AE862" w14:textId="77777777" w:rsidR="00561118" w:rsidRPr="009C7A0A" w:rsidRDefault="00BC6332" w:rsidP="009C7A0A">
      <w:pPr>
        <w:spacing w:line="276" w:lineRule="auto"/>
        <w:ind w:firstLine="720"/>
        <w:jc w:val="both"/>
      </w:pPr>
      <w:r w:rsidRPr="009C7A0A">
        <w:t xml:space="preserve">Tiesa nav motivējusi, </w:t>
      </w:r>
      <w:r w:rsidR="007A3AA4" w:rsidRPr="009C7A0A">
        <w:t>kādēļ apstāklis</w:t>
      </w:r>
      <w:r w:rsidRPr="009C7A0A">
        <w:t>, ka kopņu montāžas darbus vadīja un nozīmīgo konstrukciju pieņemšanas aktu Nr. 9-2 parakstīja persona bez atbilstoša sertifikāta, nav atzīstams par celtniecības normu pārkāpumu, kas kopumā ar citiem apsūdzībā norādītajiem pārkāpumiem izraisīja smago seku iestāšanos.</w:t>
      </w:r>
    </w:p>
    <w:p w14:paraId="7AD31C70" w14:textId="31896E2C" w:rsidR="00561118" w:rsidRPr="009C7A0A" w:rsidRDefault="00A1210E" w:rsidP="009C7A0A">
      <w:pPr>
        <w:spacing w:line="276" w:lineRule="auto"/>
        <w:ind w:firstLine="720"/>
        <w:jc w:val="both"/>
      </w:pPr>
      <w:r w:rsidRPr="009C7A0A">
        <w:t>T</w:t>
      </w:r>
      <w:r w:rsidR="0045611A" w:rsidRPr="009C7A0A">
        <w:t>urklāt t</w:t>
      </w:r>
      <w:r w:rsidR="009C5716" w:rsidRPr="009C7A0A">
        <w:t xml:space="preserve">iesa nav vērtējusi normatīvos būvniecības noteikumus par </w:t>
      </w:r>
      <w:proofErr w:type="spellStart"/>
      <w:r w:rsidR="009C5716" w:rsidRPr="009C7A0A">
        <w:t>virsbetona</w:t>
      </w:r>
      <w:proofErr w:type="spellEnd"/>
      <w:r w:rsidR="009C5716" w:rsidRPr="009C7A0A">
        <w:t xml:space="preserve"> slāņa</w:t>
      </w:r>
      <w:r w:rsidR="00F51D91" w:rsidRPr="009C7A0A">
        <w:t xml:space="preserve"> slodzi</w:t>
      </w:r>
      <w:r w:rsidR="00275B0E" w:rsidRPr="009C7A0A">
        <w:t>,</w:t>
      </w:r>
      <w:r w:rsidR="000507C2" w:rsidRPr="009C7A0A">
        <w:t xml:space="preserve"> </w:t>
      </w:r>
      <w:r w:rsidR="00F51D91" w:rsidRPr="009C7A0A">
        <w:t>iedarbi un atbils</w:t>
      </w:r>
      <w:r w:rsidR="009B36FC" w:rsidRPr="009C7A0A">
        <w:t>t</w:t>
      </w:r>
      <w:r w:rsidR="00F51D91" w:rsidRPr="009C7A0A">
        <w:t xml:space="preserve">ību projekta dokumentācijai, jo no projekta dokumentācijas </w:t>
      </w:r>
      <w:r w:rsidR="0061529D" w:rsidRPr="009C7A0A">
        <w:t>secināms</w:t>
      </w:r>
      <w:r w:rsidR="00F51D91" w:rsidRPr="009C7A0A">
        <w:t xml:space="preserve">, ka </w:t>
      </w:r>
      <w:proofErr w:type="spellStart"/>
      <w:r w:rsidR="00F51D91" w:rsidRPr="009C7A0A">
        <w:t>virsbeton</w:t>
      </w:r>
      <w:r w:rsidR="0005564C" w:rsidRPr="009C7A0A">
        <w:t>a</w:t>
      </w:r>
      <w:proofErr w:type="spellEnd"/>
      <w:r w:rsidR="0005564C" w:rsidRPr="009C7A0A">
        <w:t xml:space="preserve"> slānis</w:t>
      </w:r>
      <w:r w:rsidR="00F51D91" w:rsidRPr="009C7A0A">
        <w:t xml:space="preserve"> bija neatbilstoši </w:t>
      </w:r>
      <w:r w:rsidR="0005564C" w:rsidRPr="009C7A0A">
        <w:t>izveidots</w:t>
      </w:r>
      <w:r w:rsidR="009B36FC" w:rsidRPr="009C7A0A">
        <w:t xml:space="preserve">, pārsniedza drošības </w:t>
      </w:r>
      <w:r w:rsidR="0045611A" w:rsidRPr="009C7A0A">
        <w:t>koeficientu</w:t>
      </w:r>
      <w:r w:rsidR="00F51D91" w:rsidRPr="009C7A0A">
        <w:t xml:space="preserve">, </w:t>
      </w:r>
      <w:r w:rsidR="009B36FC" w:rsidRPr="009C7A0A">
        <w:t xml:space="preserve">ņemot vērā </w:t>
      </w:r>
      <w:proofErr w:type="spellStart"/>
      <w:r w:rsidR="009B36FC" w:rsidRPr="009C7A0A">
        <w:t>vir</w:t>
      </w:r>
      <w:r w:rsidR="0039135B" w:rsidRPr="009C7A0A">
        <w:t>s</w:t>
      </w:r>
      <w:r w:rsidR="009B36FC" w:rsidRPr="009C7A0A">
        <w:t>betona</w:t>
      </w:r>
      <w:proofErr w:type="spellEnd"/>
      <w:r w:rsidR="009B36FC" w:rsidRPr="009C7A0A">
        <w:t xml:space="preserve"> blīvumu</w:t>
      </w:r>
      <w:r w:rsidR="001E4720" w:rsidRPr="009C7A0A">
        <w:t>, proti, t</w:t>
      </w:r>
      <w:r w:rsidR="0061529D" w:rsidRPr="009C7A0A">
        <w:t xml:space="preserve">as </w:t>
      </w:r>
      <w:r w:rsidR="00F51D91" w:rsidRPr="009C7A0A">
        <w:t>radīja papildu slodzi uz nesošajām būvkonstrukcijām un</w:t>
      </w:r>
      <w:r w:rsidR="009B36FC" w:rsidRPr="009C7A0A">
        <w:t xml:space="preserve"> bija viens no nogruvum</w:t>
      </w:r>
      <w:r w:rsidR="00275B0E" w:rsidRPr="009C7A0A">
        <w:t>u</w:t>
      </w:r>
      <w:r w:rsidR="009B36FC" w:rsidRPr="009C7A0A">
        <w:t xml:space="preserve"> veicinošajiem cēloņiem.</w:t>
      </w:r>
    </w:p>
    <w:p w14:paraId="3A704989" w14:textId="2F6E3BA2" w:rsidR="00561118" w:rsidRPr="009C7A0A" w:rsidRDefault="008420A0" w:rsidP="00340AC4">
      <w:pPr>
        <w:spacing w:line="276" w:lineRule="auto"/>
        <w:ind w:firstLine="720"/>
        <w:jc w:val="both"/>
      </w:pPr>
      <w:r w:rsidRPr="009C7A0A">
        <w:t xml:space="preserve">Tiesa, atzīstot, ka lietā nav pierādījumu tam, ka </w:t>
      </w:r>
      <w:r w:rsidR="00340AC4">
        <w:t>[pers. BK]</w:t>
      </w:r>
      <w:r w:rsidRPr="009C7A0A">
        <w:t xml:space="preserve"> bija pienākums pārbaudīt nesošo kopņu sametinājumus, nav ņēmusi vērā būvniecības ekspertīzes atzinumu un eksperta </w:t>
      </w:r>
      <w:r w:rsidR="00340AC4">
        <w:t>[pers. LE]</w:t>
      </w:r>
      <w:r w:rsidRPr="009C7A0A">
        <w:t xml:space="preserve"> liecību, ko kuras izriet, ka </w:t>
      </w:r>
      <w:r w:rsidR="00340AC4">
        <w:t>[pers. BK]</w:t>
      </w:r>
      <w:r w:rsidRPr="009C7A0A">
        <w:t xml:space="preserve">, vadot būvdarbus un pieņemot </w:t>
      </w:r>
      <w:r w:rsidR="00012788" w:rsidRPr="009C7A0A">
        <w:t xml:space="preserve">darbus – </w:t>
      </w:r>
      <w:r w:rsidRPr="009C7A0A">
        <w:t xml:space="preserve">pretuguns </w:t>
      </w:r>
      <w:proofErr w:type="spellStart"/>
      <w:r w:rsidRPr="009C7A0A">
        <w:t>aizsargkrāsojum</w:t>
      </w:r>
      <w:r w:rsidR="00012788" w:rsidRPr="009C7A0A">
        <w:t>u</w:t>
      </w:r>
      <w:proofErr w:type="spellEnd"/>
      <w:r w:rsidR="00012788" w:rsidRPr="009C7A0A">
        <w:t xml:space="preserve">, </w:t>
      </w:r>
      <w:r w:rsidRPr="009C7A0A">
        <w:t xml:space="preserve">krāsojuma kārtas biezumu un </w:t>
      </w:r>
      <w:proofErr w:type="spellStart"/>
      <w:r w:rsidRPr="009C7A0A">
        <w:t>nosegumu</w:t>
      </w:r>
      <w:proofErr w:type="spellEnd"/>
      <w:r w:rsidR="00012788" w:rsidRPr="009C7A0A">
        <w:t xml:space="preserve"> –</w:t>
      </w:r>
      <w:r w:rsidRPr="009C7A0A">
        <w:t xml:space="preserve"> bija iespējams konstatēt spraugas kopņu mezglos starp </w:t>
      </w:r>
      <w:proofErr w:type="spellStart"/>
      <w:r w:rsidRPr="009C7A0A">
        <w:t>fasonlapām</w:t>
      </w:r>
      <w:proofErr w:type="spellEnd"/>
      <w:r w:rsidRPr="009C7A0A">
        <w:t>.</w:t>
      </w:r>
    </w:p>
    <w:p w14:paraId="2A0D1810" w14:textId="15B9BBCA" w:rsidR="00667F06" w:rsidRPr="009C7A0A" w:rsidRDefault="0022758F" w:rsidP="009C7A0A">
      <w:pPr>
        <w:spacing w:line="276" w:lineRule="auto"/>
        <w:ind w:firstLine="720"/>
        <w:jc w:val="both"/>
        <w:rPr>
          <w:bCs/>
        </w:rPr>
      </w:pPr>
      <w:r w:rsidRPr="009C7A0A">
        <w:t xml:space="preserve">Tiesa </w:t>
      </w:r>
      <w:r w:rsidR="005B4A8D" w:rsidRPr="009C7A0A">
        <w:t>nav</w:t>
      </w:r>
      <w:r w:rsidR="00275B0E" w:rsidRPr="009C7A0A">
        <w:t xml:space="preserve"> izvērtējusi</w:t>
      </w:r>
      <w:r w:rsidRPr="009C7A0A">
        <w:t xml:space="preserve"> būvniecīb</w:t>
      </w:r>
      <w:r w:rsidR="0045611A" w:rsidRPr="009C7A0A">
        <w:t>a</w:t>
      </w:r>
      <w:r w:rsidRPr="009C7A0A">
        <w:t>s ekspertīzes</w:t>
      </w:r>
      <w:r w:rsidR="00633342" w:rsidRPr="009C7A0A">
        <w:t xml:space="preserve"> ekspertu</w:t>
      </w:r>
      <w:r w:rsidRPr="009C7A0A">
        <w:t xml:space="preserve"> </w:t>
      </w:r>
      <w:r w:rsidR="00633342" w:rsidRPr="009C7A0A">
        <w:t xml:space="preserve">atzinumā pausto </w:t>
      </w:r>
      <w:r w:rsidRPr="009C7A0A">
        <w:t>secinājum</w:t>
      </w:r>
      <w:r w:rsidR="00275B0E" w:rsidRPr="009C7A0A">
        <w:t>u</w:t>
      </w:r>
      <w:r w:rsidRPr="009C7A0A">
        <w:t xml:space="preserve">, ka notikušais ugunsgrēks </w:t>
      </w:r>
      <w:r w:rsidR="005B4A8D" w:rsidRPr="009C7A0A">
        <w:t xml:space="preserve">bija </w:t>
      </w:r>
      <w:r w:rsidRPr="009C7A0A">
        <w:t>atstāj</w:t>
      </w:r>
      <w:r w:rsidR="005B4A8D" w:rsidRPr="009C7A0A">
        <w:t>is</w:t>
      </w:r>
      <w:r w:rsidRPr="009C7A0A">
        <w:t xml:space="preserve"> negatīvu ietekmi</w:t>
      </w:r>
      <w:r w:rsidR="005B4A8D" w:rsidRPr="009C7A0A">
        <w:t xml:space="preserve"> uz būv</w:t>
      </w:r>
      <w:r w:rsidR="0045611A" w:rsidRPr="009C7A0A">
        <w:t>pro</w:t>
      </w:r>
      <w:r w:rsidR="005B4A8D" w:rsidRPr="009C7A0A">
        <w:t>jektu</w:t>
      </w:r>
      <w:r w:rsidRPr="009C7A0A">
        <w:t xml:space="preserve">, proti, kopnes vidējās joslas </w:t>
      </w:r>
      <w:proofErr w:type="spellStart"/>
      <w:r w:rsidRPr="009C7A0A">
        <w:t>skrūvsavienojuma</w:t>
      </w:r>
      <w:proofErr w:type="spellEnd"/>
      <w:r w:rsidRPr="009C7A0A">
        <w:t xml:space="preserve"> un </w:t>
      </w:r>
      <w:proofErr w:type="spellStart"/>
      <w:r w:rsidRPr="009C7A0A">
        <w:t>virsbetona</w:t>
      </w:r>
      <w:proofErr w:type="spellEnd"/>
      <w:r w:rsidRPr="009C7A0A">
        <w:t xml:space="preserve"> stiprība</w:t>
      </w:r>
      <w:r w:rsidR="00753851" w:rsidRPr="009C7A0A">
        <w:t xml:space="preserve"> pēc ugunsgrēka</w:t>
      </w:r>
      <w:r w:rsidRPr="009C7A0A">
        <w:t xml:space="preserve"> bija mazāka </w:t>
      </w:r>
      <w:r w:rsidR="00CD2468" w:rsidRPr="009C7A0A">
        <w:t>par</w:t>
      </w:r>
      <w:r w:rsidRPr="009C7A0A">
        <w:t xml:space="preserve"> darbu pieņemšanas nodošanas aktā norādīt</w:t>
      </w:r>
      <w:r w:rsidR="00CD2468" w:rsidRPr="009C7A0A">
        <w:t>o</w:t>
      </w:r>
      <w:r w:rsidR="005B4A8D" w:rsidRPr="009C7A0A">
        <w:t xml:space="preserve">, </w:t>
      </w:r>
      <w:r w:rsidR="00753851" w:rsidRPr="009C7A0A">
        <w:t>tādēļ</w:t>
      </w:r>
      <w:r w:rsidR="005B4A8D" w:rsidRPr="009C7A0A">
        <w:t xml:space="preserve"> </w:t>
      </w:r>
      <w:r w:rsidR="007D3C8B">
        <w:t>[pers. BK]</w:t>
      </w:r>
      <w:r w:rsidR="005B4A8D" w:rsidRPr="009C7A0A">
        <w:t>, parakstot apliecinājumu par būves gatavību ekspluatācijai, pieļāva būvniecības noteikumu pārkāpumu. B</w:t>
      </w:r>
      <w:r w:rsidR="00CC5B4F" w:rsidRPr="009C7A0A">
        <w:t>ūv</w:t>
      </w:r>
      <w:r w:rsidR="0045611A" w:rsidRPr="009C7A0A">
        <w:t xml:space="preserve">niecības </w:t>
      </w:r>
      <w:r w:rsidR="00CC5B4F" w:rsidRPr="009C7A0A">
        <w:t xml:space="preserve">procesa dalībniekiem, tai skaitā </w:t>
      </w:r>
      <w:r w:rsidR="00D25FE4">
        <w:t>[pers. BK]</w:t>
      </w:r>
      <w:r w:rsidR="00CC5B4F" w:rsidRPr="009C7A0A">
        <w:t xml:space="preserve">, </w:t>
      </w:r>
      <w:r w:rsidR="005B4A8D" w:rsidRPr="009C7A0A">
        <w:t xml:space="preserve">pēc ugunsgrēka </w:t>
      </w:r>
      <w:r w:rsidR="00CC5B4F" w:rsidRPr="009C7A0A">
        <w:t>bija nepieciešams pārbaudīt ne tikai jumta pārseguma stāvokli un drošumu, bet arī novērtēt ugunsgrēka varbūtējo ietekmi uz būvprojektu, konstatēt kopņu deformēšanos un nekavējoties pieprasīt vai veikt slodžu pārrēķinu.</w:t>
      </w:r>
    </w:p>
    <w:p w14:paraId="1944FB04" w14:textId="123CC7D7" w:rsidR="0045611A" w:rsidRPr="009C7A0A" w:rsidRDefault="00406A14" w:rsidP="009C7A0A">
      <w:pPr>
        <w:spacing w:line="276" w:lineRule="auto"/>
        <w:ind w:firstLine="720"/>
        <w:jc w:val="both"/>
      </w:pPr>
      <w:r w:rsidRPr="009C7A0A">
        <w:t>[5.</w:t>
      </w:r>
      <w:r w:rsidR="00B45B5E" w:rsidRPr="009C7A0A">
        <w:t>5</w:t>
      </w:r>
      <w:r w:rsidRPr="009C7A0A">
        <w:t>] </w:t>
      </w:r>
      <w:r w:rsidR="00BC4811" w:rsidRPr="009C7A0A">
        <w:t>Tiesa</w:t>
      </w:r>
      <w:r w:rsidR="0045611A" w:rsidRPr="009C7A0A">
        <w:t>, izvērtēj</w:t>
      </w:r>
      <w:r w:rsidR="00753851" w:rsidRPr="009C7A0A">
        <w:t>usi</w:t>
      </w:r>
      <w:r w:rsidR="0045611A" w:rsidRPr="009C7A0A">
        <w:t xml:space="preserve"> </w:t>
      </w:r>
      <w:r w:rsidR="00135ED9">
        <w:t>[pers. BL]</w:t>
      </w:r>
      <w:r w:rsidR="0045611A" w:rsidRPr="009C7A0A">
        <w:t xml:space="preserve"> celto apsūdzību pēc Krimināllikuma 239. panta otrās daļas,</w:t>
      </w:r>
      <w:r w:rsidR="00BC4811" w:rsidRPr="009C7A0A">
        <w:t xml:space="preserve"> nepamatoti atzinusi, ka apsūdzēta</w:t>
      </w:r>
      <w:r w:rsidR="00417FE7" w:rsidRPr="009C7A0A">
        <w:t>is</w:t>
      </w:r>
      <w:r w:rsidR="00BC4811" w:rsidRPr="009C7A0A">
        <w:t xml:space="preserve"> </w:t>
      </w:r>
      <w:r w:rsidR="00E24CBC">
        <w:t>[pers. BL]</w:t>
      </w:r>
      <w:r w:rsidR="00BC4811" w:rsidRPr="009C7A0A">
        <w:t xml:space="preserve"> </w:t>
      </w:r>
      <w:r w:rsidR="00417FE7" w:rsidRPr="009C7A0A">
        <w:t>nav rīkojies pretēji būvuzraudzības mērķim un nav pieļāvis būvuzrauga pienākumu pārkāpumu</w:t>
      </w:r>
      <w:r w:rsidR="002546D7" w:rsidRPr="009C7A0A">
        <w:t>s</w:t>
      </w:r>
      <w:r w:rsidR="0045611A" w:rsidRPr="009C7A0A">
        <w:t>.</w:t>
      </w:r>
    </w:p>
    <w:p w14:paraId="35EE90E6" w14:textId="6EEB3C5D" w:rsidR="00561118" w:rsidRPr="009C7A0A" w:rsidRDefault="0001097A" w:rsidP="009C7A0A">
      <w:pPr>
        <w:spacing w:line="276" w:lineRule="auto"/>
        <w:ind w:firstLine="720"/>
        <w:jc w:val="both"/>
      </w:pPr>
      <w:r w:rsidRPr="009C7A0A">
        <w:t xml:space="preserve">Pretēji tiesas secinātajam </w:t>
      </w:r>
      <w:r w:rsidR="009C3E68">
        <w:t>[pers. BL]</w:t>
      </w:r>
      <w:r w:rsidRPr="009C7A0A">
        <w:t xml:space="preserve"> atbilstoši būvniecību regulējošiem normatīviem aktiem bija pienākums pārliecināties par darbuzņēmēja </w:t>
      </w:r>
      <w:r w:rsidR="00BB72F6" w:rsidRPr="009C7A0A">
        <w:rPr>
          <w:bCs/>
          <w:color w:val="000000"/>
        </w:rPr>
        <w:t>SIA „</w:t>
      </w:r>
      <w:r w:rsidR="007C4D14">
        <w:rPr>
          <w:bCs/>
          <w:color w:val="000000"/>
        </w:rPr>
        <w:t>[Nosaukums F]</w:t>
      </w:r>
      <w:r w:rsidR="00BB72F6" w:rsidRPr="009C7A0A">
        <w:rPr>
          <w:bCs/>
          <w:color w:val="000000"/>
        </w:rPr>
        <w:t>”</w:t>
      </w:r>
      <w:r w:rsidRPr="009C7A0A">
        <w:rPr>
          <w:iCs/>
        </w:rPr>
        <w:t xml:space="preserve"> veiktiem darbiem</w:t>
      </w:r>
      <w:r w:rsidR="00E7775A" w:rsidRPr="009C7A0A">
        <w:rPr>
          <w:iCs/>
        </w:rPr>
        <w:t>,</w:t>
      </w:r>
      <w:r w:rsidRPr="009C7A0A">
        <w:rPr>
          <w:iCs/>
        </w:rPr>
        <w:t xml:space="preserve"> </w:t>
      </w:r>
      <w:r w:rsidRPr="009C7A0A">
        <w:t>nozīmētā darbu vadītāja personību un kvalifikāciju</w:t>
      </w:r>
      <w:r w:rsidR="00EA3870" w:rsidRPr="009C7A0A">
        <w:t xml:space="preserve"> un </w:t>
      </w:r>
      <w:r w:rsidR="00EA3870" w:rsidRPr="009C7A0A">
        <w:rPr>
          <w:iCs/>
          <w:lang w:bidi="lv-LV"/>
        </w:rPr>
        <w:t>p</w:t>
      </w:r>
      <w:r w:rsidR="00FC6736" w:rsidRPr="009C7A0A">
        <w:rPr>
          <w:iCs/>
          <w:lang w:bidi="lv-LV"/>
        </w:rPr>
        <w:t>ā</w:t>
      </w:r>
      <w:r w:rsidR="00EA3870" w:rsidRPr="009C7A0A">
        <w:rPr>
          <w:iCs/>
          <w:lang w:bidi="lv-LV"/>
        </w:rPr>
        <w:t>rbaudīt nesošo kopņu sametinājumus, kad tika pieņemts</w:t>
      </w:r>
      <w:r w:rsidR="00A16E72" w:rsidRPr="009C7A0A">
        <w:rPr>
          <w:iCs/>
          <w:lang w:bidi="lv-LV"/>
        </w:rPr>
        <w:t xml:space="preserve"> akts par</w:t>
      </w:r>
      <w:r w:rsidR="00EA3870" w:rsidRPr="009C7A0A">
        <w:rPr>
          <w:iCs/>
          <w:lang w:bidi="lv-LV"/>
        </w:rPr>
        <w:t xml:space="preserve"> kopņu ugunsdroš</w:t>
      </w:r>
      <w:r w:rsidR="00A16E72" w:rsidRPr="009C7A0A">
        <w:rPr>
          <w:iCs/>
          <w:lang w:bidi="lv-LV"/>
        </w:rPr>
        <w:t>o</w:t>
      </w:r>
      <w:r w:rsidR="00EA3870" w:rsidRPr="009C7A0A">
        <w:rPr>
          <w:iCs/>
          <w:lang w:bidi="lv-LV"/>
        </w:rPr>
        <w:t xml:space="preserve"> pārklājum</w:t>
      </w:r>
      <w:r w:rsidR="00A16E72" w:rsidRPr="009C7A0A">
        <w:rPr>
          <w:iCs/>
          <w:lang w:bidi="lv-LV"/>
        </w:rPr>
        <w:t>u</w:t>
      </w:r>
      <w:r w:rsidRPr="009C7A0A">
        <w:t>.</w:t>
      </w:r>
    </w:p>
    <w:p w14:paraId="452B39C4" w14:textId="737FF8D8" w:rsidR="0041372C" w:rsidRPr="009C7A0A" w:rsidRDefault="00DC2ACC" w:rsidP="009C7A0A">
      <w:pPr>
        <w:spacing w:line="276" w:lineRule="auto"/>
        <w:ind w:firstLine="720"/>
        <w:jc w:val="both"/>
      </w:pPr>
      <w:r w:rsidRPr="009C7A0A">
        <w:t xml:space="preserve">Pienācīgi kontrolējot veiktos darbus, tas ir, izpildot </w:t>
      </w:r>
      <w:r w:rsidR="00E7190E" w:rsidRPr="009C7A0A">
        <w:t xml:space="preserve">savus </w:t>
      </w:r>
      <w:r w:rsidRPr="009C7A0A">
        <w:t xml:space="preserve">pienākumus atbilstoši būvuzrauga saistību rakstam un atrodoties kopņu tiešā tuvumā, </w:t>
      </w:r>
      <w:r w:rsidR="000F77AB">
        <w:t>[pers. BL]</w:t>
      </w:r>
      <w:r w:rsidRPr="009C7A0A">
        <w:t xml:space="preserve"> bija jāpamana kopņu deformēšanās</w:t>
      </w:r>
      <w:r w:rsidR="001A191F" w:rsidRPr="009C7A0A">
        <w:t xml:space="preserve">, arī kopņu </w:t>
      </w:r>
      <w:proofErr w:type="spellStart"/>
      <w:r w:rsidR="001A191F" w:rsidRPr="009C7A0A">
        <w:t>apakšjoslu</w:t>
      </w:r>
      <w:proofErr w:type="spellEnd"/>
      <w:r w:rsidR="001A191F" w:rsidRPr="009C7A0A">
        <w:t xml:space="preserve"> mezglu spraug</w:t>
      </w:r>
      <w:r w:rsidR="007765EC" w:rsidRPr="009C7A0A">
        <w:t>u</w:t>
      </w:r>
      <w:r w:rsidR="001A191F" w:rsidRPr="009C7A0A">
        <w:t xml:space="preserve"> atvērumi</w:t>
      </w:r>
      <w:r w:rsidR="00B94D31" w:rsidRPr="009C7A0A">
        <w:t xml:space="preserve"> </w:t>
      </w:r>
      <w:r w:rsidR="001A191F" w:rsidRPr="009C7A0A">
        <w:t xml:space="preserve">pēc </w:t>
      </w:r>
      <w:proofErr w:type="spellStart"/>
      <w:r w:rsidR="001A191F" w:rsidRPr="009C7A0A">
        <w:t>virsbetona</w:t>
      </w:r>
      <w:proofErr w:type="spellEnd"/>
      <w:r w:rsidR="001A191F" w:rsidRPr="009C7A0A">
        <w:t xml:space="preserve"> uzklāšanas</w:t>
      </w:r>
      <w:r w:rsidR="000608E1" w:rsidRPr="009C7A0A">
        <w:t xml:space="preserve">. </w:t>
      </w:r>
      <w:r w:rsidR="00FF39CF">
        <w:t>[</w:t>
      </w:r>
      <w:r w:rsidR="007120F5">
        <w:t>P</w:t>
      </w:r>
      <w:r w:rsidR="00FF39CF">
        <w:t>ers. BL]</w:t>
      </w:r>
      <w:r w:rsidRPr="009C7A0A">
        <w:t xml:space="preserve"> </w:t>
      </w:r>
      <w:r w:rsidR="002B46AF" w:rsidRPr="009C7A0A">
        <w:t xml:space="preserve">pienākumu neizpildes </w:t>
      </w:r>
      <w:r w:rsidR="00C95257" w:rsidRPr="009C7A0A">
        <w:t xml:space="preserve">dēļ </w:t>
      </w:r>
      <w:r w:rsidRPr="009C7A0A">
        <w:t>netika konstatēti pieļautie celtniecības normu pārkāpumi, kā rezultātā bija sācies kopņu deformēšanās process.</w:t>
      </w:r>
    </w:p>
    <w:p w14:paraId="2D720C3A" w14:textId="5B2E5AFF" w:rsidR="00656941" w:rsidRPr="009C7A0A" w:rsidRDefault="00DF6D2C" w:rsidP="009C7A0A">
      <w:pPr>
        <w:spacing w:line="276" w:lineRule="auto"/>
        <w:ind w:firstLine="720"/>
        <w:jc w:val="both"/>
      </w:pPr>
      <w:r w:rsidRPr="009C7A0A">
        <w:lastRenderedPageBreak/>
        <w:t>Pretēji tiesas secinātajam no</w:t>
      </w:r>
      <w:r w:rsidR="00656941" w:rsidRPr="009C7A0A">
        <w:t xml:space="preserve"> </w:t>
      </w:r>
      <w:r w:rsidR="00561118" w:rsidRPr="009C7A0A">
        <w:t xml:space="preserve">kompleksās </w:t>
      </w:r>
      <w:r w:rsidR="00656941" w:rsidRPr="009C7A0A">
        <w:t xml:space="preserve">būvniecības ekspertīzes </w:t>
      </w:r>
      <w:r w:rsidR="00561118" w:rsidRPr="009C7A0A">
        <w:t xml:space="preserve">ekspertu atzinuma </w:t>
      </w:r>
      <w:r w:rsidR="00656941" w:rsidRPr="009C7A0A">
        <w:t xml:space="preserve">nepārprotami izriet, ka </w:t>
      </w:r>
      <w:r w:rsidR="0076391B">
        <w:t>[pers. BL]</w:t>
      </w:r>
      <w:r w:rsidR="00656941" w:rsidRPr="009C7A0A">
        <w:t xml:space="preserve"> </w:t>
      </w:r>
      <w:r w:rsidR="00C95257" w:rsidRPr="009C7A0A">
        <w:t>bija</w:t>
      </w:r>
      <w:r w:rsidR="00656941" w:rsidRPr="009C7A0A">
        <w:t xml:space="preserve"> atbildīgs par būvniecības laikā pieļautajiem kvalitātes un tehnoloģijas pārkāpumiem.</w:t>
      </w:r>
    </w:p>
    <w:p w14:paraId="688CA567" w14:textId="0397B900" w:rsidR="00561118" w:rsidRPr="009C7A0A" w:rsidRDefault="00FA59AB" w:rsidP="009C7A0A">
      <w:pPr>
        <w:spacing w:line="276" w:lineRule="auto"/>
        <w:ind w:firstLine="720"/>
        <w:jc w:val="both"/>
      </w:pPr>
      <w:r w:rsidRPr="009C7A0A">
        <w:t>[5.</w:t>
      </w:r>
      <w:r w:rsidR="00B45B5E" w:rsidRPr="009C7A0A">
        <w:t>6</w:t>
      </w:r>
      <w:r w:rsidRPr="009C7A0A">
        <w:t>]</w:t>
      </w:r>
      <w:r w:rsidR="004F315F" w:rsidRPr="009C7A0A">
        <w:t> </w:t>
      </w:r>
      <w:r w:rsidR="005444CD" w:rsidRPr="009C7A0A">
        <w:t xml:space="preserve">Tiesa nepamatoti </w:t>
      </w:r>
      <w:r w:rsidR="0042345C" w:rsidRPr="009C7A0A">
        <w:t>atzinusi</w:t>
      </w:r>
      <w:r w:rsidR="005444CD" w:rsidRPr="009C7A0A">
        <w:t xml:space="preserve">, ka </w:t>
      </w:r>
      <w:r w:rsidR="004672AD" w:rsidRPr="009C7A0A">
        <w:t xml:space="preserve">apsūdzētā </w:t>
      </w:r>
      <w:r w:rsidR="001B689E">
        <w:t>[pers. BM]</w:t>
      </w:r>
      <w:r w:rsidR="002F2C0B" w:rsidRPr="009C7A0A">
        <w:t xml:space="preserve"> nav izdarījusi darbības, kuras viņai pēc likuma vai cita normatīvā tiesību akta</w:t>
      </w:r>
      <w:r w:rsidR="00B43197" w:rsidRPr="009C7A0A">
        <w:t>,</w:t>
      </w:r>
      <w:r w:rsidR="002F2C0B" w:rsidRPr="009C7A0A">
        <w:t xml:space="preserve"> vai </w:t>
      </w:r>
      <w:r w:rsidR="00A6758E" w:rsidRPr="009C7A0A">
        <w:t>uzdot</w:t>
      </w:r>
      <w:r w:rsidR="00E73990" w:rsidRPr="009C7A0A">
        <w:t>a</w:t>
      </w:r>
      <w:r w:rsidR="00A6758E" w:rsidRPr="009C7A0A">
        <w:t xml:space="preserve"> </w:t>
      </w:r>
      <w:r w:rsidR="002F2C0B" w:rsidRPr="009C7A0A">
        <w:t>uzdevuma ir jāizdara, lai novērstu kaitējumu valsts varai vai pārvaldības kārtībai vai ar likumu aizsargātām personas interesēm</w:t>
      </w:r>
      <w:r w:rsidR="00A55E77" w:rsidRPr="009C7A0A">
        <w:t xml:space="preserve">, </w:t>
      </w:r>
      <w:r w:rsidR="00E7190E" w:rsidRPr="009C7A0A">
        <w:t>norādot, ka</w:t>
      </w:r>
      <w:r w:rsidR="00A55E77" w:rsidRPr="009C7A0A">
        <w:t xml:space="preserve"> normatīvais regulējums </w:t>
      </w:r>
      <w:r w:rsidR="000C4C3B" w:rsidRPr="009C7A0A">
        <w:t xml:space="preserve">paredz </w:t>
      </w:r>
      <w:r w:rsidR="00A55E77" w:rsidRPr="009C7A0A">
        <w:t>būvinspektora tiesības, nevis pienākumu veikt pārbaudes noteik</w:t>
      </w:r>
      <w:r w:rsidR="000C4C3B" w:rsidRPr="009C7A0A">
        <w:t>tajos</w:t>
      </w:r>
      <w:r w:rsidR="00A55E77" w:rsidRPr="009C7A0A">
        <w:t xml:space="preserve"> apstākļ</w:t>
      </w:r>
      <w:r w:rsidR="000C4C3B" w:rsidRPr="009C7A0A">
        <w:t>os</w:t>
      </w:r>
      <w:r w:rsidR="003A7325" w:rsidRPr="009C7A0A">
        <w:t>. Tādējādi tiesa</w:t>
      </w:r>
      <w:r w:rsidR="00470C68" w:rsidRPr="009C7A0A">
        <w:t xml:space="preserve"> </w:t>
      </w:r>
      <w:r w:rsidR="003A7325" w:rsidRPr="009C7A0A">
        <w:t xml:space="preserve">nepamatoti nav konstatējusi </w:t>
      </w:r>
      <w:r w:rsidR="004672AD" w:rsidRPr="009C7A0A">
        <w:t>apsūdzētās</w:t>
      </w:r>
      <w:r w:rsidR="00470C68" w:rsidRPr="009C7A0A">
        <w:t xml:space="preserve"> darbībās Krimināllikuma </w:t>
      </w:r>
      <w:r w:rsidR="006D5C36" w:rsidRPr="009C7A0A">
        <w:t>319. panta treš</w:t>
      </w:r>
      <w:r w:rsidR="00ED7651" w:rsidRPr="009C7A0A">
        <w:t>ajā</w:t>
      </w:r>
      <w:r w:rsidR="006D5C36" w:rsidRPr="009C7A0A">
        <w:t xml:space="preserve"> daļ</w:t>
      </w:r>
      <w:r w:rsidR="00ED7651" w:rsidRPr="009C7A0A">
        <w:t>ā paredzēt</w:t>
      </w:r>
      <w:r w:rsidR="00E7190E" w:rsidRPr="009C7A0A">
        <w:t>ā</w:t>
      </w:r>
      <w:r w:rsidR="00ED7651" w:rsidRPr="009C7A0A">
        <w:t xml:space="preserve"> </w:t>
      </w:r>
      <w:r w:rsidR="00470C68" w:rsidRPr="009C7A0A">
        <w:t>noziedzīgā nodarījuma sastāvu.</w:t>
      </w:r>
    </w:p>
    <w:p w14:paraId="73F71A8A" w14:textId="1C4E5238" w:rsidR="007669E8" w:rsidRPr="009C7A0A" w:rsidRDefault="00C43622" w:rsidP="009C7A0A">
      <w:pPr>
        <w:spacing w:line="276" w:lineRule="auto"/>
        <w:ind w:firstLine="720"/>
        <w:jc w:val="both"/>
      </w:pPr>
      <w:r w:rsidRPr="009C7A0A">
        <w:t>Tiesa nav konstatējusi apsūdzētā</w:t>
      </w:r>
      <w:r w:rsidR="00B71DBE" w:rsidRPr="009C7A0A">
        <w:t>s</w:t>
      </w:r>
      <w:r w:rsidRPr="009C7A0A">
        <w:t xml:space="preserve"> </w:t>
      </w:r>
      <w:r w:rsidR="00D27DA7">
        <w:t>[pers. BM]</w:t>
      </w:r>
      <w:r w:rsidRPr="009C7A0A">
        <w:t xml:space="preserve"> prettiesisku bezdarbību</w:t>
      </w:r>
      <w:r w:rsidR="00660576" w:rsidRPr="009C7A0A">
        <w:t>, jo</w:t>
      </w:r>
      <w:r w:rsidRPr="009C7A0A">
        <w:t xml:space="preserve"> nav izvērtējusi, vai </w:t>
      </w:r>
      <w:r w:rsidRPr="009C7A0A">
        <w:rPr>
          <w:bCs/>
        </w:rPr>
        <w:t xml:space="preserve">konkrētie lietas apstākļi nav tādi, </w:t>
      </w:r>
      <w:r w:rsidR="00660576" w:rsidRPr="009C7A0A">
        <w:rPr>
          <w:bCs/>
        </w:rPr>
        <w:t xml:space="preserve">kuros </w:t>
      </w:r>
      <w:r w:rsidRPr="009C7A0A">
        <w:rPr>
          <w:bCs/>
        </w:rPr>
        <w:t>piešķirtās tiesības</w:t>
      </w:r>
      <w:r w:rsidR="00660576" w:rsidRPr="009C7A0A">
        <w:rPr>
          <w:bCs/>
        </w:rPr>
        <w:t xml:space="preserve"> ir jāizmanto</w:t>
      </w:r>
      <w:r w:rsidRPr="009C7A0A">
        <w:rPr>
          <w:bCs/>
        </w:rPr>
        <w:t xml:space="preserve">, </w:t>
      </w:r>
      <w:r w:rsidR="00A90C25" w:rsidRPr="009C7A0A">
        <w:t>jo a</w:t>
      </w:r>
      <w:r w:rsidR="00D75311" w:rsidRPr="009C7A0A">
        <w:t xml:space="preserve">tsevišķos gadījumos normatīvajos </w:t>
      </w:r>
      <w:r w:rsidR="00961895" w:rsidRPr="009C7A0A">
        <w:t xml:space="preserve">tiesību </w:t>
      </w:r>
      <w:r w:rsidR="00D75311" w:rsidRPr="009C7A0A">
        <w:t>aktos piešķirtās tiesības rada pienākumu veikt konkrētas darbības tiesību un</w:t>
      </w:r>
      <w:r w:rsidR="001857C3" w:rsidRPr="009C7A0A">
        <w:t xml:space="preserve"> likumīgo</w:t>
      </w:r>
      <w:r w:rsidR="00D75311" w:rsidRPr="009C7A0A">
        <w:t xml:space="preserve"> interešu aizsardzībai. </w:t>
      </w:r>
      <w:r w:rsidR="003A2707" w:rsidRPr="009C7A0A">
        <w:t>T</w:t>
      </w:r>
      <w:r w:rsidR="00D75311" w:rsidRPr="009C7A0A">
        <w:t>as, ka likums piešķir tiesības veikt kādu darbību, nozīmē tikai to, ka darbības veikšana, ja pastāv nosacījumi šo tiesību izmantošanai, juridiski kļūst par valsts amatpersonas pienākumu</w:t>
      </w:r>
      <w:r w:rsidR="00A450F9" w:rsidRPr="009C7A0A">
        <w:t>.</w:t>
      </w:r>
    </w:p>
    <w:p w14:paraId="132881B7" w14:textId="48BB95E4" w:rsidR="00561118" w:rsidRPr="009C7A0A" w:rsidRDefault="002B1DC5" w:rsidP="009C7A0A">
      <w:pPr>
        <w:spacing w:line="276" w:lineRule="auto"/>
        <w:ind w:firstLine="720"/>
        <w:jc w:val="both"/>
        <w:rPr>
          <w:rFonts w:eastAsia="Calibri"/>
          <w:bCs/>
        </w:rPr>
      </w:pPr>
      <w:r w:rsidRPr="009C7A0A">
        <w:rPr>
          <w:rFonts w:eastAsia="Calibri"/>
          <w:bCs/>
        </w:rPr>
        <w:t>Tiesa</w:t>
      </w:r>
      <w:r w:rsidR="002F328F" w:rsidRPr="009C7A0A">
        <w:rPr>
          <w:rFonts w:eastAsia="Calibri"/>
          <w:bCs/>
        </w:rPr>
        <w:t xml:space="preserve"> </w:t>
      </w:r>
      <w:r w:rsidRPr="009C7A0A">
        <w:rPr>
          <w:rFonts w:eastAsia="Calibri"/>
          <w:bCs/>
        </w:rPr>
        <w:t xml:space="preserve">izdarījusi nepamatotu secinājumu, ka </w:t>
      </w:r>
      <w:r w:rsidR="00196B17">
        <w:t xml:space="preserve">[pers. BM] </w:t>
      </w:r>
      <w:r w:rsidRPr="009C7A0A">
        <w:rPr>
          <w:rFonts w:eastAsia="Calibri"/>
          <w:bCs/>
        </w:rPr>
        <w:t>nebija jāveic būvobjektā esošās dokumentācijas komplekta atbilstība</w:t>
      </w:r>
      <w:r w:rsidR="00C774F9" w:rsidRPr="009C7A0A">
        <w:rPr>
          <w:rFonts w:eastAsia="Calibri"/>
          <w:bCs/>
        </w:rPr>
        <w:t>s</w:t>
      </w:r>
      <w:r w:rsidRPr="009C7A0A">
        <w:rPr>
          <w:rFonts w:eastAsia="Calibri"/>
          <w:bCs/>
        </w:rPr>
        <w:t xml:space="preserve"> pārbaude, </w:t>
      </w:r>
      <w:r w:rsidR="00111604" w:rsidRPr="009C7A0A">
        <w:rPr>
          <w:rFonts w:eastAsia="Calibri"/>
          <w:bCs/>
        </w:rPr>
        <w:t xml:space="preserve">tai </w:t>
      </w:r>
      <w:r w:rsidRPr="009C7A0A">
        <w:rPr>
          <w:rFonts w:eastAsia="Calibri"/>
          <w:bCs/>
        </w:rPr>
        <w:t>skaitā iebūvēto materiālu un konstrukciju atbilstības deklarāciju pārbaude</w:t>
      </w:r>
      <w:r w:rsidR="00E41E8B" w:rsidRPr="009C7A0A">
        <w:rPr>
          <w:rFonts w:eastAsia="Calibri"/>
          <w:bCs/>
        </w:rPr>
        <w:t>,</w:t>
      </w:r>
      <w:r w:rsidR="002F328F" w:rsidRPr="009C7A0A">
        <w:rPr>
          <w:rFonts w:eastAsia="Calibri"/>
          <w:bCs/>
        </w:rPr>
        <w:t xml:space="preserve"> un </w:t>
      </w:r>
      <w:r w:rsidR="00E41E8B" w:rsidRPr="009C7A0A">
        <w:rPr>
          <w:rFonts w:eastAsia="Calibri"/>
          <w:bCs/>
        </w:rPr>
        <w:t xml:space="preserve">nebija jākonstatē </w:t>
      </w:r>
      <w:r w:rsidRPr="009C7A0A">
        <w:rPr>
          <w:rFonts w:eastAsia="Calibri"/>
          <w:bCs/>
        </w:rPr>
        <w:t>jumta kopņu montāžas darba veikšanas projekta iztrūkum</w:t>
      </w:r>
      <w:r w:rsidR="00E41E8B" w:rsidRPr="009C7A0A">
        <w:rPr>
          <w:rFonts w:eastAsia="Calibri"/>
          <w:bCs/>
        </w:rPr>
        <w:t>s</w:t>
      </w:r>
      <w:r w:rsidR="0059465A" w:rsidRPr="009C7A0A">
        <w:rPr>
          <w:rFonts w:eastAsia="Calibri"/>
          <w:bCs/>
        </w:rPr>
        <w:t>.</w:t>
      </w:r>
    </w:p>
    <w:p w14:paraId="3C580DB6" w14:textId="71FA842A" w:rsidR="00561118" w:rsidRPr="009C7A0A" w:rsidRDefault="00C3034C" w:rsidP="009C7A0A">
      <w:pPr>
        <w:spacing w:line="276" w:lineRule="auto"/>
        <w:ind w:firstLine="720"/>
        <w:jc w:val="both"/>
      </w:pPr>
      <w:r w:rsidRPr="009C7A0A">
        <w:rPr>
          <w:rFonts w:eastAsia="Calibri"/>
        </w:rPr>
        <w:t>[5.</w:t>
      </w:r>
      <w:r w:rsidR="00B45B5E" w:rsidRPr="009C7A0A">
        <w:rPr>
          <w:rFonts w:eastAsia="Calibri"/>
        </w:rPr>
        <w:t>7</w:t>
      </w:r>
      <w:r w:rsidRPr="009C7A0A">
        <w:rPr>
          <w:rFonts w:eastAsia="Calibri"/>
        </w:rPr>
        <w:t>]</w:t>
      </w:r>
      <w:r w:rsidR="004F315F" w:rsidRPr="009C7A0A">
        <w:rPr>
          <w:rFonts w:eastAsia="Calibri"/>
        </w:rPr>
        <w:t> </w:t>
      </w:r>
      <w:r w:rsidR="00F57519" w:rsidRPr="009C7A0A">
        <w:t>Tiesa nepamatoti atzinusi, ka</w:t>
      </w:r>
      <w:r w:rsidR="00687CA5" w:rsidRPr="009C7A0A">
        <w:t xml:space="preserve"> apsūdzētais</w:t>
      </w:r>
      <w:r w:rsidR="00F57519" w:rsidRPr="009C7A0A">
        <w:t xml:space="preserve"> </w:t>
      </w:r>
      <w:r w:rsidR="00896A4C">
        <w:t>[pers. BN]</w:t>
      </w:r>
      <w:r w:rsidR="00F57519" w:rsidRPr="009C7A0A">
        <w:t xml:space="preserve"> nav izdarījis darbības, kuras viņa</w:t>
      </w:r>
      <w:r w:rsidR="00710CA3" w:rsidRPr="009C7A0A">
        <w:t>m</w:t>
      </w:r>
      <w:r w:rsidR="00F57519" w:rsidRPr="009C7A0A">
        <w:t xml:space="preserve"> pēc likuma vai cita normatīvā tiesību akta vai </w:t>
      </w:r>
      <w:r w:rsidR="00705B6C" w:rsidRPr="009C7A0A">
        <w:t>uzdot</w:t>
      </w:r>
      <w:r w:rsidR="00E73990" w:rsidRPr="009C7A0A">
        <w:t>a</w:t>
      </w:r>
      <w:r w:rsidR="00705B6C" w:rsidRPr="009C7A0A">
        <w:t xml:space="preserve"> </w:t>
      </w:r>
      <w:r w:rsidR="00F57519" w:rsidRPr="009C7A0A">
        <w:t>uzdevuma ir jāizdara, lai novērstu kaitējumu valsts varai vai pārvaldības kārtībai vai ar likumu aizsargātām personas interesēm</w:t>
      </w:r>
      <w:r w:rsidR="007565AF" w:rsidRPr="009C7A0A">
        <w:t xml:space="preserve">, un </w:t>
      </w:r>
      <w:r w:rsidR="00816F7B" w:rsidRPr="009C7A0A">
        <w:t xml:space="preserve">līdz ar to </w:t>
      </w:r>
      <w:r w:rsidR="007565AF" w:rsidRPr="009C7A0A">
        <w:t>apsūdzētā darbībās</w:t>
      </w:r>
      <w:r w:rsidR="00816F7B" w:rsidRPr="009C7A0A">
        <w:t xml:space="preserve"> nepamatoti</w:t>
      </w:r>
      <w:r w:rsidR="007565AF" w:rsidRPr="009C7A0A">
        <w:t xml:space="preserve"> nav konstatējusi Krimināllikuma 319. panta treš</w:t>
      </w:r>
      <w:r w:rsidR="00ED7651" w:rsidRPr="009C7A0A">
        <w:t>ajā</w:t>
      </w:r>
      <w:r w:rsidR="007565AF" w:rsidRPr="009C7A0A">
        <w:t xml:space="preserve"> daļ</w:t>
      </w:r>
      <w:r w:rsidR="00ED7651" w:rsidRPr="009C7A0A">
        <w:t>ā</w:t>
      </w:r>
      <w:r w:rsidR="007565AF" w:rsidRPr="009C7A0A">
        <w:t xml:space="preserve"> </w:t>
      </w:r>
      <w:r w:rsidR="00ED7651" w:rsidRPr="009C7A0A">
        <w:t>paredzēt</w:t>
      </w:r>
      <w:r w:rsidR="000948AE" w:rsidRPr="009C7A0A">
        <w:t>ā</w:t>
      </w:r>
      <w:r w:rsidR="00ED7651" w:rsidRPr="009C7A0A">
        <w:t xml:space="preserve"> </w:t>
      </w:r>
      <w:r w:rsidR="007565AF" w:rsidRPr="009C7A0A">
        <w:t>noziedzīgā nodarījuma sastāvu.</w:t>
      </w:r>
    </w:p>
    <w:p w14:paraId="506AA556" w14:textId="68FE2F28" w:rsidR="00DA31EA" w:rsidRPr="009C7A0A" w:rsidRDefault="00BB1B93" w:rsidP="004B59D8">
      <w:pPr>
        <w:spacing w:line="276" w:lineRule="auto"/>
        <w:ind w:firstLine="720"/>
        <w:jc w:val="both"/>
        <w:rPr>
          <w:rFonts w:eastAsia="Calibri"/>
          <w:bCs/>
        </w:rPr>
      </w:pPr>
      <w:r w:rsidRPr="009C7A0A">
        <w:t>[5.7.1] </w:t>
      </w:r>
      <w:r w:rsidR="007D1B6F" w:rsidRPr="009C7A0A">
        <w:t xml:space="preserve">Tiesa </w:t>
      </w:r>
      <w:r w:rsidR="00ED7651" w:rsidRPr="009C7A0A">
        <w:t xml:space="preserve">nav </w:t>
      </w:r>
      <w:r w:rsidR="00816F7B" w:rsidRPr="009C7A0A">
        <w:t>iz</w:t>
      </w:r>
      <w:r w:rsidR="00ED7651" w:rsidRPr="009C7A0A">
        <w:t>vērtējusi</w:t>
      </w:r>
      <w:r w:rsidR="007D1B6F" w:rsidRPr="009C7A0A">
        <w:t xml:space="preserve"> </w:t>
      </w:r>
      <w:r w:rsidR="00E46191" w:rsidRPr="009C7A0A">
        <w:t xml:space="preserve">pierādījumus savstarpējā sakarībā, it īpaši </w:t>
      </w:r>
      <w:r w:rsidR="00ED7651" w:rsidRPr="009C7A0A">
        <w:t xml:space="preserve">liecinieces </w:t>
      </w:r>
      <w:r w:rsidR="004B59D8">
        <w:t>[pers. LF]</w:t>
      </w:r>
      <w:r w:rsidR="007D1B6F" w:rsidRPr="009C7A0A">
        <w:t xml:space="preserve"> 2015.</w:t>
      </w:r>
      <w:r w:rsidR="001D7336" w:rsidRPr="009C7A0A">
        <w:t> </w:t>
      </w:r>
      <w:r w:rsidR="007D1B6F" w:rsidRPr="009C7A0A">
        <w:t>gada 1.</w:t>
      </w:r>
      <w:r w:rsidR="001D7336" w:rsidRPr="009C7A0A">
        <w:t> </w:t>
      </w:r>
      <w:r w:rsidR="007D1B6F" w:rsidRPr="009C7A0A">
        <w:t>jūnijā sniegtās liecības, P</w:t>
      </w:r>
      <w:r w:rsidR="001D7336" w:rsidRPr="009C7A0A">
        <w:t>atērētāju tiesību aizsardzības centra</w:t>
      </w:r>
      <w:r w:rsidR="007D1B6F" w:rsidRPr="009C7A0A">
        <w:t xml:space="preserve"> 2015.</w:t>
      </w:r>
      <w:r w:rsidR="001D7336" w:rsidRPr="009C7A0A">
        <w:t> </w:t>
      </w:r>
      <w:r w:rsidR="007D1B6F" w:rsidRPr="009C7A0A">
        <w:t>gada 5.</w:t>
      </w:r>
      <w:r w:rsidR="001D7336" w:rsidRPr="009C7A0A">
        <w:t> </w:t>
      </w:r>
      <w:r w:rsidR="007D1B6F" w:rsidRPr="009C7A0A">
        <w:t xml:space="preserve">janvāra atzinumu, </w:t>
      </w:r>
      <w:r w:rsidR="000D5E81" w:rsidRPr="009C7A0A">
        <w:t xml:space="preserve">un </w:t>
      </w:r>
      <w:r w:rsidR="00ED7651" w:rsidRPr="009C7A0A">
        <w:t xml:space="preserve">izdarījusi nepamatotu secinājumu </w:t>
      </w:r>
      <w:r w:rsidR="007D1B6F" w:rsidRPr="009C7A0A">
        <w:t xml:space="preserve">par </w:t>
      </w:r>
      <w:r w:rsidR="00BB72F6" w:rsidRPr="009C7A0A">
        <w:rPr>
          <w:bCs/>
          <w:color w:val="000000"/>
        </w:rPr>
        <w:t>SIA „</w:t>
      </w:r>
      <w:r w:rsidR="00FF261A">
        <w:rPr>
          <w:bCs/>
          <w:color w:val="000000"/>
        </w:rPr>
        <w:t>[Nosaukums F]</w:t>
      </w:r>
      <w:r w:rsidR="00BB72F6" w:rsidRPr="009C7A0A">
        <w:rPr>
          <w:bCs/>
          <w:color w:val="000000"/>
        </w:rPr>
        <w:t>”</w:t>
      </w:r>
      <w:r w:rsidR="007D1B6F" w:rsidRPr="009C7A0A">
        <w:t xml:space="preserve"> 2011.</w:t>
      </w:r>
      <w:r w:rsidR="001D7336" w:rsidRPr="009C7A0A">
        <w:t> </w:t>
      </w:r>
      <w:r w:rsidR="007D1B6F" w:rsidRPr="009C7A0A">
        <w:t>gada 24.</w:t>
      </w:r>
      <w:r w:rsidR="001D7336" w:rsidRPr="009C7A0A">
        <w:t> </w:t>
      </w:r>
      <w:r w:rsidR="007D1B6F" w:rsidRPr="009C7A0A">
        <w:t>februārī izdotās deklarācijas</w:t>
      </w:r>
      <w:r w:rsidR="00ED7651" w:rsidRPr="009C7A0A">
        <w:t xml:space="preserve"> un</w:t>
      </w:r>
      <w:r w:rsidR="007D1B6F" w:rsidRPr="009C7A0A">
        <w:t xml:space="preserve"> 2011.</w:t>
      </w:r>
      <w:r w:rsidR="007839AA" w:rsidRPr="009C7A0A">
        <w:t> </w:t>
      </w:r>
      <w:r w:rsidR="007D1B6F" w:rsidRPr="009C7A0A">
        <w:t>gada 28.</w:t>
      </w:r>
      <w:r w:rsidR="007839AA" w:rsidRPr="009C7A0A">
        <w:t> </w:t>
      </w:r>
      <w:r w:rsidR="007D1B6F" w:rsidRPr="009C7A0A">
        <w:t xml:space="preserve">februārī izdotās tehniskās pases atbilstību normatīvo </w:t>
      </w:r>
      <w:r w:rsidR="000D5E81" w:rsidRPr="009C7A0A">
        <w:t xml:space="preserve">tiesību </w:t>
      </w:r>
      <w:r w:rsidR="007D1B6F" w:rsidRPr="009C7A0A">
        <w:t xml:space="preserve">aktu prasībām un nozīmi </w:t>
      </w:r>
      <w:r w:rsidR="007839AA" w:rsidRPr="009C7A0A">
        <w:t>attie</w:t>
      </w:r>
      <w:r w:rsidR="00ED7651" w:rsidRPr="009C7A0A">
        <w:t>c</w:t>
      </w:r>
      <w:r w:rsidR="007839AA" w:rsidRPr="009C7A0A">
        <w:t xml:space="preserve">ībā uz </w:t>
      </w:r>
      <w:r w:rsidR="007D1B6F" w:rsidRPr="009C7A0A">
        <w:t>nesošajām metāl</w:t>
      </w:r>
      <w:r w:rsidR="002B3A69" w:rsidRPr="009C7A0A">
        <w:t xml:space="preserve">a </w:t>
      </w:r>
      <w:r w:rsidR="007D1B6F" w:rsidRPr="009C7A0A">
        <w:t>konstrukcijām.</w:t>
      </w:r>
    </w:p>
    <w:p w14:paraId="00F60D77" w14:textId="1301AE88" w:rsidR="00DA31EA" w:rsidRPr="009C7A0A" w:rsidRDefault="00571C72" w:rsidP="009C7A0A">
      <w:pPr>
        <w:spacing w:line="276" w:lineRule="auto"/>
        <w:ind w:firstLine="720"/>
        <w:jc w:val="both"/>
      </w:pPr>
      <w:r w:rsidRPr="009C7A0A">
        <w:t>Tiesa nepamatoti</w:t>
      </w:r>
      <w:r w:rsidR="00185B8C" w:rsidRPr="009C7A0A">
        <w:t xml:space="preserve"> atzinusi, ka tērauda kop</w:t>
      </w:r>
      <w:r w:rsidR="0088409A" w:rsidRPr="009C7A0A">
        <w:t xml:space="preserve">ņu izgatavošana </w:t>
      </w:r>
      <w:r w:rsidR="00A44914" w:rsidRPr="009C7A0A">
        <w:t>noziedzīgo nodarījumu izdarīšanas laikā</w:t>
      </w:r>
      <w:r w:rsidR="00185B8C" w:rsidRPr="009C7A0A">
        <w:t xml:space="preserve"> </w:t>
      </w:r>
      <w:r w:rsidR="0088409A" w:rsidRPr="009C7A0A">
        <w:t>ne</w:t>
      </w:r>
      <w:r w:rsidR="00185B8C" w:rsidRPr="009C7A0A">
        <w:t>bija reglamentēt</w:t>
      </w:r>
      <w:r w:rsidR="0088409A" w:rsidRPr="009C7A0A">
        <w:t>a</w:t>
      </w:r>
      <w:r w:rsidR="00227D7C" w:rsidRPr="009C7A0A">
        <w:t xml:space="preserve">, jo </w:t>
      </w:r>
      <w:r w:rsidRPr="009C7A0A">
        <w:t xml:space="preserve">Latvijas </w:t>
      </w:r>
      <w:r w:rsidR="00974694" w:rsidRPr="009C7A0A">
        <w:t>v</w:t>
      </w:r>
      <w:r w:rsidRPr="009C7A0A">
        <w:t>alsts standart</w:t>
      </w:r>
      <w:r w:rsidR="00CD721F" w:rsidRPr="009C7A0A">
        <w:t>s</w:t>
      </w:r>
      <w:r w:rsidR="00A44914" w:rsidRPr="009C7A0A">
        <w:t xml:space="preserve"> </w:t>
      </w:r>
      <w:r w:rsidRPr="009C7A0A">
        <w:t>tērauda konstrukciju un alumīnija konstrukciju izgatavošan</w:t>
      </w:r>
      <w:r w:rsidR="00A44914" w:rsidRPr="009C7A0A">
        <w:t>ā</w:t>
      </w:r>
      <w:r w:rsidR="00227D7C" w:rsidRPr="009C7A0A">
        <w:t xml:space="preserve"> </w:t>
      </w:r>
      <w:r w:rsidR="00CD721F" w:rsidRPr="009C7A0A">
        <w:t>bija jāpiemēro</w:t>
      </w:r>
      <w:r w:rsidR="00227D7C" w:rsidRPr="009C7A0A">
        <w:t xml:space="preserve"> tikai ar 2012. gada 1. jūliju</w:t>
      </w:r>
      <w:r w:rsidR="0066514E" w:rsidRPr="009C7A0A">
        <w:t xml:space="preserve"> – tas ir, jau pēc tam, kad tika parakstīts akts par objekta pieņemšanu ekspluatācijā</w:t>
      </w:r>
      <w:r w:rsidR="00227D7C" w:rsidRPr="009C7A0A">
        <w:t xml:space="preserve">. </w:t>
      </w:r>
      <w:r w:rsidR="00BB2E73" w:rsidRPr="009C7A0A">
        <w:t xml:space="preserve">No </w:t>
      </w:r>
      <w:r w:rsidR="00723915" w:rsidRPr="009C7A0A">
        <w:t xml:space="preserve">liecinieces </w:t>
      </w:r>
      <w:r w:rsidR="00F03001">
        <w:t>[pers. LF]</w:t>
      </w:r>
      <w:r w:rsidR="00723915" w:rsidRPr="009C7A0A">
        <w:t xml:space="preserve"> liecībām </w:t>
      </w:r>
      <w:r w:rsidR="00BB2E73" w:rsidRPr="009C7A0A">
        <w:t xml:space="preserve">secināms, ka </w:t>
      </w:r>
      <w:r w:rsidR="00AF5123" w:rsidRPr="009C7A0A">
        <w:rPr>
          <w:bCs/>
          <w:color w:val="000000"/>
        </w:rPr>
        <w:t>SIA „</w:t>
      </w:r>
      <w:r w:rsidR="00F03001">
        <w:rPr>
          <w:bCs/>
          <w:color w:val="000000"/>
        </w:rPr>
        <w:t>[Nosaukums F]</w:t>
      </w:r>
      <w:r w:rsidR="00AF5123" w:rsidRPr="009C7A0A">
        <w:rPr>
          <w:bCs/>
          <w:color w:val="000000"/>
        </w:rPr>
        <w:t>”</w:t>
      </w:r>
      <w:r w:rsidR="00AF5123" w:rsidRPr="009C7A0A">
        <w:t xml:space="preserve"> piegādātajam tērauda kopņu komplektam pievienojusi atbilstības deklarāciju, kurā norādīts, ka tērauda konstrukciju izgatavošanas normatīvi atbilst standartiem, </w:t>
      </w:r>
      <w:r w:rsidR="002C1E35" w:rsidRPr="009C7A0A">
        <w:t xml:space="preserve">kas piemērojami no 2012. gada 1. jūlija. </w:t>
      </w:r>
      <w:r w:rsidR="00165F8F" w:rsidRPr="009C7A0A">
        <w:t>Š</w:t>
      </w:r>
      <w:r w:rsidR="00E9164B" w:rsidRPr="009C7A0A">
        <w:t xml:space="preserve">ajos normatīvos </w:t>
      </w:r>
      <w:r w:rsidR="005821FA" w:rsidRPr="009C7A0A">
        <w:t>bija</w:t>
      </w:r>
      <w:r w:rsidR="00E9164B" w:rsidRPr="009C7A0A">
        <w:t xml:space="preserve"> noteikts</w:t>
      </w:r>
      <w:r w:rsidR="005821FA" w:rsidRPr="009C7A0A">
        <w:t xml:space="preserve">, </w:t>
      </w:r>
      <w:r w:rsidR="00E9164B" w:rsidRPr="009C7A0A">
        <w:t xml:space="preserve">kādas skrūves </w:t>
      </w:r>
      <w:r w:rsidR="00A3582D" w:rsidRPr="009C7A0A">
        <w:t xml:space="preserve">bija </w:t>
      </w:r>
      <w:r w:rsidR="00E9164B" w:rsidRPr="009C7A0A">
        <w:t>izmantojamas tērauda nesošo konstrukciju savienojumos</w:t>
      </w:r>
      <w:r w:rsidR="005821FA" w:rsidRPr="009C7A0A">
        <w:t xml:space="preserve">. </w:t>
      </w:r>
      <w:r w:rsidR="00AD2897" w:rsidRPr="009C7A0A">
        <w:t xml:space="preserve">Pārbaudot </w:t>
      </w:r>
      <w:r w:rsidR="00E9164B" w:rsidRPr="009C7A0A">
        <w:t>tehnisk</w:t>
      </w:r>
      <w:r w:rsidR="00932882" w:rsidRPr="009C7A0A">
        <w:t>aj</w:t>
      </w:r>
      <w:r w:rsidR="005821FA" w:rsidRPr="009C7A0A">
        <w:t>ā</w:t>
      </w:r>
      <w:r w:rsidR="00E9164B" w:rsidRPr="009C7A0A">
        <w:t xml:space="preserve"> pas</w:t>
      </w:r>
      <w:r w:rsidR="005821FA" w:rsidRPr="009C7A0A">
        <w:t xml:space="preserve">ē </w:t>
      </w:r>
      <w:r w:rsidR="00AD2897" w:rsidRPr="009C7A0A">
        <w:t xml:space="preserve">norādīto </w:t>
      </w:r>
      <w:r w:rsidR="005821FA" w:rsidRPr="009C7A0A">
        <w:t>informācij</w:t>
      </w:r>
      <w:r w:rsidR="00B76A50" w:rsidRPr="009C7A0A">
        <w:t>u</w:t>
      </w:r>
      <w:r w:rsidR="00E9164B" w:rsidRPr="009C7A0A">
        <w:t xml:space="preserve"> un faktiski iesniegt</w:t>
      </w:r>
      <w:r w:rsidR="00B76A50" w:rsidRPr="009C7A0A">
        <w:t>ās</w:t>
      </w:r>
      <w:r w:rsidR="00E9164B" w:rsidRPr="009C7A0A">
        <w:t xml:space="preserve"> skrūv</w:t>
      </w:r>
      <w:r w:rsidR="00B76A50" w:rsidRPr="009C7A0A">
        <w:t>es,</w:t>
      </w:r>
      <w:r w:rsidR="00691639" w:rsidRPr="009C7A0A">
        <w:t xml:space="preserve"> </w:t>
      </w:r>
      <w:r w:rsidR="005F5357" w:rsidRPr="009C7A0A">
        <w:t xml:space="preserve">secināms, ka </w:t>
      </w:r>
      <w:r w:rsidR="00E9164B" w:rsidRPr="009C7A0A">
        <w:t xml:space="preserve">tika piegādātas cita veida skrūves, uzgriežņi un </w:t>
      </w:r>
      <w:proofErr w:type="spellStart"/>
      <w:r w:rsidR="00E9164B" w:rsidRPr="009C7A0A">
        <w:t>paplākšņi</w:t>
      </w:r>
      <w:proofErr w:type="spellEnd"/>
      <w:r w:rsidR="00E9164B" w:rsidRPr="009C7A0A">
        <w:t xml:space="preserve">, kas </w:t>
      </w:r>
      <w:r w:rsidR="00932882" w:rsidRPr="009C7A0A">
        <w:t xml:space="preserve">nav </w:t>
      </w:r>
      <w:r w:rsidR="00E9164B" w:rsidRPr="009C7A0A">
        <w:t>piemēroti iebūvēšanai nesošajās konstrukcijās.</w:t>
      </w:r>
      <w:r w:rsidR="0066514E" w:rsidRPr="009C7A0A">
        <w:t xml:space="preserve"> </w:t>
      </w:r>
      <w:r w:rsidR="0059610D" w:rsidRPr="009C7A0A">
        <w:t xml:space="preserve">Ievērojot minēto, </w:t>
      </w:r>
      <w:r w:rsidR="00E979B4" w:rsidRPr="009C7A0A">
        <w:t xml:space="preserve">Latvijas valsts standartu tērauda konstrukciju un alumīnija konstrukciju izgatavošanā </w:t>
      </w:r>
      <w:r w:rsidR="0066514E" w:rsidRPr="009C7A0A">
        <w:t>varēja sākt piemērot jau no 2011. gada 1. janvāra,</w:t>
      </w:r>
      <w:r w:rsidR="00E979B4" w:rsidRPr="009C7A0A">
        <w:t xml:space="preserve"> jo </w:t>
      </w:r>
      <w:r w:rsidR="007E2BE9" w:rsidRPr="009C7A0A">
        <w:t>tērauda konstrukcijas tika izgatavotas atbilstoši jaunajam standartam.</w:t>
      </w:r>
    </w:p>
    <w:p w14:paraId="4B1A084C" w14:textId="2F9E70CE" w:rsidR="00DA31EA" w:rsidRPr="009C7A0A" w:rsidRDefault="002A096C" w:rsidP="009C7A0A">
      <w:pPr>
        <w:spacing w:line="276" w:lineRule="auto"/>
        <w:ind w:firstLine="720"/>
        <w:jc w:val="both"/>
        <w:rPr>
          <w:rFonts w:eastAsia="Calibri"/>
          <w:bCs/>
        </w:rPr>
      </w:pPr>
      <w:r w:rsidRPr="009C7A0A">
        <w:lastRenderedPageBreak/>
        <w:t xml:space="preserve">Tiesa nav </w:t>
      </w:r>
      <w:r w:rsidR="0083090F" w:rsidRPr="009C7A0A">
        <w:t>iz</w:t>
      </w:r>
      <w:r w:rsidRPr="009C7A0A">
        <w:t xml:space="preserve">vērtējusi apelācijas protestā norādīto, ka </w:t>
      </w:r>
      <w:r w:rsidRPr="009C7A0A">
        <w:rPr>
          <w:bCs/>
        </w:rPr>
        <w:t>kopnes bija slodzi nesošās metāla konstrukcijas, nevis vienkāršas metāla konstrukcijas. Savukārt slodzi nesošo</w:t>
      </w:r>
      <w:r w:rsidR="00DA31EA" w:rsidRPr="009C7A0A">
        <w:rPr>
          <w:bCs/>
        </w:rPr>
        <w:t xml:space="preserve"> </w:t>
      </w:r>
      <w:r w:rsidRPr="009C7A0A">
        <w:rPr>
          <w:bCs/>
        </w:rPr>
        <w:t>metāla konstrukciju, neatkarīgi no tā</w:t>
      </w:r>
      <w:r w:rsidR="000A2267" w:rsidRPr="009C7A0A">
        <w:rPr>
          <w:bCs/>
        </w:rPr>
        <w:t>,</w:t>
      </w:r>
      <w:r w:rsidRPr="009C7A0A">
        <w:rPr>
          <w:bCs/>
        </w:rPr>
        <w:t xml:space="preserve"> vai tās vērtējamas kā reglamentētās vai</w:t>
      </w:r>
      <w:r w:rsidR="00DA31EA" w:rsidRPr="009C7A0A">
        <w:rPr>
          <w:bCs/>
        </w:rPr>
        <w:t xml:space="preserve"> </w:t>
      </w:r>
      <w:r w:rsidRPr="009C7A0A">
        <w:rPr>
          <w:bCs/>
        </w:rPr>
        <w:t>nereglamentētās sfēra</w:t>
      </w:r>
      <w:r w:rsidR="00913986" w:rsidRPr="009C7A0A">
        <w:rPr>
          <w:bCs/>
        </w:rPr>
        <w:t>s</w:t>
      </w:r>
      <w:r w:rsidRPr="009C7A0A">
        <w:rPr>
          <w:bCs/>
        </w:rPr>
        <w:t xml:space="preserve"> būvizstrādājum</w:t>
      </w:r>
      <w:r w:rsidR="00913986" w:rsidRPr="009C7A0A">
        <w:rPr>
          <w:bCs/>
        </w:rPr>
        <w:t>i</w:t>
      </w:r>
      <w:r w:rsidRPr="009C7A0A">
        <w:rPr>
          <w:bCs/>
        </w:rPr>
        <w:t xml:space="preserve">, skrūvēto savienojumu vietās ir jābūt tādām skrūvēm un uzgriežņiem, kas atbilst saskaņotajam standartam un </w:t>
      </w:r>
      <w:r w:rsidR="007227B7" w:rsidRPr="009C7A0A">
        <w:rPr>
          <w:bCs/>
        </w:rPr>
        <w:t xml:space="preserve">ir </w:t>
      </w:r>
      <w:r w:rsidRPr="009C7A0A">
        <w:rPr>
          <w:bCs/>
        </w:rPr>
        <w:t>atbilstoši marķēti</w:t>
      </w:r>
      <w:r w:rsidR="00913986" w:rsidRPr="009C7A0A">
        <w:rPr>
          <w:bCs/>
        </w:rPr>
        <w:t>.</w:t>
      </w:r>
      <w:r w:rsidR="005551E9" w:rsidRPr="009C7A0A">
        <w:rPr>
          <w:bCs/>
        </w:rPr>
        <w:t xml:space="preserve"> </w:t>
      </w:r>
      <w:r w:rsidR="00691639" w:rsidRPr="009C7A0A">
        <w:rPr>
          <w:bCs/>
        </w:rPr>
        <w:t>Tādējādi tiesa</w:t>
      </w:r>
      <w:r w:rsidR="005551E9" w:rsidRPr="009C7A0A">
        <w:rPr>
          <w:bCs/>
        </w:rPr>
        <w:t xml:space="preserve"> nepamatot</w:t>
      </w:r>
      <w:r w:rsidR="007227B7" w:rsidRPr="009C7A0A">
        <w:rPr>
          <w:bCs/>
        </w:rPr>
        <w:t>i</w:t>
      </w:r>
      <w:r w:rsidR="005551E9" w:rsidRPr="009C7A0A">
        <w:rPr>
          <w:bCs/>
        </w:rPr>
        <w:t xml:space="preserve"> secināju</w:t>
      </w:r>
      <w:r w:rsidR="00691639" w:rsidRPr="009C7A0A">
        <w:rPr>
          <w:bCs/>
        </w:rPr>
        <w:t>si</w:t>
      </w:r>
      <w:r w:rsidR="005551E9" w:rsidRPr="009C7A0A">
        <w:rPr>
          <w:bCs/>
        </w:rPr>
        <w:t xml:space="preserve">, </w:t>
      </w:r>
      <w:r w:rsidR="003F18BB" w:rsidRPr="009C7A0A">
        <w:t xml:space="preserve">ka </w:t>
      </w:r>
      <w:r w:rsidR="00415CE1">
        <w:t>[pers. BN]</w:t>
      </w:r>
      <w:r w:rsidR="003F18BB" w:rsidRPr="009C7A0A">
        <w:t xml:space="preserve"> nebija jākonstatē, vai pastāvēja skrūvju un uzgriežņu ražotāja vai tā pilnvarotā pārstāvja atbilstības deklarācija.</w:t>
      </w:r>
    </w:p>
    <w:p w14:paraId="2902BF72" w14:textId="3362BAC6" w:rsidR="00691639" w:rsidRPr="009C7A0A" w:rsidRDefault="00E033BB" w:rsidP="009C7A0A">
      <w:pPr>
        <w:spacing w:line="276" w:lineRule="auto"/>
        <w:ind w:firstLine="720"/>
        <w:jc w:val="both"/>
        <w:rPr>
          <w:bCs/>
        </w:rPr>
      </w:pPr>
      <w:r w:rsidRPr="009C7A0A">
        <w:t>T</w:t>
      </w:r>
      <w:r w:rsidR="00ED1294" w:rsidRPr="009C7A0A">
        <w:t xml:space="preserve">iesa nav vērtējusi </w:t>
      </w:r>
      <w:r w:rsidR="00415CE1">
        <w:t>[pers. BN]</w:t>
      </w:r>
      <w:r w:rsidR="00ED1294" w:rsidRPr="009C7A0A">
        <w:t xml:space="preserve"> </w:t>
      </w:r>
      <w:proofErr w:type="spellStart"/>
      <w:r w:rsidR="00ED1294" w:rsidRPr="009C7A0A">
        <w:t>pirmstiesas</w:t>
      </w:r>
      <w:proofErr w:type="spellEnd"/>
      <w:r w:rsidR="00ED1294" w:rsidRPr="009C7A0A">
        <w:t xml:space="preserve"> izmeklēšanas laikā sniegtās liecības par viņam nodotās būvniecības dokumentāciju, tās apjomu, pārbaudes gaitu un īs</w:t>
      </w:r>
      <w:r w:rsidR="001E0818" w:rsidRPr="009C7A0A">
        <w:t>ā</w:t>
      </w:r>
      <w:r w:rsidR="00ED1294" w:rsidRPr="009C7A0A">
        <w:t xml:space="preserve"> termiņ</w:t>
      </w:r>
      <w:r w:rsidR="001E0818" w:rsidRPr="009C7A0A">
        <w:t>a objektīvo</w:t>
      </w:r>
      <w:r w:rsidR="00ED1294" w:rsidRPr="009C7A0A">
        <w:t xml:space="preserve"> </w:t>
      </w:r>
      <w:r w:rsidR="001E0818" w:rsidRPr="009C7A0A">
        <w:t xml:space="preserve">ietekmi uz </w:t>
      </w:r>
      <w:r w:rsidR="00ED1294" w:rsidRPr="009C7A0A">
        <w:t>dokumentu pārbaudes procesu</w:t>
      </w:r>
      <w:r w:rsidR="00ED1A47" w:rsidRPr="009C7A0A">
        <w:t xml:space="preserve">. </w:t>
      </w:r>
      <w:r w:rsidR="007535EC" w:rsidRPr="009C7A0A">
        <w:t xml:space="preserve">Tiesa ignorējusi </w:t>
      </w:r>
      <w:r w:rsidR="00C54272" w:rsidRPr="009C7A0A">
        <w:t xml:space="preserve">pretrunas apsūdzētā </w:t>
      </w:r>
      <w:r w:rsidR="00524789">
        <w:t>[pers. BN]</w:t>
      </w:r>
      <w:r w:rsidR="00C54272" w:rsidRPr="009C7A0A">
        <w:t xml:space="preserve"> liecībās, kuras sniegtas </w:t>
      </w:r>
      <w:proofErr w:type="spellStart"/>
      <w:r w:rsidR="00C54272" w:rsidRPr="009C7A0A">
        <w:t>pirmstiesas</w:t>
      </w:r>
      <w:proofErr w:type="spellEnd"/>
      <w:r w:rsidR="00C54272" w:rsidRPr="009C7A0A">
        <w:t xml:space="preserve"> izmeklēšanā un tiesā, </w:t>
      </w:r>
      <w:r w:rsidR="00646F13" w:rsidRPr="009C7A0A">
        <w:t xml:space="preserve">uz kurām norādījis valsts apsūdzības uzturētājs, </w:t>
      </w:r>
      <w:r w:rsidR="00C54272" w:rsidRPr="009C7A0A">
        <w:t xml:space="preserve">un tādējādi pārkāpusi Kriminālprocesa likuma 128. panta pirmās daļas prasības. </w:t>
      </w:r>
      <w:r w:rsidR="00ED1A47" w:rsidRPr="009C7A0A">
        <w:t>Tas savukārt</w:t>
      </w:r>
      <w:r w:rsidR="00ED1294" w:rsidRPr="009C7A0A">
        <w:t xml:space="preserve"> </w:t>
      </w:r>
      <w:r w:rsidRPr="009C7A0A">
        <w:t>ietekmē</w:t>
      </w:r>
      <w:r w:rsidR="00D046DF" w:rsidRPr="009C7A0A">
        <w:t>ja</w:t>
      </w:r>
      <w:r w:rsidRPr="009C7A0A">
        <w:t xml:space="preserve"> pierādījumu, kas </w:t>
      </w:r>
      <w:r w:rsidR="00F24811" w:rsidRPr="009C7A0A">
        <w:t xml:space="preserve">attiecas </w:t>
      </w:r>
      <w:r w:rsidRPr="009C7A0A">
        <w:t xml:space="preserve">uz </w:t>
      </w:r>
      <w:r w:rsidR="00375BA6">
        <w:t>[pers. BN]</w:t>
      </w:r>
      <w:r w:rsidRPr="009C7A0A">
        <w:t xml:space="preserve"> inkriminētajām darbībām par būves pirmās kārtas gatavību ekspluatācijai</w:t>
      </w:r>
      <w:r w:rsidR="00D046DF" w:rsidRPr="009C7A0A">
        <w:t>,</w:t>
      </w:r>
      <w:r w:rsidRPr="009C7A0A">
        <w:t xml:space="preserve"> novērtēšanu.</w:t>
      </w:r>
    </w:p>
    <w:p w14:paraId="673C0733" w14:textId="5AD44A11" w:rsidR="00DA31EA" w:rsidRPr="009C7A0A" w:rsidRDefault="00BB1B93" w:rsidP="009C7A0A">
      <w:pPr>
        <w:spacing w:line="276" w:lineRule="auto"/>
        <w:ind w:firstLine="720"/>
        <w:jc w:val="both"/>
      </w:pPr>
      <w:r w:rsidRPr="009C7A0A">
        <w:t>[5.7.2] </w:t>
      </w:r>
      <w:r w:rsidR="00B530E7" w:rsidRPr="009C7A0A">
        <w:t>Ņemot vērā</w:t>
      </w:r>
      <w:r w:rsidR="00B45B5E" w:rsidRPr="009C7A0A">
        <w:t xml:space="preserve">, ka apelācijas instances tiesas spriedums </w:t>
      </w:r>
      <w:r w:rsidR="00852CC9" w:rsidRPr="009C7A0A">
        <w:t xml:space="preserve">ir </w:t>
      </w:r>
      <w:r w:rsidR="00B45B5E" w:rsidRPr="009C7A0A">
        <w:t xml:space="preserve">atceļams daļā par apsūdzētā </w:t>
      </w:r>
      <w:r w:rsidR="00CA6044">
        <w:t>[pers. BN]</w:t>
      </w:r>
      <w:r w:rsidR="00B45B5E" w:rsidRPr="009C7A0A">
        <w:t xml:space="preserve"> </w:t>
      </w:r>
      <w:r w:rsidR="00DC5D3E" w:rsidRPr="009C7A0A">
        <w:t xml:space="preserve">nepamatotu </w:t>
      </w:r>
      <w:r w:rsidR="00B45B5E" w:rsidRPr="009C7A0A">
        <w:t>atzīšanu par nevainīgu pēc Krimināllikuma 319. panta trešās daļas</w:t>
      </w:r>
      <w:r w:rsidRPr="009C7A0A">
        <w:t xml:space="preserve">, </w:t>
      </w:r>
      <w:r w:rsidR="00F51494" w:rsidRPr="009C7A0A">
        <w:t xml:space="preserve">tas ir </w:t>
      </w:r>
      <w:r w:rsidR="00B45B5E" w:rsidRPr="009C7A0A">
        <w:t>atceļam</w:t>
      </w:r>
      <w:r w:rsidR="00F824FA">
        <w:t>s</w:t>
      </w:r>
      <w:r w:rsidR="00B45B5E" w:rsidRPr="009C7A0A">
        <w:t xml:space="preserve"> </w:t>
      </w:r>
      <w:r w:rsidR="00F51494" w:rsidRPr="009C7A0A">
        <w:t xml:space="preserve">arī </w:t>
      </w:r>
      <w:r w:rsidR="00B45B5E" w:rsidRPr="009C7A0A">
        <w:t>daļā par procesuālo izdevumu</w:t>
      </w:r>
      <w:r w:rsidR="00B530E7" w:rsidRPr="009C7A0A">
        <w:t>,</w:t>
      </w:r>
      <w:r w:rsidR="00B45B5E" w:rsidRPr="009C7A0A">
        <w:t xml:space="preserve"> </w:t>
      </w:r>
      <w:r w:rsidR="00B530E7" w:rsidRPr="009C7A0A">
        <w:t xml:space="preserve">kas saistīti ar </w:t>
      </w:r>
      <w:r w:rsidR="00CB13C2">
        <w:t>[pers. BN]</w:t>
      </w:r>
      <w:r w:rsidR="00B530E7" w:rsidRPr="009C7A0A">
        <w:t xml:space="preserve"> aizstāves A. Bērziņas piedalīšanos tiesas procesā</w:t>
      </w:r>
      <w:r w:rsidR="002D7183" w:rsidRPr="009C7A0A">
        <w:t>,</w:t>
      </w:r>
      <w:r w:rsidR="00B530E7" w:rsidRPr="009C7A0A">
        <w:t xml:space="preserve"> </w:t>
      </w:r>
      <w:r w:rsidR="00B45B5E" w:rsidRPr="009C7A0A">
        <w:t>segšanu no valsts līdzekļiem.</w:t>
      </w:r>
    </w:p>
    <w:p w14:paraId="4400C4C8" w14:textId="7174BC97" w:rsidR="00691639" w:rsidRPr="009C7A0A" w:rsidRDefault="00F71489" w:rsidP="009C7A0A">
      <w:pPr>
        <w:spacing w:line="276" w:lineRule="auto"/>
        <w:ind w:firstLine="720"/>
        <w:jc w:val="both"/>
      </w:pPr>
      <w:r w:rsidRPr="009C7A0A">
        <w:t>[5.</w:t>
      </w:r>
      <w:r w:rsidR="00B45B5E" w:rsidRPr="009C7A0A">
        <w:t>8</w:t>
      </w:r>
      <w:r w:rsidRPr="009C7A0A">
        <w:t>]</w:t>
      </w:r>
      <w:r w:rsidR="00F72019" w:rsidRPr="009C7A0A">
        <w:t> </w:t>
      </w:r>
      <w:r w:rsidR="00932487" w:rsidRPr="009C7A0A">
        <w:t xml:space="preserve">Valsts apsūdzība neapstrīd, </w:t>
      </w:r>
      <w:r w:rsidR="00932487" w:rsidRPr="009C7A0A">
        <w:rPr>
          <w:rFonts w:eastAsia="Calibri"/>
        </w:rPr>
        <w:t xml:space="preserve">ka </w:t>
      </w:r>
      <w:r w:rsidR="00C83E60" w:rsidRPr="009C7A0A">
        <w:rPr>
          <w:rFonts w:eastAsia="Calibri"/>
        </w:rPr>
        <w:t xml:space="preserve">apsūdzētajai </w:t>
      </w:r>
      <w:r w:rsidR="0054586C">
        <w:t>[pers. BO]</w:t>
      </w:r>
      <w:r w:rsidR="00932487" w:rsidRPr="009C7A0A">
        <w:rPr>
          <w:rFonts w:eastAsia="Calibri"/>
        </w:rPr>
        <w:t xml:space="preserve"> nebija pienākum</w:t>
      </w:r>
      <w:r w:rsidR="006D7244" w:rsidRPr="009C7A0A">
        <w:rPr>
          <w:rFonts w:eastAsia="Calibri"/>
        </w:rPr>
        <w:t>a</w:t>
      </w:r>
      <w:r w:rsidR="00932487" w:rsidRPr="009C7A0A">
        <w:rPr>
          <w:rFonts w:eastAsia="Calibri"/>
        </w:rPr>
        <w:t xml:space="preserve"> pārzināt būvniecīb</w:t>
      </w:r>
      <w:r w:rsidR="002B4635" w:rsidRPr="009C7A0A">
        <w:rPr>
          <w:rFonts w:eastAsia="Calibri"/>
        </w:rPr>
        <w:t>as</w:t>
      </w:r>
      <w:r w:rsidR="00932487" w:rsidRPr="009C7A0A">
        <w:rPr>
          <w:rFonts w:eastAsia="Calibri"/>
        </w:rPr>
        <w:t xml:space="preserve"> procesu regulējošos normatīvos</w:t>
      </w:r>
      <w:r w:rsidR="004E1BEC" w:rsidRPr="009C7A0A">
        <w:rPr>
          <w:rFonts w:eastAsia="Calibri"/>
        </w:rPr>
        <w:t xml:space="preserve"> tiesību</w:t>
      </w:r>
      <w:r w:rsidR="00932487" w:rsidRPr="009C7A0A">
        <w:rPr>
          <w:rFonts w:eastAsia="Calibri"/>
        </w:rPr>
        <w:t xml:space="preserve"> aktus</w:t>
      </w:r>
      <w:r w:rsidR="00DA31EA" w:rsidRPr="009C7A0A">
        <w:rPr>
          <w:rFonts w:eastAsia="Calibri"/>
        </w:rPr>
        <w:t xml:space="preserve">. </w:t>
      </w:r>
      <w:r w:rsidR="004E1BEC" w:rsidRPr="009C7A0A">
        <w:rPr>
          <w:rFonts w:eastAsia="Calibri"/>
        </w:rPr>
        <w:t>T</w:t>
      </w:r>
      <w:r w:rsidR="00932487" w:rsidRPr="009C7A0A">
        <w:rPr>
          <w:rFonts w:eastAsia="Calibri"/>
        </w:rPr>
        <w:t>omēr</w:t>
      </w:r>
      <w:r w:rsidR="00932487" w:rsidRPr="009C7A0A">
        <w:t xml:space="preserve"> tiesa</w:t>
      </w:r>
      <w:r w:rsidR="0027165E" w:rsidRPr="009C7A0A">
        <w:t xml:space="preserve">, atzīstot, ka </w:t>
      </w:r>
      <w:r w:rsidR="00DC78C4">
        <w:t>[pers. BO]</w:t>
      </w:r>
      <w:r w:rsidR="00932487" w:rsidRPr="009C7A0A">
        <w:t xml:space="preserve"> darbībās nav konstatējams </w:t>
      </w:r>
      <w:r w:rsidR="00932487" w:rsidRPr="009C7A0A">
        <w:rPr>
          <w:rFonts w:eastAsia="Calibri"/>
        </w:rPr>
        <w:t>Krimināllikuma 146. panta otrajā daļā paredzētā noziedzīgā nodarījuma sastāvs, n</w:t>
      </w:r>
      <w:r w:rsidR="005064B8" w:rsidRPr="009C7A0A">
        <w:t xml:space="preserve">av </w:t>
      </w:r>
      <w:r w:rsidR="0027165E" w:rsidRPr="009C7A0A">
        <w:t xml:space="preserve">ņēmusi vērā, ka </w:t>
      </w:r>
      <w:r w:rsidR="004735ED" w:rsidRPr="009C7A0A">
        <w:rPr>
          <w:color w:val="000000"/>
        </w:rPr>
        <w:t>SIA „</w:t>
      </w:r>
      <w:r w:rsidR="00915732">
        <w:rPr>
          <w:color w:val="000000"/>
        </w:rPr>
        <w:t>[Nosaukums E]</w:t>
      </w:r>
      <w:r w:rsidR="004735ED" w:rsidRPr="009C7A0A">
        <w:rPr>
          <w:color w:val="000000"/>
        </w:rPr>
        <w:t>”</w:t>
      </w:r>
      <w:r w:rsidR="00A719BA" w:rsidRPr="009C7A0A">
        <w:t xml:space="preserve"> darbiniekiem, arī </w:t>
      </w:r>
      <w:r w:rsidR="00735933" w:rsidRPr="009C7A0A">
        <w:t xml:space="preserve">apsūdzētajai </w:t>
      </w:r>
      <w:r w:rsidR="00DE4DAA">
        <w:t>[pers. BO]</w:t>
      </w:r>
      <w:r w:rsidR="00650FDF" w:rsidRPr="009C7A0A">
        <w:rPr>
          <w:rFonts w:eastAsia="Calibri"/>
        </w:rPr>
        <w:t>,</w:t>
      </w:r>
      <w:r w:rsidR="008C6A2C" w:rsidRPr="009C7A0A">
        <w:rPr>
          <w:rFonts w:eastAsia="Calibri"/>
        </w:rPr>
        <w:t xml:space="preserve"> bija zināms par </w:t>
      </w:r>
      <w:r w:rsidR="009B179A" w:rsidRPr="009C7A0A">
        <w:rPr>
          <w:rFonts w:eastAsia="Calibri"/>
        </w:rPr>
        <w:t xml:space="preserve">visa </w:t>
      </w:r>
      <w:r w:rsidR="008C6A2C" w:rsidRPr="009C7A0A">
        <w:rPr>
          <w:rFonts w:eastAsia="Calibri"/>
        </w:rPr>
        <w:t>veida pārmaiņām darba vidē saistībā ar notiekošo būvniecību, proti,</w:t>
      </w:r>
      <w:r w:rsidR="009B179A" w:rsidRPr="009C7A0A">
        <w:rPr>
          <w:rFonts w:eastAsia="Calibri"/>
        </w:rPr>
        <w:t xml:space="preserve"> par</w:t>
      </w:r>
      <w:r w:rsidR="008C6A2C" w:rsidRPr="009C7A0A">
        <w:rPr>
          <w:rFonts w:eastAsia="Calibri"/>
        </w:rPr>
        <w:t xml:space="preserve"> jumta labiekārtošanu</w:t>
      </w:r>
      <w:r w:rsidR="00691639" w:rsidRPr="009C7A0A">
        <w:t xml:space="preserve"> un signalizācijas darbības traucējumiem.</w:t>
      </w:r>
    </w:p>
    <w:p w14:paraId="24C90444" w14:textId="4B5027EB" w:rsidR="001C6CA0" w:rsidRPr="009C7A0A" w:rsidRDefault="00735933" w:rsidP="009C7A0A">
      <w:pPr>
        <w:spacing w:line="276" w:lineRule="auto"/>
        <w:ind w:firstLine="720"/>
        <w:jc w:val="both"/>
        <w:rPr>
          <w:rFonts w:eastAsia="Calibri"/>
          <w:shd w:val="clear" w:color="auto" w:fill="FFFFFF"/>
        </w:rPr>
      </w:pPr>
      <w:r w:rsidRPr="009C7A0A">
        <w:t xml:space="preserve">Tādējādi apsūdzētajai </w:t>
      </w:r>
      <w:r w:rsidR="00A44D30">
        <w:t>[pers. BO]</w:t>
      </w:r>
      <w:r w:rsidRPr="009C7A0A">
        <w:t xml:space="preserve"> </w:t>
      </w:r>
      <w:r w:rsidR="00A719BA" w:rsidRPr="009C7A0A">
        <w:rPr>
          <w:rFonts w:eastAsia="Calibri"/>
        </w:rPr>
        <w:t>d</w:t>
      </w:r>
      <w:r w:rsidR="00A719BA" w:rsidRPr="009C7A0A">
        <w:rPr>
          <w:rFonts w:eastAsia="Calibri"/>
          <w:shd w:val="clear" w:color="auto" w:fill="FFFFFF"/>
        </w:rPr>
        <w:t xml:space="preserve">arba aizsardzība </w:t>
      </w:r>
      <w:r w:rsidRPr="009C7A0A">
        <w:rPr>
          <w:rFonts w:eastAsia="Calibri"/>
          <w:shd w:val="clear" w:color="auto" w:fill="FFFFFF"/>
        </w:rPr>
        <w:t>bija</w:t>
      </w:r>
      <w:r w:rsidR="00A719BA" w:rsidRPr="009C7A0A">
        <w:rPr>
          <w:rFonts w:eastAsia="Calibri"/>
          <w:shd w:val="clear" w:color="auto" w:fill="FFFFFF"/>
        </w:rPr>
        <w:t xml:space="preserve"> jāvērtē katru reizi, kad main</w:t>
      </w:r>
      <w:r w:rsidR="00773665" w:rsidRPr="009C7A0A">
        <w:rPr>
          <w:rFonts w:eastAsia="Calibri"/>
          <w:shd w:val="clear" w:color="auto" w:fill="FFFFFF"/>
        </w:rPr>
        <w:t>īj</w:t>
      </w:r>
      <w:r w:rsidR="00A719BA" w:rsidRPr="009C7A0A">
        <w:rPr>
          <w:rFonts w:eastAsia="Calibri"/>
          <w:shd w:val="clear" w:color="auto" w:fill="FFFFFF"/>
        </w:rPr>
        <w:t>ās vai veidoj</w:t>
      </w:r>
      <w:r w:rsidR="00773665" w:rsidRPr="009C7A0A">
        <w:rPr>
          <w:rFonts w:eastAsia="Calibri"/>
          <w:shd w:val="clear" w:color="auto" w:fill="FFFFFF"/>
        </w:rPr>
        <w:t>ā</w:t>
      </w:r>
      <w:r w:rsidR="00A719BA" w:rsidRPr="009C7A0A">
        <w:rPr>
          <w:rFonts w:eastAsia="Calibri"/>
          <w:shd w:val="clear" w:color="auto" w:fill="FFFFFF"/>
        </w:rPr>
        <w:t>s jauni riski, vai main</w:t>
      </w:r>
      <w:r w:rsidR="00773665" w:rsidRPr="009C7A0A">
        <w:rPr>
          <w:rFonts w:eastAsia="Calibri"/>
          <w:shd w:val="clear" w:color="auto" w:fill="FFFFFF"/>
        </w:rPr>
        <w:t>īj</w:t>
      </w:r>
      <w:r w:rsidR="00A719BA" w:rsidRPr="009C7A0A">
        <w:rPr>
          <w:rFonts w:eastAsia="Calibri"/>
          <w:shd w:val="clear" w:color="auto" w:fill="FFFFFF"/>
        </w:rPr>
        <w:t>ās darba vide</w:t>
      </w:r>
      <w:r w:rsidR="00773665" w:rsidRPr="009C7A0A">
        <w:rPr>
          <w:rFonts w:eastAsia="Calibri"/>
          <w:shd w:val="clear" w:color="auto" w:fill="FFFFFF"/>
        </w:rPr>
        <w:t>,</w:t>
      </w:r>
      <w:r w:rsidR="004179D4" w:rsidRPr="009C7A0A">
        <w:rPr>
          <w:rFonts w:eastAsia="Calibri"/>
          <w:shd w:val="clear" w:color="auto" w:fill="FFFFFF"/>
        </w:rPr>
        <w:t xml:space="preserve"> </w:t>
      </w:r>
      <w:r w:rsidR="00773665" w:rsidRPr="009C7A0A">
        <w:rPr>
          <w:rFonts w:eastAsia="Calibri"/>
          <w:shd w:val="clear" w:color="auto" w:fill="FFFFFF"/>
        </w:rPr>
        <w:t xml:space="preserve">lai noteiktu, </w:t>
      </w:r>
      <w:r w:rsidR="004179D4" w:rsidRPr="009C7A0A">
        <w:rPr>
          <w:rFonts w:eastAsia="Calibri"/>
          <w:shd w:val="clear" w:color="auto" w:fill="FFFFFF"/>
        </w:rPr>
        <w:t xml:space="preserve">vai darbinieki ir pakļauti darba </w:t>
      </w:r>
      <w:r w:rsidR="00BC1033" w:rsidRPr="009C7A0A">
        <w:rPr>
          <w:rFonts w:eastAsia="Calibri"/>
          <w:shd w:val="clear" w:color="auto" w:fill="FFFFFF"/>
        </w:rPr>
        <w:t xml:space="preserve">vides </w:t>
      </w:r>
      <w:r w:rsidR="004179D4" w:rsidRPr="009C7A0A">
        <w:rPr>
          <w:rFonts w:eastAsia="Calibri"/>
          <w:shd w:val="clear" w:color="auto" w:fill="FFFFFF"/>
        </w:rPr>
        <w:t>riskam.</w:t>
      </w:r>
    </w:p>
    <w:p w14:paraId="080C94D1" w14:textId="6869916A" w:rsidR="00C333D4" w:rsidRPr="009C7A0A" w:rsidRDefault="00692E4A" w:rsidP="008B46D8">
      <w:pPr>
        <w:spacing w:line="276" w:lineRule="auto"/>
        <w:ind w:firstLine="720"/>
        <w:jc w:val="both"/>
        <w:rPr>
          <w:rFonts w:eastAsia="Calibri"/>
          <w:shd w:val="clear" w:color="auto" w:fill="FFFFFF"/>
        </w:rPr>
      </w:pPr>
      <w:r w:rsidRPr="009C7A0A">
        <w:rPr>
          <w:rFonts w:eastAsia="Calibri"/>
          <w:shd w:val="clear" w:color="auto" w:fill="FFFFFF"/>
        </w:rPr>
        <w:t xml:space="preserve">Tiesa nepamatoti </w:t>
      </w:r>
      <w:r w:rsidR="005D40BD" w:rsidRPr="009C7A0A">
        <w:rPr>
          <w:rFonts w:eastAsia="Calibri"/>
          <w:shd w:val="clear" w:color="auto" w:fill="FFFFFF"/>
        </w:rPr>
        <w:t>atzinusi, ka</w:t>
      </w:r>
      <w:r w:rsidR="00DA31EA" w:rsidRPr="009C7A0A">
        <w:rPr>
          <w:rFonts w:eastAsia="Calibri"/>
          <w:shd w:val="clear" w:color="auto" w:fill="FFFFFF"/>
        </w:rPr>
        <w:t xml:space="preserve"> cietušā</w:t>
      </w:r>
      <w:r w:rsidR="00400446" w:rsidRPr="009C7A0A">
        <w:rPr>
          <w:rFonts w:eastAsia="Calibri"/>
          <w:shd w:val="clear" w:color="auto" w:fill="FFFFFF"/>
        </w:rPr>
        <w:t xml:space="preserve"> </w:t>
      </w:r>
      <w:r w:rsidR="008B46D8">
        <w:rPr>
          <w:rFonts w:eastAsia="Calibri"/>
          <w:shd w:val="clear" w:color="auto" w:fill="FFFFFF"/>
        </w:rPr>
        <w:t>[pers. F]</w:t>
      </w:r>
      <w:r w:rsidRPr="009C7A0A">
        <w:rPr>
          <w:rFonts w:eastAsia="Calibri"/>
          <w:shd w:val="clear" w:color="auto" w:fill="FFFFFF"/>
        </w:rPr>
        <w:t xml:space="preserve"> </w:t>
      </w:r>
      <w:r w:rsidR="005D40BD" w:rsidRPr="009C7A0A">
        <w:rPr>
          <w:rFonts w:eastAsia="Calibri"/>
          <w:shd w:val="clear" w:color="auto" w:fill="FFFFFF"/>
        </w:rPr>
        <w:t>rīcība</w:t>
      </w:r>
      <w:r w:rsidR="003D2C3E" w:rsidRPr="009C7A0A">
        <w:rPr>
          <w:rFonts w:eastAsia="Calibri"/>
          <w:shd w:val="clear" w:color="auto" w:fill="FFFFFF"/>
        </w:rPr>
        <w:t>, apstaigāj</w:t>
      </w:r>
      <w:r w:rsidR="005D40BD" w:rsidRPr="009C7A0A">
        <w:rPr>
          <w:rFonts w:eastAsia="Calibri"/>
          <w:shd w:val="clear" w:color="auto" w:fill="FFFFFF"/>
        </w:rPr>
        <w:t>ot</w:t>
      </w:r>
      <w:r w:rsidR="003D2C3E" w:rsidRPr="009C7A0A">
        <w:rPr>
          <w:rFonts w:eastAsia="Calibri"/>
          <w:shd w:val="clear" w:color="auto" w:fill="FFFFFF"/>
        </w:rPr>
        <w:t xml:space="preserve"> objektu un nekonstatēj</w:t>
      </w:r>
      <w:r w:rsidR="005D40BD" w:rsidRPr="009C7A0A">
        <w:rPr>
          <w:rFonts w:eastAsia="Calibri"/>
          <w:shd w:val="clear" w:color="auto" w:fill="FFFFFF"/>
        </w:rPr>
        <w:t>ot</w:t>
      </w:r>
      <w:r w:rsidR="003D2C3E" w:rsidRPr="009C7A0A">
        <w:rPr>
          <w:rFonts w:eastAsia="Calibri"/>
          <w:shd w:val="clear" w:color="auto" w:fill="FFFFFF"/>
        </w:rPr>
        <w:t xml:space="preserve"> ugunsgrēka pazīmes,</w:t>
      </w:r>
      <w:r w:rsidRPr="009C7A0A">
        <w:rPr>
          <w:rFonts w:eastAsia="Calibri"/>
          <w:shd w:val="clear" w:color="auto" w:fill="FFFFFF"/>
        </w:rPr>
        <w:t xml:space="preserve"> </w:t>
      </w:r>
      <w:r w:rsidR="00F30C89" w:rsidRPr="009C7A0A">
        <w:rPr>
          <w:rFonts w:eastAsia="Calibri"/>
          <w:shd w:val="clear" w:color="auto" w:fill="FFFFFF"/>
        </w:rPr>
        <w:t xml:space="preserve">atbilst </w:t>
      </w:r>
      <w:r w:rsidR="00341E2F" w:rsidRPr="009C7A0A">
        <w:rPr>
          <w:rFonts w:eastAsia="Calibri"/>
          <w:shd w:val="clear" w:color="auto" w:fill="FFFFFF"/>
        </w:rPr>
        <w:t xml:space="preserve">darba </w:t>
      </w:r>
      <w:r w:rsidR="00087EF6" w:rsidRPr="009C7A0A">
        <w:rPr>
          <w:rFonts w:eastAsia="Calibri"/>
          <w:shd w:val="clear" w:color="auto" w:fill="FFFFFF"/>
        </w:rPr>
        <w:t xml:space="preserve">aizsardzības </w:t>
      </w:r>
      <w:r w:rsidR="00F30C89" w:rsidRPr="009C7A0A">
        <w:rPr>
          <w:rFonts w:eastAsia="Calibri"/>
          <w:shd w:val="clear" w:color="auto" w:fill="FFFFFF"/>
        </w:rPr>
        <w:t xml:space="preserve">instrukcijas prasībām. Tiesa nav ņēmusi vērā pārējos apsūdzības pierādījumus un norādījusi, ka cietušā </w:t>
      </w:r>
      <w:r w:rsidR="008B46D8">
        <w:rPr>
          <w:rFonts w:eastAsia="Calibri"/>
          <w:shd w:val="clear" w:color="auto" w:fill="FFFFFF"/>
        </w:rPr>
        <w:t>[pers. F]</w:t>
      </w:r>
      <w:r w:rsidR="00F30C89" w:rsidRPr="009C7A0A">
        <w:rPr>
          <w:rFonts w:eastAsia="Calibri"/>
          <w:shd w:val="clear" w:color="auto" w:fill="FFFFFF"/>
        </w:rPr>
        <w:t xml:space="preserve"> liecības </w:t>
      </w:r>
      <w:r w:rsidR="007F0AA8" w:rsidRPr="009C7A0A">
        <w:rPr>
          <w:rFonts w:eastAsia="Calibri"/>
          <w:shd w:val="clear" w:color="auto" w:fill="FFFFFF"/>
        </w:rPr>
        <w:t>atspēko</w:t>
      </w:r>
      <w:r w:rsidRPr="009C7A0A">
        <w:rPr>
          <w:rFonts w:eastAsia="Calibri"/>
          <w:shd w:val="clear" w:color="auto" w:fill="FFFFFF"/>
        </w:rPr>
        <w:t xml:space="preserve"> </w:t>
      </w:r>
      <w:r w:rsidR="004735ED" w:rsidRPr="009C7A0A">
        <w:rPr>
          <w:color w:val="000000"/>
        </w:rPr>
        <w:t>SIA „</w:t>
      </w:r>
      <w:r w:rsidR="008B46D8">
        <w:rPr>
          <w:color w:val="000000"/>
        </w:rPr>
        <w:t>[Nosaukums E]</w:t>
      </w:r>
      <w:r w:rsidR="004735ED" w:rsidRPr="009C7A0A">
        <w:rPr>
          <w:color w:val="000000"/>
        </w:rPr>
        <w:t>”</w:t>
      </w:r>
      <w:r w:rsidRPr="009C7A0A">
        <w:rPr>
          <w:rFonts w:eastAsia="Calibri"/>
        </w:rPr>
        <w:t xml:space="preserve"> apsarga </w:t>
      </w:r>
      <w:r w:rsidR="008B46D8">
        <w:rPr>
          <w:rFonts w:eastAsia="Calibri"/>
        </w:rPr>
        <w:t>[pers. LH]</w:t>
      </w:r>
      <w:r w:rsidRPr="009C7A0A">
        <w:rPr>
          <w:rFonts w:eastAsia="Calibri"/>
        </w:rPr>
        <w:t xml:space="preserve"> liecīb</w:t>
      </w:r>
      <w:r w:rsidR="007F0AA8" w:rsidRPr="009C7A0A">
        <w:rPr>
          <w:rFonts w:eastAsia="Calibri"/>
        </w:rPr>
        <w:t>as</w:t>
      </w:r>
      <w:r w:rsidR="003D2C3E" w:rsidRPr="009C7A0A">
        <w:rPr>
          <w:rFonts w:eastAsia="Calibri"/>
        </w:rPr>
        <w:t xml:space="preserve"> par to, ka viņam nebija informācijas par ēkā ierīkoto signalizācijas sistēmu</w:t>
      </w:r>
      <w:r w:rsidR="00655007" w:rsidRPr="009C7A0A">
        <w:rPr>
          <w:rFonts w:eastAsia="Calibri"/>
        </w:rPr>
        <w:t>. Turklāt tiesa</w:t>
      </w:r>
      <w:r w:rsidRPr="009C7A0A">
        <w:rPr>
          <w:rFonts w:eastAsia="Calibri"/>
        </w:rPr>
        <w:t xml:space="preserve"> nepamatoti noraidījusi citu </w:t>
      </w:r>
      <w:r w:rsidR="006B6B6B" w:rsidRPr="009C7A0A">
        <w:rPr>
          <w:color w:val="000000"/>
        </w:rPr>
        <w:t>SIA „</w:t>
      </w:r>
      <w:r w:rsidR="008B46D8">
        <w:rPr>
          <w:color w:val="000000"/>
        </w:rPr>
        <w:t>[Nosaukums E]</w:t>
      </w:r>
      <w:r w:rsidR="006B6B6B" w:rsidRPr="009C7A0A">
        <w:rPr>
          <w:color w:val="000000"/>
        </w:rPr>
        <w:t xml:space="preserve">” </w:t>
      </w:r>
      <w:r w:rsidRPr="009C7A0A">
        <w:rPr>
          <w:rFonts w:eastAsia="Calibri"/>
        </w:rPr>
        <w:t>darbinieku</w:t>
      </w:r>
      <w:r w:rsidR="008D6662" w:rsidRPr="009C7A0A">
        <w:rPr>
          <w:rFonts w:eastAsia="Calibri"/>
        </w:rPr>
        <w:t xml:space="preserve"> </w:t>
      </w:r>
      <w:r w:rsidR="00BC1033" w:rsidRPr="009C7A0A">
        <w:rPr>
          <w:rFonts w:eastAsia="Calibri"/>
        </w:rPr>
        <w:t xml:space="preserve">– </w:t>
      </w:r>
      <w:r w:rsidR="008B46D8">
        <w:rPr>
          <w:rFonts w:eastAsia="Calibri"/>
        </w:rPr>
        <w:t>[pers. EZ]</w:t>
      </w:r>
      <w:r w:rsidRPr="009C7A0A">
        <w:t xml:space="preserve">, </w:t>
      </w:r>
      <w:r w:rsidR="008B46D8">
        <w:t>[pers. FK]</w:t>
      </w:r>
      <w:r w:rsidRPr="009C7A0A">
        <w:t xml:space="preserve">, </w:t>
      </w:r>
      <w:r w:rsidR="008B46D8">
        <w:t>[pers. IA]</w:t>
      </w:r>
      <w:r w:rsidRPr="009C7A0A">
        <w:t xml:space="preserve">, </w:t>
      </w:r>
      <w:r w:rsidR="008B46D8">
        <w:t>[pers. LI]</w:t>
      </w:r>
      <w:r w:rsidRPr="009C7A0A">
        <w:t xml:space="preserve">, </w:t>
      </w:r>
      <w:r w:rsidR="008B46D8">
        <w:t>[pers. LJ]</w:t>
      </w:r>
      <w:r w:rsidRPr="009C7A0A">
        <w:t xml:space="preserve">, </w:t>
      </w:r>
      <w:r w:rsidR="008B46D8">
        <w:t>[pers. LK]</w:t>
      </w:r>
      <w:r w:rsidRPr="009C7A0A">
        <w:t>,</w:t>
      </w:r>
      <w:r w:rsidR="001C6CA0" w:rsidRPr="009C7A0A">
        <w:t xml:space="preserve"> </w:t>
      </w:r>
      <w:r w:rsidR="008B46D8">
        <w:t>[pers. LL]</w:t>
      </w:r>
      <w:r w:rsidRPr="009C7A0A">
        <w:t xml:space="preserve">, </w:t>
      </w:r>
      <w:r w:rsidR="008B46D8">
        <w:t>[pers. LM]</w:t>
      </w:r>
      <w:r w:rsidR="00BC1033" w:rsidRPr="009C7A0A">
        <w:t xml:space="preserve"> –</w:t>
      </w:r>
      <w:r w:rsidRPr="009C7A0A">
        <w:t xml:space="preserve"> </w:t>
      </w:r>
      <w:r w:rsidRPr="009C7A0A">
        <w:rPr>
          <w:rFonts w:eastAsia="Calibri"/>
        </w:rPr>
        <w:t>liecības</w:t>
      </w:r>
      <w:r w:rsidR="003D2C3E" w:rsidRPr="009C7A0A">
        <w:rPr>
          <w:rFonts w:eastAsia="Calibri"/>
        </w:rPr>
        <w:t xml:space="preserve"> par to, ka viņi nezināja, kā rīkoties,</w:t>
      </w:r>
      <w:r w:rsidR="00BF4BE1" w:rsidRPr="009C7A0A">
        <w:rPr>
          <w:rFonts w:eastAsia="Calibri"/>
        </w:rPr>
        <w:t xml:space="preserve"> un nebija informēti, ko darīt,</w:t>
      </w:r>
      <w:r w:rsidR="003D2C3E" w:rsidRPr="009C7A0A">
        <w:rPr>
          <w:rFonts w:eastAsia="Calibri"/>
        </w:rPr>
        <w:t xml:space="preserve"> ja sāk darboties signalizācija.</w:t>
      </w:r>
      <w:r w:rsidR="003D686A" w:rsidRPr="009C7A0A">
        <w:rPr>
          <w:rFonts w:eastAsia="Calibri"/>
        </w:rPr>
        <w:t xml:space="preserve"> </w:t>
      </w:r>
      <w:r w:rsidR="000B69AC" w:rsidRPr="009C7A0A">
        <w:rPr>
          <w:rFonts w:eastAsia="Calibri"/>
        </w:rPr>
        <w:t>Tāpat tiesa bez ievērības atstājusi</w:t>
      </w:r>
      <w:r w:rsidR="00BC1033" w:rsidRPr="009C7A0A">
        <w:rPr>
          <w:rFonts w:eastAsia="Calibri"/>
        </w:rPr>
        <w:t xml:space="preserve"> apsarga –</w:t>
      </w:r>
      <w:r w:rsidR="000B69AC" w:rsidRPr="009C7A0A">
        <w:rPr>
          <w:rFonts w:eastAsia="Calibri"/>
        </w:rPr>
        <w:t xml:space="preserve"> </w:t>
      </w:r>
      <w:r w:rsidR="001C6CA0" w:rsidRPr="009C7A0A">
        <w:rPr>
          <w:rFonts w:eastAsia="Calibri"/>
        </w:rPr>
        <w:t xml:space="preserve">liecinieka </w:t>
      </w:r>
      <w:r w:rsidR="00721346">
        <w:rPr>
          <w:rFonts w:eastAsia="Calibri"/>
          <w:shd w:val="clear" w:color="auto" w:fill="FFFFFF"/>
        </w:rPr>
        <w:t>[pers. LN]</w:t>
      </w:r>
      <w:r w:rsidR="00BC1033" w:rsidRPr="009C7A0A">
        <w:rPr>
          <w:rFonts w:eastAsia="Calibri"/>
          <w:shd w:val="clear" w:color="auto" w:fill="FFFFFF"/>
        </w:rPr>
        <w:t xml:space="preserve"> –</w:t>
      </w:r>
      <w:r w:rsidR="000B69AC" w:rsidRPr="009C7A0A">
        <w:rPr>
          <w:rFonts w:eastAsia="Calibri"/>
          <w:shd w:val="clear" w:color="auto" w:fill="FFFFFF"/>
        </w:rPr>
        <w:t xml:space="preserve"> liecības, ka viņš </w:t>
      </w:r>
      <w:r w:rsidR="00D67DE4" w:rsidRPr="009C7A0A">
        <w:rPr>
          <w:rFonts w:eastAsia="Calibri"/>
          <w:shd w:val="clear" w:color="auto" w:fill="FFFFFF"/>
        </w:rPr>
        <w:t xml:space="preserve">bija </w:t>
      </w:r>
      <w:r w:rsidR="000B69AC" w:rsidRPr="009C7A0A">
        <w:rPr>
          <w:rFonts w:eastAsia="Calibri"/>
          <w:shd w:val="clear" w:color="auto" w:fill="FFFFFF"/>
        </w:rPr>
        <w:t>mēģināj</w:t>
      </w:r>
      <w:r w:rsidR="00D67DE4" w:rsidRPr="009C7A0A">
        <w:rPr>
          <w:rFonts w:eastAsia="Calibri"/>
          <w:shd w:val="clear" w:color="auto" w:fill="FFFFFF"/>
        </w:rPr>
        <w:t>is</w:t>
      </w:r>
      <w:r w:rsidR="000B69AC" w:rsidRPr="009C7A0A">
        <w:rPr>
          <w:rFonts w:eastAsia="Calibri"/>
          <w:shd w:val="clear" w:color="auto" w:fill="FFFFFF"/>
        </w:rPr>
        <w:t xml:space="preserve"> atslēgt trauksmi, bet signāla padeve trauksmes režīmā atjaunojās 38 reizes.</w:t>
      </w:r>
    </w:p>
    <w:p w14:paraId="47E31246" w14:textId="12A671A2" w:rsidR="001C6CA0" w:rsidRPr="009C7A0A" w:rsidRDefault="00ED1843" w:rsidP="009C7A0A">
      <w:pPr>
        <w:spacing w:line="276" w:lineRule="auto"/>
        <w:ind w:firstLine="720"/>
        <w:jc w:val="both"/>
        <w:rPr>
          <w:rFonts w:eastAsia="Calibri"/>
        </w:rPr>
      </w:pPr>
      <w:r w:rsidRPr="009C7A0A">
        <w:rPr>
          <w:color w:val="000000"/>
        </w:rPr>
        <w:t>SIA „</w:t>
      </w:r>
      <w:r w:rsidR="00094340">
        <w:rPr>
          <w:color w:val="000000"/>
        </w:rPr>
        <w:t>[Nosaukums E]</w:t>
      </w:r>
      <w:r w:rsidRPr="009C7A0A">
        <w:rPr>
          <w:color w:val="000000"/>
        </w:rPr>
        <w:t>”</w:t>
      </w:r>
      <w:r w:rsidR="003B6574" w:rsidRPr="009C7A0A">
        <w:rPr>
          <w:color w:val="000000"/>
        </w:rPr>
        <w:t xml:space="preserve"> darba aizsardzības vecākās speciālistes </w:t>
      </w:r>
      <w:r w:rsidR="00151B22">
        <w:rPr>
          <w:color w:val="000000"/>
        </w:rPr>
        <w:t>[pers. BO]</w:t>
      </w:r>
      <w:r w:rsidR="003B6574" w:rsidRPr="009C7A0A">
        <w:rPr>
          <w:color w:val="000000"/>
        </w:rPr>
        <w:t xml:space="preserve"> darba pienākumos ietilpa</w:t>
      </w:r>
      <w:r w:rsidRPr="009C7A0A">
        <w:rPr>
          <w:color w:val="000000"/>
        </w:rPr>
        <w:t xml:space="preserve"> darba aizsardzības un ugunsdrošības instrukciju </w:t>
      </w:r>
      <w:r w:rsidR="00CD21FB" w:rsidRPr="009C7A0A">
        <w:rPr>
          <w:color w:val="000000"/>
        </w:rPr>
        <w:t xml:space="preserve">izstrāde, pilnveidošana un kontrole pār šo instrukciju ievērošanu. </w:t>
      </w:r>
      <w:r w:rsidR="00FB3414" w:rsidRPr="009C7A0A">
        <w:rPr>
          <w:color w:val="000000"/>
        </w:rPr>
        <w:t>SIA „</w:t>
      </w:r>
      <w:r w:rsidR="009D59AF">
        <w:rPr>
          <w:color w:val="000000"/>
        </w:rPr>
        <w:t>[Nosaukums E]</w:t>
      </w:r>
      <w:r w:rsidR="00FB3414" w:rsidRPr="009C7A0A">
        <w:rPr>
          <w:color w:val="000000"/>
        </w:rPr>
        <w:t>”</w:t>
      </w:r>
      <w:r w:rsidR="00FB3414" w:rsidRPr="009C7A0A">
        <w:rPr>
          <w:rFonts w:eastAsia="Calibri"/>
        </w:rPr>
        <w:t xml:space="preserve"> instrukcija „Par rīcību gadījumos, ja no ugunsaizsardzības sistēmas pienāk trauksmes signāls par ugunsgrēka izcelšanos vai ugunsaizsardzības sistēmas bojājumu” satur informāciju par darbinieku rīcību, bet tā neatbilst konkrētajā objektā ierīkotajai automātiskās ugunsgrēka atklāšanas un trauksmes izziņošanas sistēmai. </w:t>
      </w:r>
      <w:r w:rsidR="00CB15F6" w:rsidRPr="009C7A0A">
        <w:rPr>
          <w:color w:val="000000"/>
        </w:rPr>
        <w:t xml:space="preserve">Instrukcijas, par kurām bija atbildīga </w:t>
      </w:r>
      <w:r w:rsidR="0004587F">
        <w:rPr>
          <w:rFonts w:eastAsia="Calibri"/>
          <w:shd w:val="clear" w:color="auto" w:fill="FFFFFF"/>
        </w:rPr>
        <w:t>[pers. BO]</w:t>
      </w:r>
      <w:r w:rsidR="00CB15F6" w:rsidRPr="009C7A0A">
        <w:rPr>
          <w:color w:val="000000"/>
        </w:rPr>
        <w:t xml:space="preserve">, </w:t>
      </w:r>
      <w:r w:rsidR="00E210F3" w:rsidRPr="009C7A0A">
        <w:rPr>
          <w:rFonts w:eastAsia="Calibri"/>
        </w:rPr>
        <w:t>nesatur</w:t>
      </w:r>
      <w:r w:rsidR="00CB15F6" w:rsidRPr="009C7A0A">
        <w:rPr>
          <w:rFonts w:eastAsia="Calibri"/>
        </w:rPr>
        <w:t xml:space="preserve"> informāciju par darba vietā ārkārtas situācijās</w:t>
      </w:r>
      <w:r w:rsidR="00E210F3" w:rsidRPr="009C7A0A">
        <w:rPr>
          <w:rFonts w:eastAsia="Calibri"/>
        </w:rPr>
        <w:t xml:space="preserve"> </w:t>
      </w:r>
      <w:r w:rsidR="00AC65D2" w:rsidRPr="009C7A0A">
        <w:lastRenderedPageBreak/>
        <w:t>lietojamo akustisko signālu un vārdiskās saziņas drošības zīmju nozīmi un darbības princip</w:t>
      </w:r>
      <w:r w:rsidR="0073757C" w:rsidRPr="009C7A0A">
        <w:t>iem</w:t>
      </w:r>
      <w:r w:rsidR="00AC65D2" w:rsidRPr="009C7A0A">
        <w:t xml:space="preserve">, kā arī norādījumus par rīcību šo zīmju darbības laikā. </w:t>
      </w:r>
      <w:r w:rsidR="0073757C" w:rsidRPr="009C7A0A">
        <w:t>Tādējādi</w:t>
      </w:r>
      <w:r w:rsidR="006C726D" w:rsidRPr="009C7A0A">
        <w:rPr>
          <w:rFonts w:eastAsia="Calibri"/>
        </w:rPr>
        <w:t xml:space="preserve"> </w:t>
      </w:r>
      <w:r w:rsidR="008D6004">
        <w:rPr>
          <w:rFonts w:eastAsia="Calibri"/>
          <w:shd w:val="clear" w:color="auto" w:fill="FFFFFF"/>
        </w:rPr>
        <w:t>[pers. BO]</w:t>
      </w:r>
      <w:r w:rsidR="006C726D" w:rsidRPr="009C7A0A">
        <w:rPr>
          <w:rFonts w:eastAsia="Calibri"/>
        </w:rPr>
        <w:t xml:space="preserve"> bezdarbība</w:t>
      </w:r>
      <w:r w:rsidR="00C61E5E" w:rsidRPr="009C7A0A">
        <w:rPr>
          <w:rFonts w:eastAsia="Calibri"/>
        </w:rPr>
        <w:t>, neievērojot</w:t>
      </w:r>
      <w:r w:rsidR="006C726D" w:rsidRPr="009C7A0A">
        <w:rPr>
          <w:rFonts w:eastAsia="Calibri"/>
        </w:rPr>
        <w:t xml:space="preserve"> normatīvo </w:t>
      </w:r>
      <w:r w:rsidR="00172121" w:rsidRPr="009C7A0A">
        <w:rPr>
          <w:rFonts w:eastAsia="Calibri"/>
        </w:rPr>
        <w:t xml:space="preserve">tiesību </w:t>
      </w:r>
      <w:r w:rsidR="006C726D" w:rsidRPr="009C7A0A">
        <w:rPr>
          <w:rFonts w:eastAsia="Calibri"/>
        </w:rPr>
        <w:t>aktu prasīb</w:t>
      </w:r>
      <w:r w:rsidR="00C61E5E" w:rsidRPr="009C7A0A">
        <w:rPr>
          <w:rFonts w:eastAsia="Calibri"/>
        </w:rPr>
        <w:t xml:space="preserve">as, </w:t>
      </w:r>
      <w:r w:rsidR="006C726D" w:rsidRPr="009C7A0A">
        <w:rPr>
          <w:rFonts w:eastAsia="Calibri"/>
        </w:rPr>
        <w:t>bija iemesls tam, ka objektā nenotika evakuācija</w:t>
      </w:r>
      <w:r w:rsidR="00357022" w:rsidRPr="009C7A0A">
        <w:rPr>
          <w:rFonts w:eastAsia="Calibri"/>
        </w:rPr>
        <w:t>, un viens no iemeslie</w:t>
      </w:r>
      <w:r w:rsidR="00F824FA">
        <w:rPr>
          <w:rFonts w:eastAsia="Calibri"/>
        </w:rPr>
        <w:t>m</w:t>
      </w:r>
      <w:r w:rsidR="00357022" w:rsidRPr="009C7A0A">
        <w:rPr>
          <w:rFonts w:eastAsia="Calibri"/>
        </w:rPr>
        <w:t>, kāpēc iestājās apsūdzībā norādītās smagās sekas</w:t>
      </w:r>
      <w:r w:rsidR="006C726D" w:rsidRPr="009C7A0A">
        <w:rPr>
          <w:rFonts w:eastAsia="Calibri"/>
        </w:rPr>
        <w:t>.</w:t>
      </w:r>
    </w:p>
    <w:p w14:paraId="51633D69" w14:textId="58BC8BFA" w:rsidR="00CE4E88" w:rsidRPr="009C7A0A" w:rsidRDefault="00694A52" w:rsidP="009C7A0A">
      <w:pPr>
        <w:spacing w:line="276" w:lineRule="auto"/>
        <w:ind w:firstLine="720"/>
        <w:jc w:val="both"/>
        <w:rPr>
          <w:rFonts w:eastAsia="Calibri"/>
        </w:rPr>
      </w:pPr>
      <w:r w:rsidRPr="009C7A0A">
        <w:rPr>
          <w:rFonts w:eastAsia="Calibri"/>
        </w:rPr>
        <w:t>[5.</w:t>
      </w:r>
      <w:r w:rsidR="00BB1B93" w:rsidRPr="009C7A0A">
        <w:rPr>
          <w:rFonts w:eastAsia="Calibri"/>
        </w:rPr>
        <w:t>9</w:t>
      </w:r>
      <w:r w:rsidRPr="009C7A0A">
        <w:rPr>
          <w:rFonts w:eastAsia="Calibri"/>
        </w:rPr>
        <w:t>]</w:t>
      </w:r>
      <w:r w:rsidR="00872794" w:rsidRPr="009C7A0A">
        <w:rPr>
          <w:rFonts w:eastAsia="Calibri"/>
        </w:rPr>
        <w:t> </w:t>
      </w:r>
      <w:r w:rsidR="00480089" w:rsidRPr="009C7A0A">
        <w:rPr>
          <w:rFonts w:eastAsia="Calibri"/>
        </w:rPr>
        <w:t>Apelācijas instances tiesas spriedums ir atceļams daļā par kriminālprocesa izbeigšanu</w:t>
      </w:r>
      <w:r w:rsidR="00CE4E88" w:rsidRPr="009C7A0A">
        <w:rPr>
          <w:rFonts w:eastAsia="Calibri"/>
        </w:rPr>
        <w:t xml:space="preserve"> par piespiedu ietekmēšanas līdzekļ</w:t>
      </w:r>
      <w:r w:rsidR="007C6580" w:rsidRPr="009C7A0A">
        <w:rPr>
          <w:rFonts w:eastAsia="Calibri"/>
        </w:rPr>
        <w:t>a</w:t>
      </w:r>
      <w:r w:rsidR="00CE4E88" w:rsidRPr="009C7A0A">
        <w:rPr>
          <w:rFonts w:eastAsia="Calibri"/>
        </w:rPr>
        <w:t xml:space="preserve"> piemērošanu </w:t>
      </w:r>
      <w:r w:rsidR="00CE4E88" w:rsidRPr="009C7A0A">
        <w:t>SIA „</w:t>
      </w:r>
      <w:r w:rsidR="00491845">
        <w:t>[Nosaukums B]</w:t>
      </w:r>
      <w:r w:rsidR="00CE4E88" w:rsidRPr="009C7A0A">
        <w:t>”, SIA „</w:t>
      </w:r>
      <w:r w:rsidR="00EE557D">
        <w:t>[Nosaukums C]</w:t>
      </w:r>
      <w:r w:rsidR="00CE4E88" w:rsidRPr="009C7A0A">
        <w:t>”, SIA „</w:t>
      </w:r>
      <w:r w:rsidR="00EE557D">
        <w:t>[Nosaukums D]</w:t>
      </w:r>
      <w:r w:rsidR="00CE4E88" w:rsidRPr="009C7A0A">
        <w:t>”</w:t>
      </w:r>
      <w:r w:rsidR="001C6CA0" w:rsidRPr="009C7A0A">
        <w:t xml:space="preserve"> </w:t>
      </w:r>
      <w:r w:rsidR="00073BC3" w:rsidRPr="009C7A0A">
        <w:t>un</w:t>
      </w:r>
      <w:r w:rsidR="001C6CA0" w:rsidRPr="009C7A0A">
        <w:t xml:space="preserve"> </w:t>
      </w:r>
      <w:r w:rsidR="004735ED" w:rsidRPr="009C7A0A">
        <w:rPr>
          <w:color w:val="000000"/>
        </w:rPr>
        <w:t>SIA „</w:t>
      </w:r>
      <w:r w:rsidR="00EE557D">
        <w:rPr>
          <w:color w:val="000000"/>
        </w:rPr>
        <w:t>[Nosaukums</w:t>
      </w:r>
      <w:r w:rsidR="00643103">
        <w:rPr>
          <w:color w:val="000000"/>
        </w:rPr>
        <w:t> </w:t>
      </w:r>
      <w:r w:rsidR="00EE557D">
        <w:rPr>
          <w:color w:val="000000"/>
        </w:rPr>
        <w:t>E</w:t>
      </w:r>
      <w:r w:rsidR="00B100D7">
        <w:rPr>
          <w:color w:val="000000"/>
        </w:rPr>
        <w:t>]</w:t>
      </w:r>
      <w:r w:rsidR="004735ED" w:rsidRPr="009C7A0A">
        <w:rPr>
          <w:color w:val="000000"/>
        </w:rPr>
        <w:t>”</w:t>
      </w:r>
      <w:r w:rsidR="00CE4E88" w:rsidRPr="009C7A0A">
        <w:t>.</w:t>
      </w:r>
    </w:p>
    <w:p w14:paraId="7A1178C9" w14:textId="333267C4" w:rsidR="00BB1B93" w:rsidRPr="009C7A0A" w:rsidRDefault="00B45B5E" w:rsidP="009C7A0A">
      <w:pPr>
        <w:spacing w:line="276" w:lineRule="auto"/>
        <w:ind w:firstLine="720"/>
        <w:jc w:val="both"/>
        <w:rPr>
          <w:rFonts w:eastAsia="Calibri"/>
        </w:rPr>
      </w:pPr>
      <w:r w:rsidRPr="009C7A0A">
        <w:rPr>
          <w:rFonts w:eastAsia="Calibri"/>
        </w:rPr>
        <w:t>[5.</w:t>
      </w:r>
      <w:r w:rsidR="00BB1B93" w:rsidRPr="009C7A0A">
        <w:rPr>
          <w:rFonts w:eastAsia="Calibri"/>
        </w:rPr>
        <w:t>10</w:t>
      </w:r>
      <w:r w:rsidRPr="009C7A0A">
        <w:rPr>
          <w:rFonts w:eastAsia="Calibri"/>
        </w:rPr>
        <w:t xml:space="preserve">] Tiesa, pieņemot blakus lēmumu </w:t>
      </w:r>
      <w:r w:rsidRPr="009C7A0A">
        <w:t>par iespējamo dokumentu viltošanu, pārkāp</w:t>
      </w:r>
      <w:r w:rsidR="007C6580" w:rsidRPr="009C7A0A">
        <w:t>usi</w:t>
      </w:r>
      <w:r w:rsidRPr="009C7A0A">
        <w:t xml:space="preserve"> Kriminālprocesa likuma 371. panta piekto daļu</w:t>
      </w:r>
      <w:r w:rsidRPr="009C7A0A">
        <w:rPr>
          <w:rFonts w:eastAsia="Calibri"/>
        </w:rPr>
        <w:t>.</w:t>
      </w:r>
    </w:p>
    <w:p w14:paraId="2B3426F8" w14:textId="77777777" w:rsidR="00873DA3" w:rsidRPr="009C7A0A" w:rsidRDefault="00873DA3" w:rsidP="009C7A0A">
      <w:pPr>
        <w:spacing w:line="276" w:lineRule="auto"/>
        <w:ind w:firstLine="720"/>
        <w:jc w:val="both"/>
        <w:rPr>
          <w:rFonts w:eastAsia="Calibri"/>
        </w:rPr>
      </w:pPr>
    </w:p>
    <w:p w14:paraId="2BCEADC6" w14:textId="25AECEB5" w:rsidR="00333412" w:rsidRPr="009C7A0A" w:rsidRDefault="00F44354" w:rsidP="009C7A0A">
      <w:pPr>
        <w:spacing w:line="276" w:lineRule="auto"/>
        <w:ind w:firstLine="720"/>
        <w:jc w:val="both"/>
        <w:rPr>
          <w:rFonts w:eastAsia="Calibri"/>
        </w:rPr>
      </w:pPr>
      <w:r w:rsidRPr="009C7A0A">
        <w:t>[6]</w:t>
      </w:r>
      <w:r w:rsidR="008926C6" w:rsidRPr="009C7A0A">
        <w:t> </w:t>
      </w:r>
      <w:r w:rsidR="008B7E58" w:rsidRPr="009C7A0A">
        <w:t>A</w:t>
      </w:r>
      <w:r w:rsidR="008B7E58" w:rsidRPr="009C7A0A">
        <w:rPr>
          <w:rFonts w:eastAsia="Calibri"/>
          <w:color w:val="000000" w:themeColor="text1"/>
        </w:rPr>
        <w:t xml:space="preserve">psūdzētais </w:t>
      </w:r>
      <w:r w:rsidR="00617029">
        <w:rPr>
          <w:rFonts w:eastAsia="Calibri"/>
          <w:shd w:val="clear" w:color="auto" w:fill="FFFFFF"/>
        </w:rPr>
        <w:t>[pers. A]</w:t>
      </w:r>
      <w:r w:rsidR="008B7E58" w:rsidRPr="009C7A0A">
        <w:rPr>
          <w:rFonts w:eastAsia="Calibri"/>
          <w:color w:val="000000" w:themeColor="text1"/>
        </w:rPr>
        <w:t xml:space="preserve"> un viņa aizstāvis A. Zvejsalnieks kasācijas sūdzībās lūdz atcelt apelācijas instances tiesas </w:t>
      </w:r>
      <w:r w:rsidR="008B7E58" w:rsidRPr="009C7A0A">
        <w:rPr>
          <w:rFonts w:eastAsia="Calibri"/>
        </w:rPr>
        <w:t xml:space="preserve">spriedumu </w:t>
      </w:r>
      <w:r w:rsidR="00E00FE2" w:rsidRPr="009C7A0A">
        <w:rPr>
          <w:rFonts w:eastAsia="Calibri"/>
        </w:rPr>
        <w:t>daļā par</w:t>
      </w:r>
      <w:r w:rsidR="00333412" w:rsidRPr="009C7A0A">
        <w:rPr>
          <w:rFonts w:eastAsia="Calibri"/>
        </w:rPr>
        <w:t>:</w:t>
      </w:r>
    </w:p>
    <w:p w14:paraId="0B8BBEF7" w14:textId="1A6736EB" w:rsidR="00333412" w:rsidRPr="009C7A0A" w:rsidRDefault="00617029" w:rsidP="009C7A0A">
      <w:pPr>
        <w:spacing w:line="276" w:lineRule="auto"/>
        <w:ind w:firstLine="720"/>
        <w:jc w:val="both"/>
        <w:rPr>
          <w:rFonts w:eastAsia="Calibri"/>
        </w:rPr>
      </w:pPr>
      <w:r>
        <w:rPr>
          <w:rFonts w:eastAsia="Calibri"/>
          <w:shd w:val="clear" w:color="auto" w:fill="FFFFFF"/>
        </w:rPr>
        <w:t>[pers. A]</w:t>
      </w:r>
      <w:r w:rsidR="00E00FE2" w:rsidRPr="009C7A0A">
        <w:rPr>
          <w:rFonts w:eastAsia="Calibri"/>
        </w:rPr>
        <w:t xml:space="preserve"> atzīšanu par vainīgu </w:t>
      </w:r>
      <w:r w:rsidR="00A23B77" w:rsidRPr="009C7A0A">
        <w:rPr>
          <w:rFonts w:eastAsia="Calibri"/>
        </w:rPr>
        <w:t xml:space="preserve">un sodīšanu </w:t>
      </w:r>
      <w:r w:rsidR="00E00FE2" w:rsidRPr="009C7A0A">
        <w:rPr>
          <w:rFonts w:eastAsia="Calibri"/>
        </w:rPr>
        <w:t>pēc Krimināllikuma 239. panta otrās daļas</w:t>
      </w:r>
      <w:r w:rsidR="008306C9" w:rsidRPr="009C7A0A">
        <w:rPr>
          <w:rFonts w:eastAsia="Calibri"/>
        </w:rPr>
        <w:t>,</w:t>
      </w:r>
      <w:r w:rsidR="00E00FE2" w:rsidRPr="009C7A0A">
        <w:rPr>
          <w:rFonts w:eastAsia="Calibri"/>
        </w:rPr>
        <w:t xml:space="preserve"> 123. panta otrās daļas</w:t>
      </w:r>
      <w:r w:rsidR="00333412" w:rsidRPr="009C7A0A">
        <w:rPr>
          <w:rFonts w:eastAsia="Calibri"/>
        </w:rPr>
        <w:t>;</w:t>
      </w:r>
    </w:p>
    <w:p w14:paraId="6C18165F" w14:textId="65BE9255" w:rsidR="00333412" w:rsidRPr="009C7A0A" w:rsidRDefault="00A23B77" w:rsidP="009C7A0A">
      <w:pPr>
        <w:spacing w:line="276" w:lineRule="auto"/>
        <w:ind w:firstLine="720"/>
        <w:jc w:val="both"/>
        <w:rPr>
          <w:rFonts w:eastAsia="Calibri"/>
        </w:rPr>
      </w:pPr>
      <w:r w:rsidRPr="009C7A0A">
        <w:rPr>
          <w:rFonts w:eastAsia="Calibri"/>
        </w:rPr>
        <w:t xml:space="preserve">kaitējuma kompensācijas </w:t>
      </w:r>
      <w:r w:rsidR="00333412" w:rsidRPr="009C7A0A">
        <w:rPr>
          <w:rFonts w:eastAsia="Calibri"/>
        </w:rPr>
        <w:t>un</w:t>
      </w:r>
      <w:r w:rsidRPr="009C7A0A">
        <w:rPr>
          <w:rFonts w:eastAsia="Calibri"/>
        </w:rPr>
        <w:t xml:space="preserve"> procesuālo izdevumu piedziņu</w:t>
      </w:r>
      <w:r w:rsidR="00333412" w:rsidRPr="009C7A0A">
        <w:rPr>
          <w:rFonts w:eastAsia="Calibri"/>
        </w:rPr>
        <w:t xml:space="preserve"> no </w:t>
      </w:r>
      <w:r w:rsidR="00F641A0">
        <w:rPr>
          <w:rFonts w:eastAsia="Calibri"/>
          <w:shd w:val="clear" w:color="auto" w:fill="FFFFFF"/>
        </w:rPr>
        <w:t>[pers. A]</w:t>
      </w:r>
      <w:r w:rsidR="00333412" w:rsidRPr="009C7A0A">
        <w:rPr>
          <w:rFonts w:eastAsia="Calibri"/>
        </w:rPr>
        <w:t>;</w:t>
      </w:r>
    </w:p>
    <w:p w14:paraId="2D9473E2" w14:textId="3E86951C" w:rsidR="001C6CA0" w:rsidRPr="009C7A0A" w:rsidRDefault="00155ACA" w:rsidP="009C7A0A">
      <w:pPr>
        <w:autoSpaceDE w:val="0"/>
        <w:autoSpaceDN w:val="0"/>
        <w:adjustRightInd w:val="0"/>
        <w:spacing w:line="276" w:lineRule="auto"/>
        <w:ind w:firstLine="720"/>
        <w:jc w:val="both"/>
        <w:rPr>
          <w:bCs/>
          <w:color w:val="000000"/>
        </w:rPr>
      </w:pPr>
      <w:r w:rsidRPr="009C7A0A">
        <w:rPr>
          <w:rFonts w:eastAsia="Calibri"/>
        </w:rPr>
        <w:t xml:space="preserve">Rīgas pilsētas Pārdaugavas tiesas </w:t>
      </w:r>
      <w:r w:rsidR="004C5D52" w:rsidRPr="009C7A0A">
        <w:rPr>
          <w:rFonts w:eastAsia="Calibri"/>
        </w:rPr>
        <w:t>2020. gada 18. februāra b</w:t>
      </w:r>
      <w:r w:rsidR="009573BB" w:rsidRPr="009C7A0A">
        <w:rPr>
          <w:rFonts w:eastAsia="Calibri"/>
        </w:rPr>
        <w:t>lakus lēmum</w:t>
      </w:r>
      <w:r w:rsidRPr="009C7A0A">
        <w:rPr>
          <w:rFonts w:eastAsia="Calibri"/>
        </w:rPr>
        <w:t>a</w:t>
      </w:r>
      <w:r w:rsidR="009573BB" w:rsidRPr="009C7A0A">
        <w:rPr>
          <w:rFonts w:eastAsia="Calibri"/>
        </w:rPr>
        <w:t xml:space="preserve"> </w:t>
      </w:r>
      <w:r w:rsidR="0085777A" w:rsidRPr="009C7A0A">
        <w:rPr>
          <w:rFonts w:eastAsia="Calibri"/>
        </w:rPr>
        <w:t xml:space="preserve">par </w:t>
      </w:r>
      <w:r w:rsidR="00601899" w:rsidRPr="009C7A0A">
        <w:rPr>
          <w:bCs/>
          <w:color w:val="000000"/>
        </w:rPr>
        <w:t>kriminālprocesa uzsākšanu pret likvidētās SIA „</w:t>
      </w:r>
      <w:r w:rsidR="00F641A0">
        <w:rPr>
          <w:bCs/>
          <w:color w:val="000000"/>
        </w:rPr>
        <w:t>[Nosaukums</w:t>
      </w:r>
      <w:r w:rsidR="00E03955">
        <w:rPr>
          <w:bCs/>
          <w:color w:val="000000"/>
        </w:rPr>
        <w:t> </w:t>
      </w:r>
      <w:r w:rsidR="00F641A0">
        <w:rPr>
          <w:bCs/>
          <w:color w:val="000000"/>
        </w:rPr>
        <w:t>F]</w:t>
      </w:r>
      <w:r w:rsidR="00601899" w:rsidRPr="009C7A0A">
        <w:rPr>
          <w:bCs/>
          <w:color w:val="000000"/>
        </w:rPr>
        <w:t xml:space="preserve">” bijušajām amatpersonām un darbiniekiem atcelšanu; </w:t>
      </w:r>
    </w:p>
    <w:p w14:paraId="5FC7B1FF" w14:textId="2E22125A" w:rsidR="00E20A08" w:rsidRPr="009C7A0A" w:rsidRDefault="007C6580" w:rsidP="009C7A0A">
      <w:pPr>
        <w:spacing w:line="276" w:lineRule="auto"/>
        <w:ind w:firstLine="720"/>
        <w:jc w:val="both"/>
        <w:rPr>
          <w:rFonts w:eastAsia="Calibri"/>
        </w:rPr>
      </w:pPr>
      <w:r w:rsidRPr="009C7A0A">
        <w:t>atceltajā</w:t>
      </w:r>
      <w:r w:rsidR="008143DA" w:rsidRPr="009C7A0A">
        <w:t xml:space="preserve"> daļā </w:t>
      </w:r>
      <w:r w:rsidR="00A96555" w:rsidRPr="009C7A0A">
        <w:t xml:space="preserve">nosūtīt lietu </w:t>
      </w:r>
      <w:r w:rsidR="008143DA" w:rsidRPr="009C7A0A">
        <w:t>jaunai izskatīšanai apelācijas instances tiesā</w:t>
      </w:r>
      <w:r w:rsidR="0044589E" w:rsidRPr="009C7A0A">
        <w:t>.</w:t>
      </w:r>
    </w:p>
    <w:p w14:paraId="472D465C" w14:textId="688F8E6F" w:rsidR="00356044" w:rsidRPr="009C7A0A" w:rsidRDefault="0044589E" w:rsidP="009C7A0A">
      <w:pPr>
        <w:spacing w:line="276" w:lineRule="auto"/>
        <w:ind w:firstLine="720"/>
        <w:jc w:val="both"/>
      </w:pPr>
      <w:r w:rsidRPr="009C7A0A">
        <w:t>Turklāt</w:t>
      </w:r>
      <w:r w:rsidR="008143DA" w:rsidRPr="009C7A0A">
        <w:t xml:space="preserve"> </w:t>
      </w:r>
      <w:r w:rsidRPr="009C7A0A">
        <w:t>kasācijas sūdzībās lūgts</w:t>
      </w:r>
      <w:r w:rsidR="008143DA" w:rsidRPr="009C7A0A">
        <w:t xml:space="preserve"> </w:t>
      </w:r>
      <w:r w:rsidR="009573BB" w:rsidRPr="009C7A0A">
        <w:t xml:space="preserve">atcelt Rīgas apgabaltiesas </w:t>
      </w:r>
      <w:r w:rsidR="00265E29" w:rsidRPr="009C7A0A">
        <w:t>2023. gada 24. janvāra b</w:t>
      </w:r>
      <w:r w:rsidR="009573BB" w:rsidRPr="009C7A0A">
        <w:t>lakus lēmumu</w:t>
      </w:r>
      <w:r w:rsidR="00246933" w:rsidRPr="009C7A0A">
        <w:t>, kurā Rīgas pilsētas tiesas priekšsēdētājai norādīts uz Kriminālproces</w:t>
      </w:r>
      <w:r w:rsidR="00444644">
        <w:t>a</w:t>
      </w:r>
      <w:r w:rsidR="00246933" w:rsidRPr="009C7A0A">
        <w:t xml:space="preserve"> likuma normu pārkāpumie</w:t>
      </w:r>
      <w:r w:rsidR="004E3982">
        <w:t>m</w:t>
      </w:r>
      <w:r w:rsidR="00246933" w:rsidRPr="009C7A0A">
        <w:t xml:space="preserve">, </w:t>
      </w:r>
      <w:r w:rsidR="00015A0B" w:rsidRPr="009C7A0A">
        <w:t>un šajā daļā izbeigt lietu.</w:t>
      </w:r>
    </w:p>
    <w:p w14:paraId="6EC9290E" w14:textId="615D4B93" w:rsidR="007E04E6" w:rsidRPr="009C7A0A" w:rsidRDefault="00E40664" w:rsidP="009C7A0A">
      <w:pPr>
        <w:spacing w:line="276" w:lineRule="auto"/>
        <w:ind w:firstLine="720"/>
        <w:jc w:val="both"/>
      </w:pPr>
      <w:r w:rsidRPr="009C7A0A">
        <w:t xml:space="preserve">Apsūdzētā </w:t>
      </w:r>
      <w:r w:rsidR="00CE6CFF">
        <w:rPr>
          <w:rFonts w:eastAsia="Calibri"/>
          <w:shd w:val="clear" w:color="auto" w:fill="FFFFFF"/>
        </w:rPr>
        <w:t>[pers. A]</w:t>
      </w:r>
      <w:r w:rsidR="00845536" w:rsidRPr="009C7A0A">
        <w:t xml:space="preserve"> </w:t>
      </w:r>
      <w:r w:rsidR="00E102EF" w:rsidRPr="009C7A0A">
        <w:t xml:space="preserve">kasācijas sūdzībā pieteikts </w:t>
      </w:r>
      <w:r w:rsidR="00BB1B93" w:rsidRPr="009C7A0A">
        <w:t>l</w:t>
      </w:r>
      <w:r w:rsidR="00361049" w:rsidRPr="009C7A0A">
        <w:t>ūgum</w:t>
      </w:r>
      <w:r w:rsidR="00E102EF" w:rsidRPr="009C7A0A">
        <w:t>s</w:t>
      </w:r>
      <w:r w:rsidR="00BB1B93" w:rsidRPr="009C7A0A">
        <w:t xml:space="preserve"> izskatīt lietu </w:t>
      </w:r>
      <w:r w:rsidR="00361049" w:rsidRPr="009C7A0A">
        <w:t>mutvārdu proces</w:t>
      </w:r>
      <w:r w:rsidR="00BB1B93" w:rsidRPr="009C7A0A">
        <w:t>ā.</w:t>
      </w:r>
    </w:p>
    <w:p w14:paraId="6F997725" w14:textId="77777777" w:rsidR="00356044" w:rsidRPr="009C7A0A" w:rsidRDefault="00EC3C77" w:rsidP="009C7A0A">
      <w:pPr>
        <w:spacing w:line="276" w:lineRule="auto"/>
        <w:ind w:firstLine="720"/>
        <w:jc w:val="both"/>
      </w:pPr>
      <w:r w:rsidRPr="009C7A0A">
        <w:t>K</w:t>
      </w:r>
      <w:r w:rsidR="008B7E58" w:rsidRPr="009C7A0A">
        <w:t>asācijas sūdzīb</w:t>
      </w:r>
      <w:r w:rsidRPr="009C7A0A">
        <w:t>as</w:t>
      </w:r>
      <w:r w:rsidR="008B7E58" w:rsidRPr="009C7A0A">
        <w:t xml:space="preserve"> pamat</w:t>
      </w:r>
      <w:r w:rsidR="00BB1B93" w:rsidRPr="009C7A0A">
        <w:t>ot</w:t>
      </w:r>
      <w:r w:rsidRPr="009C7A0A">
        <w:t>as ar</w:t>
      </w:r>
      <w:r w:rsidR="008B7E58" w:rsidRPr="009C7A0A">
        <w:t xml:space="preserve"> turpmāk norādīt</w:t>
      </w:r>
      <w:r w:rsidRPr="009C7A0A">
        <w:t>ajiem</w:t>
      </w:r>
      <w:r w:rsidR="008B7E58" w:rsidRPr="009C7A0A">
        <w:t xml:space="preserve"> argumenti</w:t>
      </w:r>
      <w:r w:rsidRPr="009C7A0A">
        <w:t>em.</w:t>
      </w:r>
    </w:p>
    <w:p w14:paraId="60FB1770" w14:textId="501FC327" w:rsidR="00356044" w:rsidRPr="009C7A0A" w:rsidRDefault="00651CE6" w:rsidP="009C7A0A">
      <w:pPr>
        <w:spacing w:line="276" w:lineRule="auto"/>
        <w:ind w:firstLine="720"/>
        <w:jc w:val="both"/>
      </w:pPr>
      <w:r w:rsidRPr="009C7A0A">
        <w:t>[6.</w:t>
      </w:r>
      <w:r w:rsidR="00C83850" w:rsidRPr="009C7A0A">
        <w:t>1] </w:t>
      </w:r>
      <w:r w:rsidR="00F73BB5" w:rsidRPr="009C7A0A">
        <w:t>Tiesa</w:t>
      </w:r>
      <w:r w:rsidR="007C6580" w:rsidRPr="009C7A0A">
        <w:t xml:space="preserve">, atzīstot </w:t>
      </w:r>
      <w:r w:rsidR="00F004AE">
        <w:rPr>
          <w:rFonts w:eastAsia="Calibri"/>
          <w:shd w:val="clear" w:color="auto" w:fill="FFFFFF"/>
        </w:rPr>
        <w:t>[pers. A]</w:t>
      </w:r>
      <w:r w:rsidR="007C6580" w:rsidRPr="009C7A0A">
        <w:t xml:space="preserve"> par vainīgu</w:t>
      </w:r>
      <w:r w:rsidR="00C63FF4" w:rsidRPr="009C7A0A">
        <w:t xml:space="preserve"> viņam</w:t>
      </w:r>
      <w:r w:rsidR="007C6580" w:rsidRPr="009C7A0A">
        <w:t xml:space="preserve"> inkrimin</w:t>
      </w:r>
      <w:r w:rsidR="008B0A19" w:rsidRPr="009C7A0A">
        <w:t>ē</w:t>
      </w:r>
      <w:r w:rsidR="007C6580" w:rsidRPr="009C7A0A">
        <w:t>tajos noziedzīgajos nodarījumos,</w:t>
      </w:r>
      <w:r w:rsidR="00F73BB5" w:rsidRPr="009C7A0A">
        <w:t xml:space="preserve"> nav ņēmusi vērā, ka b</w:t>
      </w:r>
      <w:r w:rsidR="004E5A17" w:rsidRPr="009C7A0A">
        <w:t xml:space="preserve">ūvniecības </w:t>
      </w:r>
      <w:r w:rsidR="00EE1194" w:rsidRPr="009C7A0A">
        <w:t xml:space="preserve">procesa </w:t>
      </w:r>
      <w:r w:rsidR="004E5A17" w:rsidRPr="009C7A0A">
        <w:t>dalībnieku savstarpējās a</w:t>
      </w:r>
      <w:r w:rsidR="00E01929" w:rsidRPr="009C7A0A">
        <w:t>t</w:t>
      </w:r>
      <w:r w:rsidR="004E5A17" w:rsidRPr="009C7A0A">
        <w:t>tiecības, tiesības un pienākumus būvniecība</w:t>
      </w:r>
      <w:r w:rsidR="00F40C34" w:rsidRPr="009C7A0A">
        <w:t>s</w:t>
      </w:r>
      <w:r w:rsidR="004E5A17" w:rsidRPr="009C7A0A">
        <w:t xml:space="preserve"> procesā noteic ne vien būvniecības jomu reglamentējošie normatīvie </w:t>
      </w:r>
      <w:r w:rsidR="00F40C34" w:rsidRPr="009C7A0A">
        <w:t xml:space="preserve">tiesību </w:t>
      </w:r>
      <w:r w:rsidR="004E5A17" w:rsidRPr="009C7A0A">
        <w:t xml:space="preserve">akti, bet arī savstarpēji noslēgtie līgumi, kas, pirmkārt, </w:t>
      </w:r>
      <w:r w:rsidR="00B2046C" w:rsidRPr="009C7A0A">
        <w:t>attiecas uz</w:t>
      </w:r>
      <w:r w:rsidR="004E5A17" w:rsidRPr="009C7A0A">
        <w:t xml:space="preserve"> privāto tiesību </w:t>
      </w:r>
      <w:r w:rsidR="00B2046C" w:rsidRPr="009C7A0A">
        <w:t>nozari</w:t>
      </w:r>
      <w:r w:rsidR="00277D6D" w:rsidRPr="009C7A0A">
        <w:t xml:space="preserve"> </w:t>
      </w:r>
      <w:r w:rsidR="00FD19C2" w:rsidRPr="009C7A0A">
        <w:t>(</w:t>
      </w:r>
      <w:r w:rsidR="00073421" w:rsidRPr="009C7A0A">
        <w:t>darba vai uzņēmuma līgumi</w:t>
      </w:r>
      <w:r w:rsidR="00FD19C2" w:rsidRPr="009C7A0A">
        <w:t>)</w:t>
      </w:r>
      <w:r w:rsidR="004E5A17" w:rsidRPr="009C7A0A">
        <w:t>, līdz ar to būv</w:t>
      </w:r>
      <w:r w:rsidR="00FD19C2" w:rsidRPr="009C7A0A">
        <w:t xml:space="preserve">niecības </w:t>
      </w:r>
      <w:r w:rsidR="004E5A17" w:rsidRPr="009C7A0A">
        <w:t>procesa dalībnieki nav uzskatāmi</w:t>
      </w:r>
      <w:r w:rsidR="00DA25C4" w:rsidRPr="009C7A0A">
        <w:t xml:space="preserve"> par</w:t>
      </w:r>
      <w:r w:rsidR="004E5A17" w:rsidRPr="009C7A0A">
        <w:t xml:space="preserve"> valsts amatperson</w:t>
      </w:r>
      <w:r w:rsidR="00DA25C4" w:rsidRPr="009C7A0A">
        <w:t>ām</w:t>
      </w:r>
      <w:r w:rsidR="004E5A17" w:rsidRPr="009C7A0A">
        <w:t>,</w:t>
      </w:r>
      <w:r w:rsidR="004F21CF" w:rsidRPr="009C7A0A">
        <w:t xml:space="preserve"> kuru tiesības un pienākumi izriet no n</w:t>
      </w:r>
      <w:r w:rsidR="00CD2EB0" w:rsidRPr="009C7A0A">
        <w:t>o</w:t>
      </w:r>
      <w:r w:rsidR="004F21CF" w:rsidRPr="009C7A0A">
        <w:t xml:space="preserve">rmatīvā </w:t>
      </w:r>
      <w:r w:rsidR="00193159" w:rsidRPr="009C7A0A">
        <w:t xml:space="preserve">tiesību </w:t>
      </w:r>
      <w:r w:rsidR="004F21CF" w:rsidRPr="009C7A0A">
        <w:t>akta</w:t>
      </w:r>
      <w:r w:rsidR="00991AF6" w:rsidRPr="009C7A0A">
        <w:t>, otrkārt,</w:t>
      </w:r>
      <w:r w:rsidR="00C21DB2">
        <w:t xml:space="preserve"> </w:t>
      </w:r>
      <w:r w:rsidR="004E5A17" w:rsidRPr="009C7A0A">
        <w:t xml:space="preserve">primāri jāņem vērā </w:t>
      </w:r>
      <w:r w:rsidR="00C44D2C" w:rsidRPr="009C7A0A">
        <w:t xml:space="preserve">tieši </w:t>
      </w:r>
      <w:r w:rsidR="004E5A17" w:rsidRPr="009C7A0A">
        <w:t xml:space="preserve">noslēgtajā līgumā noteiktās </w:t>
      </w:r>
      <w:r w:rsidR="00C44D2C" w:rsidRPr="009C7A0A">
        <w:t xml:space="preserve">savstarpējās </w:t>
      </w:r>
      <w:r w:rsidR="004E5A17" w:rsidRPr="009C7A0A">
        <w:t>saistības</w:t>
      </w:r>
      <w:r w:rsidR="00073421" w:rsidRPr="009C7A0A">
        <w:t>.</w:t>
      </w:r>
    </w:p>
    <w:p w14:paraId="5A459482" w14:textId="368A055D" w:rsidR="0035069B" w:rsidRPr="009C7A0A" w:rsidRDefault="00606F3E" w:rsidP="009C7A0A">
      <w:pPr>
        <w:spacing w:line="276" w:lineRule="auto"/>
        <w:ind w:firstLine="720"/>
        <w:jc w:val="both"/>
      </w:pPr>
      <w:r w:rsidRPr="009C7A0A">
        <w:t xml:space="preserve">Tiesa, vērtējot </w:t>
      </w:r>
      <w:r w:rsidR="00A9642B">
        <w:rPr>
          <w:rFonts w:eastAsia="Calibri"/>
          <w:shd w:val="clear" w:color="auto" w:fill="FFFFFF"/>
        </w:rPr>
        <w:t>[pers. A]</w:t>
      </w:r>
      <w:r w:rsidRPr="009C7A0A">
        <w:t xml:space="preserve"> pienākumu apjomu, nav analizēju</w:t>
      </w:r>
      <w:r w:rsidR="004D24C5" w:rsidRPr="009C7A0A">
        <w:t>si</w:t>
      </w:r>
      <w:r w:rsidRPr="009C7A0A">
        <w:t xml:space="preserve"> no līguma izrietošās saistības</w:t>
      </w:r>
      <w:r w:rsidR="00B1405E" w:rsidRPr="009C7A0A">
        <w:t>,</w:t>
      </w:r>
      <w:r w:rsidR="00075901" w:rsidRPr="009C7A0A">
        <w:t xml:space="preserve"> vien</w:t>
      </w:r>
      <w:r w:rsidR="00B1405E" w:rsidRPr="009C7A0A">
        <w:t xml:space="preserve"> norādījusi, ka </w:t>
      </w:r>
      <w:r w:rsidR="00850E95">
        <w:rPr>
          <w:rFonts w:eastAsia="Calibri"/>
          <w:shd w:val="clear" w:color="auto" w:fill="FFFFFF"/>
        </w:rPr>
        <w:t xml:space="preserve">[pers. A] </w:t>
      </w:r>
      <w:r w:rsidR="00B1405E" w:rsidRPr="009C7A0A">
        <w:t>pārkāpis vispārīgo noteikumu prasības</w:t>
      </w:r>
      <w:r w:rsidR="007B02A4" w:rsidRPr="009C7A0A">
        <w:t>, lai gan t</w:t>
      </w:r>
      <w:r w:rsidR="00A15E54" w:rsidRPr="009C7A0A">
        <w:t>ās</w:t>
      </w:r>
      <w:r w:rsidR="007B02A4" w:rsidRPr="009C7A0A">
        <w:t xml:space="preserve"> attiecas uz visu tehnisko projektu kopumā</w:t>
      </w:r>
      <w:r w:rsidRPr="009C7A0A">
        <w:t xml:space="preserve">. </w:t>
      </w:r>
      <w:r w:rsidR="006B335B">
        <w:rPr>
          <w:rFonts w:eastAsia="Calibri"/>
          <w:shd w:val="clear" w:color="auto" w:fill="FFFFFF"/>
        </w:rPr>
        <w:t>[Pers. A]</w:t>
      </w:r>
      <w:r w:rsidRPr="009C7A0A">
        <w:t xml:space="preserve"> bija tiesības un pienākums darboties vienīgi līguma ietv</w:t>
      </w:r>
      <w:r w:rsidR="00BB4E6C" w:rsidRPr="009C7A0A">
        <w:t>aros</w:t>
      </w:r>
      <w:r w:rsidRPr="009C7A0A">
        <w:t xml:space="preserve">, proti, </w:t>
      </w:r>
      <w:r w:rsidR="00C164D2" w:rsidRPr="009C7A0A">
        <w:t xml:space="preserve">bez detalizācijas </w:t>
      </w:r>
      <w:r w:rsidR="001A104E" w:rsidRPr="009C7A0A">
        <w:t xml:space="preserve">izstrādāt </w:t>
      </w:r>
      <w:r w:rsidRPr="009C7A0A">
        <w:t xml:space="preserve">būvprojekta atsevišķo būvkonstrukciju daļu un veikt autoruzraudzību tikai </w:t>
      </w:r>
      <w:r w:rsidR="00F06F1C" w:rsidRPr="009C7A0A">
        <w:t>viņa</w:t>
      </w:r>
      <w:r w:rsidRPr="009C7A0A">
        <w:t xml:space="preserve"> izs</w:t>
      </w:r>
      <w:r w:rsidR="00BB4E6C" w:rsidRPr="009C7A0A">
        <w:t>t</w:t>
      </w:r>
      <w:r w:rsidRPr="009C7A0A">
        <w:t>rādātajai būvkon</w:t>
      </w:r>
      <w:r w:rsidR="004D24C5" w:rsidRPr="009C7A0A">
        <w:t>s</w:t>
      </w:r>
      <w:r w:rsidRPr="009C7A0A">
        <w:t>trukciju daļai normatīvajos aktos noteiktajā kārtībā, nevis veikt citus papildu darbus un funkcijas, kas līgumos netika noteiktas.</w:t>
      </w:r>
    </w:p>
    <w:p w14:paraId="4EBCD12A" w14:textId="06C1ED9F" w:rsidR="0035069B" w:rsidRPr="00F561CA" w:rsidRDefault="006A5281" w:rsidP="00AC1F24">
      <w:pPr>
        <w:spacing w:line="276" w:lineRule="auto"/>
        <w:ind w:firstLine="720"/>
        <w:jc w:val="both"/>
        <w:rPr>
          <w:color w:val="000000"/>
        </w:rPr>
      </w:pPr>
      <w:r w:rsidRPr="009C7A0A">
        <w:t>N</w:t>
      </w:r>
      <w:r w:rsidR="00960CDD" w:rsidRPr="009C7A0A">
        <w:t xml:space="preserve">orādot, ka </w:t>
      </w:r>
      <w:r w:rsidR="006F45E4">
        <w:rPr>
          <w:rFonts w:eastAsia="Calibri"/>
          <w:shd w:val="clear" w:color="auto" w:fill="FFFFFF"/>
        </w:rPr>
        <w:t>[pers. A]</w:t>
      </w:r>
      <w:r w:rsidR="00960CDD" w:rsidRPr="009C7A0A">
        <w:t xml:space="preserve">, sniedzot tehniskā projekta </w:t>
      </w:r>
      <w:r w:rsidR="0012639A" w:rsidRPr="009C7A0A">
        <w:t>b</w:t>
      </w:r>
      <w:r w:rsidR="00960CDD" w:rsidRPr="009C7A0A">
        <w:t>ūvkonstrukcijas daļas paskaidrojuma rakstu (lapa BK-00-02)</w:t>
      </w:r>
      <w:r w:rsidR="00F61403" w:rsidRPr="009C7A0A">
        <w:t>,</w:t>
      </w:r>
      <w:r w:rsidR="00960CDD" w:rsidRPr="009C7A0A">
        <w:t xml:space="preserve"> neizvērtēja risku</w:t>
      </w:r>
      <w:r w:rsidR="00F372A2" w:rsidRPr="009C7A0A">
        <w:t>s</w:t>
      </w:r>
      <w:r w:rsidR="00960CDD" w:rsidRPr="009C7A0A">
        <w:t xml:space="preserve"> un izstrādāto risinājumu pareizī</w:t>
      </w:r>
      <w:r w:rsidR="00BB1B93" w:rsidRPr="009C7A0A">
        <w:t>b</w:t>
      </w:r>
      <w:r w:rsidR="00960CDD" w:rsidRPr="009C7A0A">
        <w:t xml:space="preserve">u, tiesa nav ņēmusi vērā, ka šī lapa </w:t>
      </w:r>
      <w:r w:rsidR="00F42AA7" w:rsidRPr="009C7A0A">
        <w:t xml:space="preserve">būvprojekta </w:t>
      </w:r>
      <w:r w:rsidR="00960CDD" w:rsidRPr="009C7A0A">
        <w:t>izstrādes laikā tika anulēta un aizstāta ar citu</w:t>
      </w:r>
      <w:r w:rsidR="00F372A2" w:rsidRPr="009C7A0A">
        <w:t xml:space="preserve"> – proti, ar </w:t>
      </w:r>
      <w:r w:rsidR="00960CDD" w:rsidRPr="009C7A0A">
        <w:t>lap</w:t>
      </w:r>
      <w:r w:rsidR="00F372A2" w:rsidRPr="009C7A0A">
        <w:t>u</w:t>
      </w:r>
      <w:r w:rsidR="00960CDD" w:rsidRPr="009C7A0A">
        <w:t xml:space="preserve"> BK-00-05</w:t>
      </w:r>
      <w:r w:rsidR="00895129" w:rsidRPr="009C7A0A">
        <w:t xml:space="preserve">, turklāt tehniskā projekta </w:t>
      </w:r>
      <w:r w:rsidR="00021838" w:rsidRPr="009C7A0A">
        <w:t xml:space="preserve">sastāvā esošais </w:t>
      </w:r>
      <w:r w:rsidR="00895129" w:rsidRPr="009C7A0A">
        <w:t>būvdarbu organizēšanas un veikšanas projekts</w:t>
      </w:r>
      <w:r w:rsidR="001048DF" w:rsidRPr="009C7A0A">
        <w:t>, kuru izstrādāj</w:t>
      </w:r>
      <w:r w:rsidR="00F06F1C" w:rsidRPr="009C7A0A">
        <w:t>a</w:t>
      </w:r>
      <w:r w:rsidR="001048DF" w:rsidRPr="009C7A0A">
        <w:t xml:space="preserve"> </w:t>
      </w:r>
      <w:r w:rsidR="0035069B" w:rsidRPr="009C7A0A">
        <w:t xml:space="preserve">lieciniece </w:t>
      </w:r>
      <w:r w:rsidR="00F561CA">
        <w:rPr>
          <w:color w:val="000000"/>
        </w:rPr>
        <w:t>[pers. LO]</w:t>
      </w:r>
      <w:r w:rsidR="00FE312C" w:rsidRPr="009C7A0A">
        <w:t>,</w:t>
      </w:r>
      <w:r w:rsidR="00B4100A" w:rsidRPr="009C7A0A">
        <w:t xml:space="preserve"> </w:t>
      </w:r>
      <w:r w:rsidR="00B4100A" w:rsidRPr="009C7A0A">
        <w:lastRenderedPageBreak/>
        <w:t xml:space="preserve">nevis </w:t>
      </w:r>
      <w:r w:rsidR="00F561CA">
        <w:rPr>
          <w:rFonts w:eastAsia="Calibri"/>
          <w:shd w:val="clear" w:color="auto" w:fill="FFFFFF"/>
        </w:rPr>
        <w:t>[pers. A]</w:t>
      </w:r>
      <w:r w:rsidR="001048DF" w:rsidRPr="009C7A0A">
        <w:t xml:space="preserve">, </w:t>
      </w:r>
      <w:r w:rsidR="00895129" w:rsidRPr="009C7A0A">
        <w:t>ir atsevišķa būvprojekta daļa, kas ietilpst būvprojektā</w:t>
      </w:r>
      <w:r w:rsidR="0019513E" w:rsidRPr="009C7A0A">
        <w:t>, par kur</w:t>
      </w:r>
      <w:r w:rsidR="00830F22" w:rsidRPr="009C7A0A">
        <w:t>u</w:t>
      </w:r>
      <w:r w:rsidR="0019513E" w:rsidRPr="009C7A0A">
        <w:t xml:space="preserve"> atbild tās izstrādātājs.</w:t>
      </w:r>
    </w:p>
    <w:p w14:paraId="3F998A67" w14:textId="1DE5097E" w:rsidR="0035069B" w:rsidRPr="009C7A0A" w:rsidRDefault="0004564B" w:rsidP="009C7A0A">
      <w:pPr>
        <w:spacing w:line="276" w:lineRule="auto"/>
        <w:ind w:firstLine="720"/>
        <w:jc w:val="both"/>
      </w:pPr>
      <w:r>
        <w:rPr>
          <w:rFonts w:eastAsia="Calibri"/>
          <w:shd w:val="clear" w:color="auto" w:fill="FFFFFF"/>
        </w:rPr>
        <w:t>[Pers. A]</w:t>
      </w:r>
      <w:r w:rsidR="006A5CEC" w:rsidRPr="009C7A0A">
        <w:t xml:space="preserve"> kā būvprojekta atsevišķ</w:t>
      </w:r>
      <w:r w:rsidR="00F06F1C" w:rsidRPr="009C7A0A">
        <w:t>a</w:t>
      </w:r>
      <w:r w:rsidR="006A5CEC" w:rsidRPr="009C7A0A">
        <w:t>s būvkon</w:t>
      </w:r>
      <w:r w:rsidR="006658A0" w:rsidRPr="009C7A0A">
        <w:t>s</w:t>
      </w:r>
      <w:r w:rsidR="006A5CEC" w:rsidRPr="009C7A0A">
        <w:t xml:space="preserve">trukciju daļas izstrādātājs bija atbildīgs </w:t>
      </w:r>
      <w:r w:rsidR="00343303" w:rsidRPr="009C7A0A">
        <w:t xml:space="preserve">tikai </w:t>
      </w:r>
      <w:r w:rsidR="006A5CEC" w:rsidRPr="009C7A0A">
        <w:t>par to, lai būvvaldē iesnieg</w:t>
      </w:r>
      <w:r w:rsidR="00E36142" w:rsidRPr="009C7A0A">
        <w:t>ta</w:t>
      </w:r>
      <w:r w:rsidR="006A5CEC" w:rsidRPr="009C7A0A">
        <w:t xml:space="preserve">is būvprojekts </w:t>
      </w:r>
      <w:r w:rsidR="00F06F1C" w:rsidRPr="009C7A0A">
        <w:t xml:space="preserve">viņa izstrādāto </w:t>
      </w:r>
      <w:r w:rsidR="006A5CEC" w:rsidRPr="009C7A0A">
        <w:t xml:space="preserve">būvkonstrukciju daļā atbilstu normatīvo </w:t>
      </w:r>
      <w:r w:rsidR="000706C8" w:rsidRPr="009C7A0A">
        <w:t xml:space="preserve">tiesību </w:t>
      </w:r>
      <w:r w:rsidR="006A5CEC" w:rsidRPr="009C7A0A">
        <w:t>aktu prasībām</w:t>
      </w:r>
      <w:r w:rsidR="00821F84" w:rsidRPr="009C7A0A">
        <w:t>,</w:t>
      </w:r>
      <w:r w:rsidR="00234C4C" w:rsidRPr="009C7A0A">
        <w:t xml:space="preserve"> būvprojekta būvkonstrukciju daļā ietvertie risinājumi būtu izstrādāti atbilstoši normatīvo </w:t>
      </w:r>
      <w:r w:rsidR="00975D5F" w:rsidRPr="009C7A0A">
        <w:t xml:space="preserve">tiesību </w:t>
      </w:r>
      <w:r w:rsidR="00234C4C" w:rsidRPr="009C7A0A">
        <w:t>aktu prasībām,</w:t>
      </w:r>
      <w:r w:rsidR="00821F84" w:rsidRPr="009C7A0A">
        <w:t xml:space="preserve"> </w:t>
      </w:r>
      <w:r w:rsidR="00343303" w:rsidRPr="009C7A0A">
        <w:t>bet</w:t>
      </w:r>
      <w:r w:rsidR="00975D5F" w:rsidRPr="009C7A0A">
        <w:t xml:space="preserve"> </w:t>
      </w:r>
      <w:r w:rsidR="00821F84" w:rsidRPr="009C7A0A">
        <w:t>par visu būvprojektu kopumā atbildīgais bija projektētājs – SIA „</w:t>
      </w:r>
      <w:r w:rsidR="001479CD">
        <w:t>[Nosaukums</w:t>
      </w:r>
      <w:r w:rsidR="0040352A">
        <w:t> </w:t>
      </w:r>
      <w:r w:rsidR="001479CD">
        <w:t>B]</w:t>
      </w:r>
      <w:r w:rsidR="00821F84" w:rsidRPr="009C7A0A">
        <w:t>”</w:t>
      </w:r>
      <w:r w:rsidR="00343303" w:rsidRPr="009C7A0A">
        <w:t>–</w:t>
      </w:r>
      <w:r w:rsidR="000605FC" w:rsidRPr="009C7A0A">
        <w:t xml:space="preserve">, kurš norīko būvprojekta vadītāju, </w:t>
      </w:r>
      <w:r w:rsidR="001774B8" w:rsidRPr="009C7A0A">
        <w:t>kas atbild</w:t>
      </w:r>
      <w:r w:rsidR="000605FC" w:rsidRPr="009C7A0A">
        <w:t xml:space="preserve"> par projektēšanas darbu koordinēšanu, atsevišķu projekta daļu savstarpējo saistību un saturu kopumā, kā arī </w:t>
      </w:r>
      <w:r w:rsidR="001774B8" w:rsidRPr="009C7A0A">
        <w:t xml:space="preserve">par </w:t>
      </w:r>
      <w:r w:rsidR="000605FC" w:rsidRPr="009C7A0A">
        <w:t>būvprojekta atbilstību normatīvajam regulējumam.</w:t>
      </w:r>
    </w:p>
    <w:p w14:paraId="1439ABB6" w14:textId="716C6266" w:rsidR="0035069B" w:rsidRPr="009C7A0A" w:rsidRDefault="008C34B8" w:rsidP="009C7A0A">
      <w:pPr>
        <w:spacing w:line="276" w:lineRule="auto"/>
        <w:ind w:firstLine="720"/>
        <w:jc w:val="both"/>
      </w:pPr>
      <w:r w:rsidRPr="009C7A0A">
        <w:t>P</w:t>
      </w:r>
      <w:r w:rsidR="007739F0" w:rsidRPr="009C7A0A">
        <w:t xml:space="preserve">asūtītājs projektēšanas uzdevumā un ar projektētāju noslēgtajā līgumā par </w:t>
      </w:r>
      <w:proofErr w:type="spellStart"/>
      <w:r w:rsidR="007739F0" w:rsidRPr="009C7A0A">
        <w:t>būvprojektēšanas</w:t>
      </w:r>
      <w:proofErr w:type="spellEnd"/>
      <w:r w:rsidR="007739F0" w:rsidRPr="009C7A0A">
        <w:t xml:space="preserve"> darbu veikšanu</w:t>
      </w:r>
      <w:r w:rsidRPr="009C7A0A">
        <w:t xml:space="preserve"> </w:t>
      </w:r>
      <w:r w:rsidR="0086260A" w:rsidRPr="009C7A0A">
        <w:t>var</w:t>
      </w:r>
      <w:r w:rsidR="00775E14" w:rsidRPr="009C7A0A">
        <w:t>ēja</w:t>
      </w:r>
      <w:r w:rsidR="0086260A" w:rsidRPr="009C7A0A">
        <w:t xml:space="preserve"> pared</w:t>
      </w:r>
      <w:r w:rsidR="00937EA3" w:rsidRPr="009C7A0A">
        <w:t>z</w:t>
      </w:r>
      <w:r w:rsidR="0086260A" w:rsidRPr="009C7A0A">
        <w:t xml:space="preserve">ēt </w:t>
      </w:r>
      <w:r w:rsidR="007739F0" w:rsidRPr="009C7A0A">
        <w:t>vai uz atsevišķa pasūtījuma pamata var</w:t>
      </w:r>
      <w:r w:rsidR="00775E14" w:rsidRPr="009C7A0A">
        <w:t xml:space="preserve">ēja </w:t>
      </w:r>
      <w:r w:rsidR="007739F0" w:rsidRPr="009C7A0A">
        <w:t xml:space="preserve">lūgt tehniskā projekta tālāku detalizāciju. Būvuzņēmējs šādu lūgumu nebija pieteicis, līdz ar to </w:t>
      </w:r>
      <w:r w:rsidR="005B1E1D" w:rsidRPr="009C7A0A">
        <w:t>tieši būvuzņēmējs</w:t>
      </w:r>
      <w:r w:rsidR="000B5AB9" w:rsidRPr="009C7A0A">
        <w:t xml:space="preserve">, nevis </w:t>
      </w:r>
      <w:r w:rsidR="00E72A8A">
        <w:rPr>
          <w:rFonts w:eastAsia="Calibri"/>
          <w:shd w:val="clear" w:color="auto" w:fill="FFFFFF"/>
        </w:rPr>
        <w:t>[pers. A]</w:t>
      </w:r>
      <w:r w:rsidR="005B1E1D" w:rsidRPr="009C7A0A">
        <w:t>,</w:t>
      </w:r>
      <w:r w:rsidR="007739F0" w:rsidRPr="009C7A0A">
        <w:t xml:space="preserve"> ir atbildīgs par iespējamām sekām.</w:t>
      </w:r>
    </w:p>
    <w:p w14:paraId="5DC86B25" w14:textId="775591DF" w:rsidR="0035069B" w:rsidRPr="009C7A0A" w:rsidRDefault="00BF490E" w:rsidP="009C7A0A">
      <w:pPr>
        <w:spacing w:line="276" w:lineRule="auto"/>
        <w:ind w:firstLine="720"/>
        <w:jc w:val="both"/>
      </w:pPr>
      <w:r w:rsidRPr="009C7A0A">
        <w:t>[6.2]</w:t>
      </w:r>
      <w:r w:rsidR="00F72019" w:rsidRPr="009C7A0A">
        <w:t> </w:t>
      </w:r>
      <w:r w:rsidR="00937EA3" w:rsidRPr="009C7A0A">
        <w:t>Tiesa nav vērtējusi starp SIA „</w:t>
      </w:r>
      <w:r w:rsidR="00E506E5">
        <w:t>[Nosaukums C]</w:t>
      </w:r>
      <w:r w:rsidR="00937EA3" w:rsidRPr="009C7A0A">
        <w:t xml:space="preserve">” un </w:t>
      </w:r>
      <w:r w:rsidR="00BB72F6" w:rsidRPr="009C7A0A">
        <w:rPr>
          <w:bCs/>
          <w:color w:val="000000"/>
        </w:rPr>
        <w:t>SIA „</w:t>
      </w:r>
      <w:r w:rsidR="00E506E5">
        <w:rPr>
          <w:bCs/>
          <w:color w:val="000000"/>
        </w:rPr>
        <w:t>[Nosaukums</w:t>
      </w:r>
      <w:r w:rsidR="0040352A">
        <w:rPr>
          <w:bCs/>
          <w:color w:val="000000"/>
        </w:rPr>
        <w:t> </w:t>
      </w:r>
      <w:r w:rsidR="00680AC6">
        <w:rPr>
          <w:bCs/>
          <w:color w:val="000000"/>
        </w:rPr>
        <w:t>F</w:t>
      </w:r>
      <w:r w:rsidR="00E506E5">
        <w:rPr>
          <w:bCs/>
          <w:color w:val="000000"/>
        </w:rPr>
        <w:t>]</w:t>
      </w:r>
      <w:r w:rsidR="00BB72F6" w:rsidRPr="009C7A0A">
        <w:rPr>
          <w:bCs/>
          <w:color w:val="000000"/>
        </w:rPr>
        <w:t>”</w:t>
      </w:r>
      <w:r w:rsidR="00937EA3" w:rsidRPr="009C7A0A">
        <w:t xml:space="preserve"> noslēgto līgumu, kas noteica </w:t>
      </w:r>
      <w:r w:rsidR="00BB72F6" w:rsidRPr="009C7A0A">
        <w:rPr>
          <w:bCs/>
          <w:color w:val="000000"/>
        </w:rPr>
        <w:t>SIA „</w:t>
      </w:r>
      <w:r w:rsidR="00680AC6">
        <w:rPr>
          <w:bCs/>
          <w:color w:val="000000"/>
        </w:rPr>
        <w:t>[Nosaukums</w:t>
      </w:r>
      <w:r w:rsidR="0040352A">
        <w:rPr>
          <w:bCs/>
          <w:color w:val="000000"/>
        </w:rPr>
        <w:t> </w:t>
      </w:r>
      <w:r w:rsidR="00680AC6">
        <w:rPr>
          <w:bCs/>
          <w:color w:val="000000"/>
        </w:rPr>
        <w:t>F]</w:t>
      </w:r>
      <w:r w:rsidR="00BB72F6" w:rsidRPr="009C7A0A">
        <w:rPr>
          <w:bCs/>
          <w:color w:val="000000"/>
        </w:rPr>
        <w:t>”</w:t>
      </w:r>
      <w:r w:rsidR="00937EA3" w:rsidRPr="009C7A0A">
        <w:t xml:space="preserve"> pienākumu izgatavot, piegādāt un samontēt</w:t>
      </w:r>
      <w:r w:rsidR="00D5483E" w:rsidRPr="009C7A0A">
        <w:t xml:space="preserve"> objektā</w:t>
      </w:r>
      <w:r w:rsidR="00937EA3" w:rsidRPr="009C7A0A">
        <w:t xml:space="preserve"> tērauda konstrukcijas, no</w:t>
      </w:r>
      <w:r w:rsidR="00343303" w:rsidRPr="009C7A0A">
        <w:t>teikt</w:t>
      </w:r>
      <w:r w:rsidR="00937EA3" w:rsidRPr="009C7A0A">
        <w:t xml:space="preserve"> sertificētu darbu vadītāju, izvērtēt saņemtos projekta dokumentus, </w:t>
      </w:r>
      <w:r w:rsidR="00D5483E" w:rsidRPr="009C7A0A">
        <w:t xml:space="preserve">rakstiski </w:t>
      </w:r>
      <w:r w:rsidR="00937EA3" w:rsidRPr="009C7A0A">
        <w:t xml:space="preserve">paziņot par </w:t>
      </w:r>
      <w:r w:rsidR="00EB21FC" w:rsidRPr="009C7A0A">
        <w:t xml:space="preserve">saņemto dokumentu </w:t>
      </w:r>
      <w:r w:rsidR="00937EA3" w:rsidRPr="009C7A0A">
        <w:t>nepilnībām</w:t>
      </w:r>
      <w:r w:rsidR="00EB21FC" w:rsidRPr="009C7A0A">
        <w:t xml:space="preserve"> vai pretrunām</w:t>
      </w:r>
      <w:r w:rsidR="00937EA3" w:rsidRPr="009C7A0A">
        <w:t xml:space="preserve">, </w:t>
      </w:r>
      <w:r w:rsidR="00D477CE" w:rsidRPr="009C7A0A">
        <w:t xml:space="preserve">un, </w:t>
      </w:r>
      <w:r w:rsidR="00664500" w:rsidRPr="009C7A0A">
        <w:t xml:space="preserve">saskaņojot </w:t>
      </w:r>
      <w:r w:rsidR="005D3B77" w:rsidRPr="009C7A0A">
        <w:t xml:space="preserve">mezglu risinājumu rasējumus </w:t>
      </w:r>
      <w:r w:rsidR="00664500" w:rsidRPr="009C7A0A">
        <w:t>ar pasūtītāju un/vai objekta galveno arhitektu</w:t>
      </w:r>
      <w:r w:rsidR="00D477CE" w:rsidRPr="009C7A0A">
        <w:t xml:space="preserve">, </w:t>
      </w:r>
      <w:r w:rsidR="00937EA3" w:rsidRPr="009C7A0A">
        <w:t xml:space="preserve">sagatavot detaļu un mezglu </w:t>
      </w:r>
      <w:r w:rsidR="0099030F" w:rsidRPr="009C7A0A">
        <w:t>detalizētos rasējumus un/va</w:t>
      </w:r>
      <w:r w:rsidR="00B6510A" w:rsidRPr="009C7A0A">
        <w:t>i</w:t>
      </w:r>
      <w:r w:rsidR="0099030F" w:rsidRPr="009C7A0A">
        <w:t xml:space="preserve"> standartizēto detaļu un mezglu </w:t>
      </w:r>
      <w:r w:rsidR="00937EA3" w:rsidRPr="009C7A0A">
        <w:t xml:space="preserve">risinājumu rasējumus. </w:t>
      </w:r>
      <w:r w:rsidR="00CB396F" w:rsidRPr="009C7A0A">
        <w:t>Ņemot vērā, ka</w:t>
      </w:r>
      <w:r w:rsidR="00E3190B" w:rsidRPr="009C7A0A">
        <w:t xml:space="preserve"> </w:t>
      </w:r>
      <w:r w:rsidR="00391005">
        <w:rPr>
          <w:rFonts w:eastAsia="Calibri"/>
          <w:shd w:val="clear" w:color="auto" w:fill="FFFFFF"/>
        </w:rPr>
        <w:t>[pers. A]</w:t>
      </w:r>
      <w:r w:rsidR="00E3190B" w:rsidRPr="009C7A0A">
        <w:t xml:space="preserve"> nebija </w:t>
      </w:r>
      <w:r w:rsidR="00CB396F" w:rsidRPr="009C7A0A">
        <w:t xml:space="preserve">šā </w:t>
      </w:r>
      <w:r w:rsidR="00E3190B" w:rsidRPr="009C7A0A">
        <w:t xml:space="preserve">līguma puse, </w:t>
      </w:r>
      <w:r w:rsidR="00CB396F" w:rsidRPr="009C7A0A">
        <w:t>viņam</w:t>
      </w:r>
      <w:r w:rsidR="00E3190B" w:rsidRPr="009C7A0A">
        <w:t xml:space="preserve"> nekad nav bijis pienākums projektēt tērauda kopņu detalizāciju, izgatavot, piegādāt un uzstādīt tās.</w:t>
      </w:r>
    </w:p>
    <w:p w14:paraId="067567B6" w14:textId="44F0257E" w:rsidR="000E4A64" w:rsidRPr="009C7A0A" w:rsidRDefault="00E06750" w:rsidP="009C7A0A">
      <w:pPr>
        <w:spacing w:line="276" w:lineRule="auto"/>
        <w:ind w:firstLine="720"/>
        <w:jc w:val="both"/>
        <w:rPr>
          <w:rFonts w:eastAsia="Calibri"/>
          <w:color w:val="000000" w:themeColor="text1"/>
        </w:rPr>
      </w:pPr>
      <w:r w:rsidRPr="009C7A0A">
        <w:t>[6.3]</w:t>
      </w:r>
      <w:r w:rsidR="00F72019" w:rsidRPr="009C7A0A">
        <w:t> </w:t>
      </w:r>
      <w:r w:rsidR="003A5DB2" w:rsidRPr="009C7A0A">
        <w:t>N</w:t>
      </w:r>
      <w:r w:rsidR="00536B0E" w:rsidRPr="009C7A0A">
        <w:t xml:space="preserve">o </w:t>
      </w:r>
      <w:r w:rsidR="008B0A19" w:rsidRPr="009C7A0A">
        <w:t>k</w:t>
      </w:r>
      <w:r w:rsidR="00536B0E" w:rsidRPr="009C7A0A">
        <w:t xml:space="preserve">ompleksās ekspertīzes </w:t>
      </w:r>
      <w:r w:rsidR="0035069B" w:rsidRPr="009C7A0A">
        <w:t xml:space="preserve">ekspertu </w:t>
      </w:r>
      <w:r w:rsidR="00536B0E" w:rsidRPr="009C7A0A">
        <w:t>atzinuma</w:t>
      </w:r>
      <w:r w:rsidR="003A5DB2" w:rsidRPr="009C7A0A">
        <w:t xml:space="preserve"> un</w:t>
      </w:r>
      <w:r w:rsidR="00536B0E" w:rsidRPr="009C7A0A">
        <w:t xml:space="preserve"> no liecinieku un ekspertu liecībām neizriet, ka jumta konstrukciju nogruvuma tiešais cēlonis ir nepareizs kopnes apak</w:t>
      </w:r>
      <w:r w:rsidR="00FE312C" w:rsidRPr="009C7A0A">
        <w:t>š</w:t>
      </w:r>
      <w:r w:rsidR="00536B0E" w:rsidRPr="009C7A0A">
        <w:t>ējā mezgla slodzes aprēķins.</w:t>
      </w:r>
      <w:r w:rsidR="000B4F55" w:rsidRPr="009C7A0A">
        <w:t xml:space="preserve"> Par nogruvuma cēloni atzīstama jumta nesošo tērauda kopņu apakšējās joslas savienojošā mezgla nepietiekama nestspēja.</w:t>
      </w:r>
    </w:p>
    <w:p w14:paraId="3BE7FA6D" w14:textId="7A61E7D5" w:rsidR="0035069B" w:rsidRPr="009C7A0A" w:rsidRDefault="00813133" w:rsidP="00D62D4B">
      <w:pPr>
        <w:widowControl w:val="0"/>
        <w:spacing w:line="276" w:lineRule="auto"/>
        <w:ind w:firstLine="720"/>
        <w:contextualSpacing/>
        <w:jc w:val="both"/>
      </w:pPr>
      <w:r w:rsidRPr="009C7A0A">
        <w:t xml:space="preserve">Kompleksās ekspertīzes </w:t>
      </w:r>
      <w:r w:rsidR="008B0A19" w:rsidRPr="009C7A0A">
        <w:t xml:space="preserve">ekspertu </w:t>
      </w:r>
      <w:r w:rsidRPr="009C7A0A">
        <w:t xml:space="preserve">atzinumā par pamatu </w:t>
      </w:r>
      <w:r w:rsidR="00D11C9E" w:rsidRPr="009C7A0A">
        <w:t xml:space="preserve">kopnes </w:t>
      </w:r>
      <w:proofErr w:type="spellStart"/>
      <w:r w:rsidRPr="009C7A0A">
        <w:t>kontrolaprēķiniem</w:t>
      </w:r>
      <w:proofErr w:type="spellEnd"/>
      <w:r w:rsidRPr="009C7A0A">
        <w:t xml:space="preserve">, </w:t>
      </w:r>
      <w:r w:rsidR="001035C0" w:rsidRPr="009C7A0A">
        <w:t>tai skaitā</w:t>
      </w:r>
      <w:r w:rsidRPr="009C7A0A">
        <w:t xml:space="preserve"> kopņu apakšējās joslas savienojošā mezgla nestspējai, sl</w:t>
      </w:r>
      <w:r w:rsidR="00D13A8F" w:rsidRPr="009C7A0A">
        <w:t>o</w:t>
      </w:r>
      <w:r w:rsidRPr="009C7A0A">
        <w:t>d</w:t>
      </w:r>
      <w:r w:rsidR="00D13A8F" w:rsidRPr="009C7A0A">
        <w:t>z</w:t>
      </w:r>
      <w:r w:rsidRPr="009C7A0A">
        <w:t xml:space="preserve">es ņemtas no </w:t>
      </w:r>
      <w:r w:rsidR="00981121" w:rsidRPr="009C7A0A">
        <w:t>b</w:t>
      </w:r>
      <w:r w:rsidRPr="009C7A0A">
        <w:t>ūvprojekta rasējumu daļas GP-6(4), kuru atbildīgais projektētājs SIA „</w:t>
      </w:r>
      <w:r w:rsidR="00D62D4B">
        <w:t>[Nosaukums B]</w:t>
      </w:r>
      <w:r w:rsidRPr="009C7A0A">
        <w:t>”</w:t>
      </w:r>
      <w:r w:rsidR="00422DC8" w:rsidRPr="009C7A0A">
        <w:t xml:space="preserve"> </w:t>
      </w:r>
      <w:r w:rsidRPr="009C7A0A">
        <w:t>iesniedza būvlau</w:t>
      </w:r>
      <w:r w:rsidR="00844F6A" w:rsidRPr="009C7A0A">
        <w:t>ku</w:t>
      </w:r>
      <w:r w:rsidRPr="009C7A0A">
        <w:t>mā atbildīgajam būvdarbu vadītājam</w:t>
      </w:r>
      <w:r w:rsidR="004D40F4" w:rsidRPr="009C7A0A">
        <w:t xml:space="preserve"> – </w:t>
      </w:r>
      <w:r w:rsidR="0035069B" w:rsidRPr="009C7A0A">
        <w:t>lieciniekam</w:t>
      </w:r>
      <w:r w:rsidR="001928E1" w:rsidRPr="009C7A0A">
        <w:t xml:space="preserve"> </w:t>
      </w:r>
      <w:r w:rsidR="005771F9">
        <w:t>[pers. LP]</w:t>
      </w:r>
      <w:r w:rsidR="001928E1" w:rsidRPr="009C7A0A">
        <w:t xml:space="preserve"> –</w:t>
      </w:r>
      <w:r w:rsidR="0035069B" w:rsidRPr="009C7A0A">
        <w:t xml:space="preserve"> </w:t>
      </w:r>
      <w:r w:rsidRPr="009C7A0A">
        <w:t>tikai 2013. gada 19. novembrī, proti, 2</w:t>
      </w:r>
      <w:r w:rsidR="001035C0" w:rsidRPr="009C7A0A">
        <w:t> </w:t>
      </w:r>
      <w:r w:rsidRPr="009C7A0A">
        <w:t>dienas pirms jumta nogruvuma</w:t>
      </w:r>
      <w:r w:rsidR="00C4405E" w:rsidRPr="009C7A0A">
        <w:t xml:space="preserve">. </w:t>
      </w:r>
      <w:r w:rsidR="0076515F" w:rsidRPr="009C7A0A">
        <w:t xml:space="preserve">Minētajā rasējumā tika veiktas būtiskas izmaiņas labiekārtojuma plānā, </w:t>
      </w:r>
      <w:r w:rsidR="00111604" w:rsidRPr="009C7A0A">
        <w:t xml:space="preserve">tai </w:t>
      </w:r>
      <w:r w:rsidR="0049017D" w:rsidRPr="009C7A0A">
        <w:t xml:space="preserve">skaitā ievērojami </w:t>
      </w:r>
      <w:r w:rsidR="0076515F" w:rsidRPr="009C7A0A">
        <w:t>palielinot melnzemes slāni</w:t>
      </w:r>
      <w:r w:rsidR="00881D82" w:rsidRPr="009C7A0A">
        <w:t xml:space="preserve"> līdz 1000</w:t>
      </w:r>
      <w:r w:rsidR="003205FB" w:rsidRPr="009C7A0A">
        <w:t> </w:t>
      </w:r>
      <w:r w:rsidR="00881D82" w:rsidRPr="009C7A0A">
        <w:t>mm</w:t>
      </w:r>
      <w:r w:rsidR="0076515F" w:rsidRPr="009C7A0A">
        <w:t xml:space="preserve">. </w:t>
      </w:r>
      <w:r w:rsidR="00881D82" w:rsidRPr="009C7A0A">
        <w:t>Būvvaldē akceptētajā būvprojektā bija paredzēts 150</w:t>
      </w:r>
      <w:r w:rsidR="003205FB" w:rsidRPr="009C7A0A">
        <w:t> </w:t>
      </w:r>
      <w:r w:rsidR="00881D82" w:rsidRPr="009C7A0A">
        <w:t xml:space="preserve">mm melnzemes slānis. </w:t>
      </w:r>
      <w:r w:rsidR="009844BA" w:rsidRPr="009C7A0A">
        <w:t xml:space="preserve">Tiesa nav ņēmusi vērā, ka jumta labiekārtojuma materiāli, to izvietojums un slāņu biezums, ar kuriem bija iepazīstināts </w:t>
      </w:r>
      <w:r w:rsidR="00782507">
        <w:rPr>
          <w:rFonts w:eastAsia="Calibri"/>
          <w:shd w:val="clear" w:color="auto" w:fill="FFFFFF"/>
        </w:rPr>
        <w:t>[pers. A]</w:t>
      </w:r>
      <w:r w:rsidR="005B11A1" w:rsidRPr="009C7A0A">
        <w:t xml:space="preserve"> 1. kārtas laikā</w:t>
      </w:r>
      <w:r w:rsidR="009844BA" w:rsidRPr="009C7A0A">
        <w:t xml:space="preserve"> un kurus pēc tam </w:t>
      </w:r>
      <w:r w:rsidR="00524203" w:rsidRPr="009C7A0A">
        <w:t xml:space="preserve">ņēma vērā </w:t>
      </w:r>
      <w:r w:rsidR="009844BA" w:rsidRPr="009C7A0A">
        <w:t xml:space="preserve">arī </w:t>
      </w:r>
      <w:r w:rsidR="00BB72F6" w:rsidRPr="009C7A0A">
        <w:rPr>
          <w:bCs/>
          <w:color w:val="000000"/>
        </w:rPr>
        <w:t>SIA „</w:t>
      </w:r>
      <w:r w:rsidR="0074417E">
        <w:rPr>
          <w:bCs/>
          <w:color w:val="000000"/>
        </w:rPr>
        <w:t>[Nosaukums</w:t>
      </w:r>
      <w:r w:rsidR="002D0EA6">
        <w:rPr>
          <w:bCs/>
          <w:color w:val="000000"/>
        </w:rPr>
        <w:t> </w:t>
      </w:r>
      <w:r w:rsidR="0074417E">
        <w:rPr>
          <w:bCs/>
          <w:color w:val="000000"/>
        </w:rPr>
        <w:t>F]</w:t>
      </w:r>
      <w:r w:rsidR="00BB72F6" w:rsidRPr="009C7A0A">
        <w:rPr>
          <w:bCs/>
          <w:color w:val="000000"/>
        </w:rPr>
        <w:t>”</w:t>
      </w:r>
      <w:r w:rsidR="00524203" w:rsidRPr="009C7A0A">
        <w:t>,</w:t>
      </w:r>
      <w:r w:rsidR="009844BA" w:rsidRPr="009C7A0A">
        <w:t xml:space="preserve"> aprēķinot kopnes, tika sagatavoti un apstiprināti 2010. gadā, nevis 2013. gada 19. novembrī</w:t>
      </w:r>
      <w:r w:rsidR="00856913" w:rsidRPr="009C7A0A">
        <w:t>.</w:t>
      </w:r>
      <w:r w:rsidR="004336CB" w:rsidRPr="009C7A0A">
        <w:t xml:space="preserve"> </w:t>
      </w:r>
      <w:r w:rsidR="002F7C5F" w:rsidRPr="009C7A0A">
        <w:t xml:space="preserve">Kopnes </w:t>
      </w:r>
      <w:proofErr w:type="spellStart"/>
      <w:r w:rsidR="002F7C5F" w:rsidRPr="009C7A0A">
        <w:t>apakšjoslas</w:t>
      </w:r>
      <w:proofErr w:type="spellEnd"/>
      <w:r w:rsidR="002F7C5F" w:rsidRPr="009C7A0A">
        <w:t xml:space="preserve"> vidējā savienojuma mezgla nestspēja ir tieš</w:t>
      </w:r>
      <w:r w:rsidR="000628E0" w:rsidRPr="009C7A0A">
        <w:t>i</w:t>
      </w:r>
      <w:r w:rsidR="002F7C5F" w:rsidRPr="009C7A0A">
        <w:t xml:space="preserve"> atkarīga no slodzes, kas tiek pieņemta par pamatu kopnes aprēķinam. Mainot slodzi, mainās arī kopnes, </w:t>
      </w:r>
      <w:r w:rsidR="00524203" w:rsidRPr="009C7A0A">
        <w:t xml:space="preserve">tai skaitā </w:t>
      </w:r>
      <w:proofErr w:type="spellStart"/>
      <w:r w:rsidR="002F7C5F" w:rsidRPr="009C7A0A">
        <w:t>apakšjoslas</w:t>
      </w:r>
      <w:proofErr w:type="spellEnd"/>
      <w:r w:rsidR="002F7C5F" w:rsidRPr="009C7A0A">
        <w:t xml:space="preserve"> vidējā savienojuma mezgla</w:t>
      </w:r>
      <w:r w:rsidR="00823242" w:rsidRPr="009C7A0A">
        <w:t>,</w:t>
      </w:r>
      <w:r w:rsidR="002F7C5F" w:rsidRPr="009C7A0A">
        <w:t xml:space="preserve"> nestspēja</w:t>
      </w:r>
      <w:r w:rsidR="00565C3F" w:rsidRPr="009C7A0A">
        <w:t xml:space="preserve">, un tieši </w:t>
      </w:r>
      <w:r w:rsidR="007570BB" w:rsidRPr="009C7A0A">
        <w:t xml:space="preserve">šī </w:t>
      </w:r>
      <w:r w:rsidR="00565C3F" w:rsidRPr="009C7A0A">
        <w:t>mezgla pārslogošana izraisīja jumta nogruvumu.</w:t>
      </w:r>
    </w:p>
    <w:p w14:paraId="14DE6F6C" w14:textId="7381EF06" w:rsidR="00973EBC" w:rsidRPr="009C7A0A" w:rsidRDefault="00536B0E" w:rsidP="009C7A0A">
      <w:pPr>
        <w:widowControl w:val="0"/>
        <w:spacing w:line="276" w:lineRule="auto"/>
        <w:ind w:firstLine="720"/>
        <w:contextualSpacing/>
        <w:jc w:val="both"/>
      </w:pPr>
      <w:r w:rsidRPr="009C7A0A">
        <w:t>[6.4]</w:t>
      </w:r>
      <w:r w:rsidR="00F72019" w:rsidRPr="009C7A0A">
        <w:t> </w:t>
      </w:r>
      <w:r w:rsidR="00561F9E" w:rsidRPr="009C7A0A">
        <w:t>Nav pamatots</w:t>
      </w:r>
      <w:r w:rsidR="00A41FAA" w:rsidRPr="009C7A0A">
        <w:t xml:space="preserve"> secinājums, ka </w:t>
      </w:r>
      <w:r w:rsidR="008F778E" w:rsidRPr="009C7A0A">
        <w:t xml:space="preserve">jumta konstrukciju nobrukuma </w:t>
      </w:r>
      <w:r w:rsidR="00D85828" w:rsidRPr="009C7A0A">
        <w:t xml:space="preserve">galvenais iemesls </w:t>
      </w:r>
      <w:r w:rsidR="008F778E" w:rsidRPr="009C7A0A">
        <w:t xml:space="preserve">bija tas, ka </w:t>
      </w:r>
      <w:r w:rsidR="000133AB">
        <w:rPr>
          <w:rFonts w:eastAsia="Calibri"/>
          <w:shd w:val="clear" w:color="auto" w:fill="FFFFFF"/>
        </w:rPr>
        <w:t>[pers. A]</w:t>
      </w:r>
      <w:r w:rsidR="008F778E" w:rsidRPr="009C7A0A">
        <w:t xml:space="preserve"> vairākkārt pārskatīja metāla kopņu risinājumus, mainīja slodzes uz pārseguma paneļiem</w:t>
      </w:r>
      <w:r w:rsidR="00D45CF4" w:rsidRPr="009C7A0A">
        <w:t xml:space="preserve"> un</w:t>
      </w:r>
      <w:r w:rsidR="008F778E" w:rsidRPr="009C7A0A">
        <w:t xml:space="preserve"> kopņu apakšējo savienojuma mezglu,</w:t>
      </w:r>
      <w:r w:rsidR="00D45CF4" w:rsidRPr="009C7A0A">
        <w:t xml:space="preserve"> </w:t>
      </w:r>
      <w:r w:rsidR="00A41FAA" w:rsidRPr="009C7A0A">
        <w:t xml:space="preserve">jo izmaiņas akceptētajā būvprojektā būvdarbu laikā ir pieļaujamas, izmaiņu veikšana </w:t>
      </w:r>
      <w:r w:rsidR="00535B15" w:rsidRPr="009C7A0A">
        <w:t>pati par sevi</w:t>
      </w:r>
      <w:r w:rsidR="00A41FAA" w:rsidRPr="009C7A0A">
        <w:t xml:space="preserve"> nav </w:t>
      </w:r>
      <w:r w:rsidR="00A41FAA" w:rsidRPr="009C7A0A">
        <w:lastRenderedPageBreak/>
        <w:t>un</w:t>
      </w:r>
      <w:r w:rsidR="00D6063E" w:rsidRPr="009C7A0A">
        <w:t xml:space="preserve"> </w:t>
      </w:r>
      <w:r w:rsidR="00A41FAA" w:rsidRPr="009C7A0A">
        <w:t>nevar būt pārkāpums.</w:t>
      </w:r>
      <w:r w:rsidR="001F3C00" w:rsidRPr="009C7A0A">
        <w:t xml:space="preserve"> Ne vienmēr izmaiņu iniciators ir tieši projektētājs, jo tas var būt arī</w:t>
      </w:r>
      <w:r w:rsidR="00162D7E" w:rsidRPr="009C7A0A">
        <w:t xml:space="preserve"> pasūtītājs vai</w:t>
      </w:r>
      <w:r w:rsidR="001F3C00" w:rsidRPr="009C7A0A">
        <w:t xml:space="preserve"> cita būvniecībā iesaistītā persona</w:t>
      </w:r>
      <w:r w:rsidR="00162D7E" w:rsidRPr="009C7A0A">
        <w:t>.</w:t>
      </w:r>
    </w:p>
    <w:p w14:paraId="5A13374A" w14:textId="22ED9B23" w:rsidR="00454D13" w:rsidRPr="009C7A0A" w:rsidRDefault="008F1A31" w:rsidP="009C7A0A">
      <w:pPr>
        <w:widowControl w:val="0"/>
        <w:spacing w:line="276" w:lineRule="auto"/>
        <w:ind w:firstLine="720"/>
        <w:contextualSpacing/>
        <w:jc w:val="both"/>
      </w:pPr>
      <w:r w:rsidRPr="009C7A0A">
        <w:t xml:space="preserve">Atbilstoši 2009. gada 6. augustā noslēgtajam līgumam par projektēšanu </w:t>
      </w:r>
      <w:r w:rsidR="00774709">
        <w:rPr>
          <w:rFonts w:eastAsia="Calibri"/>
          <w:shd w:val="clear" w:color="auto" w:fill="FFFFFF"/>
        </w:rPr>
        <w:t>[pers. A]</w:t>
      </w:r>
      <w:r w:rsidRPr="009C7A0A">
        <w:t xml:space="preserve"> bija pienākums izstrādāt būvprojekta būvkon</w:t>
      </w:r>
      <w:r w:rsidR="00162AF7" w:rsidRPr="009C7A0A">
        <w:t>s</w:t>
      </w:r>
      <w:r w:rsidRPr="009C7A0A">
        <w:t xml:space="preserve">trukciju daļu bez detalizācijas. Lietā </w:t>
      </w:r>
      <w:r w:rsidR="00162AF7" w:rsidRPr="009C7A0A">
        <w:t xml:space="preserve">ir </w:t>
      </w:r>
      <w:r w:rsidRPr="009C7A0A">
        <w:t>pierādīts, ka SIA „</w:t>
      </w:r>
      <w:r w:rsidR="00EC08EC">
        <w:t>[Nosaukums</w:t>
      </w:r>
      <w:r w:rsidR="002610AC">
        <w:t> </w:t>
      </w:r>
      <w:r w:rsidR="00EC08EC">
        <w:t>A]</w:t>
      </w:r>
      <w:r w:rsidRPr="009C7A0A">
        <w:t>” izstrādātā būvkon</w:t>
      </w:r>
      <w:r w:rsidR="00162AF7" w:rsidRPr="009C7A0A">
        <w:t>s</w:t>
      </w:r>
      <w:r w:rsidRPr="009C7A0A">
        <w:t xml:space="preserve">trukciju daļa nesaturēja tērauda kopņu montāžas mezgla projekta risinājumu, </w:t>
      </w:r>
      <w:r w:rsidR="00BF054E" w:rsidRPr="009C7A0A">
        <w:t>tai skaitā</w:t>
      </w:r>
      <w:r w:rsidR="00454D13" w:rsidRPr="009C7A0A">
        <w:t xml:space="preserve"> </w:t>
      </w:r>
      <w:r w:rsidRPr="009C7A0A">
        <w:t xml:space="preserve">kopņu </w:t>
      </w:r>
      <w:proofErr w:type="spellStart"/>
      <w:r w:rsidRPr="009C7A0A">
        <w:t>apakšjoslas</w:t>
      </w:r>
      <w:proofErr w:type="spellEnd"/>
      <w:r w:rsidRPr="009C7A0A">
        <w:t xml:space="preserve"> montāžas mezgla izpildījumu ar tajā izmantotajām skrūvēm un citām savienojuma detaļām. Līdz ar to tiesa nepamatoti secinājusi, ka bija nepieci</w:t>
      </w:r>
      <w:r w:rsidR="00720EFF" w:rsidRPr="009C7A0A">
        <w:t>eša</w:t>
      </w:r>
      <w:r w:rsidRPr="009C7A0A">
        <w:t>ms veikt šī mezgla konstruktīvo pārrēķinu, jo nevar pārrēķināt to, kā nebija un kas sākotnēji nemaz netika paredzēts.</w:t>
      </w:r>
    </w:p>
    <w:p w14:paraId="7BA59A2A" w14:textId="1704875D" w:rsidR="00454D13" w:rsidRPr="009C7A0A" w:rsidRDefault="002D701D" w:rsidP="009C7A0A">
      <w:pPr>
        <w:widowControl w:val="0"/>
        <w:spacing w:line="276" w:lineRule="auto"/>
        <w:ind w:firstLine="720"/>
        <w:contextualSpacing/>
        <w:jc w:val="both"/>
      </w:pPr>
      <w:r w:rsidRPr="009C7A0A">
        <w:t>[6.5]</w:t>
      </w:r>
      <w:r w:rsidR="00F72019" w:rsidRPr="009C7A0A">
        <w:t> </w:t>
      </w:r>
      <w:r w:rsidR="006414E6">
        <w:rPr>
          <w:rFonts w:eastAsia="Calibri"/>
          <w:shd w:val="clear" w:color="auto" w:fill="FFFFFF"/>
        </w:rPr>
        <w:t>[Pers. A]</w:t>
      </w:r>
      <w:r w:rsidR="0034272A" w:rsidRPr="009C7A0A">
        <w:t xml:space="preserve"> kā būvprojekta daļas vadītāj</w:t>
      </w:r>
      <w:r w:rsidR="007D1566" w:rsidRPr="009C7A0A">
        <w:t>am</w:t>
      </w:r>
      <w:r w:rsidR="0034272A" w:rsidRPr="009C7A0A">
        <w:t xml:space="preserve"> </w:t>
      </w:r>
      <w:r w:rsidR="007D1566" w:rsidRPr="009C7A0A">
        <w:t>ir jā</w:t>
      </w:r>
      <w:r w:rsidR="0034272A" w:rsidRPr="009C7A0A">
        <w:t xml:space="preserve">atbild </w:t>
      </w:r>
      <w:r w:rsidR="009128DB" w:rsidRPr="009C7A0A">
        <w:t xml:space="preserve">tikai </w:t>
      </w:r>
      <w:r w:rsidR="0034272A" w:rsidRPr="009C7A0A">
        <w:t>par būvprojekta sastāvā ie</w:t>
      </w:r>
      <w:r w:rsidR="005845CB" w:rsidRPr="009C7A0A">
        <w:t>t</w:t>
      </w:r>
      <w:r w:rsidR="0034272A" w:rsidRPr="009C7A0A">
        <w:t>ilpstošu būvprojekta daļu</w:t>
      </w:r>
      <w:r w:rsidR="00FA1DD3" w:rsidRPr="009C7A0A">
        <w:t>, kuru izstrādājusi SIA „</w:t>
      </w:r>
      <w:r w:rsidR="00D07CB5">
        <w:t>[Nosaukums</w:t>
      </w:r>
      <w:r w:rsidR="005553E7">
        <w:t> </w:t>
      </w:r>
      <w:r w:rsidR="00D07CB5">
        <w:t>A]</w:t>
      </w:r>
      <w:r w:rsidR="00FA1DD3" w:rsidRPr="009C7A0A">
        <w:t>”</w:t>
      </w:r>
      <w:r w:rsidR="00355D36" w:rsidRPr="009C7A0A">
        <w:t>,</w:t>
      </w:r>
      <w:r w:rsidR="007B7487" w:rsidRPr="009C7A0A">
        <w:t xml:space="preserve"> </w:t>
      </w:r>
      <w:r w:rsidR="0034272A" w:rsidRPr="009C7A0A">
        <w:t xml:space="preserve">un ar parakstu </w:t>
      </w:r>
      <w:r w:rsidR="007D1566" w:rsidRPr="009C7A0A">
        <w:t>jā</w:t>
      </w:r>
      <w:r w:rsidR="0034272A" w:rsidRPr="009C7A0A">
        <w:t>apliecina tikai šī</w:t>
      </w:r>
      <w:r w:rsidR="00666759" w:rsidRPr="009C7A0A">
        <w:t>s</w:t>
      </w:r>
      <w:r w:rsidR="0034272A" w:rsidRPr="009C7A0A">
        <w:t xml:space="preserve"> daļas atbilstību būvnormatīviem un tehnisko noteikumu prasībām, nevis </w:t>
      </w:r>
      <w:r w:rsidR="007D1566" w:rsidRPr="009C7A0A">
        <w:t>jā</w:t>
      </w:r>
      <w:r w:rsidR="0034272A" w:rsidRPr="009C7A0A">
        <w:t xml:space="preserve">atbild </w:t>
      </w:r>
      <w:r w:rsidR="009128DB" w:rsidRPr="009C7A0A">
        <w:t xml:space="preserve">par </w:t>
      </w:r>
      <w:r w:rsidR="0034272A" w:rsidRPr="009C7A0A">
        <w:t>jebkādiem citiem dokumentiem, kas atrodas būvlaukumā vai pie būvizstrādājuma ražotāja.</w:t>
      </w:r>
    </w:p>
    <w:p w14:paraId="0E8E88A4" w14:textId="2A844487" w:rsidR="00454D13" w:rsidRPr="009C7A0A" w:rsidRDefault="00BB72F6" w:rsidP="009C7A0A">
      <w:pPr>
        <w:widowControl w:val="0"/>
        <w:spacing w:line="276" w:lineRule="auto"/>
        <w:ind w:firstLine="720"/>
        <w:contextualSpacing/>
        <w:jc w:val="both"/>
      </w:pPr>
      <w:r w:rsidRPr="009C7A0A">
        <w:rPr>
          <w:bCs/>
          <w:color w:val="000000"/>
        </w:rPr>
        <w:t>SIA „</w:t>
      </w:r>
      <w:r w:rsidR="00DC5A4E">
        <w:rPr>
          <w:bCs/>
          <w:color w:val="000000"/>
        </w:rPr>
        <w:t>[Nosaukums</w:t>
      </w:r>
      <w:r w:rsidR="002610AC">
        <w:rPr>
          <w:bCs/>
          <w:color w:val="000000"/>
        </w:rPr>
        <w:t> </w:t>
      </w:r>
      <w:r w:rsidR="00DC5A4E">
        <w:rPr>
          <w:bCs/>
          <w:color w:val="000000"/>
        </w:rPr>
        <w:t>F]</w:t>
      </w:r>
      <w:r w:rsidRPr="009C7A0A">
        <w:rPr>
          <w:bCs/>
          <w:color w:val="000000"/>
        </w:rPr>
        <w:t>”</w:t>
      </w:r>
      <w:r w:rsidR="00BE1A67" w:rsidRPr="009C7A0A">
        <w:t xml:space="preserve"> izstrādātie rasējumi nav būvprojekta daļa, bet </w:t>
      </w:r>
      <w:r w:rsidR="00355D36" w:rsidRPr="009C7A0A">
        <w:t xml:space="preserve">tie </w:t>
      </w:r>
      <w:r w:rsidR="00BE1A67" w:rsidRPr="009C7A0A">
        <w:t>ir rūpnīcas iekšējai lietošanai sagatavotie darba rasējumi, un tie nekad nav bijuši iekļauti ne</w:t>
      </w:r>
      <w:r w:rsidR="0019400D" w:rsidRPr="009C7A0A">
        <w:t>dz</w:t>
      </w:r>
      <w:r w:rsidR="00BE1A67" w:rsidRPr="009C7A0A">
        <w:t xml:space="preserve"> būvvaldes akceptētajā būvprojektā, ne</w:t>
      </w:r>
      <w:r w:rsidR="0019400D" w:rsidRPr="009C7A0A">
        <w:t>dz</w:t>
      </w:r>
      <w:r w:rsidR="00BE1A67" w:rsidRPr="009C7A0A">
        <w:t xml:space="preserve"> tā atsevišķajā daļā, proti, SIA „</w:t>
      </w:r>
      <w:r w:rsidR="00DF1E77">
        <w:t>[Nosaukums A]</w:t>
      </w:r>
      <w:r w:rsidR="00BE1A67" w:rsidRPr="009C7A0A">
        <w:t xml:space="preserve">” un </w:t>
      </w:r>
      <w:r w:rsidR="00DF1E77">
        <w:rPr>
          <w:rFonts w:eastAsia="Calibri"/>
          <w:shd w:val="clear" w:color="auto" w:fill="FFFFFF"/>
        </w:rPr>
        <w:t>[pers. A]</w:t>
      </w:r>
      <w:r w:rsidR="0075114C">
        <w:rPr>
          <w:rFonts w:eastAsia="Calibri"/>
          <w:shd w:val="clear" w:color="auto" w:fill="FFFFFF"/>
        </w:rPr>
        <w:t xml:space="preserve"> </w:t>
      </w:r>
      <w:r w:rsidR="00BE1A67" w:rsidRPr="009C7A0A">
        <w:t>izstrādātajā būvkonstrukciju daļā.</w:t>
      </w:r>
    </w:p>
    <w:p w14:paraId="390FF124" w14:textId="77777777" w:rsidR="00454D13" w:rsidRPr="009C7A0A" w:rsidRDefault="00073263" w:rsidP="009C7A0A">
      <w:pPr>
        <w:widowControl w:val="0"/>
        <w:spacing w:line="276" w:lineRule="auto"/>
        <w:ind w:firstLine="720"/>
        <w:contextualSpacing/>
        <w:jc w:val="both"/>
      </w:pPr>
      <w:r w:rsidRPr="009C7A0A">
        <w:t>[6.6]</w:t>
      </w:r>
      <w:r w:rsidR="00F72019" w:rsidRPr="009C7A0A">
        <w:t> </w:t>
      </w:r>
      <w:r w:rsidR="00D43EB5" w:rsidRPr="009C7A0A">
        <w:t>Būvniecības likums noteic, ka, lai veiktu komercdarbību vienā vai vairākās būvniecības jomās, k</w:t>
      </w:r>
      <w:r w:rsidR="00496D2A" w:rsidRPr="009C7A0A">
        <w:t>o</w:t>
      </w:r>
      <w:r w:rsidR="00D43EB5" w:rsidRPr="009C7A0A">
        <w:t xml:space="preserve">mersantam jāreģistrējas būvkomersantu reģistrā, norādot visas nodarbinātās personas, kas ir atbildīgas par būvniecību. </w:t>
      </w:r>
      <w:r w:rsidR="00E83F44" w:rsidRPr="009C7A0A">
        <w:t xml:space="preserve">Komersants nav tiesīgs izpildīt darbus būvniecības jomās, kurās viņam nav attiecīgu speciālistu, izņemot, ja starp būvniecības dalībniekiem tiek noslēgts rakstveida </w:t>
      </w:r>
      <w:r w:rsidR="003C3318" w:rsidRPr="009C7A0A">
        <w:t>d</w:t>
      </w:r>
      <w:r w:rsidR="00E83F44" w:rsidRPr="009C7A0A">
        <w:t xml:space="preserve">arba vai uzņēmuma līgums. </w:t>
      </w:r>
      <w:r w:rsidR="00F43BF9" w:rsidRPr="009C7A0A">
        <w:t>Būvniecības dalībnieku atbildība var būt tikai savas kompetences ietvaros.</w:t>
      </w:r>
    </w:p>
    <w:p w14:paraId="7E8AE5D6" w14:textId="2E5D21D3" w:rsidR="00D43EB5" w:rsidRPr="009C7A0A" w:rsidRDefault="00A47D45" w:rsidP="009C7A0A">
      <w:pPr>
        <w:widowControl w:val="0"/>
        <w:spacing w:line="276" w:lineRule="auto"/>
        <w:ind w:firstLine="720"/>
        <w:contextualSpacing/>
        <w:jc w:val="both"/>
      </w:pPr>
      <w:r w:rsidRPr="009C7A0A">
        <w:t>R</w:t>
      </w:r>
      <w:r w:rsidR="00E83F44" w:rsidRPr="009C7A0A">
        <w:t>asējuma sagat</w:t>
      </w:r>
      <w:r w:rsidR="00F72019" w:rsidRPr="009C7A0A">
        <w:t>a</w:t>
      </w:r>
      <w:r w:rsidR="00E83F44" w:rsidRPr="009C7A0A">
        <w:t>vošanas dien</w:t>
      </w:r>
      <w:r w:rsidRPr="009C7A0A">
        <w:t>ā</w:t>
      </w:r>
      <w:r w:rsidR="00E83F44" w:rsidRPr="009C7A0A">
        <w:t xml:space="preserve"> </w:t>
      </w:r>
      <w:r w:rsidR="00BB72F6" w:rsidRPr="009C7A0A">
        <w:rPr>
          <w:bCs/>
          <w:color w:val="000000"/>
        </w:rPr>
        <w:t>SIA „</w:t>
      </w:r>
      <w:r w:rsidR="006C5581">
        <w:rPr>
          <w:bCs/>
          <w:color w:val="000000"/>
        </w:rPr>
        <w:t>[Nosaukums</w:t>
      </w:r>
      <w:r w:rsidR="00A4427D">
        <w:rPr>
          <w:bCs/>
          <w:color w:val="000000"/>
        </w:rPr>
        <w:t> </w:t>
      </w:r>
      <w:r w:rsidR="006C5581">
        <w:rPr>
          <w:bCs/>
          <w:color w:val="000000"/>
        </w:rPr>
        <w:t>F]</w:t>
      </w:r>
      <w:r w:rsidR="00BB72F6" w:rsidRPr="009C7A0A">
        <w:rPr>
          <w:bCs/>
          <w:color w:val="000000"/>
        </w:rPr>
        <w:t>”</w:t>
      </w:r>
      <w:r w:rsidR="00E83F44" w:rsidRPr="009C7A0A">
        <w:t xml:space="preserve"> nebija reģistrēta būvkomersantu reģistrā</w:t>
      </w:r>
      <w:r w:rsidR="00521218" w:rsidRPr="009C7A0A">
        <w:t xml:space="preserve"> (</w:t>
      </w:r>
      <w:r w:rsidRPr="009C7A0A">
        <w:t xml:space="preserve">tas </w:t>
      </w:r>
      <w:r w:rsidR="00521218" w:rsidRPr="009C7A0A">
        <w:t>atklājās pēc nogruvuma)</w:t>
      </w:r>
      <w:r w:rsidR="00E618F7" w:rsidRPr="009C7A0A">
        <w:t xml:space="preserve"> un </w:t>
      </w:r>
      <w:r w:rsidR="00E83F44" w:rsidRPr="009C7A0A">
        <w:t xml:space="preserve">nenodarbināja nevienu sertificētu speciālistu, </w:t>
      </w:r>
      <w:r w:rsidR="00E618F7" w:rsidRPr="009C7A0A">
        <w:t>tai skait</w:t>
      </w:r>
      <w:r w:rsidR="007B7487" w:rsidRPr="009C7A0A">
        <w:t>ā</w:t>
      </w:r>
      <w:r w:rsidR="00E618F7" w:rsidRPr="009C7A0A">
        <w:t xml:space="preserve"> </w:t>
      </w:r>
      <w:r w:rsidR="006B43F9">
        <w:rPr>
          <w:rFonts w:eastAsia="Calibri"/>
          <w:shd w:val="clear" w:color="auto" w:fill="FFFFFF"/>
        </w:rPr>
        <w:t>[pers. A]</w:t>
      </w:r>
      <w:r w:rsidR="00CA3D19" w:rsidRPr="009C7A0A">
        <w:t xml:space="preserve">, tādēļ tā izstrādāja iekšējai lietošanai </w:t>
      </w:r>
      <w:r w:rsidR="00355D36" w:rsidRPr="009C7A0A">
        <w:t>paredzētus</w:t>
      </w:r>
      <w:r w:rsidR="00CA3D19" w:rsidRPr="009C7A0A">
        <w:t xml:space="preserve"> ražošanas rasējumus</w:t>
      </w:r>
      <w:r w:rsidR="0098741E" w:rsidRPr="009C7A0A">
        <w:t>.</w:t>
      </w:r>
      <w:r w:rsidR="00B54C9B" w:rsidRPr="009C7A0A">
        <w:t xml:space="preserve"> </w:t>
      </w:r>
      <w:r w:rsidR="0098741E" w:rsidRPr="009C7A0A">
        <w:t>P</w:t>
      </w:r>
      <w:r w:rsidR="00CB61BC" w:rsidRPr="009C7A0A">
        <w:t xml:space="preserve">retēji tiesas secinātajam </w:t>
      </w:r>
      <w:r w:rsidR="00CA5723">
        <w:rPr>
          <w:rFonts w:eastAsia="Calibri"/>
          <w:shd w:val="clear" w:color="auto" w:fill="FFFFFF"/>
        </w:rPr>
        <w:t xml:space="preserve">[pers. A] </w:t>
      </w:r>
      <w:r w:rsidR="007D1566" w:rsidRPr="009C7A0A">
        <w:t>nav jā</w:t>
      </w:r>
      <w:r w:rsidR="00CB61BC" w:rsidRPr="009C7A0A">
        <w:t>uzņemas atbildīb</w:t>
      </w:r>
      <w:r w:rsidR="007D1566" w:rsidRPr="009C7A0A">
        <w:t>a</w:t>
      </w:r>
      <w:r w:rsidR="00CB61BC" w:rsidRPr="009C7A0A">
        <w:t xml:space="preserve"> par ražotāja izpildītajiem darbiem</w:t>
      </w:r>
      <w:r w:rsidR="00C562EA" w:rsidRPr="009C7A0A">
        <w:t>, n</w:t>
      </w:r>
      <w:r w:rsidR="007D1566" w:rsidRPr="009C7A0A">
        <w:t>av jā</w:t>
      </w:r>
      <w:r w:rsidR="00C562EA" w:rsidRPr="009C7A0A">
        <w:t>pārbauda ražotāja darba kvalitāt</w:t>
      </w:r>
      <w:r w:rsidR="007D1566" w:rsidRPr="009C7A0A">
        <w:t xml:space="preserve">e </w:t>
      </w:r>
      <w:r w:rsidR="007E11C6" w:rsidRPr="009C7A0A">
        <w:t>un</w:t>
      </w:r>
      <w:r w:rsidR="00C562EA" w:rsidRPr="009C7A0A">
        <w:t xml:space="preserve"> n</w:t>
      </w:r>
      <w:r w:rsidR="007D1566" w:rsidRPr="009C7A0A">
        <w:t>av jāi</w:t>
      </w:r>
      <w:r w:rsidR="00C562EA" w:rsidRPr="009C7A0A">
        <w:t xml:space="preserve">ejaucas </w:t>
      </w:r>
      <w:r w:rsidR="007E11C6" w:rsidRPr="009C7A0A">
        <w:t>tā</w:t>
      </w:r>
      <w:r w:rsidR="00C562EA" w:rsidRPr="009C7A0A">
        <w:t xml:space="preserve"> darbībā,</w:t>
      </w:r>
      <w:r w:rsidR="00CB61BC" w:rsidRPr="009C7A0A">
        <w:t xml:space="preserve"> </w:t>
      </w:r>
      <w:r w:rsidR="009E42B6" w:rsidRPr="009C7A0A">
        <w:t xml:space="preserve">turklāt ražotājam nav pienākuma pakļauties </w:t>
      </w:r>
      <w:r w:rsidR="00D7416E">
        <w:rPr>
          <w:rFonts w:eastAsia="Calibri"/>
          <w:shd w:val="clear" w:color="auto" w:fill="FFFFFF"/>
        </w:rPr>
        <w:t>[pers. A]</w:t>
      </w:r>
      <w:r w:rsidR="009E42B6" w:rsidRPr="009C7A0A">
        <w:t xml:space="preserve"> norādījumiem </w:t>
      </w:r>
      <w:r w:rsidR="00CB61BC" w:rsidRPr="009C7A0A">
        <w:t xml:space="preserve">un </w:t>
      </w:r>
      <w:r w:rsidR="00C562EA" w:rsidRPr="009C7A0A">
        <w:t xml:space="preserve">pats </w:t>
      </w:r>
      <w:r w:rsidR="00B54C9B" w:rsidRPr="009C7A0A">
        <w:t>būvuzņēmējs ir atbildīgs par iespējamām sekām.</w:t>
      </w:r>
    </w:p>
    <w:p w14:paraId="430F49B6" w14:textId="3B226E03" w:rsidR="008354CC" w:rsidRPr="009C7A0A" w:rsidRDefault="00622FE8" w:rsidP="009C7A0A">
      <w:pPr>
        <w:widowControl w:val="0"/>
        <w:spacing w:line="276" w:lineRule="auto"/>
        <w:ind w:firstLine="720"/>
        <w:contextualSpacing/>
        <w:jc w:val="both"/>
      </w:pPr>
      <w:r>
        <w:rPr>
          <w:rFonts w:eastAsia="Calibri"/>
          <w:shd w:val="clear" w:color="auto" w:fill="FFFFFF"/>
        </w:rPr>
        <w:t>[Pers. A]</w:t>
      </w:r>
      <w:r w:rsidR="008354CC" w:rsidRPr="009C7A0A">
        <w:t xml:space="preserve"> bija tiesības paļauties, ka ražotāja tirgū laists rūpnieciski (ārpus būvlaukuma) izgatavots būvizstrādājums, proti, kopne, metāla konstrukcijas, montāžas darbi</w:t>
      </w:r>
      <w:r w:rsidR="00CB46D9" w:rsidRPr="009C7A0A">
        <w:t xml:space="preserve"> un</w:t>
      </w:r>
      <w:r w:rsidR="009947D1" w:rsidRPr="009C7A0A">
        <w:t xml:space="preserve"> būvizstrādājum</w:t>
      </w:r>
      <w:r w:rsidR="007D1566" w:rsidRPr="009C7A0A">
        <w:t>a</w:t>
      </w:r>
      <w:r w:rsidR="009947D1" w:rsidRPr="009C7A0A">
        <w:t xml:space="preserve"> atbilstību apliecinošie dokumenti</w:t>
      </w:r>
      <w:r w:rsidR="008354CC" w:rsidRPr="009C7A0A">
        <w:t xml:space="preserve"> atbilst normatīv</w:t>
      </w:r>
      <w:r w:rsidR="00BC41F8" w:rsidRPr="009C7A0A">
        <w:t>o</w:t>
      </w:r>
      <w:r w:rsidR="00CB46D9" w:rsidRPr="009C7A0A">
        <w:t xml:space="preserve"> tiesību</w:t>
      </w:r>
      <w:r w:rsidR="008354CC" w:rsidRPr="009C7A0A">
        <w:t xml:space="preserve"> akt</w:t>
      </w:r>
      <w:r w:rsidR="00BC41F8" w:rsidRPr="009C7A0A">
        <w:t>u prasībām</w:t>
      </w:r>
      <w:r w:rsidR="008354CC" w:rsidRPr="009C7A0A">
        <w:t>.</w:t>
      </w:r>
    </w:p>
    <w:p w14:paraId="5D0F9E19" w14:textId="2E187D0D" w:rsidR="00F046DA" w:rsidRPr="009C7A0A" w:rsidRDefault="009128DB" w:rsidP="009C7A0A">
      <w:pPr>
        <w:widowControl w:val="0"/>
        <w:spacing w:line="276" w:lineRule="auto"/>
        <w:ind w:firstLine="720"/>
        <w:contextualSpacing/>
        <w:jc w:val="both"/>
      </w:pPr>
      <w:r w:rsidRPr="009C7A0A">
        <w:t>[6.</w:t>
      </w:r>
      <w:r w:rsidR="00496D2A" w:rsidRPr="009C7A0A">
        <w:t>7</w:t>
      </w:r>
      <w:r w:rsidRPr="009C7A0A">
        <w:t>]</w:t>
      </w:r>
      <w:r w:rsidR="00F72019" w:rsidRPr="009C7A0A">
        <w:t> </w:t>
      </w:r>
      <w:r w:rsidR="003F4746">
        <w:rPr>
          <w:rFonts w:eastAsia="Calibri"/>
          <w:shd w:val="clear" w:color="auto" w:fill="FFFFFF"/>
        </w:rPr>
        <w:t>[Pers. A]</w:t>
      </w:r>
      <w:r w:rsidR="00232F34" w:rsidRPr="009C7A0A">
        <w:t xml:space="preserve"> </w:t>
      </w:r>
      <w:r w:rsidR="00FA73B0" w:rsidRPr="009C7A0A">
        <w:t xml:space="preserve">neveica </w:t>
      </w:r>
      <w:r w:rsidR="00232F34" w:rsidRPr="009C7A0A">
        <w:t xml:space="preserve">nekādas izmaiņas būvprojekta būvkonstrukciju daļā saistībā ar </w:t>
      </w:r>
      <w:r w:rsidR="00BB72F6" w:rsidRPr="009C7A0A">
        <w:rPr>
          <w:bCs/>
          <w:color w:val="000000"/>
        </w:rPr>
        <w:t>SIA „</w:t>
      </w:r>
      <w:r w:rsidR="00543B58">
        <w:rPr>
          <w:bCs/>
          <w:color w:val="000000"/>
        </w:rPr>
        <w:t>[Nosaukums</w:t>
      </w:r>
      <w:r w:rsidR="002610AC">
        <w:rPr>
          <w:bCs/>
          <w:color w:val="000000"/>
        </w:rPr>
        <w:t> </w:t>
      </w:r>
      <w:r w:rsidR="00543B58">
        <w:rPr>
          <w:bCs/>
          <w:color w:val="000000"/>
        </w:rPr>
        <w:t>F]</w:t>
      </w:r>
      <w:r w:rsidR="00BB72F6" w:rsidRPr="009C7A0A">
        <w:rPr>
          <w:bCs/>
          <w:color w:val="000000"/>
        </w:rPr>
        <w:t>”</w:t>
      </w:r>
      <w:r w:rsidR="00232F34" w:rsidRPr="009C7A0A">
        <w:t xml:space="preserve"> rasējumiem</w:t>
      </w:r>
      <w:r w:rsidR="007D1566" w:rsidRPr="009C7A0A">
        <w:t>,</w:t>
      </w:r>
      <w:r w:rsidR="00232F34" w:rsidRPr="009C7A0A">
        <w:t xml:space="preserve"> un šādu pienākumu nenoteic neviens normatīvais </w:t>
      </w:r>
      <w:r w:rsidR="00FA73B0" w:rsidRPr="009C7A0A">
        <w:t xml:space="preserve">tiesību </w:t>
      </w:r>
      <w:r w:rsidR="00232F34" w:rsidRPr="009C7A0A">
        <w:t>akts. Izmaiņas būvprojektā var attiekties tikai uz būvprojektu, kas ir izstrādāts atbilstoši normatīvo</w:t>
      </w:r>
      <w:r w:rsidR="00FA73B0" w:rsidRPr="009C7A0A">
        <w:t xml:space="preserve"> tiesību</w:t>
      </w:r>
      <w:r w:rsidR="00232F34" w:rsidRPr="009C7A0A">
        <w:t xml:space="preserve"> aktu prasībām, akceptēts būvvaldē un reģistrēts būvvaldes arhīvā, taču </w:t>
      </w:r>
      <w:r w:rsidR="00BB72F6" w:rsidRPr="009C7A0A">
        <w:rPr>
          <w:bCs/>
          <w:color w:val="000000"/>
        </w:rPr>
        <w:t>SIA „</w:t>
      </w:r>
      <w:r w:rsidR="00042D04">
        <w:rPr>
          <w:bCs/>
          <w:color w:val="000000"/>
        </w:rPr>
        <w:t>[Nosaukums</w:t>
      </w:r>
      <w:r w:rsidR="002610AC">
        <w:rPr>
          <w:bCs/>
          <w:color w:val="000000"/>
        </w:rPr>
        <w:t> </w:t>
      </w:r>
      <w:r w:rsidR="00042D04">
        <w:rPr>
          <w:bCs/>
          <w:color w:val="000000"/>
        </w:rPr>
        <w:t>F]</w:t>
      </w:r>
      <w:r w:rsidR="00BB72F6" w:rsidRPr="009C7A0A">
        <w:rPr>
          <w:bCs/>
          <w:color w:val="000000"/>
        </w:rPr>
        <w:t>”</w:t>
      </w:r>
      <w:r w:rsidR="00232F34" w:rsidRPr="009C7A0A">
        <w:t xml:space="preserve"> izstrādātie rasējumi nekad nav bijuši iekļauti būvprojekta sastāvā, </w:t>
      </w:r>
      <w:r w:rsidR="007D1566" w:rsidRPr="009C7A0A">
        <w:t xml:space="preserve">līdz ar to </w:t>
      </w:r>
      <w:r w:rsidR="00232F34" w:rsidRPr="009C7A0A">
        <w:t xml:space="preserve">izmaiņas </w:t>
      </w:r>
      <w:r w:rsidR="007D1566" w:rsidRPr="009C7A0A">
        <w:t xml:space="preserve">tajos </w:t>
      </w:r>
      <w:r w:rsidR="00232F34" w:rsidRPr="009C7A0A">
        <w:t>nevar veikt.</w:t>
      </w:r>
      <w:r w:rsidR="00F046DA" w:rsidRPr="009C7A0A">
        <w:t xml:space="preserve"> </w:t>
      </w:r>
      <w:r w:rsidR="00DB500B" w:rsidRPr="009C7A0A">
        <w:t>Turklāt</w:t>
      </w:r>
      <w:r w:rsidR="00F046DA" w:rsidRPr="009C7A0A">
        <w:t xml:space="preserve"> būvprojekta daļas autentisku realizāciju</w:t>
      </w:r>
      <w:r w:rsidR="00EF6AD9" w:rsidRPr="009C7A0A">
        <w:t xml:space="preserve">, </w:t>
      </w:r>
      <w:r w:rsidR="00C10A63" w:rsidRPr="009C7A0A">
        <w:t>proti</w:t>
      </w:r>
      <w:r w:rsidR="00EF6AD9" w:rsidRPr="009C7A0A">
        <w:t>, atbilstību projektam, ģeometriskos izmērus, stiprību, marku, izvietojumu</w:t>
      </w:r>
      <w:r w:rsidR="00DB500B" w:rsidRPr="009C7A0A">
        <w:t xml:space="preserve"> un</w:t>
      </w:r>
      <w:r w:rsidR="00EF6AD9" w:rsidRPr="009C7A0A">
        <w:t xml:space="preserve"> dokumentu esību</w:t>
      </w:r>
      <w:r w:rsidR="00627086" w:rsidRPr="009C7A0A">
        <w:t>,</w:t>
      </w:r>
      <w:r w:rsidR="00F046DA" w:rsidRPr="009C7A0A">
        <w:t xml:space="preserve"> var uzraudzīt tikai pats tās autors</w:t>
      </w:r>
      <w:r w:rsidR="007F26CE" w:rsidRPr="009C7A0A">
        <w:t>, savukārt kvalitātes prasības un citas tehniskās prasības paliek ražotāja ziņā.</w:t>
      </w:r>
    </w:p>
    <w:p w14:paraId="1304492D" w14:textId="7C3BC4A9" w:rsidR="007F26CE" w:rsidRPr="009C7A0A" w:rsidRDefault="00645663" w:rsidP="009C7A0A">
      <w:pPr>
        <w:widowControl w:val="0"/>
        <w:spacing w:line="276" w:lineRule="auto"/>
        <w:ind w:firstLine="720"/>
        <w:contextualSpacing/>
        <w:jc w:val="both"/>
      </w:pPr>
      <w:r>
        <w:rPr>
          <w:rFonts w:eastAsia="Calibri"/>
          <w:shd w:val="clear" w:color="auto" w:fill="FFFFFF"/>
        </w:rPr>
        <w:t>[Pers. A]</w:t>
      </w:r>
      <w:r w:rsidR="007F26CE" w:rsidRPr="009C7A0A">
        <w:t xml:space="preserve"> pārbaudīja kopņu izvietojumu un ģeometriju, bet nepārbaudīja būvizstrādājumu atsevišķu elementu kvalitāti, kopnēm nebija acīmredzamu trūkumu, un </w:t>
      </w:r>
      <w:r w:rsidR="007F26CE" w:rsidRPr="009C7A0A">
        <w:lastRenderedPageBreak/>
        <w:t>būvizstrādājumu ražotājs bija izdevis atbilstošus pavaddokumentus, uzņemoties atbildību par šiem izstrādājumiem.</w:t>
      </w:r>
    </w:p>
    <w:p w14:paraId="22BE86A2" w14:textId="6D9BCE0E" w:rsidR="0061583E" w:rsidRPr="009C7A0A" w:rsidRDefault="007F26CE" w:rsidP="009C7A0A">
      <w:pPr>
        <w:widowControl w:val="0"/>
        <w:spacing w:line="276" w:lineRule="auto"/>
        <w:ind w:firstLine="720"/>
        <w:contextualSpacing/>
        <w:jc w:val="both"/>
      </w:pPr>
      <w:r w:rsidRPr="009C7A0A">
        <w:t>[6.</w:t>
      </w:r>
      <w:r w:rsidR="00496D2A" w:rsidRPr="009C7A0A">
        <w:t>8</w:t>
      </w:r>
      <w:r w:rsidRPr="009C7A0A">
        <w:t>]</w:t>
      </w:r>
      <w:r w:rsidR="00F72019" w:rsidRPr="009C7A0A">
        <w:t> </w:t>
      </w:r>
      <w:r w:rsidR="003D5599" w:rsidRPr="009C7A0A">
        <w:t>Pretēji tiesas secinātajam a</w:t>
      </w:r>
      <w:r w:rsidR="0061583E" w:rsidRPr="009C7A0A">
        <w:t xml:space="preserve">tbilstoši 2010. gada 28. jūlija līgumam par autoruzraudzību </w:t>
      </w:r>
      <w:r w:rsidR="00284E68">
        <w:rPr>
          <w:rFonts w:eastAsia="Calibri"/>
          <w:shd w:val="clear" w:color="auto" w:fill="FFFFFF"/>
        </w:rPr>
        <w:t>[pers. A]</w:t>
      </w:r>
      <w:r w:rsidR="003D5599" w:rsidRPr="009C7A0A">
        <w:t xml:space="preserve"> bija jāveic </w:t>
      </w:r>
      <w:r w:rsidR="0061583E" w:rsidRPr="009C7A0A">
        <w:t>autoruzraudzīb</w:t>
      </w:r>
      <w:r w:rsidR="0025700B" w:rsidRPr="009C7A0A">
        <w:t>a</w:t>
      </w:r>
      <w:r w:rsidR="0061583E" w:rsidRPr="009C7A0A">
        <w:t xml:space="preserve"> tikai </w:t>
      </w:r>
      <w:r w:rsidR="00627086" w:rsidRPr="009C7A0A">
        <w:t>viņa</w:t>
      </w:r>
      <w:r w:rsidR="0061583E" w:rsidRPr="009C7A0A">
        <w:t xml:space="preserve"> izstrādātajai būvkon</w:t>
      </w:r>
      <w:r w:rsidR="00DB500B" w:rsidRPr="009C7A0A">
        <w:t>s</w:t>
      </w:r>
      <w:r w:rsidR="0061583E" w:rsidRPr="009C7A0A">
        <w:t xml:space="preserve">trukciju daļai, nevis </w:t>
      </w:r>
      <w:r w:rsidR="00BB72F6" w:rsidRPr="009C7A0A">
        <w:rPr>
          <w:bCs/>
          <w:color w:val="000000"/>
        </w:rPr>
        <w:t>SIA „</w:t>
      </w:r>
      <w:r w:rsidR="00DF0BF2">
        <w:rPr>
          <w:bCs/>
          <w:color w:val="000000"/>
        </w:rPr>
        <w:t>[Nosaukums F]</w:t>
      </w:r>
      <w:r w:rsidR="00BB72F6" w:rsidRPr="009C7A0A">
        <w:rPr>
          <w:bCs/>
          <w:color w:val="000000"/>
        </w:rPr>
        <w:t>”</w:t>
      </w:r>
      <w:r w:rsidR="0061583E" w:rsidRPr="009C7A0A">
        <w:t xml:space="preserve"> izstrādātajai daļai.</w:t>
      </w:r>
    </w:p>
    <w:p w14:paraId="4B070AB9" w14:textId="371B13A7" w:rsidR="007854FD" w:rsidRPr="009C7A0A" w:rsidRDefault="0061583E" w:rsidP="009C7A0A">
      <w:pPr>
        <w:widowControl w:val="0"/>
        <w:spacing w:line="276" w:lineRule="auto"/>
        <w:ind w:firstLine="720"/>
        <w:contextualSpacing/>
        <w:jc w:val="both"/>
      </w:pPr>
      <w:r w:rsidRPr="009C7A0A">
        <w:t>Patvaļīgas atkāpes no būvprojekta netika konstatētas, būvizstrādājums atbilda būvkon</w:t>
      </w:r>
      <w:r w:rsidR="00DB500B" w:rsidRPr="009C7A0A">
        <w:t>s</w:t>
      </w:r>
      <w:r w:rsidRPr="009C7A0A">
        <w:t>trukciju daļai tādā apjomā, kādā tā bija bez šīs detalizācijas</w:t>
      </w:r>
      <w:r w:rsidR="00DF5E3E" w:rsidRPr="009C7A0A">
        <w:t xml:space="preserve">, līdz ar to tiesa nepamatoti norādījusi uz </w:t>
      </w:r>
      <w:r w:rsidR="002F3D74">
        <w:rPr>
          <w:rFonts w:eastAsia="Calibri"/>
          <w:shd w:val="clear" w:color="auto" w:fill="FFFFFF"/>
        </w:rPr>
        <w:t>[pers. A]</w:t>
      </w:r>
      <w:r w:rsidR="007854FD" w:rsidRPr="009C7A0A">
        <w:t xml:space="preserve"> kā </w:t>
      </w:r>
      <w:proofErr w:type="spellStart"/>
      <w:r w:rsidR="00DF5E3E" w:rsidRPr="009C7A0A">
        <w:t>autoruzrauga</w:t>
      </w:r>
      <w:proofErr w:type="spellEnd"/>
      <w:r w:rsidR="00DF5E3E" w:rsidRPr="009C7A0A">
        <w:t xml:space="preserve"> pienākumu iesniegt pasūtītājam, būvvaldei un Valsts darba inspekcijai motivētu rakstisku pieprasījumu pārtraukt būvdarbus</w:t>
      </w:r>
      <w:r w:rsidR="0025700B" w:rsidRPr="009C7A0A">
        <w:t>, jo b</w:t>
      </w:r>
      <w:r w:rsidR="007854FD" w:rsidRPr="009C7A0A">
        <w:t>ūvprojektā bija visa nepieciešamā būvprojekta un būvdarbu izpildes dokumentācija, proti, visi aktuālie būvkon</w:t>
      </w:r>
      <w:r w:rsidR="006736FE" w:rsidRPr="009C7A0A">
        <w:t>s</w:t>
      </w:r>
      <w:r w:rsidR="007854FD" w:rsidRPr="009C7A0A">
        <w:t>t</w:t>
      </w:r>
      <w:r w:rsidR="006736FE" w:rsidRPr="009C7A0A">
        <w:t>r</w:t>
      </w:r>
      <w:r w:rsidR="007854FD" w:rsidRPr="009C7A0A">
        <w:t>ukciju daļu rasējumi, apliecinoši dokumenti, darbu akti un citi.</w:t>
      </w:r>
    </w:p>
    <w:p w14:paraId="487435B4" w14:textId="31315ECF" w:rsidR="00F33259" w:rsidRPr="009C7A0A" w:rsidRDefault="007854FD" w:rsidP="009C7A0A">
      <w:pPr>
        <w:widowControl w:val="0"/>
        <w:spacing w:line="276" w:lineRule="auto"/>
        <w:ind w:firstLine="720"/>
        <w:contextualSpacing/>
        <w:jc w:val="both"/>
      </w:pPr>
      <w:r w:rsidRPr="009C7A0A">
        <w:t xml:space="preserve">Tiesa </w:t>
      </w:r>
      <w:r w:rsidR="006736FE" w:rsidRPr="009C7A0A">
        <w:t xml:space="preserve">atstājusi </w:t>
      </w:r>
      <w:r w:rsidRPr="009C7A0A">
        <w:t xml:space="preserve">bez ievērības apstākli, ka autoruzraudzība neatbrīvo pasūtītāju un būvuzņēmēju no atbildības par būvdarbu kvalitāti, atbilstību būvprojektam un </w:t>
      </w:r>
      <w:proofErr w:type="spellStart"/>
      <w:r w:rsidRPr="009C7A0A">
        <w:t>būvnormu</w:t>
      </w:r>
      <w:proofErr w:type="spellEnd"/>
      <w:r w:rsidRPr="009C7A0A">
        <w:t xml:space="preserve"> prasībām.</w:t>
      </w:r>
    </w:p>
    <w:p w14:paraId="7F5E645D" w14:textId="71F709A6" w:rsidR="007854FD" w:rsidRPr="009C7A0A" w:rsidRDefault="00AD383F" w:rsidP="009C7A0A">
      <w:pPr>
        <w:widowControl w:val="0"/>
        <w:spacing w:line="276" w:lineRule="auto"/>
        <w:ind w:firstLine="720"/>
        <w:contextualSpacing/>
        <w:jc w:val="both"/>
      </w:pPr>
      <w:r w:rsidRPr="009C7A0A">
        <w:t xml:space="preserve">Tiesa nav </w:t>
      </w:r>
      <w:r w:rsidR="00627086" w:rsidRPr="009C7A0A">
        <w:t>izvērtējusi</w:t>
      </w:r>
      <w:r w:rsidRPr="009C7A0A">
        <w:t xml:space="preserve"> </w:t>
      </w:r>
      <w:proofErr w:type="spellStart"/>
      <w:r w:rsidR="00E00E78" w:rsidRPr="009C7A0A">
        <w:t>autoruzrauga</w:t>
      </w:r>
      <w:proofErr w:type="spellEnd"/>
      <w:r w:rsidR="00E00E78" w:rsidRPr="009C7A0A">
        <w:t xml:space="preserve"> lom</w:t>
      </w:r>
      <w:r w:rsidR="00627086" w:rsidRPr="009C7A0A">
        <w:t>u</w:t>
      </w:r>
      <w:r w:rsidR="00E00E78" w:rsidRPr="009C7A0A">
        <w:t xml:space="preserve"> situācijā, kad būvē tiek piegādāts gatavs būvizstrādājums, kurš izgatavots ārpus būvlaukuma un kura ražotājs izdevis attiecīgus pavaddokumentus, pasi un sertifikātu.</w:t>
      </w:r>
    </w:p>
    <w:p w14:paraId="254C3BA8" w14:textId="64AFD6C2" w:rsidR="000D4470" w:rsidRPr="009C7A0A" w:rsidRDefault="007854FD" w:rsidP="00F958C4">
      <w:pPr>
        <w:widowControl w:val="0"/>
        <w:spacing w:line="276" w:lineRule="auto"/>
        <w:ind w:firstLine="720"/>
        <w:contextualSpacing/>
        <w:jc w:val="both"/>
      </w:pPr>
      <w:r w:rsidRPr="009C7A0A">
        <w:t>[6.</w:t>
      </w:r>
      <w:r w:rsidR="00F33259" w:rsidRPr="009C7A0A">
        <w:t>9</w:t>
      </w:r>
      <w:r w:rsidRPr="009C7A0A">
        <w:t>]</w:t>
      </w:r>
      <w:r w:rsidR="009865C6" w:rsidRPr="009C7A0A">
        <w:t> </w:t>
      </w:r>
      <w:r w:rsidR="005E6D9C" w:rsidRPr="009C7A0A">
        <w:t>T</w:t>
      </w:r>
      <w:r w:rsidR="00C8108C" w:rsidRPr="009C7A0A">
        <w:t xml:space="preserve">iesa </w:t>
      </w:r>
      <w:r w:rsidR="005E6D9C" w:rsidRPr="009C7A0A">
        <w:t xml:space="preserve">nepamatoti atzinusi, ka </w:t>
      </w:r>
      <w:r w:rsidR="000D4470" w:rsidRPr="009C7A0A">
        <w:t>2013. gada 5. novembrī 2. kārtas būvniecības proces</w:t>
      </w:r>
      <w:r w:rsidR="00A60AF0" w:rsidRPr="009C7A0A">
        <w:t xml:space="preserve">ā, piedaloties </w:t>
      </w:r>
      <w:proofErr w:type="spellStart"/>
      <w:r w:rsidR="000D4470" w:rsidRPr="009C7A0A">
        <w:t>būvsapulcē</w:t>
      </w:r>
      <w:proofErr w:type="spellEnd"/>
      <w:r w:rsidR="00A60AF0" w:rsidRPr="009C7A0A">
        <w:t>,</w:t>
      </w:r>
      <w:r w:rsidR="000D4470" w:rsidRPr="009C7A0A">
        <w:t xml:space="preserve"> </w:t>
      </w:r>
      <w:r w:rsidR="006F2FDF">
        <w:rPr>
          <w:rFonts w:eastAsia="Calibri"/>
          <w:shd w:val="clear" w:color="auto" w:fill="FFFFFF"/>
        </w:rPr>
        <w:t>[pers. A]</w:t>
      </w:r>
      <w:r w:rsidR="000D4470" w:rsidRPr="009C7A0A">
        <w:t xml:space="preserve"> saņēma informāciju no atbildīgā darbu vadītāja</w:t>
      </w:r>
      <w:r w:rsidR="004D40F4" w:rsidRPr="009C7A0A">
        <w:t xml:space="preserve"> – liecinieka </w:t>
      </w:r>
      <w:r w:rsidR="00427C04">
        <w:t>[pers. LP]</w:t>
      </w:r>
      <w:r w:rsidR="0075682A" w:rsidRPr="009C7A0A">
        <w:t xml:space="preserve"> –</w:t>
      </w:r>
      <w:r w:rsidR="000D4470" w:rsidRPr="009C7A0A">
        <w:t xml:space="preserve"> par tir</w:t>
      </w:r>
      <w:r w:rsidR="00F72019" w:rsidRPr="009C7A0A">
        <w:t>d</w:t>
      </w:r>
      <w:r w:rsidR="000D4470" w:rsidRPr="009C7A0A">
        <w:t>zniecības centra labiekārtošanas darbu uzsākšanu, un pēc viņa norādījumiem apņēmās pārbaudīt, vai viņa projektēt</w:t>
      </w:r>
      <w:r w:rsidR="00A60AF0" w:rsidRPr="009C7A0A">
        <w:t>ā</w:t>
      </w:r>
      <w:r w:rsidR="000D4470" w:rsidRPr="009C7A0A">
        <w:t xml:space="preserve"> jumta metāla konstrukciju esošās slodzes nepārsniedz projektētās slodzes, </w:t>
      </w:r>
      <w:r w:rsidR="002526D6" w:rsidRPr="009C7A0A">
        <w:t xml:space="preserve">un </w:t>
      </w:r>
      <w:r w:rsidR="000D4470" w:rsidRPr="009C7A0A">
        <w:t xml:space="preserve">2013. gada 19. novembrī </w:t>
      </w:r>
      <w:r w:rsidR="0075682A" w:rsidRPr="009C7A0A">
        <w:t>ar</w:t>
      </w:r>
      <w:r w:rsidR="000D4470" w:rsidRPr="009C7A0A">
        <w:t xml:space="preserve"> pārstāv</w:t>
      </w:r>
      <w:r w:rsidR="0075682A" w:rsidRPr="009C7A0A">
        <w:t xml:space="preserve">ja </w:t>
      </w:r>
      <w:r w:rsidR="00454D13" w:rsidRPr="009C7A0A">
        <w:t>– lieciniek</w:t>
      </w:r>
      <w:r w:rsidR="00F12507" w:rsidRPr="009C7A0A">
        <w:t>a</w:t>
      </w:r>
      <w:r w:rsidR="00454D13" w:rsidRPr="009C7A0A">
        <w:t xml:space="preserve"> </w:t>
      </w:r>
      <w:r w:rsidR="00F958C4">
        <w:t>[pers. LR]</w:t>
      </w:r>
      <w:r w:rsidR="000D4470" w:rsidRPr="009C7A0A">
        <w:t xml:space="preserve"> </w:t>
      </w:r>
      <w:r w:rsidR="00454D13" w:rsidRPr="009C7A0A">
        <w:t xml:space="preserve">– </w:t>
      </w:r>
      <w:r w:rsidR="0075682A" w:rsidRPr="009C7A0A">
        <w:t xml:space="preserve">starpniecību </w:t>
      </w:r>
      <w:r w:rsidR="000D4470" w:rsidRPr="009C7A0A">
        <w:t>paziņoja, ka aprēķini ir pārbaudīti un atbilst projektam, lai gan jumta konstrukciju aprēķini netika pārbaudīti.</w:t>
      </w:r>
    </w:p>
    <w:p w14:paraId="7F51C7ED" w14:textId="2CAE0A23" w:rsidR="000019BF" w:rsidRPr="009C7A0A" w:rsidRDefault="000D4470" w:rsidP="009C7A0A">
      <w:pPr>
        <w:widowControl w:val="0"/>
        <w:spacing w:line="276" w:lineRule="auto"/>
        <w:ind w:firstLine="720"/>
        <w:contextualSpacing/>
        <w:jc w:val="both"/>
      </w:pPr>
      <w:r w:rsidRPr="009C7A0A">
        <w:t>Pretēji tiesas secinātajam s</w:t>
      </w:r>
      <w:r w:rsidR="00D512A9" w:rsidRPr="009C7A0A">
        <w:t>tarp SIA „</w:t>
      </w:r>
      <w:r w:rsidR="001C478C">
        <w:t>[Nosaukums</w:t>
      </w:r>
      <w:r w:rsidR="007F1BC2">
        <w:t> </w:t>
      </w:r>
      <w:r w:rsidR="001C478C">
        <w:t>B]</w:t>
      </w:r>
      <w:r w:rsidR="00D512A9" w:rsidRPr="009C7A0A">
        <w:t>” un SIA „</w:t>
      </w:r>
      <w:r w:rsidR="001C478C">
        <w:t>[Nosaukums</w:t>
      </w:r>
      <w:r w:rsidR="007F1BC2">
        <w:t> </w:t>
      </w:r>
      <w:r w:rsidR="001C478C">
        <w:t>A]</w:t>
      </w:r>
      <w:r w:rsidR="00D512A9" w:rsidRPr="009C7A0A">
        <w:t xml:space="preserve">” </w:t>
      </w:r>
      <w:r w:rsidR="008F1A04" w:rsidRPr="009C7A0A">
        <w:t xml:space="preserve">noslēgtā </w:t>
      </w:r>
      <w:r w:rsidR="00D512A9" w:rsidRPr="009C7A0A">
        <w:t xml:space="preserve">līguma darbības termiņš </w:t>
      </w:r>
      <w:r w:rsidR="00C82827" w:rsidRPr="009C7A0A">
        <w:t>beidzās</w:t>
      </w:r>
      <w:r w:rsidR="00D512A9" w:rsidRPr="009C7A0A">
        <w:t xml:space="preserve"> 2013. gada 28. jūlij</w:t>
      </w:r>
      <w:r w:rsidR="00C82827" w:rsidRPr="009C7A0A">
        <w:t>ā</w:t>
      </w:r>
      <w:r w:rsidR="00D512A9" w:rsidRPr="009C7A0A">
        <w:t xml:space="preserve">, </w:t>
      </w:r>
      <w:r w:rsidR="00135925" w:rsidRPr="009C7A0A">
        <w:t xml:space="preserve">līdz ar to </w:t>
      </w:r>
      <w:r w:rsidR="00D512A9" w:rsidRPr="009C7A0A">
        <w:t xml:space="preserve">2013. gada novembrī </w:t>
      </w:r>
      <w:r w:rsidR="001C478C">
        <w:rPr>
          <w:rFonts w:eastAsia="Calibri"/>
          <w:shd w:val="clear" w:color="auto" w:fill="FFFFFF"/>
        </w:rPr>
        <w:t>[pers. A]</w:t>
      </w:r>
      <w:r w:rsidR="00D512A9" w:rsidRPr="009C7A0A">
        <w:t xml:space="preserve"> </w:t>
      </w:r>
      <w:r w:rsidR="00135925" w:rsidRPr="009C7A0A">
        <w:t xml:space="preserve">nebija </w:t>
      </w:r>
      <w:r w:rsidR="00D512A9" w:rsidRPr="009C7A0A">
        <w:t>nekād</w:t>
      </w:r>
      <w:r w:rsidR="00135925" w:rsidRPr="009C7A0A">
        <w:t>u</w:t>
      </w:r>
      <w:r w:rsidR="00D512A9" w:rsidRPr="009C7A0A">
        <w:t xml:space="preserve"> pienākum</w:t>
      </w:r>
      <w:r w:rsidR="00135925" w:rsidRPr="009C7A0A">
        <w:t>u</w:t>
      </w:r>
      <w:r w:rsidR="00D512A9" w:rsidRPr="009C7A0A">
        <w:t xml:space="preserve">, </w:t>
      </w:r>
      <w:r w:rsidR="00111604" w:rsidRPr="009C7A0A">
        <w:t xml:space="preserve">tai </w:t>
      </w:r>
      <w:r w:rsidR="00D512A9" w:rsidRPr="009C7A0A">
        <w:t xml:space="preserve">skaitā </w:t>
      </w:r>
      <w:r w:rsidR="0075682A" w:rsidRPr="009C7A0A">
        <w:t xml:space="preserve">pienākuma </w:t>
      </w:r>
      <w:r w:rsidR="00D512A9" w:rsidRPr="009C7A0A">
        <w:t xml:space="preserve">pēc </w:t>
      </w:r>
      <w:r w:rsidR="001C478C">
        <w:rPr>
          <w:rFonts w:eastAsia="Calibri"/>
          <w:shd w:val="clear" w:color="auto" w:fill="FFFFFF"/>
        </w:rPr>
        <w:t>[pers. LP]</w:t>
      </w:r>
      <w:r w:rsidR="00D512A9" w:rsidRPr="009C7A0A">
        <w:t xml:space="preserve"> norādījumiem veikt </w:t>
      </w:r>
      <w:r w:rsidR="00565ECC" w:rsidRPr="009C7A0A">
        <w:t xml:space="preserve">papildu </w:t>
      </w:r>
      <w:r w:rsidR="00D512A9" w:rsidRPr="009C7A0A">
        <w:t>aprēķinus</w:t>
      </w:r>
      <w:r w:rsidR="00135925" w:rsidRPr="009C7A0A">
        <w:t xml:space="preserve"> un </w:t>
      </w:r>
      <w:r w:rsidR="00D512A9" w:rsidRPr="009C7A0A">
        <w:t>risināt jautājumus saistībā ar jumta labiekārto</w:t>
      </w:r>
      <w:r w:rsidR="0044202A" w:rsidRPr="009C7A0A">
        <w:t>šanu</w:t>
      </w:r>
      <w:r w:rsidR="00D512A9" w:rsidRPr="009C7A0A">
        <w:t>.</w:t>
      </w:r>
      <w:r w:rsidR="00B13226" w:rsidRPr="009C7A0A">
        <w:t xml:space="preserve"> </w:t>
      </w:r>
      <w:r w:rsidR="0028202B" w:rsidRPr="009C7A0A">
        <w:t xml:space="preserve">Tiesa bez ievērības atstājusi </w:t>
      </w:r>
      <w:r w:rsidR="00FC4B9E">
        <w:rPr>
          <w:rFonts w:eastAsia="Calibri"/>
          <w:shd w:val="clear" w:color="auto" w:fill="FFFFFF"/>
        </w:rPr>
        <w:t>[pers. A]</w:t>
      </w:r>
      <w:r w:rsidR="0028202B" w:rsidRPr="009C7A0A">
        <w:t xml:space="preserve"> liecību, ka 2013. gada 5. novembr</w:t>
      </w:r>
      <w:r w:rsidR="0075682A" w:rsidRPr="009C7A0A">
        <w:t>ī</w:t>
      </w:r>
      <w:r w:rsidR="0028202B" w:rsidRPr="009C7A0A">
        <w:t xml:space="preserve"> 2. kārtas būvniecības procesa laik</w:t>
      </w:r>
      <w:r w:rsidR="0077322C" w:rsidRPr="009C7A0A">
        <w:t>ā</w:t>
      </w:r>
      <w:r w:rsidR="0028202B" w:rsidRPr="009C7A0A">
        <w:t xml:space="preserve"> </w:t>
      </w:r>
      <w:proofErr w:type="spellStart"/>
      <w:r w:rsidR="0028202B" w:rsidRPr="009C7A0A">
        <w:t>būvsapulcē</w:t>
      </w:r>
      <w:proofErr w:type="spellEnd"/>
      <w:r w:rsidR="0028202B" w:rsidRPr="009C7A0A">
        <w:t xml:space="preserve"> </w:t>
      </w:r>
      <w:r w:rsidR="00D7705E">
        <w:rPr>
          <w:rFonts w:eastAsia="Calibri"/>
          <w:shd w:val="clear" w:color="auto" w:fill="FFFFFF"/>
        </w:rPr>
        <w:t>[pers. A]</w:t>
      </w:r>
      <w:r w:rsidR="0028202B" w:rsidRPr="009C7A0A">
        <w:t xml:space="preserve"> nav piedalījies</w:t>
      </w:r>
      <w:r w:rsidR="00253498" w:rsidRPr="009C7A0A">
        <w:t>, ko pierāda</w:t>
      </w:r>
      <w:r w:rsidR="00642AC1" w:rsidRPr="009C7A0A">
        <w:t xml:space="preserve"> autoruzraudzības žurnālā izdarītie ieraksti, </w:t>
      </w:r>
      <w:r w:rsidR="0028202B" w:rsidRPr="009C7A0A">
        <w:t xml:space="preserve">un </w:t>
      </w:r>
      <w:r w:rsidR="00E95505" w:rsidRPr="009C7A0A">
        <w:t>nav varējis</w:t>
      </w:r>
      <w:r w:rsidR="0028202B" w:rsidRPr="009C7A0A">
        <w:t xml:space="preserve"> </w:t>
      </w:r>
      <w:r w:rsidR="0044202A" w:rsidRPr="009C7A0A">
        <w:t xml:space="preserve">paust </w:t>
      </w:r>
      <w:proofErr w:type="spellStart"/>
      <w:r w:rsidR="0028202B" w:rsidRPr="009C7A0A">
        <w:t>būvsapulces</w:t>
      </w:r>
      <w:proofErr w:type="spellEnd"/>
      <w:r w:rsidR="0028202B" w:rsidRPr="009C7A0A">
        <w:t xml:space="preserve"> dalībniekiem apņemšanos pārbaudīt konstrukciju slodzes</w:t>
      </w:r>
      <w:r w:rsidR="00E95505" w:rsidRPr="009C7A0A">
        <w:t>. Savukārt</w:t>
      </w:r>
      <w:r w:rsidR="0028202B" w:rsidRPr="009C7A0A">
        <w:t xml:space="preserve"> </w:t>
      </w:r>
      <w:r w:rsidR="00B96D61">
        <w:rPr>
          <w:rFonts w:eastAsia="Calibri"/>
          <w:shd w:val="clear" w:color="auto" w:fill="FFFFFF"/>
        </w:rPr>
        <w:t>[pers. LR]</w:t>
      </w:r>
      <w:r w:rsidR="00DC0EAA" w:rsidRPr="009C7A0A">
        <w:t xml:space="preserve"> atbilstoši būvniecības jomu reglamentējoš</w:t>
      </w:r>
      <w:r w:rsidR="00EE12FA" w:rsidRPr="009C7A0A">
        <w:t>aj</w:t>
      </w:r>
      <w:r w:rsidR="00DC0EAA" w:rsidRPr="009C7A0A">
        <w:t xml:space="preserve">iem aktiem nebija tiesīgs </w:t>
      </w:r>
      <w:r w:rsidR="00A12436" w:rsidRPr="009C7A0A">
        <w:t xml:space="preserve">bez atbilstoša būvprakses sertifikāta būt </w:t>
      </w:r>
      <w:r w:rsidR="00DC0EAA" w:rsidRPr="009C7A0A">
        <w:t xml:space="preserve">par </w:t>
      </w:r>
      <w:r w:rsidR="00B5270D">
        <w:rPr>
          <w:rFonts w:eastAsia="Calibri"/>
          <w:shd w:val="clear" w:color="auto" w:fill="FFFFFF"/>
        </w:rPr>
        <w:t>[pers. A]</w:t>
      </w:r>
      <w:r w:rsidR="00DC0EAA" w:rsidRPr="009C7A0A">
        <w:t xml:space="preserve"> kā </w:t>
      </w:r>
      <w:proofErr w:type="spellStart"/>
      <w:r w:rsidR="00DC0EAA" w:rsidRPr="009C7A0A">
        <w:t>autoruzrauga</w:t>
      </w:r>
      <w:proofErr w:type="spellEnd"/>
      <w:r w:rsidR="00DC0EAA" w:rsidRPr="009C7A0A">
        <w:t xml:space="preserve"> pār</w:t>
      </w:r>
      <w:r w:rsidR="0028202B" w:rsidRPr="009C7A0A">
        <w:t>s</w:t>
      </w:r>
      <w:r w:rsidR="00DC0EAA" w:rsidRPr="009C7A0A">
        <w:t xml:space="preserve">tāvi un rīkoties </w:t>
      </w:r>
      <w:r w:rsidR="00B5270D">
        <w:rPr>
          <w:rFonts w:eastAsia="Calibri"/>
          <w:shd w:val="clear" w:color="auto" w:fill="FFFFFF"/>
        </w:rPr>
        <w:t>[pers. A]</w:t>
      </w:r>
      <w:r w:rsidR="00DC0EAA" w:rsidRPr="009C7A0A">
        <w:t xml:space="preserve"> vārdā. </w:t>
      </w:r>
      <w:r w:rsidR="00B5270D">
        <w:rPr>
          <w:rFonts w:eastAsia="Calibri"/>
          <w:shd w:val="clear" w:color="auto" w:fill="FFFFFF"/>
        </w:rPr>
        <w:t>[Pers. A]</w:t>
      </w:r>
      <w:r w:rsidR="000019BF" w:rsidRPr="009C7A0A">
        <w:t xml:space="preserve"> darbība 2.</w:t>
      </w:r>
      <w:r w:rsidR="00EE12FA" w:rsidRPr="009C7A0A">
        <w:t> </w:t>
      </w:r>
      <w:r w:rsidR="000019BF" w:rsidRPr="009C7A0A">
        <w:t>kārtas būvniecības laikā neskāra 1.</w:t>
      </w:r>
      <w:r w:rsidR="00691A31" w:rsidRPr="009C7A0A">
        <w:t> </w:t>
      </w:r>
      <w:r w:rsidR="000019BF" w:rsidRPr="009C7A0A">
        <w:t>kārtā izbūvētās konstrukcijas un nav cēloņsakarībā ar šo konstrukciju nogruvumu.</w:t>
      </w:r>
    </w:p>
    <w:p w14:paraId="00A9E08D" w14:textId="2AAD86B2" w:rsidR="000019BF" w:rsidRPr="009C7A0A" w:rsidRDefault="000019BF" w:rsidP="009C7A0A">
      <w:pPr>
        <w:widowControl w:val="0"/>
        <w:spacing w:line="276" w:lineRule="auto"/>
        <w:ind w:firstLine="720"/>
        <w:contextualSpacing/>
        <w:jc w:val="both"/>
      </w:pPr>
      <w:r w:rsidRPr="009C7A0A">
        <w:t>[6.</w:t>
      </w:r>
      <w:r w:rsidR="00F5577E" w:rsidRPr="009C7A0A">
        <w:t>10</w:t>
      </w:r>
      <w:r w:rsidRPr="009C7A0A">
        <w:t>]</w:t>
      </w:r>
      <w:r w:rsidR="00D22B8D" w:rsidRPr="009C7A0A">
        <w:t> </w:t>
      </w:r>
      <w:r w:rsidRPr="009C7A0A">
        <w:t xml:space="preserve">Tiesa nav ņēmusi vērā, ka </w:t>
      </w:r>
      <w:r w:rsidR="00691558" w:rsidRPr="009C7A0A">
        <w:t xml:space="preserve">2011. gada 17. oktobrī </w:t>
      </w:r>
      <w:r w:rsidRPr="009C7A0A">
        <w:t>būvvalde</w:t>
      </w:r>
      <w:r w:rsidR="00691558" w:rsidRPr="009C7A0A">
        <w:t>i</w:t>
      </w:r>
      <w:r w:rsidRPr="009C7A0A">
        <w:t xml:space="preserve"> pieņemot būvniecības 1.</w:t>
      </w:r>
      <w:r w:rsidR="00D22B8D" w:rsidRPr="009C7A0A">
        <w:t> </w:t>
      </w:r>
      <w:r w:rsidRPr="009C7A0A">
        <w:t>kārtu</w:t>
      </w:r>
      <w:r w:rsidR="006D0220" w:rsidRPr="009C7A0A">
        <w:t xml:space="preserve"> (</w:t>
      </w:r>
      <w:r w:rsidRPr="009C7A0A">
        <w:t>pazemes aut</w:t>
      </w:r>
      <w:r w:rsidR="0070678E" w:rsidRPr="009C7A0A">
        <w:t>o</w:t>
      </w:r>
      <w:r w:rsidRPr="009C7A0A">
        <w:t xml:space="preserve">stāvvietas </w:t>
      </w:r>
      <w:r w:rsidR="00691A31" w:rsidRPr="009C7A0A">
        <w:t xml:space="preserve">ar </w:t>
      </w:r>
      <w:r w:rsidRPr="009C7A0A">
        <w:t>iebraukšan</w:t>
      </w:r>
      <w:r w:rsidR="00691A31" w:rsidRPr="009C7A0A">
        <w:t xml:space="preserve">u no </w:t>
      </w:r>
      <w:proofErr w:type="spellStart"/>
      <w:r w:rsidR="00691A31" w:rsidRPr="00210849">
        <w:t>Ap</w:t>
      </w:r>
      <w:r w:rsidR="00454D13" w:rsidRPr="00210849">
        <w:t>ū</w:t>
      </w:r>
      <w:r w:rsidR="00691A31" w:rsidRPr="00210849">
        <w:t>zes</w:t>
      </w:r>
      <w:proofErr w:type="spellEnd"/>
      <w:r w:rsidR="00691A31" w:rsidRPr="00210849">
        <w:t xml:space="preserve"> ielas</w:t>
      </w:r>
      <w:r w:rsidR="00691A31" w:rsidRPr="009C7A0A">
        <w:t>, pirm</w:t>
      </w:r>
      <w:r w:rsidR="006D0220" w:rsidRPr="009C7A0A">
        <w:t>ais</w:t>
      </w:r>
      <w:r w:rsidR="00691A31" w:rsidRPr="009C7A0A">
        <w:t xml:space="preserve"> stāv</w:t>
      </w:r>
      <w:r w:rsidR="006D0220" w:rsidRPr="009C7A0A">
        <w:t>s</w:t>
      </w:r>
      <w:r w:rsidR="00691A31" w:rsidRPr="009C7A0A">
        <w:t xml:space="preserve"> ar veikala izbūvi, </w:t>
      </w:r>
      <w:r w:rsidR="005E61F0" w:rsidRPr="009C7A0A">
        <w:t xml:space="preserve">pirmā </w:t>
      </w:r>
      <w:r w:rsidR="00691A31" w:rsidRPr="009C7A0A">
        <w:t>stāva fasāžu izbūv</w:t>
      </w:r>
      <w:r w:rsidR="006D0220" w:rsidRPr="009C7A0A">
        <w:t>e</w:t>
      </w:r>
      <w:r w:rsidR="00691A31" w:rsidRPr="009C7A0A">
        <w:t xml:space="preserve">, labiekārtojuma </w:t>
      </w:r>
      <w:r w:rsidR="00D86275" w:rsidRPr="009C7A0A">
        <w:t>i</w:t>
      </w:r>
      <w:r w:rsidR="00691A31" w:rsidRPr="009C7A0A">
        <w:t>zbūv</w:t>
      </w:r>
      <w:r w:rsidR="001D0468" w:rsidRPr="009C7A0A">
        <w:t>e</w:t>
      </w:r>
      <w:r w:rsidR="00691A31" w:rsidRPr="009C7A0A">
        <w:t xml:space="preserve"> zemes līmenī un pirmā stāva nogāžu līmenī</w:t>
      </w:r>
      <w:r w:rsidR="00013059" w:rsidRPr="009C7A0A">
        <w:t>)</w:t>
      </w:r>
      <w:r w:rsidRPr="009C7A0A">
        <w:t xml:space="preserve"> ekspluatācijā, būvniecības process noslēdz</w:t>
      </w:r>
      <w:r w:rsidR="00691558" w:rsidRPr="009C7A0A">
        <w:t>ā</w:t>
      </w:r>
      <w:r w:rsidRPr="009C7A0A">
        <w:t>s</w:t>
      </w:r>
      <w:r w:rsidR="008D02EF" w:rsidRPr="009C7A0A">
        <w:t>.</w:t>
      </w:r>
      <w:r w:rsidRPr="009C7A0A">
        <w:t xml:space="preserve"> </w:t>
      </w:r>
      <w:r w:rsidR="008D02EF" w:rsidRPr="009C7A0A">
        <w:t>S</w:t>
      </w:r>
      <w:r w:rsidR="00691558" w:rsidRPr="009C7A0A">
        <w:t xml:space="preserve">avukārt </w:t>
      </w:r>
      <w:r w:rsidRPr="009C7A0A">
        <w:t>par būves un tās elementu uzturēšanu atbilstoši būvei izvirzītajām būtiskajām prasībām visā tās ekspluatācijas laikā turpmāk ir atbildīgs būves īpašnieks, kuram, lai aizsargātu sabiedrisko drošību, jātur sava būve tādā stāvok</w:t>
      </w:r>
      <w:r w:rsidR="00E230B8" w:rsidRPr="009C7A0A">
        <w:t>lī</w:t>
      </w:r>
      <w:r w:rsidRPr="009C7A0A">
        <w:t>, ka no tās nevar rasties kaitējums ne kaimiņiem, ne garāmgājējiem, ne tās lietotājiem</w:t>
      </w:r>
      <w:r w:rsidR="008D02EF" w:rsidRPr="009C7A0A">
        <w:t>.</w:t>
      </w:r>
      <w:r w:rsidRPr="009C7A0A">
        <w:t xml:space="preserve"> </w:t>
      </w:r>
      <w:r w:rsidR="008D02EF" w:rsidRPr="009C7A0A">
        <w:t>Būvniecības dalībnieki</w:t>
      </w:r>
      <w:r w:rsidR="008D02EF" w:rsidRPr="009C7A0A" w:rsidDel="005134FC">
        <w:t xml:space="preserve"> </w:t>
      </w:r>
      <w:r w:rsidR="005134FC" w:rsidRPr="009C7A0A">
        <w:t>par to neatbild</w:t>
      </w:r>
      <w:r w:rsidRPr="009C7A0A">
        <w:t>. Savukārt 2.</w:t>
      </w:r>
      <w:r w:rsidR="00E230B8" w:rsidRPr="009C7A0A">
        <w:t> </w:t>
      </w:r>
      <w:r w:rsidRPr="009C7A0A">
        <w:t xml:space="preserve">kārtas būvniecības procesā </w:t>
      </w:r>
      <w:r w:rsidR="00985084">
        <w:rPr>
          <w:rFonts w:eastAsia="Calibri"/>
          <w:shd w:val="clear" w:color="auto" w:fill="FFFFFF"/>
        </w:rPr>
        <w:t>[pers. A]</w:t>
      </w:r>
      <w:r w:rsidRPr="009C7A0A">
        <w:t xml:space="preserve"> nebija pienākuma pārbaudīt </w:t>
      </w:r>
      <w:r w:rsidRPr="009C7A0A">
        <w:lastRenderedPageBreak/>
        <w:t>būvizstrādājumus, kas attiecināmi uz 1.</w:t>
      </w:r>
      <w:r w:rsidR="00E230B8" w:rsidRPr="009C7A0A">
        <w:t> </w:t>
      </w:r>
      <w:r w:rsidRPr="009C7A0A">
        <w:t>kārtu.</w:t>
      </w:r>
    </w:p>
    <w:p w14:paraId="10183F7E" w14:textId="5D36DBE2" w:rsidR="000019BF" w:rsidRPr="009C7A0A" w:rsidRDefault="000019BF" w:rsidP="009C7A0A">
      <w:pPr>
        <w:widowControl w:val="0"/>
        <w:spacing w:line="276" w:lineRule="auto"/>
        <w:ind w:firstLine="720"/>
        <w:contextualSpacing/>
        <w:jc w:val="both"/>
      </w:pPr>
      <w:r w:rsidRPr="009C7A0A">
        <w:t xml:space="preserve">Tiesa nav ņēmusi vērā </w:t>
      </w:r>
      <w:r w:rsidR="00EE57B6" w:rsidRPr="009C7A0A">
        <w:t>Senāta</w:t>
      </w:r>
      <w:r w:rsidRPr="009C7A0A">
        <w:t xml:space="preserve"> pausto atziņu, ka persona, vēršoties pret aktu par būves nodošanu ekspluatācijā, var prasīt pārbaudīt vienīgi to, vai pabeigtais objekts atbilst būvprojektam, bet nevar atgriezties iepriekšējā būvniecības procesa stadijā un prasīt pārbaudīt paša būvprojekta vai būvatļaujas, kas stājusies spēkā un izpildīta, tiesiskumu (</w:t>
      </w:r>
      <w:r w:rsidR="00604CBE" w:rsidRPr="009C7A0A">
        <w:rPr>
          <w:i/>
          <w:iCs/>
        </w:rPr>
        <w:t>Senāta</w:t>
      </w:r>
      <w:r w:rsidRPr="009C7A0A">
        <w:rPr>
          <w:i/>
          <w:iCs/>
        </w:rPr>
        <w:t xml:space="preserve"> 2019.</w:t>
      </w:r>
      <w:r w:rsidR="00604CBE" w:rsidRPr="009C7A0A">
        <w:rPr>
          <w:i/>
          <w:iCs/>
        </w:rPr>
        <w:t> </w:t>
      </w:r>
      <w:r w:rsidRPr="009C7A0A">
        <w:rPr>
          <w:i/>
          <w:iCs/>
        </w:rPr>
        <w:t>gada 12.</w:t>
      </w:r>
      <w:r w:rsidR="00604CBE" w:rsidRPr="009C7A0A">
        <w:rPr>
          <w:i/>
          <w:iCs/>
        </w:rPr>
        <w:t> </w:t>
      </w:r>
      <w:r w:rsidRPr="009C7A0A">
        <w:rPr>
          <w:i/>
          <w:iCs/>
        </w:rPr>
        <w:t xml:space="preserve">jūlija </w:t>
      </w:r>
      <w:r w:rsidR="001146D2" w:rsidRPr="009C7A0A">
        <w:rPr>
          <w:i/>
          <w:iCs/>
        </w:rPr>
        <w:t xml:space="preserve">spriedums </w:t>
      </w:r>
      <w:r w:rsidRPr="009C7A0A">
        <w:rPr>
          <w:i/>
          <w:iCs/>
        </w:rPr>
        <w:t>lietā Nr.</w:t>
      </w:r>
      <w:r w:rsidR="00604CBE" w:rsidRPr="009C7A0A">
        <w:rPr>
          <w:i/>
          <w:iCs/>
        </w:rPr>
        <w:t> </w:t>
      </w:r>
      <w:r w:rsidRPr="009C7A0A">
        <w:rPr>
          <w:i/>
          <w:iCs/>
        </w:rPr>
        <w:t>SKA-9/2019</w:t>
      </w:r>
      <w:r w:rsidR="00604CBE" w:rsidRPr="009C7A0A">
        <w:rPr>
          <w:i/>
          <w:iCs/>
        </w:rPr>
        <w:t>,</w:t>
      </w:r>
      <w:r w:rsidR="00604CBE" w:rsidRPr="009C7A0A">
        <w:t xml:space="preserve"> </w:t>
      </w:r>
      <w:hyperlink r:id="rId9" w:history="1">
        <w:r w:rsidR="00604CBE" w:rsidRPr="00212C46">
          <w:rPr>
            <w:rStyle w:val="Hyperlink"/>
            <w:i/>
            <w:iCs/>
          </w:rPr>
          <w:t>ECLI:LV:AT:2019:0712.A420291913.2.S</w:t>
        </w:r>
      </w:hyperlink>
      <w:r w:rsidRPr="009C7A0A">
        <w:t>). Pretējā gadījumā netiktu nodrošināta tiesiskā stabilitāte un note</w:t>
      </w:r>
      <w:r w:rsidR="000C0F92" w:rsidRPr="009C7A0A">
        <w:t>i</w:t>
      </w:r>
      <w:r w:rsidRPr="009C7A0A">
        <w:t xml:space="preserve">ktība, kas vispārīgi kalpo būvētāja tiesiskajām interesēm rēķināties ar to, ka, noteiktā kārtībā noslēdzoties attiecīgai būvniecības procesa daļai, </w:t>
      </w:r>
      <w:r w:rsidR="00A70C2A" w:rsidRPr="009C7A0A">
        <w:t>aiz</w:t>
      </w:r>
      <w:r w:rsidRPr="009C7A0A">
        <w:t>skartās personas pret to vairs nevar izteikt iebildumus, bet būvētājs var noslēgt būvniecības procesu un sākt būves ekspluatāciju.</w:t>
      </w:r>
    </w:p>
    <w:p w14:paraId="44ED5923" w14:textId="238986C7" w:rsidR="002B7E53" w:rsidRPr="009C7A0A" w:rsidRDefault="00976ED6" w:rsidP="009C7A0A">
      <w:pPr>
        <w:widowControl w:val="0"/>
        <w:spacing w:line="276" w:lineRule="auto"/>
        <w:ind w:firstLine="720"/>
        <w:contextualSpacing/>
        <w:jc w:val="both"/>
      </w:pPr>
      <w:r w:rsidRPr="009C7A0A">
        <w:t>[6.11]</w:t>
      </w:r>
      <w:r w:rsidR="00105017" w:rsidRPr="009C7A0A">
        <w:t> </w:t>
      </w:r>
      <w:r w:rsidR="00FE0749" w:rsidRPr="009C7A0A">
        <w:t xml:space="preserve">Ir būtiski noskaidrot </w:t>
      </w:r>
      <w:r w:rsidR="00476B2C" w:rsidRPr="009C7A0A">
        <w:t>noziedzīga nodarījuma izdarīšanas laiku</w:t>
      </w:r>
      <w:r w:rsidR="00FE0749" w:rsidRPr="009C7A0A">
        <w:t xml:space="preserve">. </w:t>
      </w:r>
      <w:r w:rsidR="002B7E53" w:rsidRPr="009C7A0A">
        <w:t xml:space="preserve">Nav pamata atzīt, ka </w:t>
      </w:r>
      <w:r w:rsidR="000226E1">
        <w:rPr>
          <w:rFonts w:eastAsia="Calibri"/>
          <w:shd w:val="clear" w:color="auto" w:fill="FFFFFF"/>
        </w:rPr>
        <w:t>[pers. A]</w:t>
      </w:r>
      <w:r w:rsidR="002B7E53" w:rsidRPr="009C7A0A">
        <w:t xml:space="preserve"> būtu veicis darbības 2013. gada novembrī</w:t>
      </w:r>
      <w:r w:rsidR="006B5B09" w:rsidRPr="009C7A0A">
        <w:t>, jo darbi, kas saistīti ar tirdzniecības centra sabrukušo konstrukciju projektēšanu un izbūvi</w:t>
      </w:r>
      <w:r w:rsidR="004A6416" w:rsidRPr="009C7A0A">
        <w:t>, veikti laikā no 2009. līdz 2011. gadam. Tas savukārt ietekmē</w:t>
      </w:r>
      <w:r w:rsidR="004769C5" w:rsidRPr="009C7A0A">
        <w:t>, kādas likuma normas piemērojamas konkrētajā gadījumā.</w:t>
      </w:r>
    </w:p>
    <w:p w14:paraId="0BEDE6B3" w14:textId="244D3A84" w:rsidR="00214AF7" w:rsidRPr="009C7A0A" w:rsidRDefault="00201AC0" w:rsidP="009C7A0A">
      <w:pPr>
        <w:widowControl w:val="0"/>
        <w:spacing w:line="276" w:lineRule="auto"/>
        <w:ind w:firstLine="720"/>
        <w:contextualSpacing/>
        <w:jc w:val="both"/>
      </w:pPr>
      <w:r w:rsidRPr="009C7A0A">
        <w:t xml:space="preserve">Tiesa, inkriminējot </w:t>
      </w:r>
      <w:r w:rsidR="00867E28">
        <w:rPr>
          <w:rFonts w:eastAsia="Calibri"/>
          <w:shd w:val="clear" w:color="auto" w:fill="FFFFFF"/>
        </w:rPr>
        <w:t>[pers. A]</w:t>
      </w:r>
      <w:r w:rsidRPr="009C7A0A">
        <w:t xml:space="preserve"> prettiesiskās darbības 2013. gada novembrī, nav ievērojusi</w:t>
      </w:r>
      <w:r w:rsidR="003229F6" w:rsidRPr="009C7A0A">
        <w:t xml:space="preserve"> Latvijas Republikas</w:t>
      </w:r>
      <w:r w:rsidRPr="009C7A0A">
        <w:t xml:space="preserve"> </w:t>
      </w:r>
      <w:r w:rsidR="000019BF" w:rsidRPr="009C7A0A">
        <w:t xml:space="preserve">Satversmes </w:t>
      </w:r>
      <w:r w:rsidR="003229F6" w:rsidRPr="009C7A0A">
        <w:t xml:space="preserve">(turpmāk – Satversme) </w:t>
      </w:r>
      <w:r w:rsidR="000019BF" w:rsidRPr="009C7A0A">
        <w:t>90., 92.</w:t>
      </w:r>
      <w:r w:rsidR="00E96CF9" w:rsidRPr="009C7A0A">
        <w:t> </w:t>
      </w:r>
      <w:r w:rsidR="000019BF" w:rsidRPr="009C7A0A">
        <w:t>pant</w:t>
      </w:r>
      <w:r w:rsidRPr="009C7A0A">
        <w:t>u</w:t>
      </w:r>
      <w:r w:rsidR="000019BF" w:rsidRPr="009C7A0A">
        <w:t xml:space="preserve">, </w:t>
      </w:r>
      <w:r w:rsidR="00D32F66" w:rsidRPr="009C7A0A">
        <w:t xml:space="preserve">Eiropas </w:t>
      </w:r>
      <w:r w:rsidR="000019BF" w:rsidRPr="009C7A0A">
        <w:t>Cilvēk</w:t>
      </w:r>
      <w:r w:rsidR="00D32F66" w:rsidRPr="009C7A0A">
        <w:t xml:space="preserve">a </w:t>
      </w:r>
      <w:r w:rsidR="000019BF" w:rsidRPr="009C7A0A">
        <w:t xml:space="preserve">tiesību un pamatbrīvību aizsardzības konvencijas </w:t>
      </w:r>
      <w:r w:rsidR="00D32F66" w:rsidRPr="009C7A0A">
        <w:t xml:space="preserve">(turpmāk – Eiropas Cilvēktiesību konvencija) </w:t>
      </w:r>
      <w:r w:rsidR="000019BF" w:rsidRPr="009C7A0A">
        <w:t>7.</w:t>
      </w:r>
      <w:r w:rsidR="00E96CF9" w:rsidRPr="009C7A0A">
        <w:t> </w:t>
      </w:r>
      <w:r w:rsidR="000019BF" w:rsidRPr="009C7A0A">
        <w:t>pant</w:t>
      </w:r>
      <w:r w:rsidRPr="009C7A0A">
        <w:t xml:space="preserve">u, </w:t>
      </w:r>
      <w:r w:rsidR="000019BF" w:rsidRPr="009C7A0A">
        <w:t>Eiropas Cilvēktiesību tiesas praks</w:t>
      </w:r>
      <w:r w:rsidRPr="009C7A0A">
        <w:t>i</w:t>
      </w:r>
      <w:r w:rsidR="0028384E" w:rsidRPr="009C7A0A">
        <w:t xml:space="preserve"> un</w:t>
      </w:r>
      <w:r w:rsidR="000019BF" w:rsidRPr="009C7A0A">
        <w:t xml:space="preserve"> Krimināllikuma 5.</w:t>
      </w:r>
      <w:r w:rsidR="009C7A69" w:rsidRPr="009C7A0A">
        <w:t> </w:t>
      </w:r>
      <w:r w:rsidR="000019BF" w:rsidRPr="009C7A0A">
        <w:t>panta otrajā daļā nostiprināt</w:t>
      </w:r>
      <w:r w:rsidRPr="009C7A0A">
        <w:t>o</w:t>
      </w:r>
      <w:r w:rsidR="000019BF" w:rsidRPr="009C7A0A">
        <w:t xml:space="preserve"> </w:t>
      </w:r>
      <w:proofErr w:type="spellStart"/>
      <w:r w:rsidR="000019BF" w:rsidRPr="009C7A0A">
        <w:t>retroaktivitātes</w:t>
      </w:r>
      <w:proofErr w:type="spellEnd"/>
      <w:r w:rsidR="000019BF" w:rsidRPr="009C7A0A">
        <w:t xml:space="preserve"> princip</w:t>
      </w:r>
      <w:r w:rsidRPr="009C7A0A">
        <w:t>u</w:t>
      </w:r>
      <w:r w:rsidR="008A01D3" w:rsidRPr="009C7A0A">
        <w:t xml:space="preserve"> </w:t>
      </w:r>
      <w:r w:rsidR="00590C12" w:rsidRPr="009C7A0A">
        <w:t xml:space="preserve">(labvēlīgāka </w:t>
      </w:r>
      <w:r w:rsidR="00ED07E6" w:rsidRPr="009C7A0A">
        <w:t>K</w:t>
      </w:r>
      <w:r w:rsidR="00590C12" w:rsidRPr="009C7A0A">
        <w:t>rimināllikuma obligāts atpakaļejošs spēks)</w:t>
      </w:r>
      <w:r w:rsidRPr="009C7A0A">
        <w:t>.</w:t>
      </w:r>
      <w:r w:rsidR="008A01D3" w:rsidRPr="009C7A0A">
        <w:t xml:space="preserve"> Ievērojot </w:t>
      </w:r>
      <w:r w:rsidR="00214AF7" w:rsidRPr="009C7A0A">
        <w:t>minēto</w:t>
      </w:r>
      <w:r w:rsidR="008A01D3" w:rsidRPr="009C7A0A">
        <w:t xml:space="preserve"> principu</w:t>
      </w:r>
      <w:r w:rsidR="00214AF7" w:rsidRPr="009C7A0A">
        <w:t xml:space="preserve">, </w:t>
      </w:r>
      <w:proofErr w:type="spellStart"/>
      <w:r w:rsidR="00214AF7" w:rsidRPr="009C7A0A">
        <w:t>ultraaktivitātes</w:t>
      </w:r>
      <w:proofErr w:type="spellEnd"/>
      <w:r w:rsidR="00214AF7" w:rsidRPr="009C7A0A">
        <w:t xml:space="preserve"> principu </w:t>
      </w:r>
      <w:r w:rsidR="00590C12" w:rsidRPr="009C7A0A">
        <w:t xml:space="preserve">(proti, kategorisku aizliegumu piešķirt nelabvēlīgākajam </w:t>
      </w:r>
      <w:r w:rsidR="004254C6" w:rsidRPr="009C7A0A">
        <w:t>K</w:t>
      </w:r>
      <w:r w:rsidR="00590C12" w:rsidRPr="009C7A0A">
        <w:t xml:space="preserve">rimināllikumam atpakaļejošu spēku) </w:t>
      </w:r>
      <w:r w:rsidR="00EE05B2" w:rsidRPr="009C7A0A">
        <w:t xml:space="preserve">un </w:t>
      </w:r>
      <w:r w:rsidR="00C53FC0" w:rsidRPr="009C7A0A">
        <w:t xml:space="preserve">2012. gada 13. decembra </w:t>
      </w:r>
      <w:r w:rsidR="00EE05B2" w:rsidRPr="009C7A0A">
        <w:t>likuma „Grozījumi Krimināllikumā” pārejas noteikumu 4. punktu</w:t>
      </w:r>
      <w:r w:rsidR="008A01D3" w:rsidRPr="009C7A0A">
        <w:t xml:space="preserve">, </w:t>
      </w:r>
      <w:r w:rsidR="00FB7577" w:rsidRPr="009C7A0A">
        <w:t>2012.</w:t>
      </w:r>
      <w:r w:rsidR="00C93041" w:rsidRPr="009C7A0A">
        <w:t> </w:t>
      </w:r>
      <w:r w:rsidR="00FB7577" w:rsidRPr="009C7A0A">
        <w:t>gada 13.</w:t>
      </w:r>
      <w:r w:rsidR="00C93041" w:rsidRPr="009C7A0A">
        <w:t> </w:t>
      </w:r>
      <w:r w:rsidR="00FB7577" w:rsidRPr="009C7A0A">
        <w:t>decembra likumam, ar kuru Krimināllikuma 239.</w:t>
      </w:r>
      <w:r w:rsidR="00C93041" w:rsidRPr="009C7A0A">
        <w:t> </w:t>
      </w:r>
      <w:r w:rsidR="00FB7577" w:rsidRPr="009C7A0A">
        <w:t>panta o</w:t>
      </w:r>
      <w:r w:rsidR="00C93041" w:rsidRPr="009C7A0A">
        <w:t>t</w:t>
      </w:r>
      <w:r w:rsidR="00FB7577" w:rsidRPr="009C7A0A">
        <w:t xml:space="preserve">rās daļas sankcijā izdarīti </w:t>
      </w:r>
      <w:r w:rsidR="00C93041" w:rsidRPr="009C7A0A">
        <w:t>grozījumi, samazinot brīvības atņemšanas soda maksimālo robežu, ir</w:t>
      </w:r>
      <w:r w:rsidR="008A01D3" w:rsidRPr="009C7A0A">
        <w:t xml:space="preserve"> atpakaļejošs spēks.</w:t>
      </w:r>
    </w:p>
    <w:p w14:paraId="2E4C037D" w14:textId="3D975910" w:rsidR="00201AC0" w:rsidRPr="009C7A0A" w:rsidRDefault="00976ED6" w:rsidP="009C7A0A">
      <w:pPr>
        <w:widowControl w:val="0"/>
        <w:spacing w:line="276" w:lineRule="auto"/>
        <w:ind w:firstLine="720"/>
        <w:contextualSpacing/>
        <w:jc w:val="both"/>
      </w:pPr>
      <w:r w:rsidRPr="009C7A0A">
        <w:t>[6.12]</w:t>
      </w:r>
      <w:r w:rsidR="009C7A69" w:rsidRPr="009C7A0A">
        <w:t> </w:t>
      </w:r>
      <w:r w:rsidR="008E0F04" w:rsidRPr="009C7A0A">
        <w:t xml:space="preserve">Kvalificējot noziedzīgo nodarījumu, </w:t>
      </w:r>
      <w:r w:rsidR="002A5A7A" w:rsidRPr="009C7A0A">
        <w:t xml:space="preserve">valsts </w:t>
      </w:r>
      <w:r w:rsidR="008E0F04" w:rsidRPr="009C7A0A">
        <w:t>apsūdzība ņēmusi vērā Krimināllikuma redakciju</w:t>
      </w:r>
      <w:r w:rsidR="004949D6" w:rsidRPr="009C7A0A">
        <w:t xml:space="preserve"> no 2013. gada 1. aprīļa līdz 2014. gada 28. oktobrim</w:t>
      </w:r>
      <w:r w:rsidR="008E0F04" w:rsidRPr="009C7A0A">
        <w:t>, kas bija spēkā seku iestāšanās brīd</w:t>
      </w:r>
      <w:r w:rsidR="00AF41FB" w:rsidRPr="009C7A0A">
        <w:t>ī</w:t>
      </w:r>
      <w:r w:rsidR="00962D33" w:rsidRPr="009C7A0A">
        <w:t xml:space="preserve"> – tas ir, pēc apsūdzībā norādītajām darbībā</w:t>
      </w:r>
      <w:r w:rsidR="004949D6" w:rsidRPr="009C7A0A">
        <w:t>m</w:t>
      </w:r>
      <w:r w:rsidR="008E0F04" w:rsidRPr="009C7A0A">
        <w:t xml:space="preserve">. Piemērojot attiecīgo likuma redakciju, valsts apsūdzība pasliktinājusi </w:t>
      </w:r>
      <w:r w:rsidR="00E50958">
        <w:rPr>
          <w:rFonts w:eastAsia="Calibri"/>
          <w:shd w:val="clear" w:color="auto" w:fill="FFFFFF"/>
        </w:rPr>
        <w:t>[pers. A]</w:t>
      </w:r>
      <w:r w:rsidR="008E0F04" w:rsidRPr="009C7A0A">
        <w:t xml:space="preserve"> stāvokli</w:t>
      </w:r>
      <w:r w:rsidR="00861738" w:rsidRPr="009C7A0A">
        <w:t>, jo</w:t>
      </w:r>
      <w:r w:rsidR="008E0F04" w:rsidRPr="009C7A0A">
        <w:t xml:space="preserve"> </w:t>
      </w:r>
      <w:r w:rsidR="00861738" w:rsidRPr="009C7A0A">
        <w:t xml:space="preserve">inkriminēto nodarījumu </w:t>
      </w:r>
      <w:r w:rsidR="00D73619" w:rsidRPr="009C7A0A">
        <w:t xml:space="preserve">kvalificējusi pēc Krimināllikuma 239. panta otrās daļas un </w:t>
      </w:r>
      <w:r w:rsidR="00CF3FFB" w:rsidRPr="009C7A0A">
        <w:t xml:space="preserve">123. panta otrās daļas </w:t>
      </w:r>
      <w:r w:rsidR="00D73619" w:rsidRPr="009C7A0A">
        <w:t>kā noziedzīgu nodarījumu ideālo kopību</w:t>
      </w:r>
      <w:r w:rsidR="007565FE" w:rsidRPr="009C7A0A">
        <w:t>.</w:t>
      </w:r>
      <w:r w:rsidR="008A73B6" w:rsidRPr="009C7A0A">
        <w:t xml:space="preserve"> </w:t>
      </w:r>
      <w:r w:rsidR="005537AA" w:rsidRPr="009C7A0A">
        <w:t>Ņ</w:t>
      </w:r>
      <w:r w:rsidR="008A73B6" w:rsidRPr="009C7A0A">
        <w:t>emot vērā, ka Kri</w:t>
      </w:r>
      <w:r w:rsidR="005537AA" w:rsidRPr="009C7A0A">
        <w:t>m</w:t>
      </w:r>
      <w:r w:rsidR="008A73B6" w:rsidRPr="009C7A0A">
        <w:t>ināllikuma 239.</w:t>
      </w:r>
      <w:r w:rsidR="005537AA" w:rsidRPr="009C7A0A">
        <w:t> </w:t>
      </w:r>
      <w:r w:rsidR="008A73B6" w:rsidRPr="009C7A0A">
        <w:t>panta otrās daļas sankcija bija bargāka par Krimināllikuma 123.</w:t>
      </w:r>
      <w:r w:rsidR="005537AA" w:rsidRPr="009C7A0A">
        <w:t> </w:t>
      </w:r>
      <w:r w:rsidR="008A73B6" w:rsidRPr="009C7A0A">
        <w:t>panta</w:t>
      </w:r>
      <w:r w:rsidR="00FD40EA" w:rsidRPr="009C7A0A">
        <w:t xml:space="preserve"> otrās daļas</w:t>
      </w:r>
      <w:r w:rsidR="008A73B6" w:rsidRPr="009C7A0A">
        <w:t xml:space="preserve"> sankciju</w:t>
      </w:r>
      <w:r w:rsidR="00FC6988" w:rsidRPr="009C7A0A">
        <w:t>, nebija pamata atzīt</w:t>
      </w:r>
      <w:r w:rsidR="000E585B" w:rsidRPr="009C7A0A">
        <w:t>, ka nodarījums veido noziedzīgu nodarījumu ideālo kopību.</w:t>
      </w:r>
      <w:r w:rsidR="00AF461A" w:rsidRPr="009C7A0A">
        <w:t xml:space="preserve"> Minētais atzīstams par Kriminālprocesa likuma 574. panta 2. punkt</w:t>
      </w:r>
      <w:r w:rsidR="00F8014B" w:rsidRPr="009C7A0A">
        <w:t>ā paredzēto Krimināllikuma</w:t>
      </w:r>
      <w:r w:rsidR="00AF461A" w:rsidRPr="009C7A0A">
        <w:t xml:space="preserve"> pārkāpumu</w:t>
      </w:r>
      <w:r w:rsidR="00A34091" w:rsidRPr="009C7A0A">
        <w:t>.</w:t>
      </w:r>
    </w:p>
    <w:p w14:paraId="383193D7" w14:textId="6C5DDA00" w:rsidR="00463E79" w:rsidRPr="009C7A0A" w:rsidRDefault="006A7205" w:rsidP="009C7A0A">
      <w:pPr>
        <w:widowControl w:val="0"/>
        <w:tabs>
          <w:tab w:val="left" w:pos="2811"/>
        </w:tabs>
        <w:spacing w:line="276" w:lineRule="auto"/>
        <w:ind w:firstLine="720"/>
        <w:contextualSpacing/>
        <w:jc w:val="both"/>
      </w:pPr>
      <w:r w:rsidRPr="009C7A0A">
        <w:t>[6.1</w:t>
      </w:r>
      <w:r w:rsidR="007916FF" w:rsidRPr="009C7A0A">
        <w:t>3</w:t>
      </w:r>
      <w:r w:rsidRPr="009C7A0A">
        <w:t>]</w:t>
      </w:r>
      <w:r w:rsidR="009C7A69" w:rsidRPr="009C7A0A">
        <w:t> </w:t>
      </w:r>
      <w:r w:rsidR="00003E8F" w:rsidRPr="009C7A0A">
        <w:t>Konkrētajā</w:t>
      </w:r>
      <w:r w:rsidR="003C16B9" w:rsidRPr="009C7A0A">
        <w:t xml:space="preserve"> krimināllietā </w:t>
      </w:r>
      <w:r w:rsidR="00003E8F" w:rsidRPr="009C7A0A">
        <w:t xml:space="preserve">nav </w:t>
      </w:r>
      <w:r w:rsidR="003C16B9" w:rsidRPr="009C7A0A">
        <w:t xml:space="preserve">celta apsūdzība pret </w:t>
      </w:r>
      <w:r w:rsidR="00BB72F6" w:rsidRPr="009C7A0A">
        <w:rPr>
          <w:bCs/>
          <w:color w:val="000000"/>
        </w:rPr>
        <w:t>SIA „</w:t>
      </w:r>
      <w:r w:rsidR="00CE2B5D">
        <w:rPr>
          <w:bCs/>
          <w:color w:val="000000"/>
        </w:rPr>
        <w:t>[Nosaukums</w:t>
      </w:r>
      <w:r w:rsidR="003E7DF3">
        <w:rPr>
          <w:bCs/>
          <w:color w:val="000000"/>
        </w:rPr>
        <w:t> </w:t>
      </w:r>
      <w:r w:rsidR="00CE2B5D">
        <w:rPr>
          <w:bCs/>
          <w:color w:val="000000"/>
        </w:rPr>
        <w:t>F]</w:t>
      </w:r>
      <w:r w:rsidR="00BB72F6" w:rsidRPr="009C7A0A">
        <w:rPr>
          <w:bCs/>
          <w:color w:val="000000"/>
        </w:rPr>
        <w:t>”</w:t>
      </w:r>
      <w:r w:rsidR="00340E5A" w:rsidRPr="009C7A0A">
        <w:t xml:space="preserve"> amatpersonām vai darbiniekiem</w:t>
      </w:r>
      <w:r w:rsidR="00206E85" w:rsidRPr="009C7A0A">
        <w:t>,</w:t>
      </w:r>
      <w:r w:rsidR="001E781C" w:rsidRPr="009C7A0A">
        <w:t xml:space="preserve"> un apelācijas instances tiesa spriedumā</w:t>
      </w:r>
      <w:r w:rsidR="00D10621" w:rsidRPr="009C7A0A">
        <w:t xml:space="preserve"> </w:t>
      </w:r>
      <w:r w:rsidR="009B7E8C" w:rsidRPr="009C7A0A">
        <w:t>nav</w:t>
      </w:r>
      <w:r w:rsidR="002548BD" w:rsidRPr="009C7A0A">
        <w:t xml:space="preserve"> </w:t>
      </w:r>
      <w:r w:rsidR="00D73938" w:rsidRPr="009C7A0A">
        <w:t>iz</w:t>
      </w:r>
      <w:r w:rsidR="00BB7DC7" w:rsidRPr="009C7A0A">
        <w:t>vērtējusi</w:t>
      </w:r>
      <w:r w:rsidR="00D10621" w:rsidRPr="009C7A0A">
        <w:t xml:space="preserve">, vai </w:t>
      </w:r>
      <w:r w:rsidR="009B7E8C" w:rsidRPr="009C7A0A">
        <w:t xml:space="preserve">starp </w:t>
      </w:r>
      <w:r w:rsidR="00D10621" w:rsidRPr="009C7A0A">
        <w:t>šo personu rīcīb</w:t>
      </w:r>
      <w:r w:rsidR="00C727C0" w:rsidRPr="009C7A0A">
        <w:t>u un ēkas sagrūšanu</w:t>
      </w:r>
      <w:r w:rsidR="00D10621" w:rsidRPr="009C7A0A">
        <w:t xml:space="preserve"> </w:t>
      </w:r>
      <w:r w:rsidR="00C727C0" w:rsidRPr="009C7A0A">
        <w:t>konstatējama cēloņsakarība</w:t>
      </w:r>
      <w:r w:rsidR="00C730D7" w:rsidRPr="009C7A0A">
        <w:t>.</w:t>
      </w:r>
    </w:p>
    <w:p w14:paraId="60E4B568" w14:textId="2F2D1EB6" w:rsidR="00E757AC" w:rsidRPr="009C7A0A" w:rsidRDefault="000E6C87" w:rsidP="00ED67BA">
      <w:pPr>
        <w:widowControl w:val="0"/>
        <w:tabs>
          <w:tab w:val="left" w:pos="2811"/>
        </w:tabs>
        <w:spacing w:line="276" w:lineRule="auto"/>
        <w:ind w:firstLine="720"/>
        <w:contextualSpacing/>
        <w:jc w:val="both"/>
      </w:pPr>
      <w:r w:rsidRPr="009C7A0A">
        <w:t xml:space="preserve">Tiesa, konstatējot, ka </w:t>
      </w:r>
      <w:bookmarkStart w:id="3" w:name="_Hlk183606260"/>
      <w:r w:rsidR="00BB72F6" w:rsidRPr="009C7A0A">
        <w:rPr>
          <w:bCs/>
          <w:color w:val="000000"/>
        </w:rPr>
        <w:t>SIA „</w:t>
      </w:r>
      <w:r w:rsidR="00A077D9">
        <w:rPr>
          <w:bCs/>
          <w:color w:val="000000"/>
        </w:rPr>
        <w:t>[Nosaukums</w:t>
      </w:r>
      <w:r w:rsidR="003E7DF3">
        <w:rPr>
          <w:bCs/>
          <w:color w:val="000000"/>
        </w:rPr>
        <w:t> </w:t>
      </w:r>
      <w:r w:rsidR="00A077D9">
        <w:rPr>
          <w:bCs/>
          <w:color w:val="000000"/>
        </w:rPr>
        <w:t>F]</w:t>
      </w:r>
      <w:r w:rsidR="00BB72F6" w:rsidRPr="009C7A0A">
        <w:rPr>
          <w:bCs/>
          <w:color w:val="000000"/>
        </w:rPr>
        <w:t>”</w:t>
      </w:r>
      <w:bookmarkEnd w:id="3"/>
      <w:r w:rsidRPr="009C7A0A">
        <w:t xml:space="preserve"> 2011. gada 28. februārī izgatavoja tērauda konstrukcijas (sijas salikumā, kopne</w:t>
      </w:r>
      <w:r w:rsidRPr="0088417A">
        <w:t xml:space="preserve">) un </w:t>
      </w:r>
      <w:r w:rsidR="00841558" w:rsidRPr="0088417A">
        <w:t>SIA</w:t>
      </w:r>
      <w:r w:rsidR="00EC5B95" w:rsidRPr="0088417A">
        <w:t> „</w:t>
      </w:r>
      <w:r w:rsidR="00841558" w:rsidRPr="0088417A">
        <w:t>MONCE”,</w:t>
      </w:r>
      <w:r w:rsidR="00841558" w:rsidRPr="009C7A0A">
        <w:t xml:space="preserve"> pamatojoties uz </w:t>
      </w:r>
      <w:r w:rsidR="00EC5B95" w:rsidRPr="009C7A0A">
        <w:t xml:space="preserve">2011. gada 26. janvāra apakšuzņēmuma līgumu ar </w:t>
      </w:r>
      <w:r w:rsidR="00EC5B95" w:rsidRPr="009C7A0A">
        <w:rPr>
          <w:bCs/>
          <w:color w:val="000000"/>
        </w:rPr>
        <w:t>SIA „</w:t>
      </w:r>
      <w:r w:rsidR="00E83335">
        <w:rPr>
          <w:bCs/>
          <w:color w:val="000000"/>
        </w:rPr>
        <w:t>[Nosaukums</w:t>
      </w:r>
      <w:r w:rsidR="003E7DF3">
        <w:rPr>
          <w:bCs/>
          <w:color w:val="000000"/>
        </w:rPr>
        <w:t> </w:t>
      </w:r>
      <w:r w:rsidR="00E83335">
        <w:rPr>
          <w:bCs/>
          <w:color w:val="000000"/>
        </w:rPr>
        <w:t>F]</w:t>
      </w:r>
      <w:r w:rsidR="00EC5B95" w:rsidRPr="009C7A0A">
        <w:rPr>
          <w:bCs/>
          <w:color w:val="000000"/>
        </w:rPr>
        <w:t xml:space="preserve">”, </w:t>
      </w:r>
      <w:r w:rsidRPr="009C7A0A">
        <w:t xml:space="preserve">veica šo konstrukciju montāžu, nav </w:t>
      </w:r>
      <w:r w:rsidR="00E863F7" w:rsidRPr="009C7A0A">
        <w:t>izvērtējusi</w:t>
      </w:r>
      <w:r w:rsidRPr="009C7A0A">
        <w:t>, ka: 1) </w:t>
      </w:r>
      <w:r w:rsidR="00BB72F6" w:rsidRPr="009C7A0A">
        <w:rPr>
          <w:bCs/>
          <w:color w:val="000000"/>
        </w:rPr>
        <w:t>SIA „</w:t>
      </w:r>
      <w:r w:rsidR="00E83335">
        <w:rPr>
          <w:bCs/>
          <w:color w:val="000000"/>
        </w:rPr>
        <w:t>[Nosaukums</w:t>
      </w:r>
      <w:r w:rsidR="003E7DF3">
        <w:rPr>
          <w:bCs/>
          <w:color w:val="000000"/>
        </w:rPr>
        <w:t> </w:t>
      </w:r>
      <w:r w:rsidR="00E83335">
        <w:rPr>
          <w:bCs/>
          <w:color w:val="000000"/>
        </w:rPr>
        <w:t>F]</w:t>
      </w:r>
      <w:r w:rsidR="00BB72F6" w:rsidRPr="009C7A0A">
        <w:rPr>
          <w:bCs/>
          <w:color w:val="000000"/>
        </w:rPr>
        <w:t>”</w:t>
      </w:r>
      <w:r w:rsidRPr="009C7A0A">
        <w:t xml:space="preserve"> izstrādāj</w:t>
      </w:r>
      <w:r w:rsidR="00E07F26" w:rsidRPr="009C7A0A">
        <w:t>a</w:t>
      </w:r>
      <w:r w:rsidRPr="009C7A0A">
        <w:t xml:space="preserve"> šo kopņu detalizācijas rasējumus</w:t>
      </w:r>
      <w:r w:rsidR="00263C9E" w:rsidRPr="009C7A0A">
        <w:t xml:space="preserve"> un</w:t>
      </w:r>
      <w:r w:rsidRPr="009C7A0A">
        <w:t xml:space="preserve"> detalizācijas plānu, kurā</w:t>
      </w:r>
      <w:r w:rsidR="00E07F26" w:rsidRPr="009C7A0A">
        <w:t xml:space="preserve"> </w:t>
      </w:r>
      <w:r w:rsidRPr="009C7A0A">
        <w:t>kopne</w:t>
      </w:r>
      <w:r w:rsidR="009D1B05" w:rsidRPr="009C7A0A">
        <w:t xml:space="preserve"> tika</w:t>
      </w:r>
      <w:r w:rsidRPr="009C7A0A">
        <w:t xml:space="preserve"> sadalī</w:t>
      </w:r>
      <w:r w:rsidR="009D1B05" w:rsidRPr="009C7A0A">
        <w:t>ta</w:t>
      </w:r>
      <w:r w:rsidRPr="009C7A0A">
        <w:t>; 2) </w:t>
      </w:r>
      <w:r w:rsidR="00BB72F6" w:rsidRPr="009C7A0A">
        <w:rPr>
          <w:bCs/>
          <w:color w:val="000000"/>
        </w:rPr>
        <w:t>SIA „</w:t>
      </w:r>
      <w:r w:rsidR="00D66DE0">
        <w:rPr>
          <w:bCs/>
          <w:color w:val="000000"/>
        </w:rPr>
        <w:t>[Nosaukums</w:t>
      </w:r>
      <w:r w:rsidR="003E7DF3">
        <w:rPr>
          <w:bCs/>
          <w:color w:val="000000"/>
        </w:rPr>
        <w:t> </w:t>
      </w:r>
      <w:r w:rsidR="00D66DE0">
        <w:rPr>
          <w:bCs/>
          <w:color w:val="000000"/>
        </w:rPr>
        <w:t>F]</w:t>
      </w:r>
      <w:r w:rsidR="00BB72F6" w:rsidRPr="009C7A0A">
        <w:rPr>
          <w:bCs/>
          <w:color w:val="000000"/>
        </w:rPr>
        <w:t>”</w:t>
      </w:r>
      <w:r w:rsidRPr="009C7A0A">
        <w:t xml:space="preserve"> ražoja kopnes kā gatavu būvizstrādājumu un </w:t>
      </w:r>
      <w:r w:rsidR="004A0A28" w:rsidRPr="009C7A0A">
        <w:t xml:space="preserve">nogādāja </w:t>
      </w:r>
      <w:r w:rsidR="004A0A28" w:rsidRPr="009C7A0A">
        <w:lastRenderedPageBreak/>
        <w:t>komplektu</w:t>
      </w:r>
      <w:r w:rsidR="00E56340" w:rsidRPr="009C7A0A">
        <w:t xml:space="preserve">, tai </w:t>
      </w:r>
      <w:r w:rsidR="004A0A28" w:rsidRPr="009C7A0A">
        <w:t>skaitā</w:t>
      </w:r>
      <w:r w:rsidR="00243DD1" w:rsidRPr="009C7A0A">
        <w:t xml:space="preserve"> skrūves</w:t>
      </w:r>
      <w:r w:rsidR="00E56340" w:rsidRPr="009C7A0A">
        <w:t>,</w:t>
      </w:r>
      <w:r w:rsidRPr="009C7A0A">
        <w:t xml:space="preserve"> uz objektu; 3) </w:t>
      </w:r>
      <w:r w:rsidR="00BB72F6" w:rsidRPr="009C7A0A">
        <w:rPr>
          <w:bCs/>
          <w:color w:val="000000"/>
        </w:rPr>
        <w:t>SIA „</w:t>
      </w:r>
      <w:r w:rsidR="00D66DE0">
        <w:rPr>
          <w:bCs/>
          <w:color w:val="000000"/>
        </w:rPr>
        <w:t>[Nosaukums</w:t>
      </w:r>
      <w:r w:rsidR="00B76DE3">
        <w:rPr>
          <w:bCs/>
          <w:color w:val="000000"/>
        </w:rPr>
        <w:t> </w:t>
      </w:r>
      <w:r w:rsidR="00D66DE0">
        <w:rPr>
          <w:bCs/>
          <w:color w:val="000000"/>
        </w:rPr>
        <w:t>F]</w:t>
      </w:r>
      <w:r w:rsidR="00BB72F6" w:rsidRPr="009C7A0A">
        <w:rPr>
          <w:bCs/>
          <w:color w:val="000000"/>
        </w:rPr>
        <w:t xml:space="preserve">” </w:t>
      </w:r>
      <w:r w:rsidRPr="009C7A0A">
        <w:t>vienlaikus ar metāla kopņu pasi izdeva atbilstības deklarāciju Nr. D-58/R; 4) </w:t>
      </w:r>
      <w:r w:rsidR="00D301F9" w:rsidRPr="009C7A0A">
        <w:t xml:space="preserve">šajā </w:t>
      </w:r>
      <w:r w:rsidRPr="009C7A0A">
        <w:t>deklarācijā kā komplektējošā daļa norādītas arī skrūves ar stiprības klasi 8.8; 5) lieciniek</w:t>
      </w:r>
      <w:r w:rsidR="00B942F2" w:rsidRPr="009C7A0A">
        <w:t>s</w:t>
      </w:r>
      <w:r w:rsidRPr="009C7A0A">
        <w:t xml:space="preserve"> </w:t>
      </w:r>
      <w:r w:rsidR="002A67FF">
        <w:t>[pers.</w:t>
      </w:r>
      <w:r w:rsidR="00BA5C9E">
        <w:t> </w:t>
      </w:r>
      <w:r w:rsidR="002A67FF">
        <w:t>LB]</w:t>
      </w:r>
      <w:r w:rsidRPr="009C7A0A">
        <w:t xml:space="preserve"> </w:t>
      </w:r>
      <w:r w:rsidR="00B942F2" w:rsidRPr="009C7A0A">
        <w:t xml:space="preserve">liecināja, ka kopnes rasējumā nebija norādīta </w:t>
      </w:r>
      <w:r w:rsidR="00B62E42" w:rsidRPr="009C7A0A">
        <w:t xml:space="preserve">metāla </w:t>
      </w:r>
      <w:r w:rsidR="008C70EE" w:rsidRPr="009C7A0A">
        <w:t>stiprība</w:t>
      </w:r>
      <w:r w:rsidR="000E5516" w:rsidRPr="009C7A0A">
        <w:t>, piepūles kopnes stieņos vai slodze uz kopni</w:t>
      </w:r>
      <w:r w:rsidR="008C70EE" w:rsidRPr="009C7A0A">
        <w:t>; 6) lieciniek</w:t>
      </w:r>
      <w:r w:rsidR="00B942F2" w:rsidRPr="009C7A0A">
        <w:t>s</w:t>
      </w:r>
      <w:r w:rsidR="008C70EE" w:rsidRPr="009C7A0A">
        <w:t xml:space="preserve"> </w:t>
      </w:r>
      <w:r w:rsidR="00ED67BA">
        <w:t>[pers.</w:t>
      </w:r>
      <w:r w:rsidR="00A34EA5">
        <w:t> </w:t>
      </w:r>
      <w:r w:rsidR="00ED67BA">
        <w:t>LS]</w:t>
      </w:r>
      <w:r w:rsidR="008C70EE" w:rsidRPr="009C7A0A">
        <w:t xml:space="preserve"> </w:t>
      </w:r>
      <w:r w:rsidR="00B942F2" w:rsidRPr="009C7A0A">
        <w:t>liecināj</w:t>
      </w:r>
      <w:r w:rsidR="00CD4148" w:rsidRPr="009C7A0A">
        <w:t>a</w:t>
      </w:r>
      <w:r w:rsidR="00B942F2" w:rsidRPr="009C7A0A">
        <w:t xml:space="preserve">, </w:t>
      </w:r>
      <w:r w:rsidR="00085018" w:rsidRPr="009C7A0A">
        <w:t>ka</w:t>
      </w:r>
      <w:r w:rsidR="00CD4148" w:rsidRPr="009C7A0A">
        <w:t xml:space="preserve"> 8.8. klases</w:t>
      </w:r>
      <w:r w:rsidR="00085018" w:rsidRPr="009C7A0A">
        <w:t xml:space="preserve"> </w:t>
      </w:r>
      <w:r w:rsidR="00CD4148" w:rsidRPr="009C7A0A">
        <w:t>bult</w:t>
      </w:r>
      <w:r w:rsidR="00085018" w:rsidRPr="009C7A0A">
        <w:t xml:space="preserve">skrūves nav pietiekami stipras un nespēs noturēt </w:t>
      </w:r>
      <w:r w:rsidR="00CD4148" w:rsidRPr="009C7A0A">
        <w:t xml:space="preserve">minēto </w:t>
      </w:r>
      <w:r w:rsidR="00085018" w:rsidRPr="009C7A0A">
        <w:t>konstrukciju</w:t>
      </w:r>
      <w:r w:rsidR="008C70EE" w:rsidRPr="009C7A0A">
        <w:t>; 7) Patērētāju tiesību aizsardzības centra 2015. gada 5. janvāra atzinum</w:t>
      </w:r>
      <w:r w:rsidR="00CA764F" w:rsidRPr="009C7A0A">
        <w:t>ā</w:t>
      </w:r>
      <w:r w:rsidR="008C70EE" w:rsidRPr="009C7A0A">
        <w:t xml:space="preserve"> Nr. 4.2.-2/20</w:t>
      </w:r>
      <w:r w:rsidR="00CA764F" w:rsidRPr="009C7A0A">
        <w:t xml:space="preserve"> konstatēts, ka iesniegtās bultskrūves un uzgriežņi nav nodrošināti ar standartos noteikto marķējumu un </w:t>
      </w:r>
      <w:r w:rsidR="00B360DA" w:rsidRPr="009C7A0A">
        <w:t>objektā izmantotās bultskrūves un uzgriežņi nav nodrošināti ar normatīvajos tiesību aktos atbilstību apliecinošiem dokumentiem</w:t>
      </w:r>
      <w:r w:rsidR="008C70EE" w:rsidRPr="009C7A0A">
        <w:t>; 8) </w:t>
      </w:r>
      <w:r w:rsidR="00B80C06" w:rsidRPr="009C7A0A">
        <w:t xml:space="preserve">no </w:t>
      </w:r>
      <w:r w:rsidR="008C70EE" w:rsidRPr="009C7A0A">
        <w:t xml:space="preserve">Rīgas </w:t>
      </w:r>
      <w:r w:rsidR="00B51028" w:rsidRPr="009C7A0A">
        <w:t>T</w:t>
      </w:r>
      <w:r w:rsidR="008C70EE" w:rsidRPr="009C7A0A">
        <w:t>ehniskās universitātes Nesagraujošo testēšanas metožu laboratorijas 2013. gada 28. novembra slēdzien</w:t>
      </w:r>
      <w:r w:rsidR="00B80C06" w:rsidRPr="009C7A0A">
        <w:t>a secināms, ka</w:t>
      </w:r>
      <w:r w:rsidR="00AE1437" w:rsidRPr="009C7A0A">
        <w:t xml:space="preserve"> uzgriežņu un atbilstošo skrūvju cietība</w:t>
      </w:r>
      <w:r w:rsidR="00B80C06" w:rsidRPr="009C7A0A">
        <w:t xml:space="preserve"> </w:t>
      </w:r>
      <w:r w:rsidR="00AE1437" w:rsidRPr="009C7A0A">
        <w:t>būtisk</w:t>
      </w:r>
      <w:r w:rsidR="00B80C06" w:rsidRPr="009C7A0A">
        <w:t>i</w:t>
      </w:r>
      <w:r w:rsidR="00AE1437" w:rsidRPr="009C7A0A">
        <w:t xml:space="preserve"> atšķir</w:t>
      </w:r>
      <w:r w:rsidR="00B80C06" w:rsidRPr="009C7A0A">
        <w:t>as</w:t>
      </w:r>
      <w:r w:rsidR="008C70EE" w:rsidRPr="009C7A0A">
        <w:t>; 9) 2014. gada 18. decembra kompleksā</w:t>
      </w:r>
      <w:r w:rsidR="006C6932" w:rsidRPr="009C7A0A">
        <w:t>s ekspertīzes</w:t>
      </w:r>
      <w:r w:rsidR="008C70EE" w:rsidRPr="009C7A0A">
        <w:t xml:space="preserve"> ekspertu atzinuma secinājumus par bultskrū</w:t>
      </w:r>
      <w:r w:rsidR="0082428E" w:rsidRPr="009C7A0A">
        <w:t>v</w:t>
      </w:r>
      <w:r w:rsidR="008C70EE" w:rsidRPr="009C7A0A">
        <w:t>ju un uzgriežņu nestspēju, to neatbilstību standartiem</w:t>
      </w:r>
      <w:r w:rsidR="004338EF" w:rsidRPr="009C7A0A">
        <w:t>; 10) </w:t>
      </w:r>
      <w:r w:rsidR="00B16877" w:rsidRPr="009C7A0A">
        <w:t xml:space="preserve">metāla konstrukciju detalizācijas </w:t>
      </w:r>
      <w:r w:rsidR="004338EF" w:rsidRPr="009C7A0A">
        <w:t>rasējumus izstrādāja persona bez nepieciešamās kvalifikācijas un sertifikā</w:t>
      </w:r>
      <w:r w:rsidR="00B16877" w:rsidRPr="009C7A0A">
        <w:t>ta</w:t>
      </w:r>
      <w:r w:rsidR="004338EF" w:rsidRPr="009C7A0A">
        <w:t>.</w:t>
      </w:r>
    </w:p>
    <w:p w14:paraId="61F990A5" w14:textId="3E342F91" w:rsidR="002D4E3F" w:rsidRPr="009C7A0A" w:rsidRDefault="00900804" w:rsidP="009C7A0A">
      <w:pPr>
        <w:widowControl w:val="0"/>
        <w:tabs>
          <w:tab w:val="left" w:pos="2811"/>
        </w:tabs>
        <w:spacing w:line="276" w:lineRule="auto"/>
        <w:ind w:firstLine="720"/>
        <w:contextualSpacing/>
        <w:jc w:val="both"/>
      </w:pPr>
      <w:r w:rsidRPr="009C7A0A">
        <w:t>Neizvērtējot šos apstākļus, apelācijas instances tiesa nav pietiekami pamatojusi</w:t>
      </w:r>
      <w:r w:rsidR="008B7811" w:rsidRPr="009C7A0A">
        <w:t xml:space="preserve"> atzinumu par cēloņsakarību starp </w:t>
      </w:r>
      <w:r w:rsidR="00D503C5">
        <w:rPr>
          <w:rFonts w:eastAsia="Calibri"/>
          <w:shd w:val="clear" w:color="auto" w:fill="FFFFFF"/>
        </w:rPr>
        <w:t>[pers. A]</w:t>
      </w:r>
      <w:r w:rsidR="008B7811" w:rsidRPr="009C7A0A">
        <w:t xml:space="preserve"> inkriminēto nodarījumu un </w:t>
      </w:r>
      <w:r w:rsidR="00A84475" w:rsidRPr="009C7A0A">
        <w:t xml:space="preserve">sekām. Turklāt tiesa nav </w:t>
      </w:r>
      <w:r w:rsidR="0078560B" w:rsidRPr="009C7A0A">
        <w:t xml:space="preserve">ņēmusi vērā, ka konkrētajos apstākļos ir pamats vērtēt </w:t>
      </w:r>
      <w:r w:rsidR="00E757AC" w:rsidRPr="009C7A0A">
        <w:t xml:space="preserve">iespējamās cēloņsakarības esību starp </w:t>
      </w:r>
      <w:r w:rsidR="0078560B" w:rsidRPr="009C7A0A">
        <w:t xml:space="preserve">citu būvniecības procesa dalībnieku rīcību un </w:t>
      </w:r>
      <w:r w:rsidR="00E757AC" w:rsidRPr="009C7A0A">
        <w:t>ēkas sagrūšanu.</w:t>
      </w:r>
    </w:p>
    <w:p w14:paraId="69B765FC" w14:textId="106A4525" w:rsidR="00D755DF" w:rsidRPr="009C7A0A" w:rsidRDefault="00DE0884" w:rsidP="009C7A0A">
      <w:pPr>
        <w:widowControl w:val="0"/>
        <w:tabs>
          <w:tab w:val="left" w:pos="2811"/>
        </w:tabs>
        <w:spacing w:line="276" w:lineRule="auto"/>
        <w:ind w:firstLine="720"/>
        <w:contextualSpacing/>
        <w:jc w:val="both"/>
      </w:pPr>
      <w:r w:rsidRPr="009C7A0A">
        <w:t>[6.1</w:t>
      </w:r>
      <w:r w:rsidR="00D755DF" w:rsidRPr="009C7A0A">
        <w:t>4</w:t>
      </w:r>
      <w:r w:rsidRPr="009C7A0A">
        <w:t>]</w:t>
      </w:r>
      <w:r w:rsidR="009C7A69" w:rsidRPr="009C7A0A">
        <w:t> </w:t>
      </w:r>
      <w:r w:rsidR="00305FE4" w:rsidRPr="009C7A0A">
        <w:t xml:space="preserve">Tiesa </w:t>
      </w:r>
      <w:r w:rsidR="009E56AA" w:rsidRPr="009C7A0A">
        <w:t>nepamatoti izmantojusi</w:t>
      </w:r>
      <w:r w:rsidR="00305FE4" w:rsidRPr="009C7A0A">
        <w:t xml:space="preserve"> galvenā cēloņa teoriju, lai </w:t>
      </w:r>
      <w:r w:rsidRPr="009C7A0A">
        <w:t>faktisko ēkas nogruvuma cēloni un tā rezultātā nodarīto kaitējumu</w:t>
      </w:r>
      <w:r w:rsidR="00305FE4" w:rsidRPr="009C7A0A">
        <w:t xml:space="preserve"> </w:t>
      </w:r>
      <w:r w:rsidR="00DE16D9" w:rsidRPr="009C7A0A">
        <w:t>attiecinā</w:t>
      </w:r>
      <w:r w:rsidR="00305FE4" w:rsidRPr="009C7A0A">
        <w:t>tu</w:t>
      </w:r>
      <w:r w:rsidR="00DE16D9" w:rsidRPr="009C7A0A">
        <w:t xml:space="preserve"> uz apsūdzēto </w:t>
      </w:r>
      <w:r w:rsidR="000D70B4">
        <w:rPr>
          <w:rFonts w:eastAsia="Calibri"/>
          <w:shd w:val="clear" w:color="auto" w:fill="FFFFFF"/>
        </w:rPr>
        <w:t>[pers. A]</w:t>
      </w:r>
      <w:r w:rsidR="00D161B4" w:rsidRPr="009C7A0A">
        <w:t xml:space="preserve">, </w:t>
      </w:r>
      <w:r w:rsidR="003856D9" w:rsidRPr="009C7A0A">
        <w:t>jo</w:t>
      </w:r>
      <w:r w:rsidR="00D161B4" w:rsidRPr="009C7A0A">
        <w:t xml:space="preserve"> </w:t>
      </w:r>
      <w:r w:rsidR="003856D9" w:rsidRPr="009C7A0A">
        <w:t xml:space="preserve">šajā gadījumā </w:t>
      </w:r>
      <w:r w:rsidR="00D161B4" w:rsidRPr="009C7A0A">
        <w:t xml:space="preserve">par piemērotāko </w:t>
      </w:r>
      <w:r w:rsidR="003856D9" w:rsidRPr="009C7A0A">
        <w:t>atzīstama</w:t>
      </w:r>
      <w:r w:rsidR="00D161B4" w:rsidRPr="009C7A0A">
        <w:t xml:space="preserve"> </w:t>
      </w:r>
      <w:proofErr w:type="spellStart"/>
      <w:r w:rsidR="00D161B4" w:rsidRPr="009C7A0A">
        <w:rPr>
          <w:i/>
          <w:iCs/>
        </w:rPr>
        <w:t>conditio</w:t>
      </w:r>
      <w:proofErr w:type="spellEnd"/>
      <w:r w:rsidR="00D161B4" w:rsidRPr="009C7A0A">
        <w:rPr>
          <w:i/>
          <w:iCs/>
        </w:rPr>
        <w:t xml:space="preserve"> </w:t>
      </w:r>
      <w:proofErr w:type="spellStart"/>
      <w:r w:rsidR="00D161B4" w:rsidRPr="009C7A0A">
        <w:rPr>
          <w:i/>
          <w:iCs/>
        </w:rPr>
        <w:t>sine</w:t>
      </w:r>
      <w:proofErr w:type="spellEnd"/>
      <w:r w:rsidR="00D161B4" w:rsidRPr="009C7A0A">
        <w:rPr>
          <w:i/>
          <w:iCs/>
        </w:rPr>
        <w:t xml:space="preserve"> </w:t>
      </w:r>
      <w:proofErr w:type="spellStart"/>
      <w:r w:rsidR="00D161B4" w:rsidRPr="009C7A0A">
        <w:rPr>
          <w:i/>
          <w:iCs/>
        </w:rPr>
        <w:t>qua</w:t>
      </w:r>
      <w:proofErr w:type="spellEnd"/>
      <w:r w:rsidR="00D161B4" w:rsidRPr="009C7A0A">
        <w:rPr>
          <w:i/>
          <w:iCs/>
        </w:rPr>
        <w:t xml:space="preserve"> non </w:t>
      </w:r>
      <w:r w:rsidR="0037535E" w:rsidRPr="009C7A0A">
        <w:t xml:space="preserve">jeb </w:t>
      </w:r>
      <w:r w:rsidR="00C82526" w:rsidRPr="009C7A0A">
        <w:t>ekvivalences</w:t>
      </w:r>
      <w:r w:rsidR="0037535E" w:rsidRPr="009C7A0A">
        <w:t>/</w:t>
      </w:r>
      <w:r w:rsidR="00C82526" w:rsidRPr="009C7A0A">
        <w:t>nosacījuma teorija</w:t>
      </w:r>
      <w:r w:rsidR="007972BC" w:rsidRPr="009C7A0A">
        <w:t>, k</w:t>
      </w:r>
      <w:r w:rsidR="00790BCE" w:rsidRPr="009C7A0A">
        <w:t>as</w:t>
      </w:r>
      <w:r w:rsidR="007972BC" w:rsidRPr="009C7A0A">
        <w:t xml:space="preserve"> noteic, ka kaitīgās sekas var iestāties vairāku cēloņu apvienošanās gadījumā, piemēram, </w:t>
      </w:r>
      <w:r w:rsidR="00790BCE" w:rsidRPr="009C7A0A">
        <w:t xml:space="preserve">summējoties </w:t>
      </w:r>
      <w:r w:rsidR="007972BC" w:rsidRPr="009C7A0A">
        <w:t>vairāku cilvēku neuzmanīga</w:t>
      </w:r>
      <w:r w:rsidR="00790BCE" w:rsidRPr="009C7A0A">
        <w:t>i</w:t>
      </w:r>
      <w:r w:rsidR="007972BC" w:rsidRPr="009C7A0A">
        <w:t xml:space="preserve"> rīcība</w:t>
      </w:r>
      <w:r w:rsidR="00790BCE" w:rsidRPr="009C7A0A">
        <w:t>i, turklāt</w:t>
      </w:r>
      <w:r w:rsidR="00AC2D88" w:rsidRPr="009C7A0A">
        <w:t xml:space="preserve"> nosacījumi (cēloņi) tiek uzskatīti par līdzvērtīgiem, to sadalījums svarīgos un nesvarīgos nav pieļaujams.</w:t>
      </w:r>
    </w:p>
    <w:p w14:paraId="42EA6D49" w14:textId="2AC1ED5E" w:rsidR="00D755DF" w:rsidRPr="009C7A0A" w:rsidRDefault="007972BC" w:rsidP="009C7A0A">
      <w:pPr>
        <w:widowControl w:val="0"/>
        <w:tabs>
          <w:tab w:val="left" w:pos="2811"/>
        </w:tabs>
        <w:spacing w:line="276" w:lineRule="auto"/>
        <w:ind w:firstLine="720"/>
        <w:contextualSpacing/>
        <w:jc w:val="both"/>
      </w:pPr>
      <w:r w:rsidRPr="009C7A0A">
        <w:t>Ievērojot</w:t>
      </w:r>
      <w:r w:rsidR="00790BCE" w:rsidRPr="009C7A0A">
        <w:t xml:space="preserve"> to</w:t>
      </w:r>
      <w:r w:rsidRPr="009C7A0A">
        <w:t>, ka ēkas būvniecības procesā bija iesaistīt</w:t>
      </w:r>
      <w:r w:rsidR="00D755DF" w:rsidRPr="009C7A0A">
        <w:t>i</w:t>
      </w:r>
      <w:r w:rsidRPr="009C7A0A">
        <w:t xml:space="preserve"> vairāki būvniecības procesa dalībnieki, tostarp </w:t>
      </w:r>
      <w:r w:rsidR="00BB72F6" w:rsidRPr="009C7A0A">
        <w:rPr>
          <w:bCs/>
          <w:color w:val="000000"/>
        </w:rPr>
        <w:t>SIA „</w:t>
      </w:r>
      <w:r w:rsidR="00D17C2A">
        <w:rPr>
          <w:bCs/>
          <w:color w:val="000000"/>
        </w:rPr>
        <w:t>[Nosaukums</w:t>
      </w:r>
      <w:r w:rsidR="002462AA">
        <w:rPr>
          <w:bCs/>
          <w:color w:val="000000"/>
        </w:rPr>
        <w:t> </w:t>
      </w:r>
      <w:r w:rsidR="00D17C2A">
        <w:rPr>
          <w:bCs/>
          <w:color w:val="000000"/>
        </w:rPr>
        <w:t>F]</w:t>
      </w:r>
      <w:r w:rsidR="00BB72F6" w:rsidRPr="009C7A0A">
        <w:rPr>
          <w:bCs/>
          <w:color w:val="000000"/>
        </w:rPr>
        <w:t>”</w:t>
      </w:r>
      <w:r w:rsidRPr="009C7A0A">
        <w:t xml:space="preserve">, tiesa nav izvērtējusi, vai konkrētajā gadījumā </w:t>
      </w:r>
      <w:r w:rsidR="00FA1371" w:rsidRPr="009C7A0A">
        <w:t xml:space="preserve">ir </w:t>
      </w:r>
      <w:r w:rsidRPr="009C7A0A">
        <w:t>pamat</w:t>
      </w:r>
      <w:r w:rsidR="00FA1371" w:rsidRPr="009C7A0A">
        <w:t>s</w:t>
      </w:r>
      <w:r w:rsidRPr="009C7A0A">
        <w:t xml:space="preserve"> konstatēt kumulatīvo cēloņsakarību, kad kaitīgās sekas rada vismaz divi nosacījumi (cēloņi) summējoties, vai alternatīvo cēloņsakarību, kad sekas rada vismaz divi nosacījumi (cēloņi), ka</w:t>
      </w:r>
      <w:r w:rsidR="00502703" w:rsidRPr="009C7A0A">
        <w:t>s</w:t>
      </w:r>
      <w:r w:rsidRPr="009C7A0A">
        <w:t xml:space="preserve"> katrs atsevišķi būtu derīgs šo seku radīšanai.</w:t>
      </w:r>
    </w:p>
    <w:p w14:paraId="4D53E114" w14:textId="030836BA" w:rsidR="001A53A6" w:rsidRPr="009C7A0A" w:rsidRDefault="001A53A6" w:rsidP="009C7A0A">
      <w:pPr>
        <w:widowControl w:val="0"/>
        <w:tabs>
          <w:tab w:val="left" w:pos="2811"/>
        </w:tabs>
        <w:spacing w:line="276" w:lineRule="auto"/>
        <w:ind w:firstLine="720"/>
        <w:contextualSpacing/>
        <w:jc w:val="both"/>
      </w:pPr>
      <w:r w:rsidRPr="009C7A0A">
        <w:t xml:space="preserve">Pat pieņemot, ka </w:t>
      </w:r>
      <w:r w:rsidR="006E34A0">
        <w:rPr>
          <w:rFonts w:eastAsia="Calibri"/>
          <w:shd w:val="clear" w:color="auto" w:fill="FFFFFF"/>
        </w:rPr>
        <w:t>[pers. A]</w:t>
      </w:r>
      <w:r w:rsidRPr="009C7A0A">
        <w:t xml:space="preserve"> rīcībai ir bijis jebkāds cēloniskais sakars ar ēkas nogruvumu, tiesa nav izvērtējusi, vai</w:t>
      </w:r>
      <w:r w:rsidR="00A864B4" w:rsidRPr="009C7A0A">
        <w:t xml:space="preserve"> </w:t>
      </w:r>
      <w:r w:rsidR="0074067F" w:rsidRPr="009C7A0A">
        <w:t xml:space="preserve">arī </w:t>
      </w:r>
      <w:r w:rsidR="00BB72F6" w:rsidRPr="009C7A0A">
        <w:rPr>
          <w:bCs/>
          <w:color w:val="000000"/>
        </w:rPr>
        <w:t>SIA „</w:t>
      </w:r>
      <w:r w:rsidR="006E34A0">
        <w:rPr>
          <w:bCs/>
          <w:color w:val="000000"/>
        </w:rPr>
        <w:t>[Nosaukums</w:t>
      </w:r>
      <w:r w:rsidR="002462AA">
        <w:rPr>
          <w:bCs/>
          <w:color w:val="000000"/>
        </w:rPr>
        <w:t> </w:t>
      </w:r>
      <w:r w:rsidR="006E34A0">
        <w:rPr>
          <w:bCs/>
          <w:color w:val="000000"/>
        </w:rPr>
        <w:t>F]</w:t>
      </w:r>
      <w:r w:rsidR="00BB72F6" w:rsidRPr="009C7A0A">
        <w:rPr>
          <w:bCs/>
          <w:color w:val="000000"/>
        </w:rPr>
        <w:t>”</w:t>
      </w:r>
      <w:r w:rsidRPr="009C7A0A">
        <w:t xml:space="preserve"> rīcība </w:t>
      </w:r>
      <w:r w:rsidR="0074067F" w:rsidRPr="009C7A0A">
        <w:t>nav</w:t>
      </w:r>
      <w:r w:rsidRPr="009C7A0A">
        <w:t xml:space="preserve"> radījusi jaunu cēloņu virkni, kas rezultējās ēkas nogruvumā, piemēram, patvaļīgi izvēloties bultskrūves, uzgriežņus, kas nebija paredzēti izmantošanai slodzi nesošo metāla konstrukciju savienošanai un būtiski ietekmēja ēkas jumta konstrukcijas nestspēju.</w:t>
      </w:r>
    </w:p>
    <w:p w14:paraId="27469C19" w14:textId="244A2873" w:rsidR="0025069D" w:rsidRPr="009C7A0A" w:rsidRDefault="002A2386" w:rsidP="009C7A0A">
      <w:pPr>
        <w:widowControl w:val="0"/>
        <w:tabs>
          <w:tab w:val="left" w:pos="2811"/>
        </w:tabs>
        <w:spacing w:line="276" w:lineRule="auto"/>
        <w:ind w:firstLine="720"/>
        <w:contextualSpacing/>
        <w:jc w:val="both"/>
      </w:pPr>
      <w:r w:rsidRPr="009C7A0A">
        <w:t>[6.1</w:t>
      </w:r>
      <w:r w:rsidR="00D5425A" w:rsidRPr="009C7A0A">
        <w:t>5</w:t>
      </w:r>
      <w:r w:rsidRPr="009C7A0A">
        <w:t>]</w:t>
      </w:r>
      <w:r w:rsidR="009C7A69" w:rsidRPr="009C7A0A">
        <w:t> </w:t>
      </w:r>
      <w:r w:rsidR="002252B4" w:rsidRPr="009C7A0A">
        <w:t xml:space="preserve">Tiesa nepamatoti </w:t>
      </w:r>
      <w:r w:rsidR="003B7121" w:rsidRPr="009C7A0A">
        <w:t>un pretēji Satversmes 1., 90.</w:t>
      </w:r>
      <w:r w:rsidR="00846F6E" w:rsidRPr="009C7A0A">
        <w:t xml:space="preserve"> un</w:t>
      </w:r>
      <w:r w:rsidR="003B7121" w:rsidRPr="009C7A0A">
        <w:t xml:space="preserve"> 92. pantam </w:t>
      </w:r>
      <w:r w:rsidR="00110A90" w:rsidRPr="009C7A0A">
        <w:t xml:space="preserve">uz </w:t>
      </w:r>
      <w:r w:rsidR="00FE54E1">
        <w:rPr>
          <w:rFonts w:eastAsia="Calibri"/>
          <w:shd w:val="clear" w:color="auto" w:fill="FFFFFF"/>
        </w:rPr>
        <w:t>[pers. A]</w:t>
      </w:r>
      <w:r w:rsidR="00E64CDD" w:rsidRPr="009C7A0A">
        <w:t xml:space="preserve"> inkriminētajām</w:t>
      </w:r>
      <w:r w:rsidR="00454D13" w:rsidRPr="009C7A0A">
        <w:t xml:space="preserve"> noziedzīgajām darbībām ir</w:t>
      </w:r>
      <w:r w:rsidR="00110A90" w:rsidRPr="009C7A0A">
        <w:t xml:space="preserve"> attiecin</w:t>
      </w:r>
      <w:r w:rsidR="009B7998" w:rsidRPr="009C7A0A">
        <w:t>ājusi</w:t>
      </w:r>
      <w:r w:rsidR="00110A90" w:rsidRPr="009C7A0A">
        <w:t xml:space="preserve"> </w:t>
      </w:r>
      <w:r w:rsidR="00ED3631" w:rsidRPr="009C7A0A">
        <w:t xml:space="preserve">Padomju Sociālistisko Republiku Savienības (turpmāk – </w:t>
      </w:r>
      <w:r w:rsidR="00110A90" w:rsidRPr="009C7A0A">
        <w:t>PSRS</w:t>
      </w:r>
      <w:r w:rsidR="00ED3631" w:rsidRPr="009C7A0A">
        <w:t>)</w:t>
      </w:r>
      <w:r w:rsidR="00110A90" w:rsidRPr="009C7A0A">
        <w:t xml:space="preserve"> </w:t>
      </w:r>
      <w:r w:rsidR="008869DE" w:rsidRPr="009C7A0A">
        <w:t>būvniecības norm</w:t>
      </w:r>
      <w:r w:rsidR="00E64CDD" w:rsidRPr="009C7A0A">
        <w:t>as</w:t>
      </w:r>
      <w:r w:rsidR="008869DE" w:rsidRPr="009C7A0A">
        <w:t xml:space="preserve"> un noteikumu</w:t>
      </w:r>
      <w:r w:rsidR="00E64CDD" w:rsidRPr="009C7A0A">
        <w:t>s</w:t>
      </w:r>
      <w:r w:rsidR="009B7998" w:rsidRPr="009C7A0A">
        <w:t>. Ar</w:t>
      </w:r>
      <w:r w:rsidR="004266FC" w:rsidRPr="009C7A0A">
        <w:t>ī ekspert</w:t>
      </w:r>
      <w:r w:rsidR="0036105F" w:rsidRPr="009C7A0A">
        <w:t>u</w:t>
      </w:r>
      <w:r w:rsidR="00536B59" w:rsidRPr="009C7A0A">
        <w:t xml:space="preserve"> atzinumā</w:t>
      </w:r>
      <w:r w:rsidR="004266FC" w:rsidRPr="009C7A0A">
        <w:t xml:space="preserve"> </w:t>
      </w:r>
      <w:r w:rsidR="009B7998" w:rsidRPr="009C7A0A">
        <w:t xml:space="preserve">ietvertas </w:t>
      </w:r>
      <w:r w:rsidR="004266FC" w:rsidRPr="009C7A0A">
        <w:t>nepamatotas atsauces uz šie</w:t>
      </w:r>
      <w:r w:rsidR="00B54F53" w:rsidRPr="009C7A0A">
        <w:t>m</w:t>
      </w:r>
      <w:r w:rsidR="004266FC" w:rsidRPr="009C7A0A">
        <w:t xml:space="preserve"> noteikumiem</w:t>
      </w:r>
      <w:r w:rsidR="00110A90" w:rsidRPr="009C7A0A">
        <w:t xml:space="preserve">, jo </w:t>
      </w:r>
      <w:r w:rsidR="00B54F53" w:rsidRPr="009C7A0A">
        <w:t>tie</w:t>
      </w:r>
      <w:r w:rsidR="00110A90" w:rsidRPr="009C7A0A">
        <w:t xml:space="preserve"> nevar tikt uzskatīti par Latvijas Republikai saistoš</w:t>
      </w:r>
      <w:r w:rsidR="00C731C7" w:rsidRPr="009C7A0A">
        <w:t>aj</w:t>
      </w:r>
      <w:r w:rsidR="00110A90" w:rsidRPr="009C7A0A">
        <w:t xml:space="preserve">iem normatīvajiem </w:t>
      </w:r>
      <w:r w:rsidR="00C731C7" w:rsidRPr="009C7A0A">
        <w:t xml:space="preserve">tiesību </w:t>
      </w:r>
      <w:r w:rsidR="00110A90" w:rsidRPr="009C7A0A">
        <w:t>aktiem un nebija spēkā ne</w:t>
      </w:r>
      <w:r w:rsidR="0025069D" w:rsidRPr="009C7A0A">
        <w:t>dz</w:t>
      </w:r>
      <w:r w:rsidR="00110A90" w:rsidRPr="009C7A0A">
        <w:t xml:space="preserve"> projekta izstrādes, ne</w:t>
      </w:r>
      <w:r w:rsidR="0025069D" w:rsidRPr="009C7A0A">
        <w:t>dz</w:t>
      </w:r>
      <w:r w:rsidR="00110A90" w:rsidRPr="009C7A0A">
        <w:t xml:space="preserve"> būvniecības laikā.</w:t>
      </w:r>
    </w:p>
    <w:p w14:paraId="4270157F" w14:textId="3462C1C5" w:rsidR="007F5D99" w:rsidRPr="009C7A0A" w:rsidRDefault="0036105F" w:rsidP="009C7A0A">
      <w:pPr>
        <w:widowControl w:val="0"/>
        <w:tabs>
          <w:tab w:val="left" w:pos="2811"/>
        </w:tabs>
        <w:spacing w:line="276" w:lineRule="auto"/>
        <w:ind w:firstLine="720"/>
        <w:contextualSpacing/>
        <w:jc w:val="both"/>
      </w:pPr>
      <w:r w:rsidRPr="009C7A0A">
        <w:t>Ievērojot minēto, a</w:t>
      </w:r>
      <w:r w:rsidR="00110A90" w:rsidRPr="009C7A0A">
        <w:t>pelācijas instances tiesa nepamatoti noraidīj</w:t>
      </w:r>
      <w:r w:rsidR="005C246C" w:rsidRPr="009C7A0A">
        <w:t>usi</w:t>
      </w:r>
      <w:r w:rsidR="00B33A28" w:rsidRPr="009C7A0A">
        <w:t xml:space="preserve"> aizstāvības</w:t>
      </w:r>
      <w:r w:rsidR="00110A90" w:rsidRPr="009C7A0A">
        <w:t xml:space="preserve"> lūgumu </w:t>
      </w:r>
      <w:r w:rsidR="00B33A28" w:rsidRPr="009C7A0A">
        <w:t>vērsties</w:t>
      </w:r>
      <w:r w:rsidR="00110A90" w:rsidRPr="009C7A0A">
        <w:t xml:space="preserve"> Satversmes tiesā</w:t>
      </w:r>
      <w:r w:rsidR="00C9632B" w:rsidRPr="009C7A0A">
        <w:t>, lai izvērtētu</w:t>
      </w:r>
      <w:r w:rsidR="00110A90" w:rsidRPr="009C7A0A">
        <w:t xml:space="preserve"> </w:t>
      </w:r>
      <w:r w:rsidR="00B33A28" w:rsidRPr="009C7A0A">
        <w:t>PSRS būvniecības normu un noteikumu</w:t>
      </w:r>
      <w:r w:rsidR="004266FC" w:rsidRPr="009C7A0A">
        <w:t xml:space="preserve"> </w:t>
      </w:r>
      <w:r w:rsidR="005A1D2A" w:rsidRPr="009C7A0A">
        <w:t xml:space="preserve">(tas ir, </w:t>
      </w:r>
      <w:proofErr w:type="spellStart"/>
      <w:r w:rsidR="005A1D2A" w:rsidRPr="009C7A0A">
        <w:t>SNiP</w:t>
      </w:r>
      <w:proofErr w:type="spellEnd"/>
      <w:r w:rsidR="005A1D2A" w:rsidRPr="009C7A0A">
        <w:t xml:space="preserve">), </w:t>
      </w:r>
      <w:r w:rsidR="00C9632B" w:rsidRPr="009C7A0A">
        <w:t xml:space="preserve">kā arī </w:t>
      </w:r>
      <w:r w:rsidR="004266FC" w:rsidRPr="009C7A0A">
        <w:t>Ministru kabineta un citu institūciju izdoto normatīvo</w:t>
      </w:r>
      <w:r w:rsidR="00C731C7" w:rsidRPr="009C7A0A">
        <w:t xml:space="preserve"> tiesību</w:t>
      </w:r>
      <w:r w:rsidR="004266FC" w:rsidRPr="009C7A0A">
        <w:t xml:space="preserve"> aktu</w:t>
      </w:r>
      <w:r w:rsidR="002C666B" w:rsidRPr="009C7A0A">
        <w:t xml:space="preserve">, ar kuriem legalizēta </w:t>
      </w:r>
      <w:proofErr w:type="spellStart"/>
      <w:r w:rsidR="005A1D2A" w:rsidRPr="009C7A0A">
        <w:t>SNiP</w:t>
      </w:r>
      <w:proofErr w:type="spellEnd"/>
      <w:r w:rsidR="002C666B" w:rsidRPr="009C7A0A">
        <w:t xml:space="preserve"> izmantošana Latvijā</w:t>
      </w:r>
      <w:r w:rsidR="00661E88" w:rsidRPr="009C7A0A">
        <w:t>, piemērojamību un spēkā esību</w:t>
      </w:r>
      <w:r w:rsidR="004266FC" w:rsidRPr="009C7A0A">
        <w:t xml:space="preserve">. </w:t>
      </w:r>
      <w:r w:rsidR="00C731C7" w:rsidRPr="009C7A0A">
        <w:t>P</w:t>
      </w:r>
      <w:r w:rsidR="00F95F32" w:rsidRPr="009C7A0A">
        <w:t>at</w:t>
      </w:r>
      <w:r w:rsidR="00C731C7" w:rsidRPr="009C7A0A">
        <w:t xml:space="preserve"> </w:t>
      </w:r>
      <w:r w:rsidR="00C731C7" w:rsidRPr="009C7A0A">
        <w:lastRenderedPageBreak/>
        <w:t>gadījumā</w:t>
      </w:r>
      <w:r w:rsidR="00F95F32" w:rsidRPr="009C7A0A">
        <w:t xml:space="preserve">, ja </w:t>
      </w:r>
      <w:r w:rsidR="00C06CDB" w:rsidRPr="009C7A0A">
        <w:t xml:space="preserve">PSRS būvniecības normas un </w:t>
      </w:r>
      <w:proofErr w:type="spellStart"/>
      <w:r w:rsidR="00AD5897" w:rsidRPr="009C7A0A">
        <w:t>SNiP</w:t>
      </w:r>
      <w:proofErr w:type="spellEnd"/>
      <w:r w:rsidR="00AD5897" w:rsidRPr="009C7A0A">
        <w:t xml:space="preserve"> </w:t>
      </w:r>
      <w:r w:rsidR="00C06CDB" w:rsidRPr="009C7A0A">
        <w:t xml:space="preserve">noteikumi </w:t>
      </w:r>
      <w:r w:rsidR="00F95F32" w:rsidRPr="009C7A0A">
        <w:t>būtu piemērojami, nav saprotams, kura noteikumu redakcija bija</w:t>
      </w:r>
      <w:r w:rsidR="00B54F53" w:rsidRPr="009C7A0A">
        <w:t xml:space="preserve"> </w:t>
      </w:r>
      <w:r w:rsidR="00484F02" w:rsidRPr="009C7A0A">
        <w:t>(vai ir)</w:t>
      </w:r>
      <w:r w:rsidR="00F95F32" w:rsidRPr="009C7A0A">
        <w:t xml:space="preserve"> spēkā un </w:t>
      </w:r>
      <w:r w:rsidR="00484F02" w:rsidRPr="009C7A0A">
        <w:t xml:space="preserve">bija </w:t>
      </w:r>
      <w:r w:rsidR="00F95F32" w:rsidRPr="009C7A0A">
        <w:t xml:space="preserve">piemērojama, jo </w:t>
      </w:r>
      <w:r w:rsidR="009E524F" w:rsidRPr="009C7A0A">
        <w:t xml:space="preserve">šo </w:t>
      </w:r>
      <w:r w:rsidR="00F95F32" w:rsidRPr="009C7A0A">
        <w:t>noteikumu teksts oficiāli nav pieejams ne latvie</w:t>
      </w:r>
      <w:r w:rsidR="0000178F" w:rsidRPr="009C7A0A">
        <w:t>šu</w:t>
      </w:r>
      <w:r w:rsidR="00F95F32" w:rsidRPr="009C7A0A">
        <w:t xml:space="preserve"> val</w:t>
      </w:r>
      <w:r w:rsidR="00C16307" w:rsidRPr="009C7A0A">
        <w:t>o</w:t>
      </w:r>
      <w:r w:rsidR="00F95F32" w:rsidRPr="009C7A0A">
        <w:t>dā, ne krievu valodā.</w:t>
      </w:r>
    </w:p>
    <w:p w14:paraId="1321E8D0" w14:textId="0274F0EF" w:rsidR="0063724F" w:rsidRPr="009C7A0A" w:rsidRDefault="007F5D99" w:rsidP="009C7A0A">
      <w:pPr>
        <w:widowControl w:val="0"/>
        <w:tabs>
          <w:tab w:val="left" w:pos="2811"/>
        </w:tabs>
        <w:spacing w:line="276" w:lineRule="auto"/>
        <w:ind w:firstLine="720"/>
        <w:contextualSpacing/>
        <w:jc w:val="both"/>
      </w:pPr>
      <w:r w:rsidRPr="009C7A0A">
        <w:t>[6.1</w:t>
      </w:r>
      <w:r w:rsidR="00E37A09" w:rsidRPr="009C7A0A">
        <w:t>6</w:t>
      </w:r>
      <w:r w:rsidRPr="009C7A0A">
        <w:t>]</w:t>
      </w:r>
      <w:r w:rsidR="00A45227" w:rsidRPr="009C7A0A">
        <w:t> </w:t>
      </w:r>
      <w:r w:rsidR="00FB0415" w:rsidRPr="009C7A0A">
        <w:t>Krimināllikuma 239. panta otrās daļas dispo</w:t>
      </w:r>
      <w:r w:rsidR="00C16307" w:rsidRPr="009C7A0A">
        <w:t>zīc</w:t>
      </w:r>
      <w:r w:rsidR="00FB0415" w:rsidRPr="009C7A0A">
        <w:t xml:space="preserve">ija nesatur konkrētus uzvedības priekšrakstus, bet </w:t>
      </w:r>
      <w:r w:rsidR="006F3113" w:rsidRPr="009C7A0A">
        <w:t>atsauci</w:t>
      </w:r>
      <w:r w:rsidR="00FB0415" w:rsidRPr="009C7A0A">
        <w:t xml:space="preserve"> uz citiem normatīvajiem</w:t>
      </w:r>
      <w:r w:rsidR="00D609FE" w:rsidRPr="009C7A0A">
        <w:t xml:space="preserve"> tiesību</w:t>
      </w:r>
      <w:r w:rsidR="00FB0415" w:rsidRPr="009C7A0A">
        <w:t xml:space="preserve"> aktiem, kuru pārkāpumu gadījumā iestājas personas kriminālatbildība</w:t>
      </w:r>
      <w:r w:rsidR="0046302C" w:rsidRPr="009C7A0A">
        <w:t xml:space="preserve">. Līdz ar to </w:t>
      </w:r>
      <w:r w:rsidR="0062780B" w:rsidRPr="009C7A0A">
        <w:t>tiesa, a</w:t>
      </w:r>
      <w:r w:rsidR="00D609FE" w:rsidRPr="009C7A0A">
        <w:t xml:space="preserve">tzīstot </w:t>
      </w:r>
      <w:r w:rsidR="00FB73DB">
        <w:rPr>
          <w:rFonts w:eastAsia="Calibri"/>
          <w:shd w:val="clear" w:color="auto" w:fill="FFFFFF"/>
        </w:rPr>
        <w:t>[pers. A]</w:t>
      </w:r>
      <w:r w:rsidR="00D609FE" w:rsidRPr="009C7A0A">
        <w:t xml:space="preserve"> par vainīgu </w:t>
      </w:r>
      <w:r w:rsidR="0062780B" w:rsidRPr="009C7A0A">
        <w:t xml:space="preserve">Krimināllikuma 239. panta otrajā daļā paredzētajā </w:t>
      </w:r>
      <w:r w:rsidR="00D609FE" w:rsidRPr="009C7A0A">
        <w:t>noziedzīg</w:t>
      </w:r>
      <w:r w:rsidR="0062780B" w:rsidRPr="009C7A0A">
        <w:t>aj</w:t>
      </w:r>
      <w:r w:rsidR="00D609FE" w:rsidRPr="009C7A0A">
        <w:t>ā nodarījum</w:t>
      </w:r>
      <w:r w:rsidR="0062780B" w:rsidRPr="009C7A0A">
        <w:t xml:space="preserve">ā, atsaucoties uz </w:t>
      </w:r>
      <w:proofErr w:type="spellStart"/>
      <w:r w:rsidR="0062780B" w:rsidRPr="009C7A0A">
        <w:t>SNiP</w:t>
      </w:r>
      <w:proofErr w:type="spellEnd"/>
      <w:r w:rsidR="00F56FFA" w:rsidRPr="009C7A0A">
        <w:t xml:space="preserve"> noteikumiem</w:t>
      </w:r>
      <w:r w:rsidR="0062780B" w:rsidRPr="009C7A0A">
        <w:t xml:space="preserve">, </w:t>
      </w:r>
      <w:r w:rsidR="00067645" w:rsidRPr="009C7A0A">
        <w:t>pārkāpusi Satversmes 90.</w:t>
      </w:r>
      <w:r w:rsidR="007B6336" w:rsidRPr="009C7A0A">
        <w:t> </w:t>
      </w:r>
      <w:r w:rsidR="00067645" w:rsidRPr="009C7A0A">
        <w:t>pantu</w:t>
      </w:r>
      <w:r w:rsidR="00FD31E8" w:rsidRPr="009C7A0A">
        <w:t xml:space="preserve"> un</w:t>
      </w:r>
      <w:r w:rsidR="00067645" w:rsidRPr="009C7A0A">
        <w:t xml:space="preserve"> 92. panta otro teikumu</w:t>
      </w:r>
      <w:r w:rsidR="0036105F" w:rsidRPr="009C7A0A">
        <w:t>, jo</w:t>
      </w:r>
      <w:r w:rsidR="00067645" w:rsidRPr="009C7A0A">
        <w:t xml:space="preserve"> nav </w:t>
      </w:r>
      <w:r w:rsidR="00BB4378" w:rsidRPr="009C7A0A">
        <w:t xml:space="preserve">ņēmusi vērā, ka </w:t>
      </w:r>
      <w:r w:rsidR="00960623" w:rsidRPr="009C7A0A">
        <w:t xml:space="preserve">šie </w:t>
      </w:r>
      <w:r w:rsidR="00A071CA" w:rsidRPr="009C7A0A">
        <w:t>būvniecības</w:t>
      </w:r>
      <w:r w:rsidR="006C65CA" w:rsidRPr="009C7A0A">
        <w:t xml:space="preserve"> jomu</w:t>
      </w:r>
      <w:r w:rsidR="00A071CA" w:rsidRPr="009C7A0A">
        <w:t xml:space="preserve"> reglamentējošie akti</w:t>
      </w:r>
      <w:r w:rsidR="007E57DC" w:rsidRPr="009C7A0A">
        <w:t xml:space="preserve"> </w:t>
      </w:r>
      <w:r w:rsidR="00BB4378" w:rsidRPr="009C7A0A">
        <w:t xml:space="preserve">nav izsludināti normatīvajos </w:t>
      </w:r>
      <w:r w:rsidR="006C65CA" w:rsidRPr="009C7A0A">
        <w:t xml:space="preserve">tiesību </w:t>
      </w:r>
      <w:r w:rsidR="00BB4378" w:rsidRPr="009C7A0A">
        <w:t>aktos noteiktajā kārtībā, nav pieejami, nav pietiekami skaidri un precīzi.</w:t>
      </w:r>
    </w:p>
    <w:p w14:paraId="0BFA0122" w14:textId="061B045C" w:rsidR="006C5DBF" w:rsidRPr="009C7A0A" w:rsidRDefault="006C5DBF" w:rsidP="009C7A0A">
      <w:pPr>
        <w:widowControl w:val="0"/>
        <w:tabs>
          <w:tab w:val="left" w:pos="2811"/>
        </w:tabs>
        <w:spacing w:line="276" w:lineRule="auto"/>
        <w:ind w:firstLine="720"/>
        <w:contextualSpacing/>
        <w:jc w:val="both"/>
      </w:pPr>
      <w:r w:rsidRPr="009C7A0A">
        <w:t>[6.1</w:t>
      </w:r>
      <w:r w:rsidR="00E37A09" w:rsidRPr="009C7A0A">
        <w:t>7</w:t>
      </w:r>
      <w:r w:rsidRPr="009C7A0A">
        <w:t>]</w:t>
      </w:r>
      <w:r w:rsidR="00A45227" w:rsidRPr="009C7A0A">
        <w:t> </w:t>
      </w:r>
      <w:r w:rsidR="00C10472" w:rsidRPr="009C7A0A">
        <w:t>Valsts</w:t>
      </w:r>
      <w:r w:rsidR="008C18E6" w:rsidRPr="009C7A0A">
        <w:t>, pieņemot būvnormatīvus LBN 203-97 un LBN 205-97</w:t>
      </w:r>
      <w:r w:rsidR="00C37E2C" w:rsidRPr="009C7A0A">
        <w:t xml:space="preserve"> un uzliekot </w:t>
      </w:r>
      <w:proofErr w:type="spellStart"/>
      <w:r w:rsidR="00C37E2C" w:rsidRPr="009C7A0A">
        <w:t>būvspeciālistiem</w:t>
      </w:r>
      <w:proofErr w:type="spellEnd"/>
      <w:r w:rsidR="00C37E2C" w:rsidRPr="009C7A0A">
        <w:t xml:space="preserve"> </w:t>
      </w:r>
      <w:r w:rsidR="0036105F" w:rsidRPr="009C7A0A">
        <w:t xml:space="preserve">pienākumu </w:t>
      </w:r>
      <w:r w:rsidR="00C37E2C" w:rsidRPr="009C7A0A">
        <w:t xml:space="preserve">piemērot </w:t>
      </w:r>
      <w:proofErr w:type="spellStart"/>
      <w:r w:rsidR="00C37E2C" w:rsidRPr="009C7A0A">
        <w:t>SNiP</w:t>
      </w:r>
      <w:proofErr w:type="spellEnd"/>
      <w:r w:rsidR="00C37E2C" w:rsidRPr="009C7A0A">
        <w:t xml:space="preserve"> noteikumus, kuru pārkāpums inkriminēts </w:t>
      </w:r>
      <w:r w:rsidR="00A30F54">
        <w:rPr>
          <w:rFonts w:eastAsia="Calibri"/>
          <w:shd w:val="clear" w:color="auto" w:fill="FFFFFF"/>
        </w:rPr>
        <w:t>[pers. A]</w:t>
      </w:r>
      <w:r w:rsidR="00C37E2C" w:rsidRPr="009C7A0A">
        <w:t xml:space="preserve">, </w:t>
      </w:r>
      <w:r w:rsidR="00171307" w:rsidRPr="009C7A0A">
        <w:t xml:space="preserve">un </w:t>
      </w:r>
      <w:r w:rsidR="00687DC8" w:rsidRPr="009C7A0A">
        <w:t>Ministru kabinets, ilgstoši ats</w:t>
      </w:r>
      <w:r w:rsidR="00615975" w:rsidRPr="009C7A0A">
        <w:t>t</w:t>
      </w:r>
      <w:r w:rsidR="00687DC8" w:rsidRPr="009C7A0A">
        <w:t xml:space="preserve">ājot spēkā šos normatīvus, </w:t>
      </w:r>
      <w:r w:rsidR="001C21AA" w:rsidRPr="009C7A0A">
        <w:t xml:space="preserve">nav ievērojusi </w:t>
      </w:r>
      <w:r w:rsidR="00C37E2C" w:rsidRPr="009C7A0A">
        <w:t>labas likumdošanas principu un no tā izrietošo tiesiskās drošības un likumības principu</w:t>
      </w:r>
      <w:r w:rsidR="005A220A" w:rsidRPr="009C7A0A">
        <w:t>.</w:t>
      </w:r>
    </w:p>
    <w:p w14:paraId="5620E966" w14:textId="30345A8E" w:rsidR="006878A7" w:rsidRPr="009C7A0A" w:rsidRDefault="00EC2D07" w:rsidP="009C7A0A">
      <w:pPr>
        <w:widowControl w:val="0"/>
        <w:tabs>
          <w:tab w:val="left" w:pos="2811"/>
        </w:tabs>
        <w:spacing w:line="276" w:lineRule="auto"/>
        <w:ind w:firstLine="720"/>
        <w:contextualSpacing/>
        <w:jc w:val="both"/>
      </w:pPr>
      <w:r w:rsidRPr="009C7A0A">
        <w:t>[6.1</w:t>
      </w:r>
      <w:r w:rsidR="00E37A09" w:rsidRPr="009C7A0A">
        <w:t>8</w:t>
      </w:r>
      <w:r w:rsidRPr="009C7A0A">
        <w:t>]</w:t>
      </w:r>
      <w:r w:rsidR="00A45227" w:rsidRPr="009C7A0A">
        <w:t> </w:t>
      </w:r>
      <w:r w:rsidR="007C7A67" w:rsidRPr="009C7A0A">
        <w:t>Apelācijas instances tiesa pārkāpusi Kriminālprocesa likuma 562. panta pirmo daļu</w:t>
      </w:r>
      <w:r w:rsidR="00171307" w:rsidRPr="009C7A0A">
        <w:t>,</w:t>
      </w:r>
      <w:r w:rsidR="007C7A67" w:rsidRPr="009C7A0A">
        <w:t xml:space="preserve"> nepamatoti piedzenot no </w:t>
      </w:r>
      <w:r w:rsidR="00853172">
        <w:rPr>
          <w:rFonts w:eastAsia="Calibri"/>
          <w:shd w:val="clear" w:color="auto" w:fill="FFFFFF"/>
        </w:rPr>
        <w:t>[pers. A]</w:t>
      </w:r>
      <w:r w:rsidR="007C7A67" w:rsidRPr="009C7A0A">
        <w:t xml:space="preserve"> kaitējuma kompensācij</w:t>
      </w:r>
      <w:r w:rsidR="00DC00D8" w:rsidRPr="009C7A0A">
        <w:t>u</w:t>
      </w:r>
      <w:r w:rsidR="007C7A67" w:rsidRPr="009C7A0A">
        <w:t xml:space="preserve"> </w:t>
      </w:r>
      <w:r w:rsidR="00B42093">
        <w:t>[pers. HK]</w:t>
      </w:r>
      <w:r w:rsidR="007C7A67" w:rsidRPr="009C7A0A">
        <w:t xml:space="preserve">, </w:t>
      </w:r>
      <w:r w:rsidR="00B42093">
        <w:t>[pers. FZ]</w:t>
      </w:r>
      <w:r w:rsidR="007C7A67" w:rsidRPr="009C7A0A">
        <w:t xml:space="preserve"> un </w:t>
      </w:r>
      <w:r w:rsidR="00B42093">
        <w:t>[pers. HL]</w:t>
      </w:r>
      <w:r w:rsidR="007C7A67" w:rsidRPr="009C7A0A">
        <w:t xml:space="preserve"> labā, jo minētās personas nebija iesniegušas apelācijas sūdzību par pirmās instances tiesas spriedumu.</w:t>
      </w:r>
    </w:p>
    <w:p w14:paraId="1BF6678D" w14:textId="361A95E4" w:rsidR="000703FF" w:rsidRPr="009C7A0A" w:rsidRDefault="006878A7" w:rsidP="009C7A0A">
      <w:pPr>
        <w:widowControl w:val="0"/>
        <w:tabs>
          <w:tab w:val="left" w:pos="2811"/>
        </w:tabs>
        <w:spacing w:line="276" w:lineRule="auto"/>
        <w:ind w:firstLine="720"/>
        <w:contextualSpacing/>
        <w:jc w:val="both"/>
      </w:pPr>
      <w:r w:rsidRPr="009C7A0A">
        <w:t>[6.1</w:t>
      </w:r>
      <w:r w:rsidR="00E37A09" w:rsidRPr="009C7A0A">
        <w:t>9</w:t>
      </w:r>
      <w:r w:rsidRPr="009C7A0A">
        <w:t>]</w:t>
      </w:r>
      <w:r w:rsidR="00496BDE" w:rsidRPr="009C7A0A">
        <w:t> </w:t>
      </w:r>
      <w:r w:rsidR="00227BC3" w:rsidRPr="009C7A0A">
        <w:t>Apelācijas instances tiesa nepamatoti atcēl</w:t>
      </w:r>
      <w:r w:rsidR="00DC00D8" w:rsidRPr="009C7A0A">
        <w:t>usi</w:t>
      </w:r>
      <w:r w:rsidR="00227BC3" w:rsidRPr="009C7A0A">
        <w:t xml:space="preserve"> blakus lēmumu </w:t>
      </w:r>
      <w:r w:rsidR="005B6D8D" w:rsidRPr="009C7A0A">
        <w:t>par</w:t>
      </w:r>
      <w:r w:rsidR="008C5DAB" w:rsidRPr="009C7A0A">
        <w:t xml:space="preserve"> </w:t>
      </w:r>
      <w:r w:rsidR="008C5DAB" w:rsidRPr="009C7A0A">
        <w:rPr>
          <w:bCs/>
          <w:color w:val="000000"/>
        </w:rPr>
        <w:t>kriminālprocesa uzsākšanu pret likvidētās</w:t>
      </w:r>
      <w:r w:rsidR="00914FDA" w:rsidRPr="009C7A0A">
        <w:rPr>
          <w:bCs/>
          <w:color w:val="000000"/>
        </w:rPr>
        <w:t xml:space="preserve"> </w:t>
      </w:r>
      <w:r w:rsidR="00BB72F6" w:rsidRPr="009C7A0A">
        <w:rPr>
          <w:bCs/>
          <w:color w:val="000000"/>
        </w:rPr>
        <w:t>SIA „</w:t>
      </w:r>
      <w:r w:rsidR="00A66C51">
        <w:rPr>
          <w:bCs/>
          <w:color w:val="000000"/>
        </w:rPr>
        <w:t>[Nosaukums</w:t>
      </w:r>
      <w:r w:rsidR="00F44235">
        <w:rPr>
          <w:bCs/>
          <w:color w:val="000000"/>
        </w:rPr>
        <w:t> </w:t>
      </w:r>
      <w:r w:rsidR="00A66C51">
        <w:rPr>
          <w:bCs/>
          <w:color w:val="000000"/>
        </w:rPr>
        <w:t>F]</w:t>
      </w:r>
      <w:r w:rsidR="00BB72F6" w:rsidRPr="009C7A0A">
        <w:rPr>
          <w:bCs/>
          <w:color w:val="000000"/>
        </w:rPr>
        <w:t>”</w:t>
      </w:r>
      <w:r w:rsidR="00227BC3" w:rsidRPr="009C7A0A">
        <w:t xml:space="preserve"> bijuš</w:t>
      </w:r>
      <w:r w:rsidR="00FB6B95" w:rsidRPr="009C7A0A">
        <w:t>a</w:t>
      </w:r>
      <w:r w:rsidR="0029102C" w:rsidRPr="009C7A0A">
        <w:t>jām</w:t>
      </w:r>
      <w:r w:rsidR="00227BC3" w:rsidRPr="009C7A0A">
        <w:t xml:space="preserve"> amatperson</w:t>
      </w:r>
      <w:r w:rsidR="00FB6B95" w:rsidRPr="009C7A0A">
        <w:t>ām</w:t>
      </w:r>
      <w:r w:rsidR="00227BC3" w:rsidRPr="009C7A0A">
        <w:t xml:space="preserve"> un darbiniek</w:t>
      </w:r>
      <w:r w:rsidR="00FB6B95" w:rsidRPr="009C7A0A">
        <w:t>iem</w:t>
      </w:r>
      <w:r w:rsidR="00227BC3" w:rsidRPr="009C7A0A">
        <w:t xml:space="preserve">, jo </w:t>
      </w:r>
      <w:r w:rsidR="00C34001" w:rsidRPr="009C7A0A">
        <w:t xml:space="preserve">šo personu rīcībā </w:t>
      </w:r>
      <w:r w:rsidR="00227BC3" w:rsidRPr="009C7A0A">
        <w:t>ir saskatāms Krimināllikuma 177. pant</w:t>
      </w:r>
      <w:r w:rsidR="005B6D8D" w:rsidRPr="009C7A0A">
        <w:t>ā paredzētā</w:t>
      </w:r>
      <w:r w:rsidR="00227BC3" w:rsidRPr="009C7A0A">
        <w:t xml:space="preserve"> noziedzīgā nodarījuma sastāvs</w:t>
      </w:r>
      <w:r w:rsidR="000703FF" w:rsidRPr="009C7A0A">
        <w:t>.</w:t>
      </w:r>
    </w:p>
    <w:p w14:paraId="38839836" w14:textId="12F63B6F" w:rsidR="003B51CF" w:rsidRPr="009C7A0A" w:rsidRDefault="000703FF" w:rsidP="009C7A0A">
      <w:pPr>
        <w:widowControl w:val="0"/>
        <w:tabs>
          <w:tab w:val="left" w:pos="2811"/>
        </w:tabs>
        <w:spacing w:line="276" w:lineRule="auto"/>
        <w:ind w:firstLine="720"/>
        <w:contextualSpacing/>
        <w:jc w:val="both"/>
      </w:pPr>
      <w:r w:rsidRPr="009C7A0A">
        <w:t>[6.</w:t>
      </w:r>
      <w:r w:rsidR="00E37A09" w:rsidRPr="009C7A0A">
        <w:t>20</w:t>
      </w:r>
      <w:r w:rsidRPr="009C7A0A">
        <w:t>]</w:t>
      </w:r>
      <w:r w:rsidR="00A45227" w:rsidRPr="009C7A0A">
        <w:t> </w:t>
      </w:r>
      <w:r w:rsidR="00AD1AF8" w:rsidRPr="009C7A0A">
        <w:t>Apelācijas instances tiesas blakus lēmums par pirmās instances tiesas pieļautajiem Kriminālprocesa likuma</w:t>
      </w:r>
      <w:r w:rsidR="00E46D14" w:rsidRPr="009C7A0A">
        <w:t xml:space="preserve"> 501. panta</w:t>
      </w:r>
      <w:r w:rsidR="008B28DB" w:rsidRPr="009C7A0A">
        <w:t xml:space="preserve"> un</w:t>
      </w:r>
      <w:r w:rsidR="00E46D14" w:rsidRPr="009C7A0A">
        <w:t xml:space="preserve"> 512. panta otrās daļas</w:t>
      </w:r>
      <w:r w:rsidR="00AD1AF8" w:rsidRPr="009C7A0A">
        <w:t xml:space="preserve"> pārkāpumiem</w:t>
      </w:r>
      <w:r w:rsidR="00714043" w:rsidRPr="009C7A0A">
        <w:t xml:space="preserve"> ir atceļams kā nepamatots</w:t>
      </w:r>
      <w:r w:rsidR="00BE16FA" w:rsidRPr="009C7A0A">
        <w:t>. No blakus lēmuma secināms, ka</w:t>
      </w:r>
      <w:r w:rsidR="00A013F9" w:rsidRPr="009C7A0A">
        <w:t xml:space="preserve"> konstatētie</w:t>
      </w:r>
      <w:r w:rsidR="00BE16FA" w:rsidRPr="009C7A0A">
        <w:t xml:space="preserve"> pārkāpumi </w:t>
      </w:r>
      <w:r w:rsidR="00A013F9" w:rsidRPr="009C7A0A">
        <w:t>ir</w:t>
      </w:r>
      <w:r w:rsidR="00AD1AF8" w:rsidRPr="009C7A0A">
        <w:t xml:space="preserve"> saistīti ar </w:t>
      </w:r>
      <w:r w:rsidR="002746E7" w:rsidRPr="009C7A0A">
        <w:t xml:space="preserve">garāmgājēju, veikala apmeklētāju, pārdevēju, kas neatradās notikuma vietā, </w:t>
      </w:r>
      <w:r w:rsidR="00AD1AF8" w:rsidRPr="009C7A0A">
        <w:t>liecību ne</w:t>
      </w:r>
      <w:r w:rsidR="00DA3B4F" w:rsidRPr="009C7A0A">
        <w:t>nola</w:t>
      </w:r>
      <w:r w:rsidR="00C16307" w:rsidRPr="009C7A0A">
        <w:t>s</w:t>
      </w:r>
      <w:r w:rsidR="00DA3B4F" w:rsidRPr="009C7A0A">
        <w:t>īšanu</w:t>
      </w:r>
      <w:r w:rsidR="002746E7" w:rsidRPr="009C7A0A">
        <w:t xml:space="preserve"> un neatreferēšanu</w:t>
      </w:r>
      <w:r w:rsidR="001A65B7" w:rsidRPr="009C7A0A">
        <w:t>,</w:t>
      </w:r>
      <w:r w:rsidR="009B397A" w:rsidRPr="009C7A0A">
        <w:t xml:space="preserve"> </w:t>
      </w:r>
      <w:r w:rsidR="00B82787" w:rsidRPr="009C7A0A">
        <w:t>norādot tikai dokumenta nosaukumu, sējumu un lapu, kurā dokuments atrodas</w:t>
      </w:r>
      <w:r w:rsidR="004931BB" w:rsidRPr="009C7A0A">
        <w:t>.</w:t>
      </w:r>
      <w:r w:rsidR="00A013F9" w:rsidRPr="009C7A0A">
        <w:t xml:space="preserve"> Tomēr</w:t>
      </w:r>
      <w:r w:rsidR="00AD1AF8" w:rsidRPr="009C7A0A">
        <w:t xml:space="preserve"> neviens no procesa dalībniekiem pret šo </w:t>
      </w:r>
      <w:proofErr w:type="spellStart"/>
      <w:r w:rsidR="00AD1AF8" w:rsidRPr="009C7A0A">
        <w:t>pirmstiesas</w:t>
      </w:r>
      <w:proofErr w:type="spellEnd"/>
      <w:r w:rsidR="00AD1AF8" w:rsidRPr="009C7A0A">
        <w:t xml:space="preserve"> procesā sniegto liecību izmantošanu</w:t>
      </w:r>
      <w:r w:rsidR="004931BB" w:rsidRPr="009C7A0A">
        <w:t xml:space="preserve"> pierādīšanā nav iebildis</w:t>
      </w:r>
      <w:r w:rsidR="008B4CF3" w:rsidRPr="009C7A0A">
        <w:t>,</w:t>
      </w:r>
      <w:r w:rsidR="00AD1AF8" w:rsidRPr="009C7A0A">
        <w:t xml:space="preserve"> </w:t>
      </w:r>
      <w:r w:rsidR="004931BB" w:rsidRPr="009C7A0A">
        <w:t>turklāt tādējādi</w:t>
      </w:r>
      <w:r w:rsidR="00F12DD2" w:rsidRPr="009C7A0A">
        <w:t xml:space="preserve"> </w:t>
      </w:r>
      <w:r w:rsidR="00E00204" w:rsidRPr="009C7A0A">
        <w:t>tiesa</w:t>
      </w:r>
      <w:r w:rsidR="008B4CF3" w:rsidRPr="009C7A0A">
        <w:t xml:space="preserve"> </w:t>
      </w:r>
      <w:r w:rsidR="004931BB" w:rsidRPr="009C7A0A">
        <w:t xml:space="preserve">ir </w:t>
      </w:r>
      <w:r w:rsidR="008B4CF3" w:rsidRPr="009C7A0A">
        <w:t>ievēroj</w:t>
      </w:r>
      <w:r w:rsidR="004931BB" w:rsidRPr="009C7A0A">
        <w:t>usi</w:t>
      </w:r>
      <w:r w:rsidR="008B4CF3" w:rsidRPr="009C7A0A">
        <w:t xml:space="preserve"> procesuālās ekonomijas principu</w:t>
      </w:r>
      <w:r w:rsidR="00D309B8" w:rsidRPr="009C7A0A">
        <w:t xml:space="preserve">. </w:t>
      </w:r>
      <w:r w:rsidR="00F12DD2" w:rsidRPr="009C7A0A">
        <w:t>Apelācijas instances tiesa, pieņemot šo blakus lēmumu</w:t>
      </w:r>
      <w:r w:rsidR="00D309B8" w:rsidRPr="009C7A0A">
        <w:t xml:space="preserve">, </w:t>
      </w:r>
      <w:r w:rsidR="00F45EC8" w:rsidRPr="009C7A0A">
        <w:t xml:space="preserve">pārkāpa </w:t>
      </w:r>
      <w:r w:rsidR="002C0773" w:rsidRPr="009C7A0A">
        <w:t xml:space="preserve">Eiropas Cilvēktiesību konvencijas 6. pantu, </w:t>
      </w:r>
      <w:r w:rsidR="00F45EC8" w:rsidRPr="009C7A0A">
        <w:t>Satversmes 83.</w:t>
      </w:r>
      <w:r w:rsidR="001D7DEF" w:rsidRPr="009C7A0A">
        <w:t>,</w:t>
      </w:r>
      <w:r w:rsidR="005666F1" w:rsidRPr="009C7A0A">
        <w:t>92.</w:t>
      </w:r>
      <w:r w:rsidR="00F45EC8" w:rsidRPr="009C7A0A">
        <w:t> pantu, likuma „Par tiesu varu” 10. panta pirmo daļu</w:t>
      </w:r>
      <w:r w:rsidR="002C0773" w:rsidRPr="009C7A0A">
        <w:t xml:space="preserve"> un </w:t>
      </w:r>
      <w:r w:rsidR="00F45EC8" w:rsidRPr="009C7A0A">
        <w:t>11. panta pirmo daļu</w:t>
      </w:r>
      <w:r w:rsidR="005666F1" w:rsidRPr="009C7A0A">
        <w:t>.</w:t>
      </w:r>
    </w:p>
    <w:p w14:paraId="4BEB1451" w14:textId="004DE267" w:rsidR="003E15ED" w:rsidRPr="009C7A0A" w:rsidRDefault="00F93FEA" w:rsidP="009C7A0A">
      <w:pPr>
        <w:widowControl w:val="0"/>
        <w:tabs>
          <w:tab w:val="left" w:pos="2811"/>
        </w:tabs>
        <w:spacing w:line="276" w:lineRule="auto"/>
        <w:ind w:firstLine="720"/>
        <w:contextualSpacing/>
        <w:jc w:val="both"/>
      </w:pPr>
      <w:r w:rsidRPr="009C7A0A">
        <w:t>[6.</w:t>
      </w:r>
      <w:r w:rsidR="00C16307" w:rsidRPr="009C7A0A">
        <w:t>21</w:t>
      </w:r>
      <w:r w:rsidRPr="009C7A0A">
        <w:t>]</w:t>
      </w:r>
      <w:r w:rsidR="00A45227" w:rsidRPr="009C7A0A">
        <w:t> </w:t>
      </w:r>
      <w:r w:rsidR="003E15ED" w:rsidRPr="009C7A0A">
        <w:t xml:space="preserve">Tiesa, atzīstot </w:t>
      </w:r>
      <w:r w:rsidR="00AE78F1">
        <w:rPr>
          <w:rFonts w:eastAsia="Calibri"/>
          <w:shd w:val="clear" w:color="auto" w:fill="FFFFFF"/>
        </w:rPr>
        <w:t>[pers. A]</w:t>
      </w:r>
      <w:r w:rsidR="00437942" w:rsidRPr="009C7A0A">
        <w:t xml:space="preserve"> par vainīgu</w:t>
      </w:r>
      <w:r w:rsidR="003E15ED" w:rsidRPr="009C7A0A">
        <w:t xml:space="preserve"> Krimināllikuma 239. panta otrajā daļā</w:t>
      </w:r>
      <w:r w:rsidR="00FC439E" w:rsidRPr="009C7A0A">
        <w:t>,</w:t>
      </w:r>
      <w:r w:rsidR="003E15ED" w:rsidRPr="009C7A0A">
        <w:t>123. panta otrajā daļā paredzēt</w:t>
      </w:r>
      <w:r w:rsidR="00437942" w:rsidRPr="009C7A0A">
        <w:t>aj</w:t>
      </w:r>
      <w:r w:rsidR="003E15ED" w:rsidRPr="009C7A0A">
        <w:t>os noziedzīg</w:t>
      </w:r>
      <w:r w:rsidR="00437942" w:rsidRPr="009C7A0A">
        <w:t>aj</w:t>
      </w:r>
      <w:r w:rsidR="003E15ED" w:rsidRPr="009C7A0A">
        <w:t>os nodarījum</w:t>
      </w:r>
      <w:r w:rsidR="00437942" w:rsidRPr="009C7A0A">
        <w:t>o</w:t>
      </w:r>
      <w:r w:rsidR="003E15ED" w:rsidRPr="009C7A0A">
        <w:t>s</w:t>
      </w:r>
      <w:r w:rsidR="00ED1123" w:rsidRPr="009C7A0A">
        <w:t xml:space="preserve"> un </w:t>
      </w:r>
      <w:r w:rsidR="008B760A" w:rsidRPr="009C7A0A">
        <w:t>piemērojot</w:t>
      </w:r>
      <w:r w:rsidR="00914FDA" w:rsidRPr="009C7A0A">
        <w:t xml:space="preserve"> </w:t>
      </w:r>
      <w:r w:rsidR="008B760A" w:rsidRPr="009C7A0A">
        <w:t>sodu</w:t>
      </w:r>
      <w:r w:rsidR="00FE5D1C" w:rsidRPr="009C7A0A">
        <w:t xml:space="preserve">, </w:t>
      </w:r>
      <w:r w:rsidR="00ED1123" w:rsidRPr="009C7A0A">
        <w:t>kā arī</w:t>
      </w:r>
      <w:r w:rsidR="00197A3D" w:rsidRPr="009C7A0A">
        <w:t>,</w:t>
      </w:r>
      <w:r w:rsidR="00ED1123" w:rsidRPr="009C7A0A">
        <w:t xml:space="preserve"> nosakot viņam galīgo sodu</w:t>
      </w:r>
      <w:r w:rsidR="00C73B05" w:rsidRPr="009C7A0A">
        <w:t xml:space="preserve"> pēc noziedzīgo nodarījumu kopības</w:t>
      </w:r>
      <w:r w:rsidR="00ED1123" w:rsidRPr="009C7A0A">
        <w:t>,</w:t>
      </w:r>
      <w:r w:rsidR="00C73B05" w:rsidRPr="009C7A0A">
        <w:t xml:space="preserve"> </w:t>
      </w:r>
      <w:r w:rsidR="004B1236" w:rsidRPr="009C7A0A">
        <w:t>ir pārkāpusi</w:t>
      </w:r>
      <w:r w:rsidR="00C73B05" w:rsidRPr="009C7A0A">
        <w:t xml:space="preserve"> </w:t>
      </w:r>
      <w:r w:rsidR="001D64D6" w:rsidRPr="009C7A0A">
        <w:t>Krimināllikuma 1. panta piekto daļu, 26. panta otro daļu, 46. panta pirm</w:t>
      </w:r>
      <w:r w:rsidR="004B1236" w:rsidRPr="009C7A0A">
        <w:t>o</w:t>
      </w:r>
      <w:r w:rsidR="001D64D6" w:rsidRPr="009C7A0A">
        <w:t xml:space="preserve"> daļ</w:t>
      </w:r>
      <w:r w:rsidR="004B1236" w:rsidRPr="009C7A0A">
        <w:t>u</w:t>
      </w:r>
      <w:r w:rsidR="001D64D6" w:rsidRPr="009C7A0A">
        <w:t xml:space="preserve"> un Kriminālprocesa likuma 25. panta pirmajā daļa noteikto dubultās sodīšanas aizlieguma</w:t>
      </w:r>
      <w:r w:rsidR="001D64D6" w:rsidRPr="009C7A0A">
        <w:rPr>
          <w:i/>
          <w:iCs/>
        </w:rPr>
        <w:t xml:space="preserve"> </w:t>
      </w:r>
      <w:r w:rsidR="001D64D6" w:rsidRPr="009C7A0A">
        <w:t>(</w:t>
      </w:r>
      <w:r w:rsidR="001D64D6" w:rsidRPr="009C7A0A">
        <w:rPr>
          <w:i/>
          <w:iCs/>
        </w:rPr>
        <w:t xml:space="preserve">ne </w:t>
      </w:r>
      <w:proofErr w:type="spellStart"/>
      <w:r w:rsidR="001D64D6" w:rsidRPr="009C7A0A">
        <w:rPr>
          <w:i/>
          <w:iCs/>
        </w:rPr>
        <w:t>bis</w:t>
      </w:r>
      <w:proofErr w:type="spellEnd"/>
      <w:r w:rsidR="001D64D6" w:rsidRPr="009C7A0A">
        <w:rPr>
          <w:i/>
          <w:iCs/>
        </w:rPr>
        <w:t xml:space="preserve"> </w:t>
      </w:r>
      <w:proofErr w:type="spellStart"/>
      <w:r w:rsidR="001D64D6" w:rsidRPr="009C7A0A">
        <w:rPr>
          <w:i/>
          <w:iCs/>
        </w:rPr>
        <w:t>in</w:t>
      </w:r>
      <w:proofErr w:type="spellEnd"/>
      <w:r w:rsidR="001D64D6" w:rsidRPr="009C7A0A">
        <w:rPr>
          <w:i/>
          <w:iCs/>
        </w:rPr>
        <w:t xml:space="preserve"> </w:t>
      </w:r>
      <w:proofErr w:type="spellStart"/>
      <w:r w:rsidR="001D64D6" w:rsidRPr="009C7A0A">
        <w:rPr>
          <w:i/>
          <w:iCs/>
        </w:rPr>
        <w:t>idem</w:t>
      </w:r>
      <w:proofErr w:type="spellEnd"/>
      <w:r w:rsidR="001D64D6" w:rsidRPr="009C7A0A">
        <w:t>) principu.</w:t>
      </w:r>
      <w:r w:rsidR="00F02C26" w:rsidRPr="009C7A0A">
        <w:t xml:space="preserve"> Atzīstot, ka </w:t>
      </w:r>
      <w:r w:rsidR="00126CF7">
        <w:rPr>
          <w:rFonts w:eastAsia="Calibri"/>
          <w:shd w:val="clear" w:color="auto" w:fill="FFFFFF"/>
        </w:rPr>
        <w:t>[pers. A]</w:t>
      </w:r>
      <w:r w:rsidR="00F02C26" w:rsidRPr="009C7A0A">
        <w:t xml:space="preserve"> nodarījums veido noziedzīgo nodarījumu ideālo kopību, </w:t>
      </w:r>
      <w:r w:rsidR="00571022" w:rsidRPr="009C7A0A">
        <w:t>tiesa būtiski pasliktinājusi apsūdzētā tiesisko stāvokli.</w:t>
      </w:r>
    </w:p>
    <w:p w14:paraId="7F7C3554" w14:textId="5771A530" w:rsidR="00643D92" w:rsidRPr="009C7A0A" w:rsidRDefault="000E1763" w:rsidP="009C7A0A">
      <w:pPr>
        <w:widowControl w:val="0"/>
        <w:tabs>
          <w:tab w:val="left" w:pos="2811"/>
        </w:tabs>
        <w:spacing w:line="276" w:lineRule="auto"/>
        <w:ind w:firstLine="720"/>
        <w:contextualSpacing/>
        <w:jc w:val="both"/>
      </w:pPr>
      <w:r w:rsidRPr="009C7A0A">
        <w:t>[6.2</w:t>
      </w:r>
      <w:r w:rsidR="00C16307" w:rsidRPr="009C7A0A">
        <w:t>2</w:t>
      </w:r>
      <w:r w:rsidRPr="009C7A0A">
        <w:t>]</w:t>
      </w:r>
      <w:r w:rsidR="00A45227" w:rsidRPr="009C7A0A">
        <w:t> </w:t>
      </w:r>
      <w:r w:rsidR="001F6BFB" w:rsidRPr="009C7A0A">
        <w:t>Tiesa spriedumā nav analizējusi</w:t>
      </w:r>
      <w:r w:rsidR="00031C67" w:rsidRPr="009C7A0A">
        <w:t xml:space="preserve">, kā </w:t>
      </w:r>
      <w:r w:rsidR="00C231F0" w:rsidRPr="009C7A0A">
        <w:t xml:space="preserve">izpaudās </w:t>
      </w:r>
      <w:r w:rsidR="00BE0E02">
        <w:rPr>
          <w:rFonts w:eastAsia="Calibri"/>
          <w:shd w:val="clear" w:color="auto" w:fill="FFFFFF"/>
        </w:rPr>
        <w:t>[pers. A]</w:t>
      </w:r>
      <w:r w:rsidR="00C231F0" w:rsidRPr="009C7A0A">
        <w:t xml:space="preserve"> rīcība</w:t>
      </w:r>
      <w:r w:rsidR="00CE7843" w:rsidRPr="009C7A0A">
        <w:t>, īstenojot</w:t>
      </w:r>
      <w:r w:rsidR="00031C67" w:rsidRPr="009C7A0A">
        <w:t xml:space="preserve"> Krimināllikuma 123. panta otrajā daļā </w:t>
      </w:r>
      <w:r w:rsidR="00E96CF9" w:rsidRPr="009C7A0A">
        <w:t>paredzētā noziedzīgā nodarījuma</w:t>
      </w:r>
      <w:r w:rsidR="00031C67" w:rsidRPr="009C7A0A">
        <w:t xml:space="preserve"> </w:t>
      </w:r>
      <w:r w:rsidR="00CE7843" w:rsidRPr="009C7A0A">
        <w:t>objektīvo pusi.</w:t>
      </w:r>
    </w:p>
    <w:p w14:paraId="5B9B0864" w14:textId="72254445" w:rsidR="000E1763" w:rsidRPr="009C7A0A" w:rsidRDefault="00B373D4" w:rsidP="009C7A0A">
      <w:pPr>
        <w:widowControl w:val="0"/>
        <w:tabs>
          <w:tab w:val="left" w:pos="2811"/>
        </w:tabs>
        <w:spacing w:line="276" w:lineRule="auto"/>
        <w:ind w:firstLine="720"/>
        <w:contextualSpacing/>
        <w:jc w:val="both"/>
      </w:pPr>
      <w:r w:rsidRPr="009C7A0A">
        <w:t>[6.</w:t>
      </w:r>
      <w:r w:rsidR="00C16307" w:rsidRPr="009C7A0A">
        <w:t>23</w:t>
      </w:r>
      <w:r w:rsidRPr="009C7A0A">
        <w:t>]</w:t>
      </w:r>
      <w:r w:rsidR="00A45227" w:rsidRPr="009C7A0A">
        <w:t> </w:t>
      </w:r>
      <w:r w:rsidR="000E1763" w:rsidRPr="009C7A0A">
        <w:t>Tiesa n</w:t>
      </w:r>
      <w:r w:rsidR="00940368" w:rsidRPr="009C7A0A">
        <w:t xml:space="preserve">av </w:t>
      </w:r>
      <w:r w:rsidR="004A1B66" w:rsidRPr="009C7A0A">
        <w:t>vērtējusi</w:t>
      </w:r>
      <w:r w:rsidR="000E1763" w:rsidRPr="009C7A0A">
        <w:t xml:space="preserve"> </w:t>
      </w:r>
      <w:r w:rsidR="008464DB">
        <w:rPr>
          <w:rFonts w:eastAsia="Calibri"/>
          <w:shd w:val="clear" w:color="auto" w:fill="FFFFFF"/>
        </w:rPr>
        <w:t>[pers. A]</w:t>
      </w:r>
      <w:r w:rsidR="000E1763" w:rsidRPr="009C7A0A">
        <w:t xml:space="preserve"> attieksmi (subjektīvā puse) pret viņam inkriminētajiem noziedzīgajiem nodarījumiem un </w:t>
      </w:r>
      <w:r w:rsidR="00CC5102" w:rsidRPr="009C7A0A">
        <w:t xml:space="preserve">nepamatoti </w:t>
      </w:r>
      <w:r w:rsidR="000E1763" w:rsidRPr="009C7A0A">
        <w:t>nav konstatējusi pamatu Krimināllikuma 10. panta ceturtās daļas piemērošanai.</w:t>
      </w:r>
    </w:p>
    <w:p w14:paraId="03D4BEFF" w14:textId="38D61A1C" w:rsidR="00973057" w:rsidRPr="009C7A0A" w:rsidRDefault="001B67E9" w:rsidP="009C7A0A">
      <w:pPr>
        <w:widowControl w:val="0"/>
        <w:tabs>
          <w:tab w:val="left" w:pos="2811"/>
        </w:tabs>
        <w:spacing w:line="276" w:lineRule="auto"/>
        <w:ind w:firstLine="720"/>
        <w:contextualSpacing/>
        <w:jc w:val="both"/>
      </w:pPr>
      <w:r w:rsidRPr="009C7A0A">
        <w:t>[6.</w:t>
      </w:r>
      <w:r w:rsidR="00C16307" w:rsidRPr="009C7A0A">
        <w:t>24</w:t>
      </w:r>
      <w:r w:rsidRPr="009C7A0A">
        <w:t>]</w:t>
      </w:r>
      <w:r w:rsidR="00A45227" w:rsidRPr="009C7A0A">
        <w:t> </w:t>
      </w:r>
      <w:r w:rsidR="00CE7843" w:rsidRPr="009C7A0A">
        <w:t xml:space="preserve">Tiesa pārkāpusi </w:t>
      </w:r>
      <w:r w:rsidR="000A2B61" w:rsidRPr="009C7A0A">
        <w:t>Kriminālproce</w:t>
      </w:r>
      <w:r w:rsidR="000C2583" w:rsidRPr="009C7A0A">
        <w:t>s</w:t>
      </w:r>
      <w:r w:rsidR="000A2B61" w:rsidRPr="009C7A0A">
        <w:t>a likuma 564. pa</w:t>
      </w:r>
      <w:r w:rsidR="00195849" w:rsidRPr="009C7A0A">
        <w:t>n</w:t>
      </w:r>
      <w:r w:rsidR="000A2B61" w:rsidRPr="009C7A0A">
        <w:t>ta ceturt</w:t>
      </w:r>
      <w:r w:rsidR="00CE7843" w:rsidRPr="009C7A0A">
        <w:t>o</w:t>
      </w:r>
      <w:r w:rsidR="000A2B61" w:rsidRPr="009C7A0A">
        <w:t xml:space="preserve"> daļ</w:t>
      </w:r>
      <w:r w:rsidR="00CE7843" w:rsidRPr="009C7A0A">
        <w:t xml:space="preserve">u, jo </w:t>
      </w:r>
      <w:r w:rsidR="00686ADD" w:rsidRPr="009C7A0A">
        <w:t>n</w:t>
      </w:r>
      <w:r w:rsidR="00CE7843" w:rsidRPr="009C7A0A">
        <w:t xml:space="preserve">av </w:t>
      </w:r>
      <w:r w:rsidR="000A2B61" w:rsidRPr="009C7A0A">
        <w:lastRenderedPageBreak/>
        <w:t>a</w:t>
      </w:r>
      <w:r w:rsidR="000453F9" w:rsidRPr="009C7A0A">
        <w:t>na</w:t>
      </w:r>
      <w:r w:rsidR="000A2B61" w:rsidRPr="009C7A0A">
        <w:t>lizēj</w:t>
      </w:r>
      <w:r w:rsidR="00CE7843" w:rsidRPr="009C7A0A">
        <w:t>usi</w:t>
      </w:r>
      <w:r w:rsidR="00686ADD" w:rsidRPr="009C7A0A">
        <w:t>,</w:t>
      </w:r>
      <w:r w:rsidR="000A2B61" w:rsidRPr="009C7A0A">
        <w:t xml:space="preserve"> kurā no būvprojekta un tā detalizācijas izstrādes stadijām </w:t>
      </w:r>
      <w:r w:rsidR="00510FDC">
        <w:rPr>
          <w:rFonts w:eastAsia="Calibri"/>
          <w:shd w:val="clear" w:color="auto" w:fill="FFFFFF"/>
        </w:rPr>
        <w:t>[pers. A]</w:t>
      </w:r>
      <w:r w:rsidR="000A2B61" w:rsidRPr="009C7A0A">
        <w:t xml:space="preserve"> pieļāvis darbību vai bezdarbību, kas </w:t>
      </w:r>
      <w:r w:rsidR="00195849" w:rsidRPr="009C7A0A">
        <w:t>izraisījusi</w:t>
      </w:r>
      <w:r w:rsidR="000A2B61" w:rsidRPr="009C7A0A">
        <w:t xml:space="preserve"> jumta nogruvumu un </w:t>
      </w:r>
      <w:r w:rsidR="00CB4320" w:rsidRPr="009C7A0A">
        <w:t xml:space="preserve">kuras rezultātā </w:t>
      </w:r>
      <w:r w:rsidR="000A2B61" w:rsidRPr="009C7A0A">
        <w:t xml:space="preserve">iestājušās </w:t>
      </w:r>
      <w:r w:rsidR="0099537A" w:rsidRPr="009C7A0A">
        <w:t xml:space="preserve">kaitīgās </w:t>
      </w:r>
      <w:r w:rsidR="000A2B61" w:rsidRPr="009C7A0A">
        <w:t>sekas.</w:t>
      </w:r>
    </w:p>
    <w:p w14:paraId="025EA02C" w14:textId="59EBB1D5" w:rsidR="00CA64FD" w:rsidRPr="009C7A0A" w:rsidRDefault="00973057" w:rsidP="009C7A0A">
      <w:pPr>
        <w:widowControl w:val="0"/>
        <w:tabs>
          <w:tab w:val="left" w:pos="2811"/>
        </w:tabs>
        <w:spacing w:line="276" w:lineRule="auto"/>
        <w:ind w:firstLine="720"/>
        <w:contextualSpacing/>
        <w:jc w:val="both"/>
      </w:pPr>
      <w:r w:rsidRPr="009C7A0A">
        <w:t>[6.</w:t>
      </w:r>
      <w:r w:rsidR="00C16307" w:rsidRPr="009C7A0A">
        <w:t>25</w:t>
      </w:r>
      <w:r w:rsidRPr="009C7A0A">
        <w:t>]</w:t>
      </w:r>
      <w:r w:rsidR="00A45227" w:rsidRPr="009C7A0A">
        <w:t> </w:t>
      </w:r>
      <w:r w:rsidR="00243C04" w:rsidRPr="009C7A0A">
        <w:t>Apelācijas instances tiesa nepareizi iztulkoj</w:t>
      </w:r>
      <w:r w:rsidR="00CE7843" w:rsidRPr="009C7A0A">
        <w:t>usi</w:t>
      </w:r>
      <w:r w:rsidR="00243C04" w:rsidRPr="009C7A0A">
        <w:t xml:space="preserve"> un piemēroj</w:t>
      </w:r>
      <w:r w:rsidR="00CE7843" w:rsidRPr="009C7A0A">
        <w:t>usi</w:t>
      </w:r>
      <w:r w:rsidR="00243C04" w:rsidRPr="009C7A0A">
        <w:t xml:space="preserve"> būvniecības normas, konstatējot, ka </w:t>
      </w:r>
      <w:r w:rsidR="006A7E0D">
        <w:rPr>
          <w:rFonts w:eastAsia="Calibri"/>
          <w:shd w:val="clear" w:color="auto" w:fill="FFFFFF"/>
        </w:rPr>
        <w:t>[pers. A]</w:t>
      </w:r>
      <w:r w:rsidR="00243C04" w:rsidRPr="009C7A0A">
        <w:t xml:space="preserve"> bija atbildīgs par metāla kopņu detalizācijas izstrādi un citu būvniecības dalībnieku pieļautajām kļūdām</w:t>
      </w:r>
      <w:r w:rsidR="005753AD" w:rsidRPr="009C7A0A">
        <w:t>.</w:t>
      </w:r>
    </w:p>
    <w:p w14:paraId="71A99F37" w14:textId="1CDB0E2D" w:rsidR="00DD70B9" w:rsidRPr="009C7A0A" w:rsidRDefault="00CA64FD" w:rsidP="009C7A0A">
      <w:pPr>
        <w:widowControl w:val="0"/>
        <w:tabs>
          <w:tab w:val="left" w:pos="2811"/>
        </w:tabs>
        <w:spacing w:line="276" w:lineRule="auto"/>
        <w:ind w:firstLine="720"/>
        <w:contextualSpacing/>
        <w:jc w:val="both"/>
      </w:pPr>
      <w:r w:rsidRPr="009C7A0A">
        <w:t>[6.</w:t>
      </w:r>
      <w:r w:rsidR="00C16307" w:rsidRPr="009C7A0A">
        <w:t>26</w:t>
      </w:r>
      <w:r w:rsidRPr="009C7A0A">
        <w:t>]</w:t>
      </w:r>
      <w:r w:rsidR="00A45227" w:rsidRPr="009C7A0A">
        <w:t> </w:t>
      </w:r>
      <w:r w:rsidR="00A06684" w:rsidRPr="009C7A0A">
        <w:t xml:space="preserve">Apelācijas instances tiesa savus secinājumus par </w:t>
      </w:r>
      <w:r w:rsidR="004F605F">
        <w:rPr>
          <w:rFonts w:eastAsia="Calibri"/>
          <w:shd w:val="clear" w:color="auto" w:fill="FFFFFF"/>
        </w:rPr>
        <w:t>[pers. A]</w:t>
      </w:r>
      <w:r w:rsidR="00DD70B9" w:rsidRPr="009C7A0A">
        <w:t xml:space="preserve"> pieļautu bezdarbību un</w:t>
      </w:r>
      <w:r w:rsidR="00A06684" w:rsidRPr="009C7A0A">
        <w:t xml:space="preserve"> atzinumus par viņa</w:t>
      </w:r>
      <w:r w:rsidR="00DD70B9" w:rsidRPr="009C7A0A">
        <w:t xml:space="preserve"> vain</w:t>
      </w:r>
      <w:r w:rsidR="00A06684" w:rsidRPr="009C7A0A">
        <w:t>īgumu</w:t>
      </w:r>
      <w:r w:rsidR="00DD70B9" w:rsidRPr="009C7A0A">
        <w:t xml:space="preserve"> </w:t>
      </w:r>
      <w:r w:rsidR="00FE77C4" w:rsidRPr="009C7A0A">
        <w:t xml:space="preserve">inkriminētajos </w:t>
      </w:r>
      <w:r w:rsidR="00DD70B9" w:rsidRPr="009C7A0A">
        <w:t>noziedzīg</w:t>
      </w:r>
      <w:r w:rsidR="00FE77C4" w:rsidRPr="009C7A0A">
        <w:t>ajos</w:t>
      </w:r>
      <w:r w:rsidR="00DD70B9" w:rsidRPr="009C7A0A">
        <w:t xml:space="preserve"> nodarījum</w:t>
      </w:r>
      <w:r w:rsidR="00FE77C4" w:rsidRPr="009C7A0A">
        <w:t>os</w:t>
      </w:r>
      <w:r w:rsidR="00DD70B9" w:rsidRPr="009C7A0A">
        <w:t xml:space="preserve"> pamatojusi ar pierādījumiem, kas neatbilst Kriminālprocesa likuma 128., 130. panta prasībām.</w:t>
      </w:r>
    </w:p>
    <w:p w14:paraId="7AA49C42" w14:textId="25C14A60" w:rsidR="00497824" w:rsidRPr="009C7A0A" w:rsidRDefault="00497824" w:rsidP="009C7A0A">
      <w:pPr>
        <w:widowControl w:val="0"/>
        <w:tabs>
          <w:tab w:val="left" w:pos="2811"/>
        </w:tabs>
        <w:spacing w:line="276" w:lineRule="auto"/>
        <w:ind w:firstLine="720"/>
        <w:contextualSpacing/>
        <w:jc w:val="both"/>
      </w:pPr>
    </w:p>
    <w:p w14:paraId="69AF3592" w14:textId="10CD52A4" w:rsidR="00146C0E" w:rsidRPr="009C7A0A" w:rsidRDefault="008B7E58" w:rsidP="005D653C">
      <w:pPr>
        <w:widowControl w:val="0"/>
        <w:spacing w:line="276" w:lineRule="auto"/>
        <w:ind w:firstLine="720"/>
        <w:contextualSpacing/>
        <w:jc w:val="both"/>
      </w:pPr>
      <w:r w:rsidRPr="009C7A0A">
        <w:t>[7] </w:t>
      </w:r>
      <w:r w:rsidR="00DE5A87" w:rsidRPr="009C7A0A">
        <w:t>Cietuš</w:t>
      </w:r>
      <w:r w:rsidR="00734196" w:rsidRPr="009C7A0A">
        <w:t xml:space="preserve">ie </w:t>
      </w:r>
      <w:r w:rsidR="002A1643">
        <w:t>[pers. C]</w:t>
      </w:r>
      <w:r w:rsidR="00BC1A7C" w:rsidRPr="009C7A0A">
        <w:t xml:space="preserve">, </w:t>
      </w:r>
      <w:r w:rsidR="002A1643">
        <w:t>[pers. D]</w:t>
      </w:r>
      <w:r w:rsidR="00BC1A7C" w:rsidRPr="009C7A0A">
        <w:t xml:space="preserve">, </w:t>
      </w:r>
      <w:r w:rsidR="002A1643">
        <w:t>[pers. F]</w:t>
      </w:r>
      <w:r w:rsidR="00BC1A7C" w:rsidRPr="009C7A0A">
        <w:t xml:space="preserve">, </w:t>
      </w:r>
      <w:r w:rsidR="002A1643">
        <w:t>[pers. G]</w:t>
      </w:r>
      <w:r w:rsidR="00BC1A7C" w:rsidRPr="009C7A0A">
        <w:t>,</w:t>
      </w:r>
      <w:r w:rsidR="00401417" w:rsidRPr="009C7A0A">
        <w:t xml:space="preserve"> </w:t>
      </w:r>
      <w:r w:rsidR="002A1643">
        <w:t>[pers. H]</w:t>
      </w:r>
      <w:r w:rsidR="00401417" w:rsidRPr="009C7A0A">
        <w:t xml:space="preserve">, </w:t>
      </w:r>
      <w:r w:rsidR="002A1643">
        <w:t>[pers. I]</w:t>
      </w:r>
      <w:r w:rsidR="00401417" w:rsidRPr="009C7A0A">
        <w:t xml:space="preserve">, </w:t>
      </w:r>
      <w:r w:rsidR="002A1643">
        <w:t>[pers. J]</w:t>
      </w:r>
      <w:r w:rsidR="00401417" w:rsidRPr="009C7A0A">
        <w:t xml:space="preserve">, </w:t>
      </w:r>
      <w:r w:rsidR="002A1643">
        <w:t>[pers. K]</w:t>
      </w:r>
      <w:r w:rsidR="00401417" w:rsidRPr="009C7A0A">
        <w:t xml:space="preserve">, </w:t>
      </w:r>
      <w:r w:rsidR="002A1643">
        <w:t>[pers. L]</w:t>
      </w:r>
      <w:r w:rsidR="00401417" w:rsidRPr="009C7A0A">
        <w:t xml:space="preserve">, </w:t>
      </w:r>
      <w:r w:rsidR="002A1643">
        <w:t>[pers. M]</w:t>
      </w:r>
      <w:r w:rsidR="00401417" w:rsidRPr="009C7A0A">
        <w:t xml:space="preserve">, </w:t>
      </w:r>
      <w:r w:rsidR="002A1643">
        <w:t>[pers. N]</w:t>
      </w:r>
      <w:r w:rsidR="00401417" w:rsidRPr="009C7A0A">
        <w:t xml:space="preserve">, </w:t>
      </w:r>
      <w:r w:rsidR="002A1643">
        <w:t>[pers. O]</w:t>
      </w:r>
      <w:r w:rsidR="000E0207" w:rsidRPr="009C7A0A">
        <w:t xml:space="preserve">, </w:t>
      </w:r>
      <w:r w:rsidR="002A1643">
        <w:t>[pers. P]</w:t>
      </w:r>
      <w:r w:rsidR="000E0207" w:rsidRPr="009C7A0A">
        <w:t xml:space="preserve">, </w:t>
      </w:r>
      <w:r w:rsidR="002A1643">
        <w:t>[pers. R]</w:t>
      </w:r>
      <w:r w:rsidR="008D7FA9" w:rsidRPr="009C7A0A">
        <w:t xml:space="preserve">, cietušie </w:t>
      </w:r>
      <w:r w:rsidR="002A1643">
        <w:t>[pers. S]</w:t>
      </w:r>
      <w:r w:rsidR="008D7FA9" w:rsidRPr="009C7A0A">
        <w:t xml:space="preserve"> un </w:t>
      </w:r>
      <w:r w:rsidR="002A1643">
        <w:t>[pers. T]</w:t>
      </w:r>
      <w:r w:rsidR="008D7FA9" w:rsidRPr="009C7A0A">
        <w:t xml:space="preserve">, </w:t>
      </w:r>
      <w:r w:rsidR="002A1643">
        <w:t>[pers. U]</w:t>
      </w:r>
      <w:r w:rsidR="008D7FA9" w:rsidRPr="009C7A0A">
        <w:t xml:space="preserve"> un </w:t>
      </w:r>
      <w:r w:rsidR="002A1643">
        <w:t>[pers. V]</w:t>
      </w:r>
      <w:r w:rsidR="008D7FA9" w:rsidRPr="009C7A0A">
        <w:t xml:space="preserve">, </w:t>
      </w:r>
      <w:r w:rsidR="002A1643">
        <w:t>[pers. Z]</w:t>
      </w:r>
      <w:r w:rsidR="008D7FA9" w:rsidRPr="009C7A0A">
        <w:t xml:space="preserve"> un </w:t>
      </w:r>
      <w:r w:rsidR="002A1643">
        <w:t>[pers. AA]</w:t>
      </w:r>
      <w:r w:rsidR="008D7FA9" w:rsidRPr="009C7A0A">
        <w:t xml:space="preserve">, </w:t>
      </w:r>
      <w:r w:rsidR="002A1643">
        <w:t>[pers. AB]</w:t>
      </w:r>
      <w:r w:rsidR="00313EA3" w:rsidRPr="009C7A0A">
        <w:t xml:space="preserve"> un </w:t>
      </w:r>
      <w:r w:rsidR="002A1643">
        <w:t>[pers. AC]</w:t>
      </w:r>
      <w:r w:rsidR="00313EA3" w:rsidRPr="009C7A0A">
        <w:t xml:space="preserve">, </w:t>
      </w:r>
      <w:r w:rsidR="002A1643">
        <w:t>[pers. A</w:t>
      </w:r>
      <w:r w:rsidR="00AC1F24">
        <w:t>D</w:t>
      </w:r>
      <w:r w:rsidR="002A1643">
        <w:t>]</w:t>
      </w:r>
      <w:r w:rsidR="00313EA3" w:rsidRPr="009C7A0A">
        <w:t xml:space="preserve"> un </w:t>
      </w:r>
      <w:r w:rsidR="002A1643">
        <w:t>[pers. AE]</w:t>
      </w:r>
      <w:r w:rsidR="00313EA3" w:rsidRPr="009C7A0A">
        <w:t xml:space="preserve">, cietušie </w:t>
      </w:r>
      <w:r w:rsidR="002A1643">
        <w:t>[pers. AF]</w:t>
      </w:r>
      <w:r w:rsidR="00313EA3" w:rsidRPr="009C7A0A">
        <w:t xml:space="preserve">, </w:t>
      </w:r>
      <w:r w:rsidR="002A1643">
        <w:t>[pers. AG]</w:t>
      </w:r>
      <w:r w:rsidR="00313EA3" w:rsidRPr="009C7A0A">
        <w:t xml:space="preserve"> un </w:t>
      </w:r>
      <w:r w:rsidR="002A1643">
        <w:t>[pers. AH]</w:t>
      </w:r>
      <w:r w:rsidR="00313EA3" w:rsidRPr="009C7A0A">
        <w:t xml:space="preserve">, </w:t>
      </w:r>
      <w:r w:rsidR="002A1643">
        <w:t>[pers. AI]</w:t>
      </w:r>
      <w:r w:rsidR="00313EA3" w:rsidRPr="009C7A0A">
        <w:t xml:space="preserve">, </w:t>
      </w:r>
      <w:r w:rsidR="002A1643">
        <w:t>[pers. JA]</w:t>
      </w:r>
      <w:r w:rsidR="00313EA3" w:rsidRPr="009C7A0A">
        <w:t xml:space="preserve"> un </w:t>
      </w:r>
      <w:r w:rsidR="002A1643">
        <w:t>[pers. AK]</w:t>
      </w:r>
      <w:r w:rsidR="00313EA3" w:rsidRPr="009C7A0A">
        <w:t xml:space="preserve">, </w:t>
      </w:r>
      <w:r w:rsidR="002A1643">
        <w:t>[pers. AL]</w:t>
      </w:r>
      <w:r w:rsidR="001D0CEC" w:rsidRPr="009C7A0A">
        <w:t xml:space="preserve">, </w:t>
      </w:r>
      <w:r w:rsidR="002A1643">
        <w:t>[pers. AM]</w:t>
      </w:r>
      <w:r w:rsidR="001D0CEC" w:rsidRPr="009C7A0A">
        <w:t xml:space="preserve"> un </w:t>
      </w:r>
      <w:r w:rsidR="002A1643">
        <w:t>[pers. AN]</w:t>
      </w:r>
      <w:r w:rsidR="001D0CEC" w:rsidRPr="009C7A0A">
        <w:t xml:space="preserve">, </w:t>
      </w:r>
      <w:r w:rsidR="002A1643">
        <w:t>[pers. AO]</w:t>
      </w:r>
      <w:r w:rsidR="001D0CEC" w:rsidRPr="009C7A0A">
        <w:t xml:space="preserve">, </w:t>
      </w:r>
      <w:r w:rsidR="002A1643">
        <w:t>[pers. AP]</w:t>
      </w:r>
      <w:r w:rsidR="001D0CEC" w:rsidRPr="009C7A0A">
        <w:t xml:space="preserve"> un </w:t>
      </w:r>
      <w:r w:rsidR="002A1643">
        <w:t>[pers. AR]</w:t>
      </w:r>
      <w:r w:rsidR="001D0CEC" w:rsidRPr="009C7A0A">
        <w:t xml:space="preserve">, </w:t>
      </w:r>
      <w:r w:rsidR="001D45C7" w:rsidRPr="009C7A0A">
        <w:t xml:space="preserve">cietušie </w:t>
      </w:r>
      <w:r w:rsidR="002A1643">
        <w:t>[pers. AT]</w:t>
      </w:r>
      <w:r w:rsidR="001D45C7" w:rsidRPr="009C7A0A">
        <w:t xml:space="preserve">, </w:t>
      </w:r>
      <w:r w:rsidR="002A1643">
        <w:t>[pers. AS]</w:t>
      </w:r>
      <w:r w:rsidR="001D45C7" w:rsidRPr="009C7A0A">
        <w:t xml:space="preserve">, </w:t>
      </w:r>
      <w:r w:rsidR="002A1643">
        <w:t>[pers. AU]</w:t>
      </w:r>
      <w:r w:rsidR="001D45C7" w:rsidRPr="009C7A0A">
        <w:t xml:space="preserve"> un </w:t>
      </w:r>
      <w:r w:rsidR="002A1643">
        <w:t>[pers. AV]</w:t>
      </w:r>
      <w:r w:rsidR="001D45C7" w:rsidRPr="009C7A0A">
        <w:t xml:space="preserve"> </w:t>
      </w:r>
      <w:r w:rsidR="00DD47C2" w:rsidRPr="009C7A0A">
        <w:rPr>
          <w:rFonts w:eastAsia="Calibri"/>
          <w:color w:val="000000" w:themeColor="text1"/>
        </w:rPr>
        <w:t xml:space="preserve">kasācijas sūdzībās lūdz atcelt apelācijas instances tiesas </w:t>
      </w:r>
      <w:r w:rsidR="00DD47C2" w:rsidRPr="009C7A0A">
        <w:rPr>
          <w:rFonts w:eastAsia="Calibri"/>
        </w:rPr>
        <w:t xml:space="preserve">spriedumu daļā par </w:t>
      </w:r>
      <w:r w:rsidR="002E5C5C">
        <w:rPr>
          <w:rFonts w:eastAsia="Calibri"/>
        </w:rPr>
        <w:t>[pers. BI]</w:t>
      </w:r>
      <w:r w:rsidR="00DD47C2" w:rsidRPr="009C7A0A">
        <w:rPr>
          <w:rFonts w:eastAsia="Calibri"/>
        </w:rPr>
        <w:t xml:space="preserve">, </w:t>
      </w:r>
      <w:r w:rsidR="002E5C5C">
        <w:rPr>
          <w:rFonts w:eastAsia="Calibri"/>
          <w:shd w:val="clear" w:color="auto" w:fill="FFFFFF"/>
        </w:rPr>
        <w:t>[pers. BJ]</w:t>
      </w:r>
      <w:r w:rsidR="00DD47C2" w:rsidRPr="009C7A0A">
        <w:rPr>
          <w:rFonts w:eastAsia="Calibri"/>
        </w:rPr>
        <w:t xml:space="preserve">, </w:t>
      </w:r>
      <w:r w:rsidR="002E5C5C">
        <w:rPr>
          <w:rFonts w:eastAsia="Calibri"/>
          <w:shd w:val="clear" w:color="auto" w:fill="FFFFFF"/>
        </w:rPr>
        <w:t>[pers. BK]</w:t>
      </w:r>
      <w:r w:rsidR="00DD47C2" w:rsidRPr="009C7A0A">
        <w:rPr>
          <w:rFonts w:eastAsia="Calibri"/>
        </w:rPr>
        <w:t xml:space="preserve"> un </w:t>
      </w:r>
      <w:r w:rsidR="002E5C5C">
        <w:rPr>
          <w:rFonts w:eastAsia="Calibri"/>
          <w:shd w:val="clear" w:color="auto" w:fill="FFFFFF"/>
        </w:rPr>
        <w:t>[pers. BL]</w:t>
      </w:r>
      <w:r w:rsidR="00DD47C2" w:rsidRPr="009C7A0A">
        <w:rPr>
          <w:rFonts w:eastAsia="Calibri"/>
        </w:rPr>
        <w:t xml:space="preserve"> atzīšanu par nevainīgiem pret viņiem celtajā apsūdzībā pēc Krimināllikuma 239. panta otrās daļas, 123. panta otrās daļas un attaisnošanu, daļā par </w:t>
      </w:r>
      <w:r w:rsidR="005D653C">
        <w:rPr>
          <w:rFonts w:eastAsia="Calibri"/>
          <w:shd w:val="clear" w:color="auto" w:fill="FFFFFF"/>
        </w:rPr>
        <w:t>[pers. BM]</w:t>
      </w:r>
      <w:r w:rsidR="00DD47C2" w:rsidRPr="009C7A0A">
        <w:rPr>
          <w:rFonts w:eastAsia="Calibri"/>
        </w:rPr>
        <w:t xml:space="preserve"> un </w:t>
      </w:r>
      <w:r w:rsidR="005D653C">
        <w:rPr>
          <w:rFonts w:eastAsia="Calibri"/>
        </w:rPr>
        <w:t>[pers. BN]</w:t>
      </w:r>
      <w:r w:rsidR="00DD47C2" w:rsidRPr="009C7A0A">
        <w:rPr>
          <w:rFonts w:eastAsia="Calibri"/>
        </w:rPr>
        <w:t xml:space="preserve"> atzīšanu par nevainīgiem pret viņiem celtajā apsūdzībā pēc Krimināllikuma 319. panta trešās daļas un attaisnošanu, daļā par kriminālprocesa </w:t>
      </w:r>
      <w:r w:rsidR="00DD47C2" w:rsidRPr="009C7A0A">
        <w:rPr>
          <w:rFonts w:eastAsia="Calibri"/>
          <w:color w:val="000000" w:themeColor="text1"/>
        </w:rPr>
        <w:t>izbeigšanu daļā par piespiedu ietekmēšanas līdzekļ</w:t>
      </w:r>
      <w:r w:rsidR="007565FC" w:rsidRPr="009C7A0A">
        <w:rPr>
          <w:rFonts w:eastAsia="Calibri"/>
          <w:color w:val="000000" w:themeColor="text1"/>
        </w:rPr>
        <w:t>a</w:t>
      </w:r>
      <w:r w:rsidR="00DD47C2" w:rsidRPr="009C7A0A">
        <w:rPr>
          <w:rFonts w:eastAsia="Calibri"/>
          <w:color w:val="000000" w:themeColor="text1"/>
        </w:rPr>
        <w:t xml:space="preserve"> piemērošanu </w:t>
      </w:r>
      <w:r w:rsidR="00976E2F" w:rsidRPr="009C7A0A">
        <w:rPr>
          <w:rFonts w:eastAsia="Calibri"/>
          <w:color w:val="000000" w:themeColor="text1"/>
        </w:rPr>
        <w:t xml:space="preserve">juridiskajām personām </w:t>
      </w:r>
      <w:r w:rsidR="00DD47C2" w:rsidRPr="009C7A0A">
        <w:rPr>
          <w:rFonts w:eastAsia="Calibri"/>
          <w:color w:val="000000" w:themeColor="text1"/>
        </w:rPr>
        <w:t>SIA „</w:t>
      </w:r>
      <w:r w:rsidR="002C236E">
        <w:rPr>
          <w:rFonts w:eastAsia="Calibri"/>
          <w:color w:val="000000" w:themeColor="text1"/>
        </w:rPr>
        <w:t>[Nosaukums</w:t>
      </w:r>
      <w:r w:rsidR="009240CC">
        <w:rPr>
          <w:rFonts w:eastAsia="Calibri"/>
          <w:color w:val="000000" w:themeColor="text1"/>
        </w:rPr>
        <w:t> </w:t>
      </w:r>
      <w:r w:rsidR="002C236E">
        <w:rPr>
          <w:rFonts w:eastAsia="Calibri"/>
          <w:color w:val="000000" w:themeColor="text1"/>
        </w:rPr>
        <w:t>B]</w:t>
      </w:r>
      <w:r w:rsidR="00DD47C2" w:rsidRPr="009C7A0A">
        <w:rPr>
          <w:rFonts w:eastAsia="Calibri"/>
          <w:color w:val="000000" w:themeColor="text1"/>
        </w:rPr>
        <w:t>”, SIA „</w:t>
      </w:r>
      <w:r w:rsidR="002C236E">
        <w:rPr>
          <w:rFonts w:eastAsia="Calibri"/>
          <w:color w:val="000000" w:themeColor="text1"/>
        </w:rPr>
        <w:t>[Nosaukums</w:t>
      </w:r>
      <w:r w:rsidR="009240CC">
        <w:rPr>
          <w:rFonts w:eastAsia="Calibri"/>
          <w:color w:val="000000" w:themeColor="text1"/>
        </w:rPr>
        <w:t> </w:t>
      </w:r>
      <w:r w:rsidR="002C236E">
        <w:rPr>
          <w:rFonts w:eastAsia="Calibri"/>
          <w:color w:val="000000" w:themeColor="text1"/>
        </w:rPr>
        <w:t>C]</w:t>
      </w:r>
      <w:r w:rsidR="00DD47C2" w:rsidRPr="009C7A0A">
        <w:rPr>
          <w:rFonts w:eastAsia="Calibri"/>
          <w:color w:val="000000" w:themeColor="text1"/>
        </w:rPr>
        <w:t>” un SIA „</w:t>
      </w:r>
      <w:r w:rsidR="002C236E">
        <w:rPr>
          <w:rFonts w:eastAsia="Calibri"/>
          <w:color w:val="000000" w:themeColor="text1"/>
        </w:rPr>
        <w:t>[Nosaukums</w:t>
      </w:r>
      <w:r w:rsidR="009240CC">
        <w:rPr>
          <w:rFonts w:eastAsia="Calibri"/>
          <w:color w:val="000000" w:themeColor="text1"/>
        </w:rPr>
        <w:t> </w:t>
      </w:r>
      <w:r w:rsidR="002C236E">
        <w:rPr>
          <w:rFonts w:eastAsia="Calibri"/>
          <w:color w:val="000000" w:themeColor="text1"/>
        </w:rPr>
        <w:t>D]</w:t>
      </w:r>
      <w:r w:rsidR="00DD47C2" w:rsidRPr="009C7A0A">
        <w:rPr>
          <w:rFonts w:eastAsia="Calibri"/>
          <w:color w:val="000000" w:themeColor="text1"/>
        </w:rPr>
        <w:t xml:space="preserve">”, </w:t>
      </w:r>
      <w:r w:rsidR="00DD47C2" w:rsidRPr="009C7A0A">
        <w:rPr>
          <w:rFonts w:eastAsia="Calibri"/>
        </w:rPr>
        <w:t xml:space="preserve">daļā par cietušajiem </w:t>
      </w:r>
      <w:r w:rsidR="00DD47C2" w:rsidRPr="009C7A0A">
        <w:t xml:space="preserve">noteikto kaitējuma kompensācijas apmēru un </w:t>
      </w:r>
      <w:r w:rsidR="00976E2F" w:rsidRPr="009C7A0A">
        <w:t xml:space="preserve">šajā daļā </w:t>
      </w:r>
      <w:r w:rsidR="00DD47C2" w:rsidRPr="009C7A0A">
        <w:rPr>
          <w:color w:val="000000" w:themeColor="text1"/>
        </w:rPr>
        <w:t xml:space="preserve">nosūtīt </w:t>
      </w:r>
      <w:r w:rsidR="00DD47C2" w:rsidRPr="009C7A0A">
        <w:t>lietu jaunai izskatīšanai apelācijas instances tiesā.</w:t>
      </w:r>
    </w:p>
    <w:p w14:paraId="3A9ACBF5" w14:textId="0CED222E" w:rsidR="00751021" w:rsidRPr="009C7A0A" w:rsidRDefault="00751021" w:rsidP="009C7A0A">
      <w:pPr>
        <w:widowControl w:val="0"/>
        <w:spacing w:line="276" w:lineRule="auto"/>
        <w:ind w:firstLine="720"/>
        <w:contextualSpacing/>
        <w:jc w:val="both"/>
      </w:pPr>
      <w:r w:rsidRPr="009C7A0A">
        <w:t>[7.1]</w:t>
      </w:r>
      <w:r w:rsidR="00EC4FFE" w:rsidRPr="009C7A0A">
        <w:t> </w:t>
      </w:r>
      <w:r w:rsidR="009126AF" w:rsidRPr="009C7A0A">
        <w:t>Cietuš</w:t>
      </w:r>
      <w:r w:rsidR="00331CD9" w:rsidRPr="009C7A0A">
        <w:t xml:space="preserve">ā </w:t>
      </w:r>
      <w:r w:rsidR="00310D78">
        <w:t>[pers. C]</w:t>
      </w:r>
      <w:r w:rsidR="009126AF" w:rsidRPr="009C7A0A">
        <w:t xml:space="preserve"> </w:t>
      </w:r>
      <w:r w:rsidRPr="009C7A0A">
        <w:t>kasācijas sūdzību pamato turpmāk norādītie argumenti.</w:t>
      </w:r>
    </w:p>
    <w:p w14:paraId="5F8F58E8" w14:textId="55FC9BEE" w:rsidR="00751021" w:rsidRPr="009C7A0A" w:rsidRDefault="00751021" w:rsidP="009C7A0A">
      <w:pPr>
        <w:widowControl w:val="0"/>
        <w:spacing w:line="276" w:lineRule="auto"/>
        <w:ind w:firstLine="720"/>
        <w:contextualSpacing/>
        <w:jc w:val="both"/>
      </w:pPr>
      <w:r w:rsidRPr="009C7A0A">
        <w:t>Nosakot kompensācijas apmēru, tiesai detalizēti jāatspoguļo un individuāli jāizvērtē: 1) radītais mantiskais zaudējums; 2) noziedzīgā nodarījuma smagums un izdarīšanas raksturs; 3) nodarītās fiziskās ciešanas, paliekošais sakropļojums un darbspēju zudums; 4) morālā aizskāruma dziļums un publiskums; 5) psihiskā trauma.</w:t>
      </w:r>
    </w:p>
    <w:p w14:paraId="1952B37F" w14:textId="12282975" w:rsidR="00751021" w:rsidRPr="009C7A0A" w:rsidRDefault="00751021" w:rsidP="009C7A0A">
      <w:pPr>
        <w:widowControl w:val="0"/>
        <w:spacing w:line="276" w:lineRule="auto"/>
        <w:ind w:firstLine="720"/>
        <w:contextualSpacing/>
        <w:jc w:val="both"/>
      </w:pPr>
      <w:r w:rsidRPr="009C7A0A">
        <w:t>Tiesa n</w:t>
      </w:r>
      <w:r w:rsidR="007565FC" w:rsidRPr="009C7A0A">
        <w:t>av</w:t>
      </w:r>
      <w:r w:rsidRPr="009C7A0A">
        <w:t xml:space="preserve"> individuāli izvērtējusi katra cietušā norādītos argumentus, ar kuriem tika pamatots </w:t>
      </w:r>
      <w:r w:rsidR="006721B8" w:rsidRPr="009C7A0A">
        <w:t xml:space="preserve">kaitējuma </w:t>
      </w:r>
      <w:r w:rsidRPr="009C7A0A">
        <w:t xml:space="preserve">kompensācijas </w:t>
      </w:r>
      <w:r w:rsidR="0048330E" w:rsidRPr="009C7A0A">
        <w:t xml:space="preserve">par morālo aizskārumu </w:t>
      </w:r>
      <w:r w:rsidRPr="009C7A0A">
        <w:t>apmērs, bet gan formāli notei</w:t>
      </w:r>
      <w:r w:rsidR="007565FC" w:rsidRPr="009C7A0A">
        <w:t>kusi</w:t>
      </w:r>
      <w:r w:rsidRPr="009C7A0A">
        <w:t xml:space="preserve"> vienu atlīdzināmo summu par ciešanām un pārdzīvojumiem</w:t>
      </w:r>
      <w:r w:rsidR="007565FC" w:rsidRPr="009C7A0A">
        <w:t xml:space="preserve"> sakarā ar ģimenes (tuvinieku) bojāeju</w:t>
      </w:r>
      <w:r w:rsidR="00A1321F" w:rsidRPr="009C7A0A">
        <w:t>.</w:t>
      </w:r>
    </w:p>
    <w:p w14:paraId="14BCC23E" w14:textId="58C73A6E" w:rsidR="00751021" w:rsidRPr="009C7A0A" w:rsidRDefault="00751021" w:rsidP="009C7A0A">
      <w:pPr>
        <w:widowControl w:val="0"/>
        <w:spacing w:line="276" w:lineRule="auto"/>
        <w:ind w:firstLine="720"/>
        <w:contextualSpacing/>
        <w:jc w:val="both"/>
      </w:pPr>
      <w:r w:rsidRPr="009C7A0A">
        <w:t xml:space="preserve">Tiesa nepamatoti atzinusi par vainīgu tikai apsūdzēto </w:t>
      </w:r>
      <w:r w:rsidR="009B38AC">
        <w:rPr>
          <w:rFonts w:eastAsia="Calibri"/>
          <w:shd w:val="clear" w:color="auto" w:fill="FFFFFF"/>
        </w:rPr>
        <w:t>[pers. A]</w:t>
      </w:r>
      <w:r w:rsidRPr="009C7A0A">
        <w:t xml:space="preserve"> viņam inkriminēt</w:t>
      </w:r>
      <w:r w:rsidR="006721B8" w:rsidRPr="009C7A0A">
        <w:t>ajos</w:t>
      </w:r>
      <w:r w:rsidRPr="009C7A0A">
        <w:t xml:space="preserve"> noziedzīg</w:t>
      </w:r>
      <w:r w:rsidR="006721B8" w:rsidRPr="009C7A0A">
        <w:t>ajos</w:t>
      </w:r>
      <w:r w:rsidRPr="009C7A0A">
        <w:t xml:space="preserve"> nodarījum</w:t>
      </w:r>
      <w:r w:rsidR="006721B8" w:rsidRPr="009C7A0A">
        <w:t>os</w:t>
      </w:r>
      <w:r w:rsidR="008F381D" w:rsidRPr="009C7A0A">
        <w:t xml:space="preserve"> un</w:t>
      </w:r>
      <w:r w:rsidRPr="009C7A0A">
        <w:t xml:space="preserve"> attaisnojusi pārējos apsūdzētos </w:t>
      </w:r>
      <w:r w:rsidR="00BD2C4F" w:rsidRPr="009C7A0A">
        <w:t xml:space="preserve">pret </w:t>
      </w:r>
      <w:r w:rsidRPr="009C7A0A">
        <w:t xml:space="preserve">viņiem </w:t>
      </w:r>
      <w:r w:rsidR="006721B8" w:rsidRPr="009C7A0A">
        <w:t>celtajā apsūdzībā</w:t>
      </w:r>
      <w:r w:rsidRPr="009C7A0A">
        <w:t xml:space="preserve">, jo ar tiesas izmeklēšanas laikā </w:t>
      </w:r>
      <w:r w:rsidR="009126AF" w:rsidRPr="009C7A0A">
        <w:t xml:space="preserve">iegūtajiem </w:t>
      </w:r>
      <w:r w:rsidRPr="009C7A0A">
        <w:t xml:space="preserve">pierādījumiem pilnībā </w:t>
      </w:r>
      <w:r w:rsidR="009126AF" w:rsidRPr="009C7A0A">
        <w:t xml:space="preserve">ir </w:t>
      </w:r>
      <w:r w:rsidRPr="009C7A0A">
        <w:t>pierādīt</w:t>
      </w:r>
      <w:r w:rsidR="009126AF" w:rsidRPr="009C7A0A">
        <w:t>s</w:t>
      </w:r>
      <w:r w:rsidRPr="009C7A0A">
        <w:t xml:space="preserve"> visu apsūdzēto vain</w:t>
      </w:r>
      <w:r w:rsidR="009126AF" w:rsidRPr="009C7A0A">
        <w:t>īgums</w:t>
      </w:r>
      <w:r w:rsidRPr="009C7A0A">
        <w:t>.</w:t>
      </w:r>
    </w:p>
    <w:p w14:paraId="0F016747" w14:textId="760677F5" w:rsidR="00AB6EB9" w:rsidRPr="009C7A0A" w:rsidRDefault="00751021" w:rsidP="009C7A0A">
      <w:pPr>
        <w:widowControl w:val="0"/>
        <w:spacing w:line="276" w:lineRule="auto"/>
        <w:ind w:firstLine="720"/>
        <w:contextualSpacing/>
        <w:jc w:val="both"/>
      </w:pPr>
      <w:r w:rsidRPr="009C7A0A">
        <w:t>Par neuzmanī</w:t>
      </w:r>
      <w:r w:rsidR="009126AF" w:rsidRPr="009C7A0A">
        <w:t>gu</w:t>
      </w:r>
      <w:r w:rsidRPr="009C7A0A">
        <w:t xml:space="preserve"> un paviršu attieksmi pret lietas faktiskajiem apstākļiem un cietušajiem uzskatāms tiesas sprieduma motīvu daļā norādītais, ka </w:t>
      </w:r>
      <w:r w:rsidR="002D7F00" w:rsidRPr="009C7A0A">
        <w:t xml:space="preserve">ir gājusi </w:t>
      </w:r>
      <w:r w:rsidRPr="009C7A0A">
        <w:t>bojā 51 persona, lai gan no ekspert</w:t>
      </w:r>
      <w:r w:rsidR="009126AF" w:rsidRPr="009C7A0A">
        <w:t>u</w:t>
      </w:r>
      <w:r w:rsidRPr="009C7A0A">
        <w:t xml:space="preserve"> atzinumiem </w:t>
      </w:r>
      <w:r w:rsidR="002D7F00" w:rsidRPr="009C7A0A">
        <w:t>secināms</w:t>
      </w:r>
      <w:r w:rsidRPr="009C7A0A">
        <w:t xml:space="preserve">, ka </w:t>
      </w:r>
      <w:r w:rsidR="009126AF" w:rsidRPr="009C7A0A">
        <w:t xml:space="preserve">ir </w:t>
      </w:r>
      <w:r w:rsidRPr="009C7A0A">
        <w:t>iestājusies 54 personu nāve.</w:t>
      </w:r>
    </w:p>
    <w:p w14:paraId="35E0C653" w14:textId="3205E6C0" w:rsidR="00782124" w:rsidRPr="009C7A0A" w:rsidRDefault="00AB6EB9" w:rsidP="009C7A0A">
      <w:pPr>
        <w:widowControl w:val="0"/>
        <w:spacing w:line="276" w:lineRule="auto"/>
        <w:ind w:firstLine="720"/>
        <w:contextualSpacing/>
        <w:jc w:val="both"/>
      </w:pPr>
      <w:r w:rsidRPr="009C7A0A">
        <w:t>[7.2]</w:t>
      </w:r>
      <w:r w:rsidR="00EC4FFE" w:rsidRPr="009C7A0A">
        <w:t> </w:t>
      </w:r>
      <w:r w:rsidR="00753FD7" w:rsidRPr="009C7A0A">
        <w:t>Cietušo</w:t>
      </w:r>
      <w:r w:rsidR="00090250" w:rsidRPr="009C7A0A">
        <w:t xml:space="preserve"> </w:t>
      </w:r>
      <w:r w:rsidR="008F4B6C">
        <w:t>[pers. D]</w:t>
      </w:r>
      <w:r w:rsidR="00090250" w:rsidRPr="009C7A0A">
        <w:t xml:space="preserve">, </w:t>
      </w:r>
      <w:r w:rsidR="008F4B6C">
        <w:rPr>
          <w:rFonts w:eastAsia="Calibri"/>
          <w:shd w:val="clear" w:color="auto" w:fill="FFFFFF"/>
        </w:rPr>
        <w:t>[pers. G]</w:t>
      </w:r>
      <w:r w:rsidR="009307BD" w:rsidRPr="009C7A0A">
        <w:t xml:space="preserve">, </w:t>
      </w:r>
      <w:r w:rsidR="008F4B6C">
        <w:rPr>
          <w:rFonts w:eastAsia="Calibri"/>
          <w:shd w:val="clear" w:color="auto" w:fill="FFFFFF"/>
        </w:rPr>
        <w:t>[pers. H]</w:t>
      </w:r>
      <w:r w:rsidR="009307BD" w:rsidRPr="009C7A0A">
        <w:t xml:space="preserve">, </w:t>
      </w:r>
      <w:r w:rsidR="008F4B6C">
        <w:rPr>
          <w:rFonts w:eastAsia="Calibri"/>
          <w:shd w:val="clear" w:color="auto" w:fill="FFFFFF"/>
        </w:rPr>
        <w:t>[pers. I]</w:t>
      </w:r>
      <w:r w:rsidR="009307BD" w:rsidRPr="009C7A0A">
        <w:t xml:space="preserve">, </w:t>
      </w:r>
      <w:r w:rsidR="008F4B6C">
        <w:rPr>
          <w:rFonts w:eastAsia="Calibri"/>
          <w:shd w:val="clear" w:color="auto" w:fill="FFFFFF"/>
        </w:rPr>
        <w:t>[pers. J]</w:t>
      </w:r>
      <w:r w:rsidR="009307BD" w:rsidRPr="009C7A0A">
        <w:t xml:space="preserve">, </w:t>
      </w:r>
      <w:r w:rsidR="008F4B6C">
        <w:rPr>
          <w:rFonts w:eastAsia="Calibri"/>
          <w:shd w:val="clear" w:color="auto" w:fill="FFFFFF"/>
        </w:rPr>
        <w:t>[pers. K]</w:t>
      </w:r>
      <w:r w:rsidR="009307BD" w:rsidRPr="009C7A0A">
        <w:t xml:space="preserve">, </w:t>
      </w:r>
      <w:r w:rsidR="008F4B6C">
        <w:rPr>
          <w:rFonts w:eastAsia="Calibri"/>
          <w:shd w:val="clear" w:color="auto" w:fill="FFFFFF"/>
        </w:rPr>
        <w:t>[pers. L]</w:t>
      </w:r>
      <w:r w:rsidR="009307BD" w:rsidRPr="009C7A0A">
        <w:t xml:space="preserve">, </w:t>
      </w:r>
      <w:r w:rsidR="008F4B6C">
        <w:rPr>
          <w:rFonts w:eastAsia="Calibri"/>
          <w:shd w:val="clear" w:color="auto" w:fill="FFFFFF"/>
        </w:rPr>
        <w:t>[pers. M]</w:t>
      </w:r>
      <w:r w:rsidR="009307BD" w:rsidRPr="009C7A0A">
        <w:t xml:space="preserve">, </w:t>
      </w:r>
      <w:r w:rsidR="008F4B6C">
        <w:rPr>
          <w:rFonts w:eastAsia="Calibri"/>
          <w:shd w:val="clear" w:color="auto" w:fill="FFFFFF"/>
        </w:rPr>
        <w:t>[pers. N]</w:t>
      </w:r>
      <w:r w:rsidR="009307BD" w:rsidRPr="009C7A0A">
        <w:t xml:space="preserve">, </w:t>
      </w:r>
      <w:r w:rsidR="008F4B6C">
        <w:rPr>
          <w:rFonts w:eastAsia="Calibri"/>
          <w:shd w:val="clear" w:color="auto" w:fill="FFFFFF"/>
        </w:rPr>
        <w:t>[pers. O]</w:t>
      </w:r>
      <w:r w:rsidR="009307BD" w:rsidRPr="009C7A0A">
        <w:t>,</w:t>
      </w:r>
      <w:r w:rsidR="008F4B6C" w:rsidRPr="008F4B6C">
        <w:rPr>
          <w:rFonts w:eastAsia="Calibri"/>
          <w:shd w:val="clear" w:color="auto" w:fill="FFFFFF"/>
        </w:rPr>
        <w:t xml:space="preserve"> </w:t>
      </w:r>
      <w:r w:rsidR="008F4B6C">
        <w:rPr>
          <w:rFonts w:eastAsia="Calibri"/>
          <w:shd w:val="clear" w:color="auto" w:fill="FFFFFF"/>
        </w:rPr>
        <w:t>[pers. P]</w:t>
      </w:r>
      <w:r w:rsidR="009307BD" w:rsidRPr="009C7A0A">
        <w:t xml:space="preserve">, </w:t>
      </w:r>
      <w:r w:rsidR="008F4B6C">
        <w:rPr>
          <w:rFonts w:eastAsia="Calibri"/>
          <w:shd w:val="clear" w:color="auto" w:fill="FFFFFF"/>
        </w:rPr>
        <w:t>[pers. R]</w:t>
      </w:r>
      <w:r w:rsidR="009307BD" w:rsidRPr="009C7A0A">
        <w:t xml:space="preserve">, </w:t>
      </w:r>
      <w:r w:rsidR="00753FD7" w:rsidRPr="009C7A0A">
        <w:t xml:space="preserve">cietušo </w:t>
      </w:r>
      <w:r w:rsidR="008F4B6C">
        <w:rPr>
          <w:rFonts w:eastAsia="Calibri"/>
          <w:shd w:val="clear" w:color="auto" w:fill="FFFFFF"/>
        </w:rPr>
        <w:t>[pers. S]</w:t>
      </w:r>
      <w:r w:rsidR="0065483D" w:rsidRPr="009C7A0A">
        <w:t xml:space="preserve"> un </w:t>
      </w:r>
      <w:r w:rsidR="008F4B6C">
        <w:rPr>
          <w:rFonts w:eastAsia="Calibri"/>
          <w:shd w:val="clear" w:color="auto" w:fill="FFFFFF"/>
        </w:rPr>
        <w:t>[pers. T]</w:t>
      </w:r>
      <w:r w:rsidR="0065483D" w:rsidRPr="009C7A0A">
        <w:t xml:space="preserve">, </w:t>
      </w:r>
      <w:r w:rsidR="008F4B6C">
        <w:rPr>
          <w:rFonts w:eastAsia="Calibri"/>
          <w:shd w:val="clear" w:color="auto" w:fill="FFFFFF"/>
        </w:rPr>
        <w:t>[pers. U]</w:t>
      </w:r>
      <w:r w:rsidR="00753FD7" w:rsidRPr="009C7A0A">
        <w:t xml:space="preserve"> un </w:t>
      </w:r>
      <w:r w:rsidR="008F4B6C">
        <w:rPr>
          <w:rFonts w:eastAsia="Calibri"/>
          <w:shd w:val="clear" w:color="auto" w:fill="FFFFFF"/>
        </w:rPr>
        <w:t>[pers. V]</w:t>
      </w:r>
      <w:r w:rsidR="00753FD7" w:rsidRPr="009C7A0A">
        <w:t xml:space="preserve">, </w:t>
      </w:r>
      <w:r w:rsidR="008F4B6C">
        <w:rPr>
          <w:rFonts w:eastAsia="Calibri"/>
          <w:shd w:val="clear" w:color="auto" w:fill="FFFFFF"/>
        </w:rPr>
        <w:t>[pers. Z]</w:t>
      </w:r>
      <w:r w:rsidR="00753FD7" w:rsidRPr="009C7A0A">
        <w:t xml:space="preserve"> un </w:t>
      </w:r>
      <w:r w:rsidR="008F4B6C">
        <w:rPr>
          <w:rFonts w:eastAsia="Calibri"/>
          <w:shd w:val="clear" w:color="auto" w:fill="FFFFFF"/>
        </w:rPr>
        <w:t>[pers. AA]</w:t>
      </w:r>
      <w:r w:rsidR="00753FD7" w:rsidRPr="009C7A0A">
        <w:t xml:space="preserve">, </w:t>
      </w:r>
      <w:r w:rsidR="008F4B6C">
        <w:rPr>
          <w:rFonts w:eastAsia="Calibri"/>
          <w:shd w:val="clear" w:color="auto" w:fill="FFFFFF"/>
        </w:rPr>
        <w:t>[pers. AB]</w:t>
      </w:r>
      <w:r w:rsidR="00753FD7" w:rsidRPr="009C7A0A">
        <w:t xml:space="preserve"> un</w:t>
      </w:r>
      <w:r w:rsidR="008F4B6C">
        <w:t xml:space="preserve"> </w:t>
      </w:r>
      <w:r w:rsidR="008F4B6C">
        <w:rPr>
          <w:rFonts w:eastAsia="Calibri"/>
          <w:shd w:val="clear" w:color="auto" w:fill="FFFFFF"/>
        </w:rPr>
        <w:t>[pers. AC]</w:t>
      </w:r>
      <w:r w:rsidR="00753FD7" w:rsidRPr="009C7A0A">
        <w:t xml:space="preserve">, </w:t>
      </w:r>
      <w:r w:rsidR="008F4B6C">
        <w:rPr>
          <w:rFonts w:eastAsia="Calibri"/>
          <w:shd w:val="clear" w:color="auto" w:fill="FFFFFF"/>
        </w:rPr>
        <w:t>[pers. AD]</w:t>
      </w:r>
      <w:r w:rsidR="00753FD7" w:rsidRPr="009C7A0A">
        <w:t xml:space="preserve"> un </w:t>
      </w:r>
      <w:r w:rsidR="008F4B6C">
        <w:rPr>
          <w:rFonts w:eastAsia="Calibri"/>
          <w:shd w:val="clear" w:color="auto" w:fill="FFFFFF"/>
        </w:rPr>
        <w:t>[pers. AE]</w:t>
      </w:r>
      <w:r w:rsidR="00753FD7" w:rsidRPr="009C7A0A">
        <w:t xml:space="preserve">, </w:t>
      </w:r>
      <w:r w:rsidR="00C91B35" w:rsidRPr="009C7A0A">
        <w:t xml:space="preserve">cietušo </w:t>
      </w:r>
      <w:r w:rsidR="008F4B6C">
        <w:rPr>
          <w:rFonts w:eastAsia="Calibri"/>
          <w:shd w:val="clear" w:color="auto" w:fill="FFFFFF"/>
        </w:rPr>
        <w:t>[pers. AF]</w:t>
      </w:r>
      <w:r w:rsidR="00C91B35" w:rsidRPr="009C7A0A">
        <w:t xml:space="preserve">, </w:t>
      </w:r>
      <w:r w:rsidR="008F4B6C">
        <w:rPr>
          <w:rFonts w:eastAsia="Calibri"/>
          <w:shd w:val="clear" w:color="auto" w:fill="FFFFFF"/>
        </w:rPr>
        <w:t>[pers. AG]</w:t>
      </w:r>
      <w:r w:rsidR="00C91B35" w:rsidRPr="009C7A0A">
        <w:t xml:space="preserve"> un </w:t>
      </w:r>
      <w:r w:rsidR="008F4B6C">
        <w:rPr>
          <w:rFonts w:eastAsia="Calibri"/>
          <w:shd w:val="clear" w:color="auto" w:fill="FFFFFF"/>
        </w:rPr>
        <w:t>[pers. AH]</w:t>
      </w:r>
      <w:r w:rsidR="00C91B35" w:rsidRPr="009C7A0A">
        <w:t xml:space="preserve">, </w:t>
      </w:r>
      <w:r w:rsidR="008F4B6C">
        <w:rPr>
          <w:rFonts w:eastAsia="Calibri"/>
          <w:shd w:val="clear" w:color="auto" w:fill="FFFFFF"/>
        </w:rPr>
        <w:t>[pers. AI]</w:t>
      </w:r>
      <w:r w:rsidR="00C91B35" w:rsidRPr="009C7A0A">
        <w:t xml:space="preserve">, </w:t>
      </w:r>
      <w:r w:rsidR="008F4B6C">
        <w:rPr>
          <w:rFonts w:eastAsia="Calibri"/>
          <w:shd w:val="clear" w:color="auto" w:fill="FFFFFF"/>
        </w:rPr>
        <w:t>[pers. AJ]</w:t>
      </w:r>
      <w:r w:rsidR="00C91B35" w:rsidRPr="009C7A0A">
        <w:t xml:space="preserve"> un </w:t>
      </w:r>
      <w:r w:rsidR="008F4B6C">
        <w:rPr>
          <w:rFonts w:eastAsia="Calibri"/>
          <w:shd w:val="clear" w:color="auto" w:fill="FFFFFF"/>
        </w:rPr>
        <w:t>[pers. AK]</w:t>
      </w:r>
      <w:r w:rsidR="00C91B35" w:rsidRPr="009C7A0A">
        <w:t xml:space="preserve">, </w:t>
      </w:r>
      <w:r w:rsidR="00DE7CA9">
        <w:lastRenderedPageBreak/>
        <w:t>[pers. AL]</w:t>
      </w:r>
      <w:r w:rsidR="00477046" w:rsidRPr="009C7A0A">
        <w:t xml:space="preserve">, </w:t>
      </w:r>
      <w:r w:rsidR="00DE7CA9">
        <w:rPr>
          <w:rFonts w:eastAsia="Calibri"/>
          <w:shd w:val="clear" w:color="auto" w:fill="FFFFFF"/>
        </w:rPr>
        <w:t>[pers. AM]</w:t>
      </w:r>
      <w:r w:rsidR="00477046" w:rsidRPr="009C7A0A">
        <w:t xml:space="preserve"> un </w:t>
      </w:r>
      <w:r w:rsidR="00DE7CA9">
        <w:rPr>
          <w:rFonts w:eastAsia="Calibri"/>
          <w:shd w:val="clear" w:color="auto" w:fill="FFFFFF"/>
        </w:rPr>
        <w:t>[pers. AN]</w:t>
      </w:r>
      <w:r w:rsidR="00477046" w:rsidRPr="009C7A0A">
        <w:t xml:space="preserve">, </w:t>
      </w:r>
      <w:r w:rsidR="00DE7CA9">
        <w:rPr>
          <w:rFonts w:eastAsia="Calibri"/>
          <w:shd w:val="clear" w:color="auto" w:fill="FFFFFF"/>
        </w:rPr>
        <w:t>[pers. AO]</w:t>
      </w:r>
      <w:r w:rsidR="00553671" w:rsidRPr="009C7A0A">
        <w:t xml:space="preserve">, </w:t>
      </w:r>
      <w:r w:rsidR="00DE7CA9">
        <w:rPr>
          <w:rFonts w:eastAsia="Calibri"/>
          <w:shd w:val="clear" w:color="auto" w:fill="FFFFFF"/>
        </w:rPr>
        <w:t>[pers. AP]</w:t>
      </w:r>
      <w:r w:rsidR="00553671" w:rsidRPr="009C7A0A">
        <w:t xml:space="preserve"> un </w:t>
      </w:r>
      <w:r w:rsidR="00DE7CA9">
        <w:rPr>
          <w:rFonts w:eastAsia="Calibri"/>
          <w:shd w:val="clear" w:color="auto" w:fill="FFFFFF"/>
        </w:rPr>
        <w:t>[pers. AR]</w:t>
      </w:r>
      <w:r w:rsidR="00553671" w:rsidRPr="009C7A0A">
        <w:t xml:space="preserve">, cietušo </w:t>
      </w:r>
      <w:r w:rsidR="00DE7CA9">
        <w:rPr>
          <w:rFonts w:eastAsia="Calibri"/>
          <w:shd w:val="clear" w:color="auto" w:fill="FFFFFF"/>
        </w:rPr>
        <w:t>[pers. AS]</w:t>
      </w:r>
      <w:r w:rsidR="00553671" w:rsidRPr="009C7A0A">
        <w:t xml:space="preserve">, </w:t>
      </w:r>
      <w:r w:rsidR="00DE7CA9">
        <w:rPr>
          <w:rFonts w:eastAsia="Calibri"/>
          <w:shd w:val="clear" w:color="auto" w:fill="FFFFFF"/>
        </w:rPr>
        <w:t>[pers. AT]</w:t>
      </w:r>
      <w:r w:rsidR="00553671" w:rsidRPr="009C7A0A">
        <w:t xml:space="preserve">, </w:t>
      </w:r>
      <w:r w:rsidR="00DE7CA9">
        <w:rPr>
          <w:rFonts w:eastAsia="Calibri"/>
          <w:shd w:val="clear" w:color="auto" w:fill="FFFFFF"/>
        </w:rPr>
        <w:t>[pers. AU]</w:t>
      </w:r>
      <w:r w:rsidR="00553671" w:rsidRPr="009C7A0A">
        <w:t xml:space="preserve"> un </w:t>
      </w:r>
      <w:r w:rsidR="00DE7CA9">
        <w:rPr>
          <w:rFonts w:eastAsia="Calibri"/>
          <w:shd w:val="clear" w:color="auto" w:fill="FFFFFF"/>
        </w:rPr>
        <w:t>[pers. AV]</w:t>
      </w:r>
      <w:r w:rsidR="00553671" w:rsidRPr="009C7A0A">
        <w:t xml:space="preserve"> </w:t>
      </w:r>
      <w:r w:rsidRPr="009C7A0A">
        <w:t>kasācijas sūdzīb</w:t>
      </w:r>
      <w:r w:rsidR="00782124" w:rsidRPr="009C7A0A">
        <w:t>ā</w:t>
      </w:r>
      <w:r w:rsidR="0028667F" w:rsidRPr="009C7A0A">
        <w:t>s</w:t>
      </w:r>
      <w:r w:rsidR="00782124" w:rsidRPr="009C7A0A">
        <w:t xml:space="preserve"> </w:t>
      </w:r>
      <w:r w:rsidR="009126AF" w:rsidRPr="009C7A0A">
        <w:t>atkārtoti</w:t>
      </w:r>
      <w:r w:rsidR="0028667F" w:rsidRPr="009C7A0A">
        <w:t xml:space="preserve"> </w:t>
      </w:r>
      <w:r w:rsidR="009126AF" w:rsidRPr="009C7A0A">
        <w:t>cietuš</w:t>
      </w:r>
      <w:r w:rsidR="00E80D0B" w:rsidRPr="009C7A0A">
        <w:t xml:space="preserve">ā </w:t>
      </w:r>
      <w:r w:rsidR="007A33C0">
        <w:t xml:space="preserve">[pers. C] </w:t>
      </w:r>
      <w:r w:rsidR="00782124" w:rsidRPr="009C7A0A">
        <w:t>kasācijas sūdzībā</w:t>
      </w:r>
      <w:r w:rsidR="00234518" w:rsidRPr="009C7A0A">
        <w:t xml:space="preserve"> </w:t>
      </w:r>
      <w:r w:rsidR="009126AF" w:rsidRPr="009C7A0A">
        <w:t xml:space="preserve">norādītie </w:t>
      </w:r>
      <w:r w:rsidR="00234518" w:rsidRPr="009C7A0A">
        <w:t>argument</w:t>
      </w:r>
      <w:r w:rsidR="009126AF" w:rsidRPr="009C7A0A">
        <w:t>i</w:t>
      </w:r>
      <w:r w:rsidR="00782124" w:rsidRPr="009C7A0A">
        <w:t>.</w:t>
      </w:r>
    </w:p>
    <w:p w14:paraId="0A4FAD61" w14:textId="5F07F252" w:rsidR="00F170A7" w:rsidRPr="009C7A0A" w:rsidRDefault="00F170A7" w:rsidP="009C7A0A">
      <w:pPr>
        <w:widowControl w:val="0"/>
        <w:spacing w:line="276" w:lineRule="auto"/>
        <w:ind w:firstLine="720"/>
        <w:contextualSpacing/>
        <w:jc w:val="both"/>
      </w:pPr>
      <w:r w:rsidRPr="009C7A0A">
        <w:t>[7.</w:t>
      </w:r>
      <w:r w:rsidR="003D0273" w:rsidRPr="009C7A0A">
        <w:t>3</w:t>
      </w:r>
      <w:r w:rsidRPr="009C7A0A">
        <w:t>]</w:t>
      </w:r>
      <w:r w:rsidR="001404FE" w:rsidRPr="009C7A0A">
        <w:t> </w:t>
      </w:r>
      <w:r w:rsidR="009126AF" w:rsidRPr="009C7A0A">
        <w:t xml:space="preserve">Cietušā </w:t>
      </w:r>
      <w:r w:rsidR="003B5194">
        <w:rPr>
          <w:rFonts w:eastAsia="Calibri"/>
          <w:shd w:val="clear" w:color="auto" w:fill="FFFFFF"/>
        </w:rPr>
        <w:t>[pers. F]</w:t>
      </w:r>
      <w:r w:rsidRPr="009C7A0A">
        <w:t xml:space="preserve"> kasācijas sūdzīb</w:t>
      </w:r>
      <w:r w:rsidR="00054B56" w:rsidRPr="009C7A0A">
        <w:t>u pamato turpmāk norādītie argumenti.</w:t>
      </w:r>
    </w:p>
    <w:p w14:paraId="280A88B7" w14:textId="263FECB0" w:rsidR="00331092" w:rsidRPr="009C7A0A" w:rsidRDefault="00CE40C3" w:rsidP="009C7A0A">
      <w:pPr>
        <w:widowControl w:val="0"/>
        <w:spacing w:line="276" w:lineRule="auto"/>
        <w:ind w:firstLine="720"/>
        <w:contextualSpacing/>
        <w:jc w:val="both"/>
      </w:pPr>
      <w:r w:rsidRPr="009C7A0A">
        <w:t xml:space="preserve">Tiesa nav ievērojusi soda noteikšanas vispārīgos principus un </w:t>
      </w:r>
      <w:r w:rsidR="003363FB" w:rsidRPr="009C7A0A">
        <w:t xml:space="preserve">nav </w:t>
      </w:r>
      <w:r w:rsidRPr="009C7A0A">
        <w:t>sasniegusi Krimināllikuma 35. pantā noteikto sod</w:t>
      </w:r>
      <w:r w:rsidR="003363FB" w:rsidRPr="009C7A0A">
        <w:t>a</w:t>
      </w:r>
      <w:r w:rsidRPr="009C7A0A">
        <w:t xml:space="preserve"> mērķi, </w:t>
      </w:r>
      <w:r w:rsidR="003363FB" w:rsidRPr="009C7A0A">
        <w:t xml:space="preserve">jo </w:t>
      </w:r>
      <w:r w:rsidR="00273451" w:rsidRPr="009C7A0A">
        <w:t xml:space="preserve">attaisnotie </w:t>
      </w:r>
      <w:r w:rsidR="003363FB" w:rsidRPr="009C7A0A">
        <w:t xml:space="preserve">apsūdzētie </w:t>
      </w:r>
      <w:r w:rsidRPr="009C7A0A">
        <w:t xml:space="preserve">nepamatoti </w:t>
      </w:r>
      <w:r w:rsidR="003363FB" w:rsidRPr="009C7A0A">
        <w:t xml:space="preserve">nav saukti </w:t>
      </w:r>
      <w:r w:rsidRPr="009C7A0A">
        <w:t xml:space="preserve">pie atbildības. </w:t>
      </w:r>
      <w:r w:rsidR="00331092" w:rsidRPr="009C7A0A">
        <w:t xml:space="preserve">Ar </w:t>
      </w:r>
      <w:r w:rsidR="00C00178" w:rsidRPr="009C7A0A">
        <w:t xml:space="preserve">lietā iegūtajiem </w:t>
      </w:r>
      <w:r w:rsidR="00331092" w:rsidRPr="009C7A0A">
        <w:t>pierādījumiem pilnībā pierādīt</w:t>
      </w:r>
      <w:r w:rsidR="00C00178" w:rsidRPr="009C7A0A">
        <w:t>s</w:t>
      </w:r>
      <w:r w:rsidR="00331092" w:rsidRPr="009C7A0A">
        <w:t xml:space="preserve"> visu apsūdzēto vain</w:t>
      </w:r>
      <w:r w:rsidR="00C00178" w:rsidRPr="009C7A0A">
        <w:t>īgums</w:t>
      </w:r>
      <w:r w:rsidR="00331092" w:rsidRPr="009C7A0A">
        <w:t xml:space="preserve"> viņiem inkriminētajos noziedzīgajos nodarījumos.</w:t>
      </w:r>
    </w:p>
    <w:p w14:paraId="25A94FE4" w14:textId="28CBAFFD" w:rsidR="00A47B5C" w:rsidRPr="009C7A0A" w:rsidRDefault="009900A8" w:rsidP="009C7A0A">
      <w:pPr>
        <w:widowControl w:val="0"/>
        <w:spacing w:line="276" w:lineRule="auto"/>
        <w:ind w:firstLine="720"/>
        <w:contextualSpacing/>
        <w:jc w:val="both"/>
      </w:pPr>
      <w:r w:rsidRPr="009C7A0A">
        <w:t>Pretēji likumam, kas neuzliek pienākumu pamatot kaitējuma kompensācijas</w:t>
      </w:r>
      <w:r w:rsidR="00F62F38" w:rsidRPr="009C7A0A">
        <w:t xml:space="preserve"> par morālo aizskārumu</w:t>
      </w:r>
      <w:r w:rsidRPr="009C7A0A">
        <w:t xml:space="preserve"> apmēru, cietušais </w:t>
      </w:r>
      <w:r w:rsidR="000433BE">
        <w:rPr>
          <w:rFonts w:eastAsia="Calibri"/>
          <w:shd w:val="clear" w:color="auto" w:fill="FFFFFF"/>
        </w:rPr>
        <w:t>[pers. F]</w:t>
      </w:r>
      <w:r w:rsidRPr="009C7A0A">
        <w:t xml:space="preserve"> gan </w:t>
      </w:r>
      <w:proofErr w:type="spellStart"/>
      <w:r w:rsidRPr="009C7A0A">
        <w:t>pirmstiesas</w:t>
      </w:r>
      <w:proofErr w:type="spellEnd"/>
      <w:r w:rsidRPr="009C7A0A">
        <w:t xml:space="preserve"> izmeklēšan</w:t>
      </w:r>
      <w:r w:rsidR="007B4F6D" w:rsidRPr="009C7A0A">
        <w:t>ā</w:t>
      </w:r>
      <w:r w:rsidRPr="009C7A0A">
        <w:t>, gan tiesas izmeklēšan</w:t>
      </w:r>
      <w:r w:rsidR="007B4F6D" w:rsidRPr="009C7A0A">
        <w:t>ā</w:t>
      </w:r>
      <w:r w:rsidRPr="009C7A0A">
        <w:t xml:space="preserve"> </w:t>
      </w:r>
      <w:r w:rsidR="00BA68A7" w:rsidRPr="009C7A0A">
        <w:t>kompensācijas apmēru</w:t>
      </w:r>
      <w:r w:rsidR="00F22EBD" w:rsidRPr="009C7A0A">
        <w:t xml:space="preserve"> pamatoja, </w:t>
      </w:r>
      <w:r w:rsidRPr="009C7A0A">
        <w:t>norād</w:t>
      </w:r>
      <w:r w:rsidR="000A07A5" w:rsidRPr="009C7A0A">
        <w:t>ot</w:t>
      </w:r>
      <w:r w:rsidRPr="009C7A0A">
        <w:t xml:space="preserve"> uz nodarīto ciešanu dziļumu un sekām</w:t>
      </w:r>
      <w:r w:rsidR="003E733A" w:rsidRPr="009C7A0A">
        <w:t>. Tiesa nav vērtējusi</w:t>
      </w:r>
      <w:r w:rsidR="00B00E8A" w:rsidRPr="009C7A0A">
        <w:t xml:space="preserve"> to</w:t>
      </w:r>
      <w:r w:rsidR="003E733A" w:rsidRPr="009C7A0A">
        <w:t xml:space="preserve">, ka cietušais </w:t>
      </w:r>
      <w:r w:rsidR="003A5C4F">
        <w:rPr>
          <w:rFonts w:eastAsia="Calibri"/>
          <w:shd w:val="clear" w:color="auto" w:fill="FFFFFF"/>
        </w:rPr>
        <w:t>[pers. F]</w:t>
      </w:r>
      <w:r w:rsidR="003E733A" w:rsidRPr="009C7A0A">
        <w:t xml:space="preserve"> pastāvīgi atrodas ārstniecības iestādēs</w:t>
      </w:r>
      <w:r w:rsidR="00307DDF" w:rsidRPr="009C7A0A">
        <w:t>,</w:t>
      </w:r>
      <w:r w:rsidR="003E733A" w:rsidRPr="009C7A0A">
        <w:t xml:space="preserve"> un ne</w:t>
      </w:r>
      <w:r w:rsidR="00005CC1" w:rsidRPr="009C7A0A">
        <w:t>p</w:t>
      </w:r>
      <w:r w:rsidR="003E733A" w:rsidRPr="009C7A0A">
        <w:t>a</w:t>
      </w:r>
      <w:r w:rsidR="00005CC1" w:rsidRPr="009C7A0A">
        <w:t>m</w:t>
      </w:r>
      <w:r w:rsidR="003E733A" w:rsidRPr="009C7A0A">
        <w:t>atoti sadalījusi cietušos kategorijās pēc miesas bojājumu smaguma pakāpes, neizvērtējot katra</w:t>
      </w:r>
      <w:r w:rsidR="00EB7199" w:rsidRPr="009C7A0A">
        <w:t>m</w:t>
      </w:r>
      <w:r w:rsidR="003E733A" w:rsidRPr="009C7A0A">
        <w:t xml:space="preserve"> cietuš</w:t>
      </w:r>
      <w:r w:rsidR="00EB7199" w:rsidRPr="009C7A0A">
        <w:t>ajam nodarīto</w:t>
      </w:r>
      <w:r w:rsidR="004D549A" w:rsidRPr="009C7A0A">
        <w:t xml:space="preserve"> kaitējumu</w:t>
      </w:r>
      <w:r w:rsidR="003E733A" w:rsidRPr="009C7A0A">
        <w:t xml:space="preserve"> individuāli.</w:t>
      </w:r>
    </w:p>
    <w:p w14:paraId="75BA6B97" w14:textId="6D8AA571" w:rsidR="00054B56" w:rsidRPr="009C7A0A" w:rsidRDefault="00796787" w:rsidP="008A7FA4">
      <w:pPr>
        <w:widowControl w:val="0"/>
        <w:spacing w:line="276" w:lineRule="auto"/>
        <w:ind w:firstLine="720"/>
        <w:contextualSpacing/>
        <w:jc w:val="both"/>
      </w:pPr>
      <w:r w:rsidRPr="009C7A0A">
        <w:t xml:space="preserve">Tiesa, nosakot </w:t>
      </w:r>
      <w:r w:rsidR="008A7FA4">
        <w:t xml:space="preserve">[pers. F] </w:t>
      </w:r>
      <w:r w:rsidRPr="009C7A0A">
        <w:t>kompensāciju par morālo</w:t>
      </w:r>
      <w:r w:rsidR="00422FDD" w:rsidRPr="009C7A0A">
        <w:t xml:space="preserve"> </w:t>
      </w:r>
      <w:r w:rsidR="00842361" w:rsidRPr="009C7A0A">
        <w:t>aizskārumu</w:t>
      </w:r>
      <w:r w:rsidRPr="009C7A0A">
        <w:t>, nav ņēmusi vērā Kriminālprocesa likuma 352.</w:t>
      </w:r>
      <w:r w:rsidR="002A3F41" w:rsidRPr="009C7A0A">
        <w:t> </w:t>
      </w:r>
      <w:r w:rsidRPr="009C7A0A">
        <w:t>panta pirmās daļas prasības</w:t>
      </w:r>
      <w:r w:rsidR="002A3F41" w:rsidRPr="009C7A0A">
        <w:t>.</w:t>
      </w:r>
      <w:r w:rsidR="00096F00" w:rsidRPr="009C7A0A">
        <w:t xml:space="preserve"> </w:t>
      </w:r>
      <w:r w:rsidR="00A47B5C" w:rsidRPr="009C7A0A">
        <w:t xml:space="preserve">Tiesa norādījusi, ka noteiktā kompensācija par kaitējumu aptver kaitējuma kompensāciju </w:t>
      </w:r>
      <w:r w:rsidR="00EB7199" w:rsidRPr="009C7A0A">
        <w:t xml:space="preserve">gan </w:t>
      </w:r>
      <w:r w:rsidR="00A47B5C" w:rsidRPr="009C7A0A">
        <w:t xml:space="preserve">par fiziskām, gan garīgām ciešanām, tomēr </w:t>
      </w:r>
      <w:r w:rsidR="00470C15" w:rsidRPr="009C7A0A">
        <w:t xml:space="preserve">spriedumā </w:t>
      </w:r>
      <w:r w:rsidR="00A47B5C" w:rsidRPr="009C7A0A">
        <w:t xml:space="preserve">nav </w:t>
      </w:r>
      <w:r w:rsidR="0025166A" w:rsidRPr="009C7A0A">
        <w:t>precizējusi</w:t>
      </w:r>
      <w:r w:rsidR="002B48F6" w:rsidRPr="009C7A0A">
        <w:t>, ar kādu summu</w:t>
      </w:r>
      <w:r w:rsidR="0025166A" w:rsidRPr="009C7A0A">
        <w:t xml:space="preserve"> novērtēts morālais un fiziskais aizskārums</w:t>
      </w:r>
      <w:r w:rsidR="00FC458C" w:rsidRPr="009C7A0A">
        <w:t xml:space="preserve"> atsevišķi.</w:t>
      </w:r>
      <w:r w:rsidR="00E23EC7" w:rsidRPr="009C7A0A">
        <w:t xml:space="preserve"> Turklāt tiesa nav </w:t>
      </w:r>
      <w:r w:rsidR="00784212" w:rsidRPr="009C7A0A">
        <w:t xml:space="preserve">pamatojusi, </w:t>
      </w:r>
      <w:r w:rsidR="003E53DA" w:rsidRPr="009C7A0A">
        <w:t xml:space="preserve">kādēļ </w:t>
      </w:r>
      <w:r w:rsidR="00784212" w:rsidRPr="009C7A0A">
        <w:t xml:space="preserve">kaitējuma kompensācija </w:t>
      </w:r>
      <w:r w:rsidR="003E53DA" w:rsidRPr="009C7A0A">
        <w:t>daļā par 880</w:t>
      </w:r>
      <w:r w:rsidR="008E6830" w:rsidRPr="009C7A0A">
        <w:t> </w:t>
      </w:r>
      <w:r w:rsidR="003E53DA" w:rsidRPr="009C7A0A">
        <w:t>000</w:t>
      </w:r>
      <w:r w:rsidR="008E6830" w:rsidRPr="009C7A0A">
        <w:t> </w:t>
      </w:r>
      <w:proofErr w:type="spellStart"/>
      <w:r w:rsidR="003E53DA" w:rsidRPr="009C7A0A">
        <w:rPr>
          <w:i/>
          <w:iCs/>
        </w:rPr>
        <w:t>euro</w:t>
      </w:r>
      <w:proofErr w:type="spellEnd"/>
      <w:r w:rsidR="008E6830" w:rsidRPr="009C7A0A">
        <w:t xml:space="preserve"> nav nosakāma.</w:t>
      </w:r>
    </w:p>
    <w:p w14:paraId="3A8EC9EC" w14:textId="12B251BA" w:rsidR="00AB6EB9" w:rsidRPr="009C7A0A" w:rsidRDefault="00AB6EB9" w:rsidP="009C7A0A">
      <w:pPr>
        <w:widowControl w:val="0"/>
        <w:spacing w:line="276" w:lineRule="auto"/>
        <w:ind w:firstLine="720"/>
        <w:contextualSpacing/>
        <w:jc w:val="both"/>
      </w:pPr>
    </w:p>
    <w:p w14:paraId="118A07EE" w14:textId="4F8179CE" w:rsidR="00DE5A87" w:rsidRPr="009C7A0A" w:rsidRDefault="0020356D" w:rsidP="00A222FA">
      <w:pPr>
        <w:widowControl w:val="0"/>
        <w:spacing w:line="276" w:lineRule="auto"/>
        <w:ind w:firstLine="720"/>
        <w:contextualSpacing/>
        <w:jc w:val="both"/>
      </w:pPr>
      <w:r w:rsidRPr="009C7A0A">
        <w:t>[8]</w:t>
      </w:r>
      <w:r w:rsidR="00EC4FFE" w:rsidRPr="009C7A0A">
        <w:t> </w:t>
      </w:r>
      <w:r w:rsidRPr="009C7A0A">
        <w:t>Cietu</w:t>
      </w:r>
      <w:r w:rsidR="002E6B3B" w:rsidRPr="009C7A0A">
        <w:t>sī</w:t>
      </w:r>
      <w:r w:rsidRPr="009C7A0A">
        <w:t xml:space="preserve"> </w:t>
      </w:r>
      <w:r w:rsidR="00A222FA">
        <w:t>[pers. B]</w:t>
      </w:r>
      <w:r w:rsidR="002E6B3B" w:rsidRPr="009C7A0A">
        <w:t xml:space="preserve"> un cietušie</w:t>
      </w:r>
      <w:r w:rsidRPr="009C7A0A">
        <w:t xml:space="preserve"> </w:t>
      </w:r>
      <w:r w:rsidR="00A222FA">
        <w:rPr>
          <w:rFonts w:eastAsia="Calibri"/>
        </w:rPr>
        <w:t>[pers. AZ]</w:t>
      </w:r>
      <w:r w:rsidR="00604CA9" w:rsidRPr="009C7A0A">
        <w:rPr>
          <w:rFonts w:eastAsia="Calibri"/>
        </w:rPr>
        <w:t xml:space="preserve">, </w:t>
      </w:r>
      <w:r w:rsidR="00A222FA">
        <w:rPr>
          <w:rFonts w:eastAsia="Calibri"/>
        </w:rPr>
        <w:t>[pers. BA]</w:t>
      </w:r>
      <w:r w:rsidR="0089230E" w:rsidRPr="009C7A0A">
        <w:rPr>
          <w:rFonts w:eastAsia="Calibri"/>
        </w:rPr>
        <w:t xml:space="preserve">, </w:t>
      </w:r>
      <w:r w:rsidR="00A222FA">
        <w:rPr>
          <w:rFonts w:eastAsia="Calibri"/>
        </w:rPr>
        <w:t>[pers. BB]</w:t>
      </w:r>
      <w:r w:rsidR="0089230E" w:rsidRPr="009C7A0A">
        <w:rPr>
          <w:rFonts w:eastAsia="Calibri"/>
        </w:rPr>
        <w:t xml:space="preserve">, </w:t>
      </w:r>
      <w:r w:rsidR="00A222FA">
        <w:rPr>
          <w:rFonts w:eastAsia="Calibri"/>
        </w:rPr>
        <w:t xml:space="preserve">[pers. BC] </w:t>
      </w:r>
      <w:r w:rsidR="0089230E" w:rsidRPr="009C7A0A">
        <w:rPr>
          <w:rFonts w:eastAsia="Calibri"/>
        </w:rPr>
        <w:t xml:space="preserve">un </w:t>
      </w:r>
      <w:r w:rsidR="00A222FA">
        <w:rPr>
          <w:rFonts w:eastAsia="Calibri"/>
        </w:rPr>
        <w:t xml:space="preserve">[pers. BD] </w:t>
      </w:r>
      <w:r w:rsidR="00734196" w:rsidRPr="009C7A0A">
        <w:rPr>
          <w:rFonts w:eastAsia="Calibri"/>
        </w:rPr>
        <w:t>kasācijas sūdzībā</w:t>
      </w:r>
      <w:r w:rsidR="00FD1D27" w:rsidRPr="009C7A0A">
        <w:rPr>
          <w:rFonts w:eastAsia="Calibri"/>
        </w:rPr>
        <w:t>s</w:t>
      </w:r>
      <w:r w:rsidR="00734196" w:rsidRPr="009C7A0A">
        <w:rPr>
          <w:rFonts w:eastAsia="Calibri"/>
        </w:rPr>
        <w:t xml:space="preserve"> lūdz atcelt apelācijas instances tiesas spriedumu daļā par</w:t>
      </w:r>
      <w:r w:rsidR="00AE4F8E" w:rsidRPr="009C7A0A">
        <w:rPr>
          <w:rFonts w:eastAsia="Calibri"/>
        </w:rPr>
        <w:t xml:space="preserve"> </w:t>
      </w:r>
      <w:r w:rsidR="003E426C">
        <w:rPr>
          <w:rFonts w:eastAsia="Calibri"/>
        </w:rPr>
        <w:t>[pers. BI]</w:t>
      </w:r>
      <w:r w:rsidR="00953A5A" w:rsidRPr="009C7A0A">
        <w:rPr>
          <w:rFonts w:eastAsia="Calibri"/>
        </w:rPr>
        <w:t xml:space="preserve">, </w:t>
      </w:r>
      <w:r w:rsidR="003E426C">
        <w:rPr>
          <w:rFonts w:eastAsia="Calibri"/>
        </w:rPr>
        <w:t>[pers. BJ]</w:t>
      </w:r>
      <w:r w:rsidR="00953A5A" w:rsidRPr="009C7A0A">
        <w:rPr>
          <w:rFonts w:eastAsia="Calibri"/>
        </w:rPr>
        <w:t xml:space="preserve">, </w:t>
      </w:r>
      <w:r w:rsidR="003E426C">
        <w:rPr>
          <w:rFonts w:eastAsia="Calibri"/>
        </w:rPr>
        <w:t>[pers. BK]</w:t>
      </w:r>
      <w:r w:rsidR="00953A5A" w:rsidRPr="009C7A0A">
        <w:rPr>
          <w:rFonts w:eastAsia="Calibri"/>
        </w:rPr>
        <w:t xml:space="preserve"> un </w:t>
      </w:r>
      <w:r w:rsidR="003E426C">
        <w:rPr>
          <w:rFonts w:eastAsia="Calibri"/>
        </w:rPr>
        <w:t>[pers. BL]</w:t>
      </w:r>
      <w:r w:rsidR="00953A5A" w:rsidRPr="009C7A0A">
        <w:rPr>
          <w:rFonts w:eastAsia="Calibri"/>
        </w:rPr>
        <w:t xml:space="preserve"> atzīšanu par nevainīgiem pret viņiem celtajā apsūdzībā pēc Krimināllikuma 239. panta otrās daļas, 123. panta otrās daļas un attaisnošanu, daļā par </w:t>
      </w:r>
      <w:r w:rsidR="0076011B">
        <w:rPr>
          <w:rFonts w:eastAsia="Calibri"/>
        </w:rPr>
        <w:t>[pers. BM]</w:t>
      </w:r>
      <w:r w:rsidR="00953A5A" w:rsidRPr="009C7A0A">
        <w:rPr>
          <w:rFonts w:eastAsia="Calibri"/>
        </w:rPr>
        <w:t xml:space="preserve"> un </w:t>
      </w:r>
      <w:r w:rsidR="0076011B">
        <w:rPr>
          <w:rFonts w:eastAsia="Calibri"/>
        </w:rPr>
        <w:t>[pers. BN]</w:t>
      </w:r>
      <w:r w:rsidR="00953A5A" w:rsidRPr="009C7A0A">
        <w:rPr>
          <w:rFonts w:eastAsia="Calibri"/>
        </w:rPr>
        <w:t xml:space="preserve"> atzīšanu par nevainīgiem pret viņiem celtajā apsūdzībā pēc Krimināllikuma 319. panta trešās daļas un attaisnošanu, </w:t>
      </w:r>
      <w:r w:rsidR="00497824" w:rsidRPr="009C7A0A">
        <w:rPr>
          <w:rFonts w:eastAsia="Calibri"/>
        </w:rPr>
        <w:t xml:space="preserve">daļā par </w:t>
      </w:r>
      <w:r w:rsidR="00DF21DF">
        <w:rPr>
          <w:rFonts w:eastAsia="Calibri"/>
        </w:rPr>
        <w:t>[pers. BO]</w:t>
      </w:r>
      <w:r w:rsidR="00497824" w:rsidRPr="009C7A0A">
        <w:rPr>
          <w:rFonts w:eastAsia="Calibri"/>
        </w:rPr>
        <w:t xml:space="preserve"> atzīšanu par nevainīgu pret viņu celtajā apsūdzībā pēc Krimināllikuma 146. panta otrās daļas un attaisnošanu, </w:t>
      </w:r>
      <w:r w:rsidR="00953A5A" w:rsidRPr="009C7A0A">
        <w:rPr>
          <w:rFonts w:eastAsia="Calibri"/>
        </w:rPr>
        <w:t>daļā par kriminālprocesa izbeigšanu daļā par piespiedu ietekmēšanas līdzekļ</w:t>
      </w:r>
      <w:r w:rsidR="002C6E92" w:rsidRPr="009C7A0A">
        <w:rPr>
          <w:rFonts w:eastAsia="Calibri"/>
        </w:rPr>
        <w:t>a</w:t>
      </w:r>
      <w:r w:rsidR="00953A5A" w:rsidRPr="009C7A0A">
        <w:rPr>
          <w:rFonts w:eastAsia="Calibri"/>
        </w:rPr>
        <w:t xml:space="preserve"> piemērošanu</w:t>
      </w:r>
      <w:r w:rsidR="00BD2C4F" w:rsidRPr="009C7A0A">
        <w:rPr>
          <w:rFonts w:eastAsia="Calibri"/>
        </w:rPr>
        <w:t xml:space="preserve"> juridiskajām personām</w:t>
      </w:r>
      <w:r w:rsidR="00953A5A" w:rsidRPr="009C7A0A">
        <w:rPr>
          <w:rFonts w:eastAsia="Calibri"/>
        </w:rPr>
        <w:t xml:space="preserve"> SIA „</w:t>
      </w:r>
      <w:r w:rsidR="00A20103">
        <w:rPr>
          <w:rFonts w:eastAsia="Calibri"/>
        </w:rPr>
        <w:t>[Nosaukums B]</w:t>
      </w:r>
      <w:r w:rsidR="00953A5A" w:rsidRPr="009C7A0A">
        <w:rPr>
          <w:rFonts w:eastAsia="Calibri"/>
        </w:rPr>
        <w:t>”, SIA „</w:t>
      </w:r>
      <w:r w:rsidR="00A20103">
        <w:rPr>
          <w:rFonts w:eastAsia="Calibri"/>
        </w:rPr>
        <w:t>[Nosaukums C]</w:t>
      </w:r>
      <w:r w:rsidR="00953A5A" w:rsidRPr="009C7A0A">
        <w:rPr>
          <w:rFonts w:eastAsia="Calibri"/>
        </w:rPr>
        <w:t>”</w:t>
      </w:r>
      <w:r w:rsidR="00374291" w:rsidRPr="009C7A0A">
        <w:rPr>
          <w:rFonts w:eastAsia="Calibri"/>
        </w:rPr>
        <w:t xml:space="preserve"> un</w:t>
      </w:r>
      <w:r w:rsidR="00953A5A" w:rsidRPr="009C7A0A">
        <w:rPr>
          <w:rFonts w:eastAsia="Calibri"/>
        </w:rPr>
        <w:t xml:space="preserve"> SIA „</w:t>
      </w:r>
      <w:r w:rsidR="00A20103">
        <w:rPr>
          <w:rFonts w:eastAsia="Calibri"/>
        </w:rPr>
        <w:t>[Nosaukums D</w:t>
      </w:r>
      <w:r w:rsidR="00606322">
        <w:rPr>
          <w:rFonts w:eastAsia="Calibri"/>
        </w:rPr>
        <w:t>]</w:t>
      </w:r>
      <w:r w:rsidR="00953A5A" w:rsidRPr="009C7A0A">
        <w:rPr>
          <w:rFonts w:eastAsia="Calibri"/>
        </w:rPr>
        <w:t>”, daļā par</w:t>
      </w:r>
      <w:r w:rsidR="009B7355" w:rsidRPr="009C7A0A">
        <w:rPr>
          <w:rFonts w:eastAsia="Calibri"/>
        </w:rPr>
        <w:t xml:space="preserve"> cietušajiem </w:t>
      </w:r>
      <w:r w:rsidR="009B7355" w:rsidRPr="009C7A0A">
        <w:t xml:space="preserve">noteikto kaitējuma kompensācijas apmēru un </w:t>
      </w:r>
      <w:r w:rsidR="00BD2C4F" w:rsidRPr="009C7A0A">
        <w:t xml:space="preserve">šajā daļā </w:t>
      </w:r>
      <w:r w:rsidR="00953A5A" w:rsidRPr="009C7A0A">
        <w:t>nosūtīt lietu jaunai izskatīšanai apelācijas instances tiesā</w:t>
      </w:r>
      <w:r w:rsidR="00B70517" w:rsidRPr="009C7A0A">
        <w:t>.</w:t>
      </w:r>
    </w:p>
    <w:p w14:paraId="616D3218" w14:textId="452BD34A" w:rsidR="008627F0" w:rsidRPr="009C7A0A" w:rsidRDefault="00960857" w:rsidP="009C7A0A">
      <w:pPr>
        <w:widowControl w:val="0"/>
        <w:spacing w:line="276" w:lineRule="auto"/>
        <w:ind w:firstLine="720"/>
        <w:contextualSpacing/>
        <w:jc w:val="both"/>
      </w:pPr>
      <w:r w:rsidRPr="009C7A0A">
        <w:t>[</w:t>
      </w:r>
      <w:r w:rsidR="008627F0" w:rsidRPr="009C7A0A">
        <w:t>8.1]</w:t>
      </w:r>
      <w:r w:rsidR="00702A32" w:rsidRPr="009C7A0A">
        <w:t> </w:t>
      </w:r>
      <w:r w:rsidR="004420A9" w:rsidRPr="009C7A0A">
        <w:t xml:space="preserve">Cietušās </w:t>
      </w:r>
      <w:r w:rsidR="006C1B68">
        <w:t>[pers. B]</w:t>
      </w:r>
      <w:r w:rsidR="003C6CEA" w:rsidRPr="009C7A0A">
        <w:t xml:space="preserve"> </w:t>
      </w:r>
      <w:r w:rsidR="008627F0" w:rsidRPr="009C7A0A">
        <w:t>kasācijas sūdzību pamato turpmāk norādītie argumenti.</w:t>
      </w:r>
    </w:p>
    <w:p w14:paraId="6B27B1C8" w14:textId="28074104" w:rsidR="008627F0" w:rsidRPr="009C7A0A" w:rsidRDefault="008627F0" w:rsidP="009C7A0A">
      <w:pPr>
        <w:widowControl w:val="0"/>
        <w:spacing w:line="276" w:lineRule="auto"/>
        <w:ind w:firstLine="720"/>
        <w:contextualSpacing/>
        <w:jc w:val="both"/>
      </w:pPr>
      <w:r w:rsidRPr="009C7A0A">
        <w:t xml:space="preserve">Tiesa nepamatoti atzinusi par vainīgu tikai apsūdzēto </w:t>
      </w:r>
      <w:r w:rsidR="003B1BBE">
        <w:rPr>
          <w:rFonts w:eastAsia="Calibri"/>
          <w:shd w:val="clear" w:color="auto" w:fill="FFFFFF"/>
        </w:rPr>
        <w:t>[pers. A]</w:t>
      </w:r>
      <w:r w:rsidRPr="009C7A0A">
        <w:t xml:space="preserve"> viņam inkriminēt</w:t>
      </w:r>
      <w:r w:rsidR="00BD2C4F" w:rsidRPr="009C7A0A">
        <w:t>ajos</w:t>
      </w:r>
      <w:r w:rsidRPr="009C7A0A">
        <w:t xml:space="preserve"> noziedzīg</w:t>
      </w:r>
      <w:r w:rsidR="00BD2C4F" w:rsidRPr="009C7A0A">
        <w:t>ajos</w:t>
      </w:r>
      <w:r w:rsidRPr="009C7A0A">
        <w:t xml:space="preserve"> nodarījum</w:t>
      </w:r>
      <w:r w:rsidR="00BD2C4F" w:rsidRPr="009C7A0A">
        <w:t>os</w:t>
      </w:r>
      <w:r w:rsidRPr="009C7A0A">
        <w:t xml:space="preserve">, bet attaisnojusi pārējos apsūdzētos </w:t>
      </w:r>
      <w:r w:rsidR="00BD2C4F" w:rsidRPr="009C7A0A">
        <w:t xml:space="preserve">pret </w:t>
      </w:r>
      <w:r w:rsidRPr="009C7A0A">
        <w:t xml:space="preserve">viņiem </w:t>
      </w:r>
      <w:r w:rsidR="00BD2C4F" w:rsidRPr="009C7A0A">
        <w:t>celtajā apsūdzībā</w:t>
      </w:r>
      <w:r w:rsidRPr="009C7A0A">
        <w:t>, jo būvniecības procesā savstarpēji mijiedarbojās vairāku profesiju pārstāvji un tika iesaistītas vairākas atbildīgās personas, līdz ar to nevar veidoties situācija, k</w:t>
      </w:r>
      <w:r w:rsidR="006C768F" w:rsidRPr="009C7A0A">
        <w:t>a</w:t>
      </w:r>
      <w:r w:rsidRPr="009C7A0A">
        <w:t xml:space="preserve"> pie atbildības tiek saukta tikai viena persona.</w:t>
      </w:r>
    </w:p>
    <w:p w14:paraId="6CDC3286" w14:textId="114DDB10" w:rsidR="008627F0" w:rsidRPr="009C7A0A" w:rsidRDefault="008627F0" w:rsidP="009C7A0A">
      <w:pPr>
        <w:widowControl w:val="0"/>
        <w:spacing w:line="276" w:lineRule="auto"/>
        <w:ind w:firstLine="720"/>
        <w:contextualSpacing/>
        <w:jc w:val="both"/>
      </w:pPr>
      <w:r w:rsidRPr="009C7A0A">
        <w:t xml:space="preserve">Nosakot kompensācijas apmēru, tiesa </w:t>
      </w:r>
      <w:r w:rsidR="00462EAD" w:rsidRPr="009C7A0A">
        <w:t xml:space="preserve">nav </w:t>
      </w:r>
      <w:r w:rsidRPr="009C7A0A">
        <w:t>pienācīgi izvērtējusi visus Kriminālprocesa likuma 352. pantā</w:t>
      </w:r>
      <w:r w:rsidR="006C768F" w:rsidRPr="009C7A0A">
        <w:t xml:space="preserve"> norādītos apstākļus</w:t>
      </w:r>
      <w:r w:rsidRPr="009C7A0A">
        <w:t xml:space="preserve">, kas novedis pie nesamērīgi zema kompensācijas apmēra. Tāpat nav pieļaujams, </w:t>
      </w:r>
      <w:r w:rsidR="008170D0" w:rsidRPr="009C7A0A">
        <w:t>ka</w:t>
      </w:r>
      <w:r w:rsidR="0081166C" w:rsidRPr="009C7A0A">
        <w:t xml:space="preserve"> cietušajiem pienākošās kaitējuma k</w:t>
      </w:r>
      <w:r w:rsidRPr="009C7A0A">
        <w:t>ompensācija</w:t>
      </w:r>
      <w:r w:rsidR="0081166C" w:rsidRPr="009C7A0A">
        <w:t>s</w:t>
      </w:r>
      <w:r w:rsidRPr="009C7A0A">
        <w:t xml:space="preserve"> ti</w:t>
      </w:r>
      <w:r w:rsidR="008170D0" w:rsidRPr="009C7A0A">
        <w:t>ek</w:t>
      </w:r>
      <w:r w:rsidRPr="009C7A0A">
        <w:t xml:space="preserve"> noteiktas</w:t>
      </w:r>
      <w:r w:rsidR="00F51138" w:rsidRPr="009C7A0A">
        <w:t>, ņemot vērā</w:t>
      </w:r>
      <w:r w:rsidRPr="009C7A0A">
        <w:t xml:space="preserve"> </w:t>
      </w:r>
      <w:r w:rsidR="0081166C" w:rsidRPr="009C7A0A">
        <w:t xml:space="preserve">vienīgi </w:t>
      </w:r>
      <w:r w:rsidRPr="009C7A0A">
        <w:t>radniecīb</w:t>
      </w:r>
      <w:r w:rsidR="00DB6987" w:rsidRPr="009C7A0A">
        <w:t>as pakāpi</w:t>
      </w:r>
      <w:r w:rsidR="00F51138" w:rsidRPr="009C7A0A">
        <w:t xml:space="preserve"> un neievērojot Kriminālprocesa likuma 352.</w:t>
      </w:r>
      <w:r w:rsidR="004D13AC" w:rsidRPr="009C7A0A">
        <w:t> </w:t>
      </w:r>
      <w:r w:rsidR="00F51138" w:rsidRPr="009C7A0A">
        <w:t>panta pirmās daļas prasības</w:t>
      </w:r>
      <w:r w:rsidRPr="009C7A0A">
        <w:t>.</w:t>
      </w:r>
    </w:p>
    <w:p w14:paraId="531A1892" w14:textId="3C192627" w:rsidR="00976D12" w:rsidRPr="009C7A0A" w:rsidRDefault="008627F0" w:rsidP="009C7A0A">
      <w:pPr>
        <w:widowControl w:val="0"/>
        <w:spacing w:line="276" w:lineRule="auto"/>
        <w:ind w:firstLine="720"/>
        <w:contextualSpacing/>
        <w:jc w:val="both"/>
      </w:pPr>
      <w:r w:rsidRPr="009C7A0A">
        <w:t>[8.</w:t>
      </w:r>
      <w:r w:rsidR="00CF5A92" w:rsidRPr="009C7A0A">
        <w:t>2</w:t>
      </w:r>
      <w:r w:rsidRPr="009C7A0A">
        <w:t>]</w:t>
      </w:r>
      <w:r w:rsidR="00702A32" w:rsidRPr="009C7A0A">
        <w:t> </w:t>
      </w:r>
      <w:r w:rsidR="00DE768C" w:rsidRPr="009C7A0A">
        <w:t xml:space="preserve">Cietušo </w:t>
      </w:r>
      <w:r w:rsidR="00755579">
        <w:rPr>
          <w:rFonts w:eastAsia="Calibri"/>
          <w:shd w:val="clear" w:color="auto" w:fill="FFFFFF"/>
        </w:rPr>
        <w:t>[pers. AZ]</w:t>
      </w:r>
      <w:r w:rsidR="00DE768C" w:rsidRPr="009C7A0A">
        <w:rPr>
          <w:rFonts w:eastAsia="Calibri"/>
          <w:color w:val="000000" w:themeColor="text1"/>
        </w:rPr>
        <w:t xml:space="preserve">, </w:t>
      </w:r>
      <w:r w:rsidR="00755579">
        <w:rPr>
          <w:rFonts w:eastAsia="Calibri"/>
          <w:shd w:val="clear" w:color="auto" w:fill="FFFFFF"/>
        </w:rPr>
        <w:t>[pers. BA]</w:t>
      </w:r>
      <w:r w:rsidR="00DE768C" w:rsidRPr="009C7A0A">
        <w:rPr>
          <w:rFonts w:eastAsia="Calibri"/>
          <w:color w:val="000000" w:themeColor="text1"/>
        </w:rPr>
        <w:t>,</w:t>
      </w:r>
      <w:r w:rsidRPr="009C7A0A">
        <w:rPr>
          <w:rFonts w:eastAsia="Calibri"/>
          <w:color w:val="000000" w:themeColor="text1"/>
        </w:rPr>
        <w:t xml:space="preserve"> </w:t>
      </w:r>
      <w:r w:rsidR="00755579">
        <w:rPr>
          <w:rFonts w:eastAsia="Calibri"/>
          <w:shd w:val="clear" w:color="auto" w:fill="FFFFFF"/>
        </w:rPr>
        <w:t>[pers. BB]</w:t>
      </w:r>
      <w:r w:rsidR="00DE768C" w:rsidRPr="009C7A0A">
        <w:rPr>
          <w:rFonts w:eastAsia="Calibri"/>
          <w:color w:val="000000" w:themeColor="text1"/>
        </w:rPr>
        <w:t xml:space="preserve">, </w:t>
      </w:r>
      <w:r w:rsidR="00755579">
        <w:rPr>
          <w:rFonts w:eastAsia="Calibri"/>
          <w:shd w:val="clear" w:color="auto" w:fill="FFFFFF"/>
        </w:rPr>
        <w:t>[pers. BC]</w:t>
      </w:r>
      <w:r w:rsidR="00DE768C" w:rsidRPr="009C7A0A">
        <w:rPr>
          <w:rFonts w:eastAsia="Calibri"/>
          <w:color w:val="000000" w:themeColor="text1"/>
        </w:rPr>
        <w:t xml:space="preserve"> un </w:t>
      </w:r>
      <w:r w:rsidR="00755579">
        <w:rPr>
          <w:rFonts w:eastAsia="Calibri"/>
          <w:shd w:val="clear" w:color="auto" w:fill="FFFFFF"/>
        </w:rPr>
        <w:t xml:space="preserve">[pers. BD] </w:t>
      </w:r>
      <w:r w:rsidRPr="009C7A0A">
        <w:rPr>
          <w:rFonts w:eastAsia="Calibri"/>
          <w:color w:val="000000" w:themeColor="text1"/>
        </w:rPr>
        <w:t xml:space="preserve">kasācijas sūdzībā </w:t>
      </w:r>
      <w:r w:rsidR="006C768F" w:rsidRPr="009C7A0A">
        <w:t>atkārtoti cietušās</w:t>
      </w:r>
      <w:r w:rsidR="00C17AD8" w:rsidRPr="009C7A0A">
        <w:t xml:space="preserve"> </w:t>
      </w:r>
      <w:r w:rsidR="00755579">
        <w:rPr>
          <w:rFonts w:eastAsia="Calibri"/>
          <w:shd w:val="clear" w:color="auto" w:fill="FFFFFF"/>
        </w:rPr>
        <w:t>[pers. B]</w:t>
      </w:r>
      <w:r w:rsidRPr="009C7A0A">
        <w:rPr>
          <w:rFonts w:eastAsia="Calibri"/>
          <w:color w:val="000000" w:themeColor="text1"/>
        </w:rPr>
        <w:t xml:space="preserve"> </w:t>
      </w:r>
      <w:r w:rsidRPr="009C7A0A">
        <w:t>kasācijas sūdzībā</w:t>
      </w:r>
      <w:r w:rsidR="009047CD" w:rsidRPr="009C7A0A">
        <w:t xml:space="preserve"> paust</w:t>
      </w:r>
      <w:r w:rsidR="006C768F" w:rsidRPr="009C7A0A">
        <w:t>ie</w:t>
      </w:r>
      <w:r w:rsidR="009047CD" w:rsidRPr="009C7A0A">
        <w:t xml:space="preserve"> argument</w:t>
      </w:r>
      <w:r w:rsidR="00C17AD8" w:rsidRPr="009C7A0A">
        <w:t>i</w:t>
      </w:r>
      <w:r w:rsidRPr="009C7A0A">
        <w:t>.</w:t>
      </w:r>
    </w:p>
    <w:p w14:paraId="10FB7AA6" w14:textId="387DA26D" w:rsidR="00604CA9" w:rsidRPr="009C7A0A" w:rsidRDefault="00604CA9" w:rsidP="009C7A0A">
      <w:pPr>
        <w:widowControl w:val="0"/>
        <w:spacing w:line="276" w:lineRule="auto"/>
        <w:ind w:firstLine="720"/>
        <w:contextualSpacing/>
        <w:jc w:val="both"/>
      </w:pPr>
    </w:p>
    <w:p w14:paraId="43EE7B8A" w14:textId="3E3CD7F4" w:rsidR="008564EF" w:rsidRPr="009C7A0A" w:rsidRDefault="008564EF" w:rsidP="009C7A0A">
      <w:pPr>
        <w:widowControl w:val="0"/>
        <w:spacing w:line="276" w:lineRule="auto"/>
        <w:ind w:firstLine="720"/>
        <w:contextualSpacing/>
        <w:jc w:val="both"/>
      </w:pPr>
      <w:r w:rsidRPr="009C7A0A">
        <w:t>[9]</w:t>
      </w:r>
      <w:r w:rsidR="00702A32" w:rsidRPr="009C7A0A">
        <w:t> </w:t>
      </w:r>
      <w:r w:rsidR="00604CA9" w:rsidRPr="009C7A0A">
        <w:t xml:space="preserve">Cietusī </w:t>
      </w:r>
      <w:r w:rsidR="00CC047C">
        <w:rPr>
          <w:rFonts w:eastAsia="Calibri"/>
          <w:shd w:val="clear" w:color="auto" w:fill="FFFFFF"/>
        </w:rPr>
        <w:t>[pers. E]</w:t>
      </w:r>
      <w:r w:rsidR="00604CA9" w:rsidRPr="009C7A0A">
        <w:t xml:space="preserve"> </w:t>
      </w:r>
      <w:r w:rsidR="007C26AF" w:rsidRPr="009C7A0A">
        <w:rPr>
          <w:rFonts w:eastAsia="Calibri"/>
        </w:rPr>
        <w:t xml:space="preserve">kasācijas sūdzībā lūdz </w:t>
      </w:r>
      <w:r w:rsidRPr="009C7A0A">
        <w:rPr>
          <w:rFonts w:eastAsia="Calibri"/>
        </w:rPr>
        <w:t xml:space="preserve">atcelt apelācijas instances tiesas spriedumu daļā par </w:t>
      </w:r>
      <w:r w:rsidR="00460636">
        <w:rPr>
          <w:rFonts w:eastAsia="Calibri"/>
        </w:rPr>
        <w:t>[pers. BP]</w:t>
      </w:r>
      <w:r w:rsidRPr="009C7A0A">
        <w:rPr>
          <w:rFonts w:eastAsia="Calibri"/>
        </w:rPr>
        <w:t xml:space="preserve"> atzīšanu par nevainīgu pret viņu celtajā apsūdzībā pēc Krimināllikuma 146. panta otrās daļas un attaisnošanu, daļā par </w:t>
      </w:r>
      <w:r w:rsidRPr="009C7A0A">
        <w:rPr>
          <w:rFonts w:eastAsia="Calibri"/>
          <w:color w:val="000000" w:themeColor="text1"/>
        </w:rPr>
        <w:t>cietuš</w:t>
      </w:r>
      <w:r w:rsidR="00350C92" w:rsidRPr="009C7A0A">
        <w:rPr>
          <w:rFonts w:eastAsia="Calibri"/>
          <w:color w:val="000000" w:themeColor="text1"/>
        </w:rPr>
        <w:t>ajai</w:t>
      </w:r>
      <w:r w:rsidRPr="009C7A0A">
        <w:rPr>
          <w:rFonts w:eastAsia="Calibri"/>
          <w:color w:val="000000" w:themeColor="text1"/>
        </w:rPr>
        <w:t xml:space="preserve"> </w:t>
      </w:r>
      <w:r w:rsidRPr="009C7A0A">
        <w:t xml:space="preserve">noteikto kaitējuma kompensācijas apmēru un </w:t>
      </w:r>
      <w:r w:rsidR="00976436" w:rsidRPr="009C7A0A">
        <w:t xml:space="preserve">šajā daļā </w:t>
      </w:r>
      <w:r w:rsidRPr="009C7A0A">
        <w:rPr>
          <w:color w:val="000000" w:themeColor="text1"/>
        </w:rPr>
        <w:t xml:space="preserve">nosūtīt </w:t>
      </w:r>
      <w:r w:rsidRPr="009C7A0A">
        <w:t>lietu jaunai izskatīšanai apelācijas instances tiesā.</w:t>
      </w:r>
    </w:p>
    <w:p w14:paraId="047817CC" w14:textId="0E37E9F0" w:rsidR="003A624E" w:rsidRPr="009C7A0A" w:rsidRDefault="003A624E" w:rsidP="009C7A0A">
      <w:pPr>
        <w:widowControl w:val="0"/>
        <w:spacing w:line="276" w:lineRule="auto"/>
        <w:ind w:firstLine="720"/>
        <w:contextualSpacing/>
        <w:jc w:val="both"/>
      </w:pPr>
      <w:r w:rsidRPr="009C7A0A">
        <w:t>Kasācijas sūdzību pamato turpmāk norādītie argumenti.</w:t>
      </w:r>
    </w:p>
    <w:p w14:paraId="3AD72551" w14:textId="741069DC" w:rsidR="00CC37F2" w:rsidRPr="009C7A0A" w:rsidRDefault="003E70E1" w:rsidP="009C7A0A">
      <w:pPr>
        <w:widowControl w:val="0"/>
        <w:spacing w:line="276" w:lineRule="auto"/>
        <w:ind w:firstLine="720"/>
        <w:contextualSpacing/>
        <w:jc w:val="both"/>
        <w:rPr>
          <w:rFonts w:eastAsia="Calibri"/>
          <w:color w:val="000000" w:themeColor="text1"/>
        </w:rPr>
      </w:pPr>
      <w:r w:rsidRPr="009C7A0A">
        <w:rPr>
          <w:rFonts w:eastAsia="Calibri"/>
          <w:color w:val="000000" w:themeColor="text1"/>
        </w:rPr>
        <w:t>Liecību sniegšanas laikā p</w:t>
      </w:r>
      <w:r w:rsidR="00DE35E3" w:rsidRPr="009C7A0A">
        <w:rPr>
          <w:rFonts w:eastAsia="Calibri"/>
          <w:color w:val="000000" w:themeColor="text1"/>
        </w:rPr>
        <w:t xml:space="preserve">irmās instances tiesā </w:t>
      </w:r>
      <w:r w:rsidR="006C768F" w:rsidRPr="009C7A0A">
        <w:rPr>
          <w:rFonts w:eastAsia="Calibri"/>
          <w:color w:val="000000" w:themeColor="text1"/>
        </w:rPr>
        <w:t xml:space="preserve">cietušajai </w:t>
      </w:r>
      <w:r w:rsidR="00DE35E3" w:rsidRPr="009C7A0A">
        <w:rPr>
          <w:rFonts w:eastAsia="Calibri"/>
          <w:color w:val="000000" w:themeColor="text1"/>
        </w:rPr>
        <w:t>n</w:t>
      </w:r>
      <w:r w:rsidRPr="009C7A0A">
        <w:rPr>
          <w:rFonts w:eastAsia="Calibri"/>
          <w:color w:val="000000" w:themeColor="text1"/>
        </w:rPr>
        <w:t xml:space="preserve">av </w:t>
      </w:r>
      <w:r w:rsidR="00DE35E3" w:rsidRPr="009C7A0A">
        <w:rPr>
          <w:rFonts w:eastAsia="Calibri"/>
          <w:color w:val="000000" w:themeColor="text1"/>
        </w:rPr>
        <w:t>tik</w:t>
      </w:r>
      <w:r w:rsidRPr="009C7A0A">
        <w:rPr>
          <w:rFonts w:eastAsia="Calibri"/>
          <w:color w:val="000000" w:themeColor="text1"/>
        </w:rPr>
        <w:t>uši</w:t>
      </w:r>
      <w:r w:rsidR="00DE35E3" w:rsidRPr="009C7A0A">
        <w:rPr>
          <w:rFonts w:eastAsia="Calibri"/>
          <w:color w:val="000000" w:themeColor="text1"/>
        </w:rPr>
        <w:t xml:space="preserve"> nodrošināti ērti apstākļi, lai </w:t>
      </w:r>
      <w:r w:rsidR="006C768F" w:rsidRPr="009C7A0A">
        <w:rPr>
          <w:rFonts w:eastAsia="Calibri"/>
          <w:color w:val="000000" w:themeColor="text1"/>
        </w:rPr>
        <w:t xml:space="preserve">varētu </w:t>
      </w:r>
      <w:r w:rsidR="00DE35E3" w:rsidRPr="009C7A0A">
        <w:rPr>
          <w:rFonts w:eastAsia="Calibri"/>
          <w:color w:val="000000" w:themeColor="text1"/>
        </w:rPr>
        <w:t>novietot dokumentus uz oratora pults</w:t>
      </w:r>
      <w:r w:rsidR="00C475A6" w:rsidRPr="009C7A0A">
        <w:rPr>
          <w:rFonts w:eastAsia="Calibri"/>
          <w:color w:val="000000" w:themeColor="text1"/>
        </w:rPr>
        <w:t xml:space="preserve">, kas radīja grūtības koncentrēties liecības sniegšanai, turpretim apsūdzētajiem tika nodrošinātas labiekārtotas vietas pie galdiem. </w:t>
      </w:r>
      <w:r w:rsidR="00AD2C53" w:rsidRPr="009C7A0A">
        <w:rPr>
          <w:rFonts w:eastAsia="Calibri"/>
          <w:color w:val="000000" w:themeColor="text1"/>
        </w:rPr>
        <w:t xml:space="preserve">Tiesa </w:t>
      </w:r>
      <w:r w:rsidR="00AB0017" w:rsidRPr="009C7A0A">
        <w:rPr>
          <w:rFonts w:eastAsia="Calibri"/>
          <w:color w:val="000000" w:themeColor="text1"/>
        </w:rPr>
        <w:t xml:space="preserve">nepamatoti </w:t>
      </w:r>
      <w:r w:rsidR="00AD2C53" w:rsidRPr="009C7A0A">
        <w:rPr>
          <w:rFonts w:eastAsia="Calibri"/>
          <w:color w:val="000000" w:themeColor="text1"/>
        </w:rPr>
        <w:t>attei</w:t>
      </w:r>
      <w:r w:rsidRPr="009C7A0A">
        <w:rPr>
          <w:rFonts w:eastAsia="Calibri"/>
          <w:color w:val="000000" w:themeColor="text1"/>
        </w:rPr>
        <w:t>kusies</w:t>
      </w:r>
      <w:r w:rsidR="00AD2C53" w:rsidRPr="009C7A0A">
        <w:rPr>
          <w:rFonts w:eastAsia="Calibri"/>
          <w:color w:val="000000" w:themeColor="text1"/>
        </w:rPr>
        <w:t xml:space="preserve"> pieņemt dokumentus, kas apliecina </w:t>
      </w:r>
      <w:r w:rsidRPr="009C7A0A">
        <w:rPr>
          <w:rFonts w:eastAsia="Calibri"/>
          <w:color w:val="000000" w:themeColor="text1"/>
        </w:rPr>
        <w:t>cietušās</w:t>
      </w:r>
      <w:r w:rsidR="00AD2C53" w:rsidRPr="009C7A0A">
        <w:rPr>
          <w:rFonts w:eastAsia="Calibri"/>
          <w:color w:val="000000" w:themeColor="text1"/>
        </w:rPr>
        <w:t xml:space="preserve"> vārdu patiesumu.</w:t>
      </w:r>
      <w:r w:rsidR="00746EFD" w:rsidRPr="009C7A0A">
        <w:rPr>
          <w:rFonts w:eastAsia="Calibri"/>
          <w:color w:val="000000" w:themeColor="text1"/>
        </w:rPr>
        <w:t xml:space="preserve"> </w:t>
      </w:r>
      <w:r w:rsidRPr="009C7A0A">
        <w:rPr>
          <w:rFonts w:eastAsia="Calibri"/>
          <w:color w:val="000000" w:themeColor="text1"/>
        </w:rPr>
        <w:t>Savukārt</w:t>
      </w:r>
      <w:r w:rsidR="00973193" w:rsidRPr="009C7A0A">
        <w:rPr>
          <w:rFonts w:eastAsia="Calibri"/>
          <w:color w:val="000000" w:themeColor="text1"/>
        </w:rPr>
        <w:t>,</w:t>
      </w:r>
      <w:r w:rsidRPr="009C7A0A">
        <w:rPr>
          <w:rFonts w:eastAsia="Calibri"/>
          <w:color w:val="000000" w:themeColor="text1"/>
        </w:rPr>
        <w:t xml:space="preserve"> i</w:t>
      </w:r>
      <w:r w:rsidR="003A2777" w:rsidRPr="009C7A0A">
        <w:rPr>
          <w:rFonts w:eastAsia="Calibri"/>
          <w:color w:val="000000" w:themeColor="text1"/>
        </w:rPr>
        <w:t xml:space="preserve">ztiesājot lietu apelācijas instances tiesā, </w:t>
      </w:r>
      <w:r w:rsidR="00AB0017" w:rsidRPr="009C7A0A">
        <w:rPr>
          <w:rFonts w:eastAsia="Calibri"/>
          <w:color w:val="000000" w:themeColor="text1"/>
        </w:rPr>
        <w:t xml:space="preserve">netika </w:t>
      </w:r>
      <w:r w:rsidR="00355110" w:rsidRPr="009C7A0A">
        <w:rPr>
          <w:rFonts w:eastAsia="Calibri"/>
          <w:color w:val="000000" w:themeColor="text1"/>
        </w:rPr>
        <w:t>ievērots</w:t>
      </w:r>
      <w:r w:rsidR="003A2777" w:rsidRPr="009C7A0A">
        <w:rPr>
          <w:rFonts w:eastAsia="Calibri"/>
          <w:color w:val="000000" w:themeColor="text1"/>
        </w:rPr>
        <w:t xml:space="preserve"> </w:t>
      </w:r>
      <w:r w:rsidR="003229F6" w:rsidRPr="009C7A0A">
        <w:t>Eiropas Cilvēktiesību konvencijas</w:t>
      </w:r>
      <w:r w:rsidR="003A2777" w:rsidRPr="009C7A0A">
        <w:rPr>
          <w:rFonts w:eastAsia="Calibri"/>
          <w:color w:val="000000" w:themeColor="text1"/>
        </w:rPr>
        <w:t xml:space="preserve"> 1., 2.</w:t>
      </w:r>
      <w:r w:rsidR="002009CE" w:rsidRPr="009C7A0A">
        <w:rPr>
          <w:rFonts w:eastAsia="Calibri"/>
          <w:color w:val="000000" w:themeColor="text1"/>
        </w:rPr>
        <w:t xml:space="preserve"> un</w:t>
      </w:r>
      <w:r w:rsidR="003A2777" w:rsidRPr="009C7A0A">
        <w:rPr>
          <w:rFonts w:eastAsia="Calibri"/>
          <w:color w:val="000000" w:themeColor="text1"/>
        </w:rPr>
        <w:t xml:space="preserve"> 10. pants</w:t>
      </w:r>
      <w:r w:rsidR="00D82BCA" w:rsidRPr="009C7A0A">
        <w:rPr>
          <w:rFonts w:eastAsia="Calibri"/>
          <w:color w:val="000000" w:themeColor="text1"/>
        </w:rPr>
        <w:t xml:space="preserve"> (</w:t>
      </w:r>
      <w:r w:rsidR="00B33B21" w:rsidRPr="009C7A0A">
        <w:rPr>
          <w:rFonts w:eastAsia="Calibri"/>
          <w:color w:val="000000" w:themeColor="text1"/>
        </w:rPr>
        <w:t xml:space="preserve">proti, </w:t>
      </w:r>
      <w:r w:rsidR="00D82BCA" w:rsidRPr="009C7A0A">
        <w:rPr>
          <w:rFonts w:eastAsia="Calibri"/>
          <w:color w:val="000000" w:themeColor="text1"/>
        </w:rPr>
        <w:t>pienākums ievērot cilvēktiesības</w:t>
      </w:r>
      <w:r w:rsidR="00B33B21" w:rsidRPr="009C7A0A">
        <w:rPr>
          <w:rFonts w:eastAsia="Calibri"/>
          <w:color w:val="000000" w:themeColor="text1"/>
        </w:rPr>
        <w:t>,</w:t>
      </w:r>
      <w:r w:rsidR="00D82BCA" w:rsidRPr="009C7A0A">
        <w:rPr>
          <w:rFonts w:eastAsia="Calibri"/>
          <w:color w:val="000000" w:themeColor="text1"/>
        </w:rPr>
        <w:t xml:space="preserve"> tiesības uz dzīvību</w:t>
      </w:r>
      <w:r w:rsidR="00B33B21" w:rsidRPr="009C7A0A">
        <w:rPr>
          <w:rFonts w:eastAsia="Calibri"/>
          <w:color w:val="000000" w:themeColor="text1"/>
        </w:rPr>
        <w:t xml:space="preserve"> un </w:t>
      </w:r>
      <w:r w:rsidR="00860712" w:rsidRPr="009C7A0A">
        <w:rPr>
          <w:rFonts w:eastAsia="Calibri"/>
          <w:color w:val="000000" w:themeColor="text1"/>
        </w:rPr>
        <w:t>izteiksmes brīvība)</w:t>
      </w:r>
      <w:r w:rsidR="00B33B21" w:rsidRPr="009C7A0A">
        <w:rPr>
          <w:rFonts w:eastAsia="Calibri"/>
          <w:color w:val="000000" w:themeColor="text1"/>
        </w:rPr>
        <w:t>. T</w:t>
      </w:r>
      <w:r w:rsidR="00355110" w:rsidRPr="009C7A0A">
        <w:rPr>
          <w:rFonts w:eastAsia="Calibri"/>
          <w:color w:val="000000" w:themeColor="text1"/>
        </w:rPr>
        <w:t xml:space="preserve">urklāt </w:t>
      </w:r>
      <w:r w:rsidR="00B33B21" w:rsidRPr="009C7A0A">
        <w:rPr>
          <w:rFonts w:eastAsia="Calibri"/>
          <w:color w:val="000000" w:themeColor="text1"/>
        </w:rPr>
        <w:t xml:space="preserve">apelācijas instances </w:t>
      </w:r>
      <w:r w:rsidR="00F56E07" w:rsidRPr="009C7A0A">
        <w:rPr>
          <w:rFonts w:eastAsia="Calibri"/>
          <w:color w:val="000000" w:themeColor="text1"/>
        </w:rPr>
        <w:t>tiesa</w:t>
      </w:r>
      <w:r w:rsidR="00355110" w:rsidRPr="009C7A0A">
        <w:rPr>
          <w:rFonts w:eastAsia="Calibri"/>
          <w:color w:val="000000" w:themeColor="text1"/>
        </w:rPr>
        <w:t xml:space="preserve"> pārkāpusi tiesības uz taisnīgu tiesu, jo </w:t>
      </w:r>
      <w:r w:rsidR="00F56E07" w:rsidRPr="009C7A0A">
        <w:rPr>
          <w:rFonts w:eastAsia="Calibri"/>
          <w:color w:val="000000" w:themeColor="text1"/>
        </w:rPr>
        <w:t>n</w:t>
      </w:r>
      <w:r w:rsidRPr="009C7A0A">
        <w:rPr>
          <w:rFonts w:eastAsia="Calibri"/>
          <w:color w:val="000000" w:themeColor="text1"/>
        </w:rPr>
        <w:t xml:space="preserve">av </w:t>
      </w:r>
      <w:r w:rsidR="00F56E07" w:rsidRPr="009C7A0A">
        <w:rPr>
          <w:rFonts w:eastAsia="Calibri"/>
          <w:color w:val="000000" w:themeColor="text1"/>
        </w:rPr>
        <w:t>ļāv</w:t>
      </w:r>
      <w:r w:rsidRPr="009C7A0A">
        <w:rPr>
          <w:rFonts w:eastAsia="Calibri"/>
          <w:color w:val="000000" w:themeColor="text1"/>
        </w:rPr>
        <w:t xml:space="preserve">usi cietušajai </w:t>
      </w:r>
      <w:r w:rsidR="00F56E07" w:rsidRPr="009C7A0A">
        <w:rPr>
          <w:rFonts w:eastAsia="Calibri"/>
          <w:color w:val="000000" w:themeColor="text1"/>
        </w:rPr>
        <w:t>izteikties ties</w:t>
      </w:r>
      <w:r w:rsidRPr="009C7A0A">
        <w:rPr>
          <w:rFonts w:eastAsia="Calibri"/>
          <w:color w:val="000000" w:themeColor="text1"/>
        </w:rPr>
        <w:t>as</w:t>
      </w:r>
      <w:r w:rsidR="00F56E07" w:rsidRPr="009C7A0A">
        <w:rPr>
          <w:rFonts w:eastAsia="Calibri"/>
          <w:color w:val="000000" w:themeColor="text1"/>
        </w:rPr>
        <w:t xml:space="preserve"> debatēs</w:t>
      </w:r>
      <w:r w:rsidR="00B33B21" w:rsidRPr="009C7A0A">
        <w:rPr>
          <w:rFonts w:eastAsia="Calibri"/>
          <w:color w:val="000000" w:themeColor="text1"/>
        </w:rPr>
        <w:t xml:space="preserve"> un tādējādi liegusi cietušajai </w:t>
      </w:r>
      <w:r w:rsidR="00FA7FC0">
        <w:rPr>
          <w:rFonts w:eastAsia="Calibri"/>
          <w:shd w:val="clear" w:color="auto" w:fill="FFFFFF"/>
        </w:rPr>
        <w:t xml:space="preserve">[pers. E] </w:t>
      </w:r>
      <w:r w:rsidR="00CE5293" w:rsidRPr="009C7A0A">
        <w:rPr>
          <w:rFonts w:eastAsia="Calibri"/>
          <w:color w:val="000000" w:themeColor="text1"/>
        </w:rPr>
        <w:t>paust savus argumentus</w:t>
      </w:r>
      <w:r w:rsidR="00F56E07" w:rsidRPr="009C7A0A">
        <w:rPr>
          <w:rFonts w:eastAsia="Calibri"/>
          <w:color w:val="000000" w:themeColor="text1"/>
        </w:rPr>
        <w:t>.</w:t>
      </w:r>
    </w:p>
    <w:p w14:paraId="6356F28F" w14:textId="62B9181C" w:rsidR="004967A2" w:rsidRPr="009C7A0A" w:rsidRDefault="00F329D6" w:rsidP="009C7A0A">
      <w:pPr>
        <w:widowControl w:val="0"/>
        <w:spacing w:line="276" w:lineRule="auto"/>
        <w:ind w:firstLine="720"/>
        <w:contextualSpacing/>
        <w:jc w:val="both"/>
        <w:rPr>
          <w:rFonts w:eastAsia="Calibri"/>
          <w:color w:val="000000" w:themeColor="text1"/>
        </w:rPr>
      </w:pPr>
      <w:r w:rsidRPr="009C7A0A">
        <w:rPr>
          <w:rFonts w:eastAsia="Calibri"/>
          <w:color w:val="000000" w:themeColor="text1"/>
        </w:rPr>
        <w:t xml:space="preserve">Apsūdzētās </w:t>
      </w:r>
      <w:r w:rsidR="00FA7FC0">
        <w:rPr>
          <w:rFonts w:eastAsia="Calibri"/>
          <w:shd w:val="clear" w:color="auto" w:fill="FFFFFF"/>
        </w:rPr>
        <w:t xml:space="preserve">[pers. BO] </w:t>
      </w:r>
      <w:r w:rsidRPr="009C7A0A">
        <w:rPr>
          <w:rFonts w:eastAsia="Calibri"/>
          <w:color w:val="000000" w:themeColor="text1"/>
        </w:rPr>
        <w:t xml:space="preserve">rīcība, neizrādot </w:t>
      </w:r>
      <w:r w:rsidR="00767BB7" w:rsidRPr="009C7A0A">
        <w:rPr>
          <w:rFonts w:eastAsia="Calibri"/>
          <w:color w:val="000000" w:themeColor="text1"/>
        </w:rPr>
        <w:t xml:space="preserve">interesi </w:t>
      </w:r>
      <w:r w:rsidRPr="009C7A0A">
        <w:rPr>
          <w:rFonts w:eastAsia="Calibri"/>
          <w:color w:val="000000" w:themeColor="text1"/>
        </w:rPr>
        <w:t xml:space="preserve">par darbinieku apstākļu pasliktināšanos un nenovērtējot </w:t>
      </w:r>
      <w:r w:rsidR="003E70E1" w:rsidRPr="009C7A0A">
        <w:rPr>
          <w:rFonts w:eastAsia="Calibri"/>
          <w:color w:val="000000" w:themeColor="text1"/>
        </w:rPr>
        <w:t>izmaiņas</w:t>
      </w:r>
      <w:r w:rsidRPr="009C7A0A">
        <w:rPr>
          <w:rFonts w:eastAsia="Calibri"/>
          <w:color w:val="000000" w:themeColor="text1"/>
        </w:rPr>
        <w:t xml:space="preserve"> darba apstākļ</w:t>
      </w:r>
      <w:r w:rsidR="00973193" w:rsidRPr="009C7A0A">
        <w:rPr>
          <w:rFonts w:eastAsia="Calibri"/>
          <w:color w:val="000000" w:themeColor="text1"/>
        </w:rPr>
        <w:t>o</w:t>
      </w:r>
      <w:r w:rsidRPr="009C7A0A">
        <w:rPr>
          <w:rFonts w:eastAsia="Calibri"/>
          <w:color w:val="000000" w:themeColor="text1"/>
        </w:rPr>
        <w:t>s, proti,</w:t>
      </w:r>
      <w:r w:rsidR="003E70E1" w:rsidRPr="009C7A0A">
        <w:rPr>
          <w:rFonts w:eastAsia="Calibri"/>
          <w:color w:val="000000" w:themeColor="text1"/>
        </w:rPr>
        <w:t xml:space="preserve"> to, ka</w:t>
      </w:r>
      <w:r w:rsidRPr="009C7A0A">
        <w:rPr>
          <w:rFonts w:eastAsia="Calibri"/>
          <w:color w:val="000000" w:themeColor="text1"/>
        </w:rPr>
        <w:t xml:space="preserve"> jumta remontdarbu laikā darbinieku telpā tecēja ūdens, atzīstama </w:t>
      </w:r>
      <w:r w:rsidR="003E70E1" w:rsidRPr="009C7A0A">
        <w:rPr>
          <w:rFonts w:eastAsia="Calibri"/>
          <w:color w:val="000000" w:themeColor="text1"/>
        </w:rPr>
        <w:t>par</w:t>
      </w:r>
      <w:r w:rsidRPr="009C7A0A">
        <w:rPr>
          <w:rFonts w:eastAsia="Calibri"/>
          <w:color w:val="000000" w:themeColor="text1"/>
        </w:rPr>
        <w:t xml:space="preserve"> bezdarbīb</w:t>
      </w:r>
      <w:r w:rsidR="00973193" w:rsidRPr="009C7A0A">
        <w:rPr>
          <w:rFonts w:eastAsia="Calibri"/>
          <w:color w:val="000000" w:themeColor="text1"/>
        </w:rPr>
        <w:t>u</w:t>
      </w:r>
      <w:r w:rsidR="004B1915" w:rsidRPr="009C7A0A">
        <w:rPr>
          <w:rFonts w:eastAsia="Calibri"/>
          <w:color w:val="000000" w:themeColor="text1"/>
        </w:rPr>
        <w:t xml:space="preserve"> un nolaidīb</w:t>
      </w:r>
      <w:r w:rsidR="003E70E1" w:rsidRPr="009C7A0A">
        <w:rPr>
          <w:rFonts w:eastAsia="Calibri"/>
          <w:color w:val="000000" w:themeColor="text1"/>
        </w:rPr>
        <w:t>u</w:t>
      </w:r>
      <w:r w:rsidR="004B1915" w:rsidRPr="009C7A0A">
        <w:rPr>
          <w:rFonts w:eastAsia="Calibri"/>
          <w:color w:val="000000" w:themeColor="text1"/>
        </w:rPr>
        <w:t xml:space="preserve"> savu pienākumu veikšanā.</w:t>
      </w:r>
    </w:p>
    <w:p w14:paraId="76A3FA72" w14:textId="1150186F" w:rsidR="00B20585" w:rsidRPr="009C7A0A" w:rsidRDefault="00F35949" w:rsidP="009C7A0A">
      <w:pPr>
        <w:widowControl w:val="0"/>
        <w:spacing w:line="276" w:lineRule="auto"/>
        <w:ind w:firstLine="720"/>
        <w:contextualSpacing/>
        <w:jc w:val="both"/>
        <w:rPr>
          <w:rFonts w:eastAsia="Calibri"/>
          <w:color w:val="000000" w:themeColor="text1"/>
        </w:rPr>
      </w:pPr>
      <w:r w:rsidRPr="009C7A0A">
        <w:rPr>
          <w:rFonts w:eastAsia="Calibri"/>
          <w:color w:val="000000" w:themeColor="text1"/>
        </w:rPr>
        <w:t>Darbinieki netika informēti par modernizētiem ugunsdrošības trauksmes signāliem ar verbālu ierakstu</w:t>
      </w:r>
      <w:r w:rsidR="0034167B" w:rsidRPr="009C7A0A">
        <w:rPr>
          <w:rFonts w:eastAsia="Calibri"/>
          <w:color w:val="000000" w:themeColor="text1"/>
        </w:rPr>
        <w:t xml:space="preserve"> un bija apjukuši, </w:t>
      </w:r>
      <w:r w:rsidR="000C0F6C" w:rsidRPr="009C7A0A">
        <w:rPr>
          <w:rFonts w:eastAsia="Calibri"/>
          <w:color w:val="000000" w:themeColor="text1"/>
        </w:rPr>
        <w:t xml:space="preserve">to </w:t>
      </w:r>
      <w:r w:rsidR="0034167B" w:rsidRPr="009C7A0A">
        <w:rPr>
          <w:rFonts w:eastAsia="Calibri"/>
          <w:color w:val="000000" w:themeColor="text1"/>
        </w:rPr>
        <w:t>izdzirdot,</w:t>
      </w:r>
      <w:r w:rsidRPr="009C7A0A">
        <w:rPr>
          <w:rFonts w:eastAsia="Calibri"/>
          <w:color w:val="000000" w:themeColor="text1"/>
        </w:rPr>
        <w:t xml:space="preserve"> </w:t>
      </w:r>
      <w:r w:rsidR="002B09D9" w:rsidRPr="009C7A0A">
        <w:rPr>
          <w:rFonts w:eastAsia="Calibri"/>
          <w:color w:val="000000" w:themeColor="text1"/>
        </w:rPr>
        <w:t xml:space="preserve">tādēļ palika savās vietās un turpināja strādāt, kamēr apsargs meklēja signalizācijas iedarbināšanās cēloni. </w:t>
      </w:r>
      <w:r w:rsidR="00FC177D" w:rsidRPr="009C7A0A">
        <w:rPr>
          <w:rFonts w:eastAsia="Calibri"/>
          <w:color w:val="000000" w:themeColor="text1"/>
        </w:rPr>
        <w:t>Savukārt instruktāžas un instrukciju nepilnība</w:t>
      </w:r>
      <w:r w:rsidR="00976436" w:rsidRPr="009C7A0A">
        <w:rPr>
          <w:rFonts w:eastAsia="Calibri"/>
          <w:color w:val="000000" w:themeColor="text1"/>
        </w:rPr>
        <w:t xml:space="preserve"> un</w:t>
      </w:r>
      <w:r w:rsidR="00FC177D" w:rsidRPr="009C7A0A">
        <w:rPr>
          <w:rFonts w:eastAsia="Calibri"/>
          <w:color w:val="000000" w:themeColor="text1"/>
        </w:rPr>
        <w:t xml:space="preserve"> </w:t>
      </w:r>
      <w:r w:rsidR="00561EAF">
        <w:rPr>
          <w:rFonts w:eastAsia="Calibri"/>
          <w:color w:val="000000" w:themeColor="text1"/>
        </w:rPr>
        <w:t>[pers. BO]</w:t>
      </w:r>
      <w:r w:rsidR="00FC177D" w:rsidRPr="009C7A0A">
        <w:rPr>
          <w:rFonts w:eastAsia="Calibri"/>
          <w:color w:val="000000" w:themeColor="text1"/>
        </w:rPr>
        <w:t xml:space="preserve"> </w:t>
      </w:r>
      <w:r w:rsidR="00F26230" w:rsidRPr="009C7A0A">
        <w:rPr>
          <w:rFonts w:eastAsia="Calibri"/>
          <w:color w:val="000000" w:themeColor="text1"/>
        </w:rPr>
        <w:t xml:space="preserve">kā speciālista </w:t>
      </w:r>
      <w:r w:rsidR="00FC177D" w:rsidRPr="009C7A0A">
        <w:rPr>
          <w:rFonts w:eastAsia="Calibri"/>
          <w:color w:val="000000" w:themeColor="text1"/>
        </w:rPr>
        <w:t>pavirša</w:t>
      </w:r>
      <w:r w:rsidR="00F26230" w:rsidRPr="009C7A0A">
        <w:rPr>
          <w:rFonts w:eastAsia="Calibri"/>
          <w:color w:val="000000" w:themeColor="text1"/>
        </w:rPr>
        <w:t xml:space="preserve"> attieksme noveda pie Satversmes 93. pant</w:t>
      </w:r>
      <w:r w:rsidR="00C63434" w:rsidRPr="009C7A0A">
        <w:rPr>
          <w:rFonts w:eastAsia="Calibri"/>
          <w:color w:val="000000" w:themeColor="text1"/>
        </w:rPr>
        <w:t>ā garantēto tiesību uz dzīvību</w:t>
      </w:r>
      <w:r w:rsidR="00F26230" w:rsidRPr="009C7A0A">
        <w:rPr>
          <w:rFonts w:eastAsia="Calibri"/>
          <w:color w:val="000000" w:themeColor="text1"/>
        </w:rPr>
        <w:t xml:space="preserve"> pārkāpuma</w:t>
      </w:r>
      <w:r w:rsidR="00235F7F" w:rsidRPr="009C7A0A">
        <w:rPr>
          <w:rFonts w:eastAsia="Calibri"/>
          <w:color w:val="000000" w:themeColor="text1"/>
        </w:rPr>
        <w:t>, jo</w:t>
      </w:r>
      <w:r w:rsidR="00D90958" w:rsidRPr="009C7A0A">
        <w:rPr>
          <w:rFonts w:eastAsia="Calibri"/>
          <w:color w:val="000000" w:themeColor="text1"/>
        </w:rPr>
        <w:t>, sabrūkot veikala jumtam,</w:t>
      </w:r>
      <w:r w:rsidR="00235F7F" w:rsidRPr="009C7A0A">
        <w:rPr>
          <w:rFonts w:eastAsia="Calibri"/>
          <w:color w:val="000000" w:themeColor="text1"/>
        </w:rPr>
        <w:t xml:space="preserve"> ir gājusi bojā cietušās </w:t>
      </w:r>
      <w:r w:rsidR="00561EAF">
        <w:rPr>
          <w:rFonts w:eastAsia="Calibri"/>
          <w:color w:val="000000" w:themeColor="text1"/>
        </w:rPr>
        <w:t>[pers. E]</w:t>
      </w:r>
      <w:r w:rsidR="00235F7F" w:rsidRPr="009C7A0A">
        <w:rPr>
          <w:rFonts w:eastAsia="Calibri"/>
          <w:color w:val="000000" w:themeColor="text1"/>
        </w:rPr>
        <w:t xml:space="preserve"> meita </w:t>
      </w:r>
      <w:r w:rsidR="00561EAF">
        <w:rPr>
          <w:rFonts w:eastAsia="Calibri"/>
          <w:color w:val="000000" w:themeColor="text1"/>
        </w:rPr>
        <w:t>[pers. LT]</w:t>
      </w:r>
      <w:r w:rsidR="00F26230" w:rsidRPr="009C7A0A">
        <w:rPr>
          <w:rFonts w:eastAsia="Calibri"/>
          <w:color w:val="000000" w:themeColor="text1"/>
        </w:rPr>
        <w:t>.</w:t>
      </w:r>
    </w:p>
    <w:p w14:paraId="5539EDB5" w14:textId="714DAB7A" w:rsidR="00B02C83" w:rsidRPr="009C7A0A" w:rsidRDefault="00B20585" w:rsidP="009C7A0A">
      <w:pPr>
        <w:widowControl w:val="0"/>
        <w:spacing w:line="276" w:lineRule="auto"/>
        <w:ind w:firstLine="720"/>
        <w:contextualSpacing/>
        <w:jc w:val="both"/>
        <w:rPr>
          <w:rFonts w:eastAsia="Calibri"/>
          <w:color w:val="000000" w:themeColor="text1"/>
        </w:rPr>
      </w:pPr>
      <w:r w:rsidRPr="009C7A0A">
        <w:rPr>
          <w:rFonts w:eastAsia="Calibri"/>
          <w:color w:val="000000" w:themeColor="text1"/>
        </w:rPr>
        <w:t>Nosakot kompensācijas apmēru, tiesa nepamatoti atsaukusies uz Talsu traģēdijas lietu.</w:t>
      </w:r>
    </w:p>
    <w:p w14:paraId="6B520906" w14:textId="77777777" w:rsidR="00B02C83" w:rsidRPr="009C7A0A" w:rsidRDefault="00B02C83" w:rsidP="009C7A0A">
      <w:pPr>
        <w:widowControl w:val="0"/>
        <w:spacing w:line="276" w:lineRule="auto"/>
        <w:ind w:firstLine="720"/>
        <w:contextualSpacing/>
        <w:jc w:val="both"/>
        <w:rPr>
          <w:rFonts w:eastAsia="Calibri"/>
          <w:color w:val="000000" w:themeColor="text1"/>
        </w:rPr>
      </w:pPr>
    </w:p>
    <w:p w14:paraId="2351D77E" w14:textId="515E25BB" w:rsidR="00127E50" w:rsidRPr="009C7A0A" w:rsidRDefault="00127E50" w:rsidP="009C7A0A">
      <w:pPr>
        <w:widowControl w:val="0"/>
        <w:spacing w:line="276" w:lineRule="auto"/>
        <w:ind w:firstLine="720"/>
        <w:contextualSpacing/>
        <w:jc w:val="both"/>
        <w:rPr>
          <w:rFonts w:eastAsia="Calibri"/>
        </w:rPr>
      </w:pPr>
      <w:r w:rsidRPr="009C7A0A">
        <w:t>[10]</w:t>
      </w:r>
      <w:r w:rsidR="00702A32" w:rsidRPr="009C7A0A">
        <w:t> </w:t>
      </w:r>
      <w:r w:rsidRPr="009C7A0A">
        <w:t xml:space="preserve">Cietušās </w:t>
      </w:r>
      <w:r w:rsidR="0044037C">
        <w:t>[pers. BE]</w:t>
      </w:r>
      <w:r w:rsidR="00011A59" w:rsidRPr="009C7A0A">
        <w:t xml:space="preserve"> liku</w:t>
      </w:r>
      <w:r w:rsidRPr="009C7A0A">
        <w:t>m</w:t>
      </w:r>
      <w:r w:rsidR="00011A59" w:rsidRPr="009C7A0A">
        <w:t xml:space="preserve">iskais pārstāvis cietušais </w:t>
      </w:r>
      <w:r w:rsidR="0044037C">
        <w:t>[pers. BF]</w:t>
      </w:r>
      <w:r w:rsidR="00CC37F2" w:rsidRPr="009C7A0A">
        <w:t xml:space="preserve"> </w:t>
      </w:r>
      <w:r w:rsidR="007C26AF" w:rsidRPr="009C7A0A">
        <w:rPr>
          <w:rFonts w:eastAsia="Calibri"/>
          <w:color w:val="000000" w:themeColor="text1"/>
        </w:rPr>
        <w:t xml:space="preserve">kasācijas sūdzībā lūdz </w:t>
      </w:r>
      <w:r w:rsidRPr="009C7A0A">
        <w:rPr>
          <w:rFonts w:eastAsia="Calibri"/>
          <w:color w:val="000000" w:themeColor="text1"/>
        </w:rPr>
        <w:t xml:space="preserve">atcelt apelācijas instances tiesas spriedumu </w:t>
      </w:r>
      <w:r w:rsidRPr="009C7A0A">
        <w:rPr>
          <w:rFonts w:eastAsia="Calibri"/>
        </w:rPr>
        <w:t>daļā par cietuša</w:t>
      </w:r>
      <w:r w:rsidR="00F16B4D" w:rsidRPr="009C7A0A">
        <w:rPr>
          <w:rFonts w:eastAsia="Calibri"/>
        </w:rPr>
        <w:t xml:space="preserve">jai </w:t>
      </w:r>
      <w:r w:rsidR="00AA6902">
        <w:rPr>
          <w:rFonts w:eastAsia="Calibri"/>
        </w:rPr>
        <w:t>[pers. BE]</w:t>
      </w:r>
      <w:r w:rsidR="007A0513" w:rsidRPr="009C7A0A">
        <w:rPr>
          <w:rFonts w:eastAsia="Calibri"/>
        </w:rPr>
        <w:t xml:space="preserve"> </w:t>
      </w:r>
      <w:r w:rsidRPr="009C7A0A">
        <w:t>noteikto kaitējuma kompensācijas apmēru un nosūtīt lietu šajā daļā jaunai izskatīšanai apelācijas instances tiesā.</w:t>
      </w:r>
    </w:p>
    <w:p w14:paraId="7F3704B1" w14:textId="77777777" w:rsidR="003A624E" w:rsidRPr="009C7A0A" w:rsidRDefault="003A624E" w:rsidP="009C7A0A">
      <w:pPr>
        <w:widowControl w:val="0"/>
        <w:spacing w:line="276" w:lineRule="auto"/>
        <w:ind w:firstLine="720"/>
        <w:contextualSpacing/>
        <w:jc w:val="both"/>
      </w:pPr>
      <w:r w:rsidRPr="009C7A0A">
        <w:t>Kasācijas sūdzību pamato turpmāk norādītie argumenti.</w:t>
      </w:r>
    </w:p>
    <w:p w14:paraId="1658AE1E" w14:textId="4854CACD" w:rsidR="00121D06" w:rsidRPr="009C7A0A" w:rsidRDefault="006126F1" w:rsidP="009C7A0A">
      <w:pPr>
        <w:widowControl w:val="0"/>
        <w:spacing w:line="276" w:lineRule="auto"/>
        <w:ind w:firstLine="720"/>
        <w:contextualSpacing/>
        <w:jc w:val="both"/>
      </w:pPr>
      <w:r w:rsidRPr="009C7A0A">
        <w:t>Nosakot kompensācijas apmēru, tiesa</w:t>
      </w:r>
      <w:r w:rsidR="002E3398" w:rsidRPr="009C7A0A">
        <w:t xml:space="preserve"> nav ņēmusi vērā, ka cietusī </w:t>
      </w:r>
      <w:r w:rsidR="00E048B9">
        <w:rPr>
          <w:rFonts w:eastAsia="Calibri"/>
          <w:shd w:val="clear" w:color="auto" w:fill="FFFFFF"/>
        </w:rPr>
        <w:t>[pers. BE]</w:t>
      </w:r>
      <w:r w:rsidR="002E3398" w:rsidRPr="009C7A0A">
        <w:t xml:space="preserve"> ir īpaš</w:t>
      </w:r>
      <w:r w:rsidR="00330A7D" w:rsidRPr="009C7A0A">
        <w:t>i</w:t>
      </w:r>
      <w:r w:rsidR="002E3398" w:rsidRPr="009C7A0A">
        <w:t xml:space="preserve"> aizsargājams cietušais – nepilngadīg</w:t>
      </w:r>
      <w:r w:rsidR="00330A7D" w:rsidRPr="009C7A0A">
        <w:t>ā –</w:t>
      </w:r>
      <w:r w:rsidR="002E3398" w:rsidRPr="009C7A0A">
        <w:t xml:space="preserve">, </w:t>
      </w:r>
      <w:r w:rsidR="00330A7D" w:rsidRPr="009C7A0A">
        <w:t xml:space="preserve">turklāt </w:t>
      </w:r>
      <w:r w:rsidR="00340CC0" w:rsidRPr="009C7A0A">
        <w:t xml:space="preserve">viņa </w:t>
      </w:r>
      <w:r w:rsidR="002E3398" w:rsidRPr="009C7A0A">
        <w:t>zaudēj</w:t>
      </w:r>
      <w:r w:rsidR="00330A7D" w:rsidRPr="009C7A0A">
        <w:t>usi</w:t>
      </w:r>
      <w:r w:rsidR="002E3398" w:rsidRPr="009C7A0A">
        <w:t xml:space="preserve"> māti</w:t>
      </w:r>
      <w:r w:rsidR="007F643D" w:rsidRPr="009C7A0A">
        <w:t>,</w:t>
      </w:r>
      <w:r w:rsidR="00330A7D" w:rsidRPr="009C7A0A">
        <w:t xml:space="preserve"> tādēļ</w:t>
      </w:r>
      <w:r w:rsidR="007F643D" w:rsidRPr="009C7A0A">
        <w:t xml:space="preserve"> kompensācija būtu nosakāma pilnā apmērā</w:t>
      </w:r>
      <w:r w:rsidR="00340CC0" w:rsidRPr="009C7A0A">
        <w:t xml:space="preserve">. </w:t>
      </w:r>
      <w:r w:rsidR="00330A7D" w:rsidRPr="009C7A0A">
        <w:t>Turklāt</w:t>
      </w:r>
      <w:r w:rsidR="00456584" w:rsidRPr="009C7A0A">
        <w:t>,</w:t>
      </w:r>
      <w:r w:rsidR="00330A7D" w:rsidRPr="009C7A0A">
        <w:t xml:space="preserve"> n</w:t>
      </w:r>
      <w:r w:rsidR="004E64E9" w:rsidRPr="009C7A0A">
        <w:t>osakot kompensācijas apmēru atbilstoši konkrētā noziedzīgā nodarījuma obj</w:t>
      </w:r>
      <w:r w:rsidR="00964BC9" w:rsidRPr="009C7A0A">
        <w:t>e</w:t>
      </w:r>
      <w:r w:rsidR="004E64E9" w:rsidRPr="009C7A0A">
        <w:t xml:space="preserve">ktam, nevis </w:t>
      </w:r>
      <w:r w:rsidRPr="009C7A0A">
        <w:t>aizskāruma sek</w:t>
      </w:r>
      <w:r w:rsidR="00964BC9" w:rsidRPr="009C7A0A">
        <w:t>ām</w:t>
      </w:r>
      <w:r w:rsidR="009C210B" w:rsidRPr="009C7A0A">
        <w:t>, kuras radušās</w:t>
      </w:r>
      <w:r w:rsidRPr="009C7A0A">
        <w:t xml:space="preserve"> katram cietušajam</w:t>
      </w:r>
      <w:r w:rsidR="009C210B" w:rsidRPr="009C7A0A">
        <w:t xml:space="preserve"> individuāli</w:t>
      </w:r>
      <w:r w:rsidRPr="009C7A0A">
        <w:t xml:space="preserve">, </w:t>
      </w:r>
      <w:r w:rsidR="004E64E9" w:rsidRPr="009C7A0A">
        <w:t>tiesa pārkāpusi Kriminālprocesa likuma 15. pantu</w:t>
      </w:r>
      <w:r w:rsidR="00F953D3" w:rsidRPr="009C7A0A">
        <w:t>,</w:t>
      </w:r>
      <w:r w:rsidR="00D36B9E">
        <w:t xml:space="preserve"> </w:t>
      </w:r>
      <w:r w:rsidR="004E64E9" w:rsidRPr="009C7A0A">
        <w:t>564. panta ceturto daļu.</w:t>
      </w:r>
    </w:p>
    <w:p w14:paraId="37BFDA6A" w14:textId="77777777" w:rsidR="003B43D9" w:rsidRPr="009C7A0A" w:rsidRDefault="003B43D9" w:rsidP="009C7A0A">
      <w:pPr>
        <w:widowControl w:val="0"/>
        <w:spacing w:line="276" w:lineRule="auto"/>
        <w:ind w:firstLine="720"/>
        <w:contextualSpacing/>
        <w:jc w:val="both"/>
      </w:pPr>
    </w:p>
    <w:p w14:paraId="244A1020" w14:textId="2DAF1F34" w:rsidR="007B6463" w:rsidRPr="009C7A0A" w:rsidRDefault="00630C0D" w:rsidP="009C7A0A">
      <w:pPr>
        <w:widowControl w:val="0"/>
        <w:spacing w:line="276" w:lineRule="auto"/>
        <w:ind w:firstLine="720"/>
        <w:contextualSpacing/>
        <w:jc w:val="both"/>
      </w:pPr>
      <w:r w:rsidRPr="009C7A0A">
        <w:t>[11]</w:t>
      </w:r>
      <w:r w:rsidR="00A45227" w:rsidRPr="009C7A0A">
        <w:t> </w:t>
      </w:r>
      <w:r w:rsidRPr="009C7A0A">
        <w:t xml:space="preserve">Cietušā </w:t>
      </w:r>
      <w:r w:rsidR="00E048B9">
        <w:t>[pers. BG]</w:t>
      </w:r>
      <w:r w:rsidR="00011A59" w:rsidRPr="009C7A0A">
        <w:t xml:space="preserve"> pārstāve zvērināta advokāte J. </w:t>
      </w:r>
      <w:proofErr w:type="spellStart"/>
      <w:r w:rsidR="00011A59" w:rsidRPr="009C7A0A">
        <w:t>Tverjanoviča-Bore</w:t>
      </w:r>
      <w:proofErr w:type="spellEnd"/>
      <w:r w:rsidR="007C26AF" w:rsidRPr="009C7A0A">
        <w:t xml:space="preserve"> </w:t>
      </w:r>
      <w:r w:rsidR="007C26AF" w:rsidRPr="009C7A0A">
        <w:rPr>
          <w:rFonts w:eastAsia="Calibri"/>
        </w:rPr>
        <w:t>kasācijas sūdzībā lūdz</w:t>
      </w:r>
      <w:r w:rsidRPr="009C7A0A">
        <w:rPr>
          <w:rFonts w:eastAsia="Calibri"/>
        </w:rPr>
        <w:t xml:space="preserve"> atcelt apelācijas instances tiesas spriedumu daļā par </w:t>
      </w:r>
      <w:r w:rsidR="00A933B2">
        <w:rPr>
          <w:rFonts w:eastAsia="Calibri"/>
        </w:rPr>
        <w:t>[pers. BI]</w:t>
      </w:r>
      <w:r w:rsidRPr="009C7A0A">
        <w:rPr>
          <w:rFonts w:eastAsia="Calibri"/>
        </w:rPr>
        <w:t xml:space="preserve">, </w:t>
      </w:r>
      <w:r w:rsidR="00A933B2">
        <w:rPr>
          <w:rFonts w:eastAsia="Calibri"/>
        </w:rPr>
        <w:t>[pers. BJ]</w:t>
      </w:r>
      <w:r w:rsidRPr="009C7A0A">
        <w:rPr>
          <w:rFonts w:eastAsia="Calibri"/>
        </w:rPr>
        <w:t xml:space="preserve">, </w:t>
      </w:r>
      <w:r w:rsidR="00A933B2">
        <w:rPr>
          <w:rFonts w:eastAsia="Calibri"/>
        </w:rPr>
        <w:t>[pers. BK]</w:t>
      </w:r>
      <w:r w:rsidRPr="009C7A0A">
        <w:rPr>
          <w:rFonts w:eastAsia="Calibri"/>
        </w:rPr>
        <w:t xml:space="preserve"> un </w:t>
      </w:r>
      <w:r w:rsidR="00A933B2">
        <w:rPr>
          <w:rFonts w:eastAsia="Calibri"/>
        </w:rPr>
        <w:t>[pers. BL]</w:t>
      </w:r>
      <w:r w:rsidRPr="009C7A0A">
        <w:rPr>
          <w:rFonts w:eastAsia="Calibri"/>
        </w:rPr>
        <w:t xml:space="preserve"> atzīšanu par nevainīgiem pret viņiem celtajā apsūdzībā pēc Krimināllikuma 239. panta otrās daļas, 123. panta otrās daļas un attaisnošanu, daļā par </w:t>
      </w:r>
      <w:r w:rsidR="00377C31">
        <w:rPr>
          <w:rFonts w:eastAsia="Calibri"/>
        </w:rPr>
        <w:t>[pers. BM]</w:t>
      </w:r>
      <w:r w:rsidRPr="009C7A0A">
        <w:rPr>
          <w:rFonts w:eastAsia="Calibri"/>
        </w:rPr>
        <w:t xml:space="preserve"> un </w:t>
      </w:r>
      <w:r w:rsidR="00377C31">
        <w:rPr>
          <w:rFonts w:eastAsia="Calibri"/>
        </w:rPr>
        <w:t>[pers. BN]</w:t>
      </w:r>
      <w:r w:rsidRPr="009C7A0A">
        <w:rPr>
          <w:rFonts w:eastAsia="Calibri"/>
        </w:rPr>
        <w:t xml:space="preserve"> atzīšanu par nevainīgiem pret viņiem </w:t>
      </w:r>
      <w:r w:rsidRPr="009C7A0A">
        <w:rPr>
          <w:rFonts w:eastAsia="Calibri"/>
        </w:rPr>
        <w:lastRenderedPageBreak/>
        <w:t xml:space="preserve">celtajā apsūdzībā pēc Krimināllikuma 319. panta trešās daļas un attaisnošanu, daļā par </w:t>
      </w:r>
      <w:r w:rsidR="00F2196B">
        <w:rPr>
          <w:rFonts w:eastAsia="Calibri"/>
        </w:rPr>
        <w:t>[pers. BO]</w:t>
      </w:r>
      <w:r w:rsidRPr="009C7A0A">
        <w:rPr>
          <w:rFonts w:eastAsia="Calibri"/>
        </w:rPr>
        <w:t xml:space="preserve"> atzīšanu par nevainīgu pret viņu celtajā apsūdzībā pēc Krimināllikuma 146. panta otrās daļas un attaisnošanu, </w:t>
      </w:r>
      <w:r w:rsidR="00C44723" w:rsidRPr="009C7A0A">
        <w:rPr>
          <w:rFonts w:eastAsia="Calibri"/>
        </w:rPr>
        <w:t xml:space="preserve">daļā par kriminālprocesa izbeigšanu par </w:t>
      </w:r>
      <w:r w:rsidR="00D53306">
        <w:rPr>
          <w:rFonts w:eastAsia="Calibri"/>
        </w:rPr>
        <w:t xml:space="preserve">[pers. BG] </w:t>
      </w:r>
      <w:r w:rsidR="00C44723" w:rsidRPr="009C7A0A">
        <w:rPr>
          <w:rFonts w:eastAsia="Calibri"/>
        </w:rPr>
        <w:t>pieteikto kaitējuma kompensāciju</w:t>
      </w:r>
      <w:r w:rsidR="002E5B8A" w:rsidRPr="009C7A0A">
        <w:rPr>
          <w:rFonts w:eastAsia="Calibri"/>
        </w:rPr>
        <w:t xml:space="preserve"> par morālo aizskārumu</w:t>
      </w:r>
      <w:r w:rsidR="00C44723" w:rsidRPr="009C7A0A">
        <w:rPr>
          <w:rFonts w:eastAsia="Calibri"/>
        </w:rPr>
        <w:t xml:space="preserve">, </w:t>
      </w:r>
      <w:r w:rsidRPr="009C7A0A">
        <w:rPr>
          <w:rFonts w:eastAsia="Calibri"/>
        </w:rPr>
        <w:t xml:space="preserve">daļā par kriminālprocesa izbeigšanu par piespiedu ietekmēšanas līdzekļu piemērošanu </w:t>
      </w:r>
      <w:r w:rsidR="009C210B" w:rsidRPr="009C7A0A">
        <w:rPr>
          <w:rFonts w:eastAsia="Calibri"/>
        </w:rPr>
        <w:t xml:space="preserve">juridiskajām personām </w:t>
      </w:r>
      <w:r w:rsidRPr="002C34D5">
        <w:rPr>
          <w:rFonts w:eastAsia="Calibri"/>
        </w:rPr>
        <w:t>SIA „</w:t>
      </w:r>
      <w:r w:rsidR="002C34D5" w:rsidRPr="002C34D5">
        <w:rPr>
          <w:rFonts w:eastAsia="Calibri"/>
        </w:rPr>
        <w:t>[Nosaukums B]</w:t>
      </w:r>
      <w:r w:rsidRPr="002C34D5">
        <w:rPr>
          <w:rFonts w:eastAsia="Calibri"/>
        </w:rPr>
        <w:t>”, SIA „</w:t>
      </w:r>
      <w:r w:rsidR="002C34D5" w:rsidRPr="002C34D5">
        <w:rPr>
          <w:rFonts w:eastAsia="Calibri"/>
        </w:rPr>
        <w:t>[Nosaukums C]</w:t>
      </w:r>
      <w:r w:rsidRPr="002C34D5">
        <w:rPr>
          <w:rFonts w:eastAsia="Calibri"/>
        </w:rPr>
        <w:t>” un SIA „</w:t>
      </w:r>
      <w:r w:rsidR="002C34D5" w:rsidRPr="002C34D5">
        <w:rPr>
          <w:rFonts w:eastAsia="Calibri"/>
        </w:rPr>
        <w:t>[Nosaukums D]</w:t>
      </w:r>
      <w:r w:rsidRPr="002C34D5">
        <w:rPr>
          <w:rFonts w:eastAsia="Calibri"/>
        </w:rPr>
        <w:t>”</w:t>
      </w:r>
      <w:r w:rsidR="00A11225" w:rsidRPr="009C7A0A">
        <w:t xml:space="preserve"> un</w:t>
      </w:r>
      <w:r w:rsidRPr="009C7A0A">
        <w:t xml:space="preserve"> </w:t>
      </w:r>
      <w:r w:rsidR="009C210B" w:rsidRPr="009C7A0A">
        <w:t xml:space="preserve">šajā daļā </w:t>
      </w:r>
      <w:r w:rsidRPr="009C7A0A">
        <w:t>nosūtīt lietu jaunai izskatīšanai apelācijas instances tiesā</w:t>
      </w:r>
      <w:r w:rsidR="00016F85" w:rsidRPr="009C7A0A">
        <w:t>,</w:t>
      </w:r>
      <w:r w:rsidR="00C23148" w:rsidRPr="009C7A0A">
        <w:t xml:space="preserve"> kā arī</w:t>
      </w:r>
      <w:r w:rsidR="00016F85" w:rsidRPr="009C7A0A">
        <w:t xml:space="preserve"> atcelt Rīgas apgabaltiesas 2023. gada 24. janvāra blakus lēmumu par </w:t>
      </w:r>
      <w:r w:rsidR="0092072A" w:rsidRPr="009C7A0A">
        <w:t>zvērinātas advokātes J. </w:t>
      </w:r>
      <w:proofErr w:type="spellStart"/>
      <w:r w:rsidR="0092072A" w:rsidRPr="009C7A0A">
        <w:t>Tverjanovičas-Bores</w:t>
      </w:r>
      <w:proofErr w:type="spellEnd"/>
      <w:r w:rsidR="0092072A" w:rsidRPr="009C7A0A">
        <w:t xml:space="preserve"> rīcību.</w:t>
      </w:r>
    </w:p>
    <w:p w14:paraId="3FE028FE" w14:textId="77777777" w:rsidR="003A624E" w:rsidRPr="009C7A0A" w:rsidRDefault="003A624E" w:rsidP="009C7A0A">
      <w:pPr>
        <w:widowControl w:val="0"/>
        <w:spacing w:line="276" w:lineRule="auto"/>
        <w:ind w:firstLine="720"/>
        <w:contextualSpacing/>
        <w:jc w:val="both"/>
      </w:pPr>
      <w:r w:rsidRPr="009C7A0A">
        <w:t>Kasācijas sūdzību pamato turpmāk norādītie argumenti.</w:t>
      </w:r>
    </w:p>
    <w:p w14:paraId="29559AEA" w14:textId="45993929" w:rsidR="007B6463" w:rsidRPr="009C7A0A" w:rsidRDefault="00A11225" w:rsidP="00627D53">
      <w:pPr>
        <w:widowControl w:val="0"/>
        <w:spacing w:line="276" w:lineRule="auto"/>
        <w:ind w:firstLine="720"/>
        <w:contextualSpacing/>
        <w:jc w:val="both"/>
        <w:rPr>
          <w:rFonts w:eastAsia="Calibri"/>
        </w:rPr>
      </w:pPr>
      <w:r w:rsidRPr="009C7A0A">
        <w:rPr>
          <w:rFonts w:eastAsia="Calibri"/>
        </w:rPr>
        <w:t xml:space="preserve">Tiesas rīcība, saucot pie atbildības tikai apsūdzēto </w:t>
      </w:r>
      <w:r w:rsidR="00627D53">
        <w:rPr>
          <w:rFonts w:eastAsia="Calibri"/>
        </w:rPr>
        <w:t>[pers. A]</w:t>
      </w:r>
      <w:r w:rsidRPr="009C7A0A">
        <w:rPr>
          <w:rFonts w:eastAsia="Calibri"/>
        </w:rPr>
        <w:t>, uzskatāma p</w:t>
      </w:r>
      <w:r w:rsidR="00033774" w:rsidRPr="009C7A0A">
        <w:rPr>
          <w:rFonts w:eastAsia="Calibri"/>
        </w:rPr>
        <w:t>ar valsts neatbilstošu un nesamērīgu reakciju</w:t>
      </w:r>
      <w:r w:rsidRPr="009C7A0A">
        <w:rPr>
          <w:rFonts w:eastAsia="Calibri"/>
        </w:rPr>
        <w:t>,</w:t>
      </w:r>
      <w:r w:rsidR="004D13AC" w:rsidRPr="009C7A0A">
        <w:rPr>
          <w:rFonts w:eastAsia="Calibri"/>
        </w:rPr>
        <w:t xml:space="preserve"> </w:t>
      </w:r>
      <w:r w:rsidRPr="009C7A0A">
        <w:rPr>
          <w:rFonts w:eastAsia="Calibri"/>
        </w:rPr>
        <w:t xml:space="preserve">ar kuru netiks </w:t>
      </w:r>
      <w:r w:rsidR="00033774" w:rsidRPr="009C7A0A">
        <w:rPr>
          <w:rFonts w:eastAsia="Calibri"/>
        </w:rPr>
        <w:t>sasnie</w:t>
      </w:r>
      <w:r w:rsidRPr="009C7A0A">
        <w:rPr>
          <w:rFonts w:eastAsia="Calibri"/>
        </w:rPr>
        <w:t>gts</w:t>
      </w:r>
      <w:r w:rsidR="00033774" w:rsidRPr="009C7A0A">
        <w:rPr>
          <w:rFonts w:eastAsia="Calibri"/>
        </w:rPr>
        <w:t xml:space="preserve"> Krimināl</w:t>
      </w:r>
      <w:r w:rsidR="004C0064" w:rsidRPr="009C7A0A">
        <w:rPr>
          <w:rFonts w:eastAsia="Calibri"/>
        </w:rPr>
        <w:t>l</w:t>
      </w:r>
      <w:r w:rsidR="00033774" w:rsidRPr="009C7A0A">
        <w:rPr>
          <w:rFonts w:eastAsia="Calibri"/>
        </w:rPr>
        <w:t>ikuma 35. pantā noteikt</w:t>
      </w:r>
      <w:r w:rsidRPr="009C7A0A">
        <w:rPr>
          <w:rFonts w:eastAsia="Calibri"/>
        </w:rPr>
        <w:t>ais</w:t>
      </w:r>
      <w:r w:rsidR="00033774" w:rsidRPr="009C7A0A">
        <w:rPr>
          <w:rFonts w:eastAsia="Calibri"/>
        </w:rPr>
        <w:t xml:space="preserve"> soda mērķi</w:t>
      </w:r>
      <w:r w:rsidRPr="009C7A0A">
        <w:rPr>
          <w:rFonts w:eastAsia="Calibri"/>
        </w:rPr>
        <w:t>s</w:t>
      </w:r>
      <w:r w:rsidR="00033774" w:rsidRPr="009C7A0A">
        <w:rPr>
          <w:rFonts w:eastAsia="Calibri"/>
        </w:rPr>
        <w:t xml:space="preserve">, </w:t>
      </w:r>
      <w:r w:rsidRPr="009C7A0A">
        <w:rPr>
          <w:rFonts w:eastAsia="Calibri"/>
        </w:rPr>
        <w:t>jo</w:t>
      </w:r>
      <w:r w:rsidR="00033774" w:rsidRPr="009C7A0A">
        <w:rPr>
          <w:rFonts w:eastAsia="Calibri"/>
        </w:rPr>
        <w:t xml:space="preserve"> jau </w:t>
      </w:r>
      <w:proofErr w:type="spellStart"/>
      <w:r w:rsidR="00033774" w:rsidRPr="009C7A0A">
        <w:rPr>
          <w:rFonts w:eastAsia="Calibri"/>
        </w:rPr>
        <w:t>pirmstiesas</w:t>
      </w:r>
      <w:proofErr w:type="spellEnd"/>
      <w:r w:rsidR="00033774" w:rsidRPr="009C7A0A">
        <w:rPr>
          <w:rFonts w:eastAsia="Calibri"/>
        </w:rPr>
        <w:t xml:space="preserve"> </w:t>
      </w:r>
      <w:r w:rsidR="007E2586" w:rsidRPr="009C7A0A">
        <w:rPr>
          <w:rFonts w:eastAsia="Calibri"/>
        </w:rPr>
        <w:t>procesā</w:t>
      </w:r>
      <w:r w:rsidR="00033774" w:rsidRPr="009C7A0A">
        <w:rPr>
          <w:rFonts w:eastAsia="Calibri"/>
        </w:rPr>
        <w:t xml:space="preserve"> tiesībaizsardzības iestādēs tika secināts, ka nogruvums nav vienas personas kļūda, bet gan sistēmas un tajā iesais</w:t>
      </w:r>
      <w:r w:rsidR="00E96CF9" w:rsidRPr="009C7A0A">
        <w:rPr>
          <w:rFonts w:eastAsia="Calibri"/>
        </w:rPr>
        <w:t>t</w:t>
      </w:r>
      <w:r w:rsidR="00033774" w:rsidRPr="009C7A0A">
        <w:rPr>
          <w:rFonts w:eastAsia="Calibri"/>
        </w:rPr>
        <w:t>īto personu kļūdu sērija, jo katram apsūdzētajam objekta būvniecības procesā bija sav</w:t>
      </w:r>
      <w:r w:rsidRPr="009C7A0A">
        <w:rPr>
          <w:rFonts w:eastAsia="Calibri"/>
        </w:rPr>
        <w:t>i</w:t>
      </w:r>
      <w:r w:rsidR="00033774" w:rsidRPr="009C7A0A">
        <w:rPr>
          <w:rFonts w:eastAsia="Calibri"/>
        </w:rPr>
        <w:t xml:space="preserve"> pienākum</w:t>
      </w:r>
      <w:r w:rsidRPr="009C7A0A">
        <w:rPr>
          <w:rFonts w:eastAsia="Calibri"/>
        </w:rPr>
        <w:t>i</w:t>
      </w:r>
      <w:r w:rsidR="00033774" w:rsidRPr="009C7A0A">
        <w:rPr>
          <w:rFonts w:eastAsia="Calibri"/>
        </w:rPr>
        <w:t xml:space="preserve"> un uzdevum</w:t>
      </w:r>
      <w:r w:rsidRPr="009C7A0A">
        <w:rPr>
          <w:rFonts w:eastAsia="Calibri"/>
        </w:rPr>
        <w:t>i</w:t>
      </w:r>
      <w:r w:rsidR="00033774" w:rsidRPr="009C7A0A">
        <w:rPr>
          <w:rFonts w:eastAsia="Calibri"/>
        </w:rPr>
        <w:t>, sava atbildības joma un kompetence.</w:t>
      </w:r>
    </w:p>
    <w:p w14:paraId="523CFADF" w14:textId="712E2148" w:rsidR="00A31FD2" w:rsidRPr="009C7A0A" w:rsidRDefault="00A31FD2" w:rsidP="00380603">
      <w:pPr>
        <w:widowControl w:val="0"/>
        <w:spacing w:line="276" w:lineRule="auto"/>
        <w:ind w:firstLine="720"/>
        <w:contextualSpacing/>
        <w:jc w:val="both"/>
        <w:rPr>
          <w:rFonts w:eastAsia="Calibri"/>
        </w:rPr>
      </w:pPr>
      <w:r w:rsidRPr="009C7A0A">
        <w:rPr>
          <w:rFonts w:eastAsia="Calibri"/>
        </w:rPr>
        <w:t xml:space="preserve">Tiesa </w:t>
      </w:r>
      <w:r w:rsidR="0002069C" w:rsidRPr="009C7A0A">
        <w:rPr>
          <w:rFonts w:eastAsia="Calibri"/>
        </w:rPr>
        <w:t>nav</w:t>
      </w:r>
      <w:r w:rsidR="00BF2DDA" w:rsidRPr="009C7A0A">
        <w:rPr>
          <w:rFonts w:eastAsia="Calibri"/>
        </w:rPr>
        <w:t xml:space="preserve"> </w:t>
      </w:r>
      <w:r w:rsidR="0002069C" w:rsidRPr="009C7A0A">
        <w:rPr>
          <w:rFonts w:eastAsia="Calibri"/>
        </w:rPr>
        <w:t>pienācīg</w:t>
      </w:r>
      <w:r w:rsidR="00A11225" w:rsidRPr="009C7A0A">
        <w:rPr>
          <w:rFonts w:eastAsia="Calibri"/>
        </w:rPr>
        <w:t>i</w:t>
      </w:r>
      <w:r w:rsidR="0002069C" w:rsidRPr="009C7A0A">
        <w:rPr>
          <w:rFonts w:eastAsia="Calibri"/>
        </w:rPr>
        <w:t xml:space="preserve"> </w:t>
      </w:r>
      <w:r w:rsidR="00A11225" w:rsidRPr="009C7A0A">
        <w:rPr>
          <w:rFonts w:eastAsia="Calibri"/>
        </w:rPr>
        <w:t>iz</w:t>
      </w:r>
      <w:r w:rsidR="0002069C" w:rsidRPr="009C7A0A">
        <w:rPr>
          <w:rFonts w:eastAsia="Calibri"/>
        </w:rPr>
        <w:t>vērtēju</w:t>
      </w:r>
      <w:r w:rsidR="00A11225" w:rsidRPr="009C7A0A">
        <w:rPr>
          <w:rFonts w:eastAsia="Calibri"/>
        </w:rPr>
        <w:t>si</w:t>
      </w:r>
      <w:r w:rsidR="0002069C" w:rsidRPr="009C7A0A">
        <w:rPr>
          <w:rFonts w:eastAsia="Calibri"/>
        </w:rPr>
        <w:t xml:space="preserve"> cietušā </w:t>
      </w:r>
      <w:r w:rsidR="00380603">
        <w:rPr>
          <w:rFonts w:eastAsia="Calibri"/>
        </w:rPr>
        <w:t>[pers. BG]</w:t>
      </w:r>
      <w:r w:rsidR="0002069C" w:rsidRPr="009C7A0A">
        <w:rPr>
          <w:rFonts w:eastAsia="Calibri"/>
        </w:rPr>
        <w:t xml:space="preserve"> apelācijas sūdzīb</w:t>
      </w:r>
      <w:r w:rsidR="004C0064" w:rsidRPr="009C7A0A">
        <w:rPr>
          <w:rFonts w:eastAsia="Calibri"/>
        </w:rPr>
        <w:t>ā</w:t>
      </w:r>
      <w:r w:rsidR="0002069C" w:rsidRPr="009C7A0A">
        <w:rPr>
          <w:rFonts w:eastAsia="Calibri"/>
        </w:rPr>
        <w:t xml:space="preserve"> </w:t>
      </w:r>
      <w:r w:rsidR="004C0064" w:rsidRPr="009C7A0A">
        <w:rPr>
          <w:rFonts w:eastAsia="Calibri"/>
        </w:rPr>
        <w:t>norādīt</w:t>
      </w:r>
      <w:r w:rsidR="00A11225" w:rsidRPr="009C7A0A">
        <w:rPr>
          <w:rFonts w:eastAsia="Calibri"/>
        </w:rPr>
        <w:t>o</w:t>
      </w:r>
      <w:r w:rsidR="009B5417" w:rsidRPr="009C7A0A">
        <w:rPr>
          <w:rFonts w:eastAsia="Calibri"/>
        </w:rPr>
        <w:t>,</w:t>
      </w:r>
      <w:r w:rsidR="004C0064" w:rsidRPr="009C7A0A">
        <w:rPr>
          <w:rFonts w:eastAsia="Calibri"/>
        </w:rPr>
        <w:t xml:space="preserve"> ka</w:t>
      </w:r>
      <w:r w:rsidR="009B5417" w:rsidRPr="009C7A0A">
        <w:rPr>
          <w:rFonts w:eastAsia="Calibri"/>
        </w:rPr>
        <w:t xml:space="preserve"> </w:t>
      </w:r>
      <w:r w:rsidR="00380603">
        <w:rPr>
          <w:rFonts w:eastAsia="Calibri"/>
        </w:rPr>
        <w:t>[pers. A]</w:t>
      </w:r>
      <w:r w:rsidR="008216BA" w:rsidRPr="009C7A0A">
        <w:rPr>
          <w:rFonts w:eastAsia="Calibri"/>
        </w:rPr>
        <w:t xml:space="preserve"> noteiktais sods nav samērīgs ar noziedzīgā nodarījuma smagumu, publiskumu un izraisītajām smag</w:t>
      </w:r>
      <w:r w:rsidR="00691734" w:rsidRPr="009C7A0A">
        <w:rPr>
          <w:rFonts w:eastAsia="Calibri"/>
        </w:rPr>
        <w:t>ajām</w:t>
      </w:r>
      <w:r w:rsidR="008216BA" w:rsidRPr="009C7A0A">
        <w:rPr>
          <w:rFonts w:eastAsia="Calibri"/>
        </w:rPr>
        <w:t xml:space="preserve"> sekām</w:t>
      </w:r>
      <w:r w:rsidR="002953FE" w:rsidRPr="009C7A0A">
        <w:rPr>
          <w:rFonts w:eastAsia="Calibri"/>
        </w:rPr>
        <w:t>.</w:t>
      </w:r>
    </w:p>
    <w:p w14:paraId="6D8D0397" w14:textId="122C69D2" w:rsidR="004E691F" w:rsidRPr="009C7A0A" w:rsidRDefault="00E96CF9" w:rsidP="009C7A0A">
      <w:pPr>
        <w:widowControl w:val="0"/>
        <w:spacing w:line="276" w:lineRule="auto"/>
        <w:ind w:firstLine="720"/>
        <w:contextualSpacing/>
        <w:jc w:val="both"/>
        <w:rPr>
          <w:rFonts w:eastAsia="Calibri"/>
        </w:rPr>
      </w:pPr>
      <w:r w:rsidRPr="009C7A0A">
        <w:rPr>
          <w:rFonts w:eastAsia="Calibri"/>
        </w:rPr>
        <w:t>Lai arī</w:t>
      </w:r>
      <w:r w:rsidR="00F665B0" w:rsidRPr="009C7A0A">
        <w:rPr>
          <w:rFonts w:eastAsia="Calibri"/>
        </w:rPr>
        <w:t xml:space="preserve"> cietušais </w:t>
      </w:r>
      <w:r w:rsidR="007862DE">
        <w:rPr>
          <w:rFonts w:eastAsia="Calibri"/>
        </w:rPr>
        <w:t>[pers. BG]</w:t>
      </w:r>
      <w:r w:rsidR="00F665B0" w:rsidRPr="009C7A0A">
        <w:rPr>
          <w:rFonts w:eastAsia="Calibri"/>
        </w:rPr>
        <w:t xml:space="preserve"> pēc pirmās instances tiesas sprieduma pasludināšanas</w:t>
      </w:r>
      <w:r w:rsidR="00A11225" w:rsidRPr="009C7A0A">
        <w:rPr>
          <w:rFonts w:eastAsia="Calibri"/>
        </w:rPr>
        <w:t xml:space="preserve"> ir miris</w:t>
      </w:r>
      <w:r w:rsidR="00F665B0" w:rsidRPr="009C7A0A">
        <w:rPr>
          <w:rFonts w:eastAsia="Calibri"/>
        </w:rPr>
        <w:t>, tiesa</w:t>
      </w:r>
      <w:r w:rsidR="00DD71E4" w:rsidRPr="009C7A0A">
        <w:rPr>
          <w:rFonts w:eastAsia="Calibri"/>
        </w:rPr>
        <w:t>i</w:t>
      </w:r>
      <w:r w:rsidR="00F665B0" w:rsidRPr="009C7A0A">
        <w:rPr>
          <w:rFonts w:eastAsia="Calibri"/>
        </w:rPr>
        <w:t xml:space="preserve"> nebija pamata izbeigt kriminālprocesu daļā par </w:t>
      </w:r>
      <w:r w:rsidR="00DB73B4">
        <w:rPr>
          <w:rFonts w:eastAsia="Calibri"/>
        </w:rPr>
        <w:t>[pers. BG]</w:t>
      </w:r>
      <w:r w:rsidR="00F665B0" w:rsidRPr="009C7A0A">
        <w:rPr>
          <w:rFonts w:eastAsia="Calibri"/>
        </w:rPr>
        <w:t xml:space="preserve"> pieteikto kompensāciju, jo </w:t>
      </w:r>
      <w:r w:rsidR="00DB73B4">
        <w:rPr>
          <w:rFonts w:eastAsia="Calibri"/>
        </w:rPr>
        <w:t>[pers. BG]</w:t>
      </w:r>
      <w:r w:rsidR="00F665B0" w:rsidRPr="009C7A0A">
        <w:rPr>
          <w:rFonts w:eastAsia="Calibri"/>
        </w:rPr>
        <w:t xml:space="preserve"> tiesības uz kaitējuma </w:t>
      </w:r>
      <w:r w:rsidR="00836394" w:rsidRPr="009C7A0A">
        <w:rPr>
          <w:rFonts w:eastAsia="Calibri"/>
        </w:rPr>
        <w:t xml:space="preserve">par morālā aizskāruma </w:t>
      </w:r>
      <w:r w:rsidR="00F665B0" w:rsidRPr="009C7A0A">
        <w:rPr>
          <w:rFonts w:eastAsia="Calibri"/>
        </w:rPr>
        <w:t xml:space="preserve">atlīdzinājumu rodas ar noziedzīgā nodarījuma izdarīšanas brīdi, nevis ar kompensācijas pieteikuma iesniegšanas brīdi. Prasījuma tiesības par kaitējuma </w:t>
      </w:r>
      <w:r w:rsidR="00BC5971" w:rsidRPr="009C7A0A">
        <w:rPr>
          <w:rFonts w:eastAsia="Calibri"/>
        </w:rPr>
        <w:t xml:space="preserve">par morālā aizskāruma </w:t>
      </w:r>
      <w:r w:rsidR="00F665B0" w:rsidRPr="009C7A0A">
        <w:rPr>
          <w:rFonts w:eastAsia="Calibri"/>
        </w:rPr>
        <w:t>atlīdzinājumu ietilpst mantojumā</w:t>
      </w:r>
      <w:r w:rsidR="00A11225" w:rsidRPr="009C7A0A">
        <w:rPr>
          <w:rFonts w:eastAsia="Calibri"/>
        </w:rPr>
        <w:t>.</w:t>
      </w:r>
    </w:p>
    <w:p w14:paraId="7C15202B" w14:textId="291C1984" w:rsidR="00271899" w:rsidRPr="009C7A0A" w:rsidRDefault="00AD7499" w:rsidP="009C7A0A">
      <w:pPr>
        <w:widowControl w:val="0"/>
        <w:spacing w:line="276" w:lineRule="auto"/>
        <w:ind w:firstLine="720"/>
        <w:contextualSpacing/>
        <w:jc w:val="both"/>
      </w:pPr>
      <w:r w:rsidRPr="009C7A0A">
        <w:rPr>
          <w:rFonts w:eastAsia="Calibri"/>
        </w:rPr>
        <w:t xml:space="preserve">Tiesa, pieņemot blakus lēmumu </w:t>
      </w:r>
      <w:r w:rsidRPr="009C7A0A">
        <w:t>par zvērinātas advokātes J.</w:t>
      </w:r>
      <w:r w:rsidR="004D13AC" w:rsidRPr="009C7A0A">
        <w:t> </w:t>
      </w:r>
      <w:proofErr w:type="spellStart"/>
      <w:r w:rsidR="004D13AC" w:rsidRPr="009C7A0A">
        <w:t>Tverjanovičas-Bores</w:t>
      </w:r>
      <w:proofErr w:type="spellEnd"/>
      <w:r w:rsidR="004D13AC" w:rsidRPr="009C7A0A">
        <w:t xml:space="preserve"> rīcību,</w:t>
      </w:r>
      <w:r w:rsidRPr="009C7A0A">
        <w:t xml:space="preserve"> nepamatoti konstatēj</w:t>
      </w:r>
      <w:r w:rsidR="00A11225" w:rsidRPr="009C7A0A">
        <w:t>usi</w:t>
      </w:r>
      <w:r w:rsidRPr="009C7A0A">
        <w:t>, ka advokātes rīcība liec</w:t>
      </w:r>
      <w:r w:rsidR="00974668" w:rsidRPr="009C7A0A">
        <w:t>i</w:t>
      </w:r>
      <w:r w:rsidRPr="009C7A0A">
        <w:t xml:space="preserve">na par paviršu attieksmi pret saviem profesionālajiem pienākumiem. Pretēji lēmumā norādītajam advokāte bija tiesīga kriminālprocesa ietvaros rīkoties mirušā cietušā </w:t>
      </w:r>
      <w:r w:rsidR="00D21B42">
        <w:rPr>
          <w:rFonts w:eastAsia="Calibri"/>
        </w:rPr>
        <w:t>[pers. BG]</w:t>
      </w:r>
      <w:r w:rsidRPr="009C7A0A">
        <w:t xml:space="preserve"> vārdā, uzstājoties tiesas debatēs un uzturot </w:t>
      </w:r>
      <w:r w:rsidR="00C23F68">
        <w:rPr>
          <w:rFonts w:eastAsia="Calibri"/>
        </w:rPr>
        <w:t>[pers. BG]</w:t>
      </w:r>
      <w:r w:rsidRPr="009C7A0A">
        <w:t xml:space="preserve"> apelācijas sūdzību, lai panāktu dotā uzdevuma izpildi un likumīgo interešu aizsardzību</w:t>
      </w:r>
      <w:r w:rsidR="00271899" w:rsidRPr="009C7A0A">
        <w:t xml:space="preserve"> atbilstoši 2016. gada </w:t>
      </w:r>
      <w:r w:rsidR="005C4075" w:rsidRPr="009C7A0A">
        <w:t>29. aprīļa pilnvara</w:t>
      </w:r>
      <w:r w:rsidR="00747348" w:rsidRPr="009C7A0A">
        <w:t>i</w:t>
      </w:r>
      <w:r w:rsidR="00D53462" w:rsidRPr="009C7A0A">
        <w:t xml:space="preserve">, </w:t>
      </w:r>
      <w:r w:rsidR="004E79A2" w:rsidRPr="009C7A0A">
        <w:t xml:space="preserve">turklāt </w:t>
      </w:r>
      <w:r w:rsidR="00D53462" w:rsidRPr="009C7A0A">
        <w:t>tiesas debašu laik</w:t>
      </w:r>
      <w:r w:rsidR="002152AB" w:rsidRPr="009C7A0A">
        <w:t>ā</w:t>
      </w:r>
      <w:r w:rsidR="00D53462" w:rsidRPr="009C7A0A">
        <w:t xml:space="preserve"> advokātei </w:t>
      </w:r>
      <w:r w:rsidR="002152AB" w:rsidRPr="009C7A0A">
        <w:t xml:space="preserve">vēl </w:t>
      </w:r>
      <w:r w:rsidR="00D53462" w:rsidRPr="009C7A0A">
        <w:t xml:space="preserve">nebija zināms par cietušā </w:t>
      </w:r>
      <w:r w:rsidR="004242A7">
        <w:rPr>
          <w:rFonts w:eastAsia="Calibri"/>
        </w:rPr>
        <w:t>[pers. BG]</w:t>
      </w:r>
      <w:r w:rsidR="00D53462" w:rsidRPr="009C7A0A">
        <w:t xml:space="preserve"> nāvi.</w:t>
      </w:r>
      <w:r w:rsidR="0055121D" w:rsidRPr="009C7A0A">
        <w:t xml:space="preserve"> Tiesa nav norādījusi, ar kuru brīdi advokātei bija jāpārstāj veikt savi </w:t>
      </w:r>
      <w:r w:rsidR="002B680B" w:rsidRPr="009C7A0A">
        <w:t xml:space="preserve">kā </w:t>
      </w:r>
      <w:r w:rsidR="004E79A2" w:rsidRPr="009C7A0A">
        <w:t xml:space="preserve">pilnvarotās personas </w:t>
      </w:r>
      <w:r w:rsidR="0055121D" w:rsidRPr="009C7A0A">
        <w:t>pienākumi.</w:t>
      </w:r>
    </w:p>
    <w:p w14:paraId="25B89EC3" w14:textId="4297EA6E" w:rsidR="00AF7F82" w:rsidRPr="009C7A0A" w:rsidRDefault="00D53727" w:rsidP="009C7A0A">
      <w:pPr>
        <w:widowControl w:val="0"/>
        <w:spacing w:line="276" w:lineRule="auto"/>
        <w:ind w:firstLine="720"/>
        <w:contextualSpacing/>
        <w:jc w:val="both"/>
      </w:pPr>
      <w:r w:rsidRPr="009C7A0A">
        <w:t xml:space="preserve">Tiesa nepamatoti secinājusi, ka cietušā iesāktā tiesvedība pret aizskārēju jāizbeidz, ja cietušais tiesvedības laikā </w:t>
      </w:r>
      <w:r w:rsidR="004E79A2" w:rsidRPr="009C7A0A">
        <w:t>ir miris</w:t>
      </w:r>
      <w:r w:rsidRPr="009C7A0A">
        <w:t>. Šāds tiesas secinājums nav pamatots, jo prasījumu par persona</w:t>
      </w:r>
      <w:r w:rsidR="004E79A2" w:rsidRPr="009C7A0A">
        <w:t xml:space="preserve">i </w:t>
      </w:r>
      <w:r w:rsidRPr="009C7A0A">
        <w:t xml:space="preserve">nodarītā kaitējuma </w:t>
      </w:r>
      <w:r w:rsidR="00C55D5B" w:rsidRPr="009C7A0A">
        <w:t xml:space="preserve">par morālo aizskārumu </w:t>
      </w:r>
      <w:r w:rsidRPr="009C7A0A">
        <w:t>atlīdzināšanu nepadara par īpaši personisku</w:t>
      </w:r>
      <w:r w:rsidR="008D1861" w:rsidRPr="009C7A0A">
        <w:t>,</w:t>
      </w:r>
      <w:r w:rsidRPr="009C7A0A">
        <w:t xml:space="preserve"> cietušā ciešanas</w:t>
      </w:r>
      <w:r w:rsidR="004E79A2" w:rsidRPr="009C7A0A">
        <w:t xml:space="preserve"> un</w:t>
      </w:r>
      <w:r w:rsidRPr="009C7A0A">
        <w:t xml:space="preserve"> prasījuma izvērtēšanā nav nozīmes tam, kādā apmērā cietušais vērtē savas sāpes, jo </w:t>
      </w:r>
      <w:r w:rsidR="004E79A2" w:rsidRPr="009C7A0A">
        <w:t xml:space="preserve">atlīdzības </w:t>
      </w:r>
      <w:r w:rsidRPr="009C7A0A">
        <w:t>apmēru nosaka tiesa pēc sava ieskata par taisnīgu atlīdzinājumu cietušajam.</w:t>
      </w:r>
    </w:p>
    <w:p w14:paraId="26E54B01" w14:textId="37B8C41A" w:rsidR="0098108A" w:rsidRPr="009C7A0A" w:rsidRDefault="00F42466" w:rsidP="009C7A0A">
      <w:pPr>
        <w:widowControl w:val="0"/>
        <w:spacing w:line="276" w:lineRule="auto"/>
        <w:ind w:firstLine="720"/>
        <w:contextualSpacing/>
        <w:jc w:val="both"/>
      </w:pPr>
      <w:r w:rsidRPr="009C7A0A">
        <w:t>Tiesa nav argumentējusi, kādu likuma normas būtisku pārkāpumu advokāte ir pieļāvusi, kāds kaitējums tika nodarīts tiesas proces</w:t>
      </w:r>
      <w:r w:rsidR="003833C5" w:rsidRPr="009C7A0A">
        <w:t xml:space="preserve">ā </w:t>
      </w:r>
      <w:r w:rsidRPr="009C7A0A">
        <w:t>cietušajiem</w:t>
      </w:r>
      <w:r w:rsidR="003833C5" w:rsidRPr="009C7A0A">
        <w:t xml:space="preserve"> </w:t>
      </w:r>
      <w:r w:rsidRPr="009C7A0A">
        <w:t>u. c.</w:t>
      </w:r>
    </w:p>
    <w:p w14:paraId="7451DC69" w14:textId="730ADE95" w:rsidR="00F57A5A" w:rsidRPr="009C7A0A" w:rsidRDefault="005B4971" w:rsidP="009C7A0A">
      <w:pPr>
        <w:widowControl w:val="0"/>
        <w:spacing w:line="276" w:lineRule="auto"/>
        <w:ind w:firstLine="720"/>
        <w:contextualSpacing/>
        <w:jc w:val="both"/>
      </w:pPr>
      <w:r w:rsidRPr="009C7A0A">
        <w:t xml:space="preserve">Par </w:t>
      </w:r>
      <w:r w:rsidR="004E79A2" w:rsidRPr="009C7A0A">
        <w:t xml:space="preserve">rupju </w:t>
      </w:r>
      <w:r w:rsidRPr="009C7A0A">
        <w:t>neuzmanību pret lietas faktiskajiem apstākļiem uzskatāms tiesas spriedum</w:t>
      </w:r>
      <w:r w:rsidR="007C12E9" w:rsidRPr="009C7A0A">
        <w:t>ā</w:t>
      </w:r>
      <w:r w:rsidRPr="009C7A0A">
        <w:t xml:space="preserve"> norādītais</w:t>
      </w:r>
      <w:r w:rsidR="007C12E9" w:rsidRPr="009C7A0A">
        <w:t xml:space="preserve"> nepareiz</w:t>
      </w:r>
      <w:r w:rsidR="004E79A2" w:rsidRPr="009C7A0A">
        <w:t>ai</w:t>
      </w:r>
      <w:r w:rsidR="007C12E9" w:rsidRPr="009C7A0A">
        <w:t>s bojāgājušo skaits.</w:t>
      </w:r>
    </w:p>
    <w:p w14:paraId="1BDD016E" w14:textId="77777777" w:rsidR="00F57A5A" w:rsidRPr="009C7A0A" w:rsidRDefault="00F57A5A" w:rsidP="009C7A0A">
      <w:pPr>
        <w:widowControl w:val="0"/>
        <w:spacing w:line="276" w:lineRule="auto"/>
        <w:ind w:firstLine="720"/>
        <w:contextualSpacing/>
        <w:jc w:val="both"/>
        <w:rPr>
          <w:rFonts w:eastAsia="Calibri"/>
        </w:rPr>
      </w:pPr>
    </w:p>
    <w:p w14:paraId="44171B10" w14:textId="78EC7D84" w:rsidR="00CC37F2" w:rsidRPr="009C7A0A" w:rsidRDefault="007B6463" w:rsidP="009C7A0A">
      <w:pPr>
        <w:widowControl w:val="0"/>
        <w:spacing w:line="276" w:lineRule="auto"/>
        <w:ind w:firstLine="720"/>
        <w:contextualSpacing/>
        <w:jc w:val="both"/>
        <w:rPr>
          <w:rFonts w:eastAsia="Calibri"/>
          <w:color w:val="000000" w:themeColor="text1"/>
        </w:rPr>
      </w:pPr>
      <w:r w:rsidRPr="009C7A0A">
        <w:rPr>
          <w:rFonts w:eastAsia="Calibri"/>
        </w:rPr>
        <w:t>[12]</w:t>
      </w:r>
      <w:r w:rsidR="001B5753" w:rsidRPr="009C7A0A">
        <w:rPr>
          <w:rFonts w:eastAsia="Calibri"/>
        </w:rPr>
        <w:t> </w:t>
      </w:r>
      <w:r w:rsidR="00011A59" w:rsidRPr="009C7A0A">
        <w:t>Miruš</w:t>
      </w:r>
      <w:r w:rsidR="00826B57" w:rsidRPr="009C7A0A">
        <w:t>ā</w:t>
      </w:r>
      <w:r w:rsidR="00011A59" w:rsidRPr="009C7A0A">
        <w:t xml:space="preserve">s </w:t>
      </w:r>
      <w:r w:rsidR="00826B57" w:rsidRPr="009C7A0A">
        <w:t>apsūdzētās</w:t>
      </w:r>
      <w:r w:rsidR="00011A59" w:rsidRPr="009C7A0A">
        <w:t xml:space="preserve"> </w:t>
      </w:r>
      <w:r w:rsidR="007F72FA">
        <w:t>[pers. BH]</w:t>
      </w:r>
      <w:r w:rsidR="00011A59" w:rsidRPr="009C7A0A">
        <w:t xml:space="preserve"> aizstāve zvērināta advokāte I. Timermane</w:t>
      </w:r>
      <w:r w:rsidR="007C26AF" w:rsidRPr="009C7A0A">
        <w:t xml:space="preserve"> </w:t>
      </w:r>
      <w:r w:rsidR="007C26AF" w:rsidRPr="009C7A0A">
        <w:rPr>
          <w:rFonts w:eastAsia="Calibri"/>
        </w:rPr>
        <w:lastRenderedPageBreak/>
        <w:t xml:space="preserve">kasācijas sūdzībā lūdz </w:t>
      </w:r>
      <w:r w:rsidR="00DC6964" w:rsidRPr="009C7A0A">
        <w:rPr>
          <w:rFonts w:eastAsia="Calibri"/>
        </w:rPr>
        <w:t>atcelt</w:t>
      </w:r>
      <w:r w:rsidR="00BC2277" w:rsidRPr="009C7A0A">
        <w:rPr>
          <w:rFonts w:eastAsia="Calibri"/>
        </w:rPr>
        <w:t xml:space="preserve"> </w:t>
      </w:r>
      <w:r w:rsidR="00745012" w:rsidRPr="009C7A0A">
        <w:t>Rīgas apgabaltiesas 2023. gada 24. janvāra spriedumu daļā</w:t>
      </w:r>
      <w:r w:rsidR="007134AC" w:rsidRPr="009C7A0A">
        <w:t>, ar kuru</w:t>
      </w:r>
      <w:r w:rsidR="00745012" w:rsidRPr="009C7A0A">
        <w:t xml:space="preserve"> </w:t>
      </w:r>
      <w:r w:rsidR="007134AC" w:rsidRPr="009C7A0A">
        <w:t>kriminālprocess pret</w:t>
      </w:r>
      <w:r w:rsidR="00745012" w:rsidRPr="009C7A0A">
        <w:t xml:space="preserve"> </w:t>
      </w:r>
      <w:r w:rsidR="00C34566">
        <w:t>[pers. BH]</w:t>
      </w:r>
      <w:r w:rsidR="007134AC" w:rsidRPr="009C7A0A">
        <w:t xml:space="preserve"> izbeigts</w:t>
      </w:r>
      <w:r w:rsidR="006E6507" w:rsidRPr="009C7A0A">
        <w:t>.</w:t>
      </w:r>
    </w:p>
    <w:p w14:paraId="23D5E841" w14:textId="04B8CBEF" w:rsidR="003A624E" w:rsidRPr="009C7A0A" w:rsidRDefault="003A624E" w:rsidP="009C7A0A">
      <w:pPr>
        <w:widowControl w:val="0"/>
        <w:spacing w:line="276" w:lineRule="auto"/>
        <w:ind w:firstLine="720"/>
        <w:contextualSpacing/>
        <w:jc w:val="both"/>
      </w:pPr>
      <w:r w:rsidRPr="009C7A0A">
        <w:t>Kasācijas sūdzību</w:t>
      </w:r>
      <w:r w:rsidR="00697B44" w:rsidRPr="009C7A0A">
        <w:t xml:space="preserve"> </w:t>
      </w:r>
      <w:r w:rsidRPr="009C7A0A">
        <w:t>pamato turpmāk norādītie argumenti.</w:t>
      </w:r>
    </w:p>
    <w:p w14:paraId="739D8D2F" w14:textId="2B084F42" w:rsidR="008F6242" w:rsidRPr="009C7A0A" w:rsidRDefault="00D82913" w:rsidP="009C7A0A">
      <w:pPr>
        <w:widowControl w:val="0"/>
        <w:spacing w:line="276" w:lineRule="auto"/>
        <w:ind w:firstLine="720"/>
        <w:contextualSpacing/>
        <w:jc w:val="both"/>
      </w:pPr>
      <w:r w:rsidRPr="009C7A0A">
        <w:t xml:space="preserve">Tiesa </w:t>
      </w:r>
      <w:r w:rsidR="0082613A" w:rsidRPr="009C7A0A">
        <w:t xml:space="preserve">atstājusi </w:t>
      </w:r>
      <w:r w:rsidRPr="009C7A0A">
        <w:t xml:space="preserve">bez ievērības zvērinātas advokātes I. Timermanes pieteikumu par mirušās apsūdzētās </w:t>
      </w:r>
      <w:r w:rsidR="00D82230">
        <w:t>[pers. BH]</w:t>
      </w:r>
      <w:r w:rsidRPr="009C7A0A">
        <w:t xml:space="preserve"> reabilitāciju</w:t>
      </w:r>
      <w:r w:rsidR="00D57B03" w:rsidRPr="009C7A0A">
        <w:t xml:space="preserve">. Aizstāve lūdza izbeigt kriminālprocesu pret </w:t>
      </w:r>
      <w:r w:rsidR="00A044EF">
        <w:t>[pers. BH]</w:t>
      </w:r>
      <w:r w:rsidR="00D57B03" w:rsidRPr="009C7A0A">
        <w:t>, pamatojoties uz Kriminālprocesa likuma 377. panta 1. un 2. punktu</w:t>
      </w:r>
      <w:r w:rsidR="00A715BF" w:rsidRPr="009C7A0A">
        <w:t xml:space="preserve">. </w:t>
      </w:r>
      <w:r w:rsidR="009F1FEA" w:rsidRPr="009C7A0A">
        <w:t>Savukārt a</w:t>
      </w:r>
      <w:r w:rsidR="00A715BF" w:rsidRPr="009C7A0A">
        <w:t>pelācijas instances tiesa, atsaucoties uz Kriminālprocesa likuma 377. panta 5. punktu</w:t>
      </w:r>
      <w:r w:rsidR="001B7F6F" w:rsidRPr="009C7A0A">
        <w:t xml:space="preserve"> un </w:t>
      </w:r>
      <w:r w:rsidR="00A715BF" w:rsidRPr="009C7A0A">
        <w:t>tulkojot šo likuma normu kopsakarā ar Kriminālprocesa likuma 481. panta 1.</w:t>
      </w:r>
      <w:r w:rsidR="00A715BF" w:rsidRPr="009C7A0A">
        <w:rPr>
          <w:vertAlign w:val="superscript"/>
        </w:rPr>
        <w:t>1</w:t>
      </w:r>
      <w:r w:rsidR="00A715BF" w:rsidRPr="009C7A0A">
        <w:t> daļu</w:t>
      </w:r>
      <w:r w:rsidR="008D2791" w:rsidRPr="009C7A0A">
        <w:t>,</w:t>
      </w:r>
      <w:r w:rsidR="00A715BF" w:rsidRPr="009C7A0A">
        <w:t xml:space="preserve">560. panta ceturto daļu, </w:t>
      </w:r>
      <w:r w:rsidR="001B7F6F" w:rsidRPr="009C7A0A">
        <w:t>atzinusi, ka lietas izskatīšana tiesā, ja apsūdzētais ir miris, pieļaujama tikai tajos gadījumos, kad process nepieciešams, lai mirušo reabilitētu.</w:t>
      </w:r>
    </w:p>
    <w:p w14:paraId="00416FBD" w14:textId="4F3E4528" w:rsidR="00A41D8D" w:rsidRPr="009C7A0A" w:rsidRDefault="009F1FEA" w:rsidP="009C7A0A">
      <w:pPr>
        <w:widowControl w:val="0"/>
        <w:spacing w:line="276" w:lineRule="auto"/>
        <w:ind w:firstLine="720"/>
        <w:contextualSpacing/>
        <w:jc w:val="both"/>
      </w:pPr>
      <w:r w:rsidRPr="009C7A0A">
        <w:t>Tādējādi a</w:t>
      </w:r>
      <w:r w:rsidR="0027323B" w:rsidRPr="009C7A0A">
        <w:t>pelācijas instances t</w:t>
      </w:r>
      <w:r w:rsidR="00A77BB1" w:rsidRPr="009C7A0A">
        <w:t>iesa pieļāv</w:t>
      </w:r>
      <w:r w:rsidR="00327B98" w:rsidRPr="009C7A0A">
        <w:t>usi</w:t>
      </w:r>
      <w:r w:rsidR="00A77BB1" w:rsidRPr="009C7A0A">
        <w:t xml:space="preserve"> kļūdu Kriminālprocesa likuma 377.</w:t>
      </w:r>
      <w:r w:rsidR="00327B98" w:rsidRPr="009C7A0A">
        <w:t> </w:t>
      </w:r>
      <w:r w:rsidR="00A77BB1" w:rsidRPr="009C7A0A">
        <w:t xml:space="preserve">panta </w:t>
      </w:r>
      <w:r w:rsidR="0027323B" w:rsidRPr="009C7A0A">
        <w:t xml:space="preserve">5. punkta </w:t>
      </w:r>
      <w:r w:rsidR="00A77BB1" w:rsidRPr="009C7A0A">
        <w:t xml:space="preserve">piemērošanā, </w:t>
      </w:r>
      <w:r w:rsidR="00327B98" w:rsidRPr="009C7A0A">
        <w:t xml:space="preserve">jo </w:t>
      </w:r>
      <w:r w:rsidR="0027323B" w:rsidRPr="009C7A0A">
        <w:t xml:space="preserve">spriedumā </w:t>
      </w:r>
      <w:r w:rsidR="00327B98" w:rsidRPr="009C7A0A">
        <w:t xml:space="preserve">nav paudusi atzinumu par </w:t>
      </w:r>
      <w:r w:rsidR="00C7214F">
        <w:t>[pers. BH]</w:t>
      </w:r>
      <w:r w:rsidR="00327B98" w:rsidRPr="009C7A0A">
        <w:t xml:space="preserve"> atzīšanu par nevainīgu pret viņu celtajā apsūdzībā pēc Krimināllikuma 319. panta trešās daļas.</w:t>
      </w:r>
    </w:p>
    <w:p w14:paraId="1201EA27" w14:textId="480200FA" w:rsidR="00E7457A" w:rsidRPr="009C7A0A" w:rsidRDefault="00787758" w:rsidP="009C7A0A">
      <w:pPr>
        <w:widowControl w:val="0"/>
        <w:spacing w:line="276" w:lineRule="auto"/>
        <w:ind w:firstLine="720"/>
        <w:contextualSpacing/>
        <w:jc w:val="both"/>
      </w:pPr>
      <w:r w:rsidRPr="009C7A0A">
        <w:t>Ņemot vērā, ka Kriminālprocesa likuma 377. panta 5. punktā paredzētais kriminālprocesa izbeigšanas pamats ir nereabilitējošs</w:t>
      </w:r>
      <w:r w:rsidR="00E7457A" w:rsidRPr="009C7A0A">
        <w:t xml:space="preserve">, kasācijas instances tiesai tiek lūgts grozīt apelācijas instances tiesas sprieduma motīvu daļu un </w:t>
      </w:r>
      <w:r w:rsidR="00155E20" w:rsidRPr="009C7A0A">
        <w:t>kriminālproces</w:t>
      </w:r>
      <w:r w:rsidR="00F137F0" w:rsidRPr="009C7A0A">
        <w:t>u</w:t>
      </w:r>
      <w:r w:rsidR="00155E20" w:rsidRPr="009C7A0A">
        <w:t xml:space="preserve"> pret </w:t>
      </w:r>
      <w:r w:rsidR="002B29C4">
        <w:t>[pers. BH]</w:t>
      </w:r>
      <w:r w:rsidR="00F137F0" w:rsidRPr="009C7A0A">
        <w:t xml:space="preserve"> izbeigt</w:t>
      </w:r>
      <w:r w:rsidR="00155E20" w:rsidRPr="009C7A0A">
        <w:t>, pamatojoties uz Kriminālprocesa likuma 377.</w:t>
      </w:r>
      <w:r w:rsidR="00CC07CC" w:rsidRPr="009C7A0A">
        <w:t> </w:t>
      </w:r>
      <w:r w:rsidR="00155E20" w:rsidRPr="009C7A0A">
        <w:t>panta 1. un 2.</w:t>
      </w:r>
      <w:r w:rsidR="00CC07CC" w:rsidRPr="009C7A0A">
        <w:t> </w:t>
      </w:r>
      <w:r w:rsidR="00155E20" w:rsidRPr="009C7A0A">
        <w:t>punktu</w:t>
      </w:r>
      <w:r w:rsidR="00233C5B" w:rsidRPr="009C7A0A">
        <w:t> </w:t>
      </w:r>
      <w:r w:rsidR="00CC07CC" w:rsidRPr="009C7A0A">
        <w:t>– proti, norādot, ka</w:t>
      </w:r>
      <w:r w:rsidR="003D2A6F" w:rsidRPr="009C7A0A">
        <w:t xml:space="preserve"> </w:t>
      </w:r>
      <w:r w:rsidR="00AD784E">
        <w:t>[pers. BH]</w:t>
      </w:r>
      <w:r w:rsidR="003D2A6F" w:rsidRPr="009C7A0A">
        <w:t xml:space="preserve"> nav vainojama </w:t>
      </w:r>
      <w:r w:rsidR="008D2B8A" w:rsidRPr="009C7A0A">
        <w:t>pret viņu celtajā</w:t>
      </w:r>
      <w:r w:rsidR="003D2A6F" w:rsidRPr="009C7A0A">
        <w:t xml:space="preserve"> apsūdzībā</w:t>
      </w:r>
      <w:r w:rsidR="00544F04" w:rsidRPr="009C7A0A">
        <w:t>, un izbeidzot kriminālprocesu uz reabilitējošā pamata.</w:t>
      </w:r>
    </w:p>
    <w:p w14:paraId="5A7701BE" w14:textId="56C4A410" w:rsidR="002F40E6" w:rsidRPr="009C7A0A" w:rsidRDefault="004A00E4" w:rsidP="009C7A0A">
      <w:pPr>
        <w:widowControl w:val="0"/>
        <w:spacing w:line="276" w:lineRule="auto"/>
        <w:ind w:firstLine="720"/>
        <w:contextualSpacing/>
        <w:jc w:val="both"/>
      </w:pPr>
      <w:r w:rsidRPr="009C7A0A">
        <w:t xml:space="preserve">Apelācijas instances tiesa </w:t>
      </w:r>
      <w:r w:rsidR="00A558B6" w:rsidRPr="009C7A0A">
        <w:t xml:space="preserve">nepareizi piemērojusi Kriminālprocesa likuma 560. panta ceturto daļu un </w:t>
      </w:r>
      <w:r w:rsidRPr="009C7A0A">
        <w:t xml:space="preserve">nepamatoti </w:t>
      </w:r>
      <w:r w:rsidR="001E3167" w:rsidRPr="009C7A0A">
        <w:t xml:space="preserve">izskatījusi apelācijas protestu daļā pret </w:t>
      </w:r>
      <w:r w:rsidR="009C0168">
        <w:t>[pers. BH]</w:t>
      </w:r>
      <w:r w:rsidR="00555E0F" w:rsidRPr="009C7A0A">
        <w:t> </w:t>
      </w:r>
      <w:r w:rsidR="002A4A00" w:rsidRPr="009C7A0A">
        <w:t>– mirušo apsūdzēto, kura ar pirmās instances tiesas spriedumu atzīta par nevainīgu pret viņu celtajā apsūdzībā un attaisnota</w:t>
      </w:r>
      <w:r w:rsidR="009075DA" w:rsidRPr="009C7A0A">
        <w:t xml:space="preserve">. </w:t>
      </w:r>
      <w:r w:rsidR="00DE3EA1" w:rsidRPr="009C7A0A">
        <w:t xml:space="preserve">Ņemot vērā, ka kriminālprocess </w:t>
      </w:r>
      <w:r w:rsidR="00553409" w:rsidRPr="009C7A0A">
        <w:t xml:space="preserve">pret </w:t>
      </w:r>
      <w:r w:rsidR="008A2E37">
        <w:t>[pers. BH]</w:t>
      </w:r>
      <w:r w:rsidR="00553409" w:rsidRPr="009C7A0A">
        <w:t xml:space="preserve"> </w:t>
      </w:r>
      <w:r w:rsidR="008A6EC2" w:rsidRPr="009C7A0A">
        <w:t>izbeig</w:t>
      </w:r>
      <w:r w:rsidR="00DE3EA1" w:rsidRPr="009C7A0A">
        <w:t>ts</w:t>
      </w:r>
      <w:r w:rsidR="008A6EC2" w:rsidRPr="009C7A0A">
        <w:t xml:space="preserve"> </w:t>
      </w:r>
      <w:r w:rsidR="00DE3EA1" w:rsidRPr="009C7A0A">
        <w:t xml:space="preserve">uz </w:t>
      </w:r>
      <w:r w:rsidR="008A6EC2" w:rsidRPr="009C7A0A">
        <w:t>nereabilitējošā pamata</w:t>
      </w:r>
      <w:r w:rsidR="00DE3EA1" w:rsidRPr="009C7A0A">
        <w:t xml:space="preserve">, tiesai bija </w:t>
      </w:r>
      <w:r w:rsidR="00325738" w:rsidRPr="009C7A0A">
        <w:t>jāievēro</w:t>
      </w:r>
      <w:r w:rsidR="00DE3EA1" w:rsidRPr="009C7A0A">
        <w:t xml:space="preserve"> Kriminālpr</w:t>
      </w:r>
      <w:r w:rsidR="00325738" w:rsidRPr="009C7A0A">
        <w:t>o</w:t>
      </w:r>
      <w:r w:rsidR="00DE3EA1" w:rsidRPr="009C7A0A">
        <w:t>cesa likuma 77., 610. un 614.</w:t>
      </w:r>
      <w:r w:rsidR="00DE2A26" w:rsidRPr="009C7A0A">
        <w:t>–</w:t>
      </w:r>
      <w:r w:rsidR="00DE3EA1" w:rsidRPr="009C7A0A">
        <w:t>616.</w:t>
      </w:r>
      <w:r w:rsidR="00325738" w:rsidRPr="009C7A0A">
        <w:t> </w:t>
      </w:r>
      <w:r w:rsidR="00DE3EA1" w:rsidRPr="009C7A0A">
        <w:t>panta prasības</w:t>
      </w:r>
      <w:r w:rsidR="00325738" w:rsidRPr="009C7A0A">
        <w:t xml:space="preserve">, lai nodrošinātu aizstāvei </w:t>
      </w:r>
      <w:r w:rsidR="003B05A2" w:rsidRPr="009C7A0A">
        <w:t xml:space="preserve">iespēju panākt mirušās </w:t>
      </w:r>
      <w:r w:rsidR="008A2E37">
        <w:t>[pers. BH]</w:t>
      </w:r>
      <w:r w:rsidR="003B05A2" w:rsidRPr="009C7A0A">
        <w:t xml:space="preserve"> reabilitāciju.</w:t>
      </w:r>
    </w:p>
    <w:p w14:paraId="255C9FBA" w14:textId="6F66DB6E" w:rsidR="004A00E4" w:rsidRPr="009C7A0A" w:rsidRDefault="0029233E" w:rsidP="009C7A0A">
      <w:pPr>
        <w:widowControl w:val="0"/>
        <w:spacing w:line="276" w:lineRule="auto"/>
        <w:ind w:firstLine="720"/>
        <w:contextualSpacing/>
        <w:jc w:val="both"/>
      </w:pPr>
      <w:r w:rsidRPr="009C7A0A">
        <w:t xml:space="preserve">Nesniedzot lietas iztiesāšanas laikā konstatētajiem faktiem novērtējumu, apelācijas instances tiesa pārkāpusi Kriminālprocesa likuma 1., 19. un 564. panta prasības. </w:t>
      </w:r>
      <w:r w:rsidR="009B663B" w:rsidRPr="009C7A0A">
        <w:t>Minētie pārkāpumi</w:t>
      </w:r>
      <w:r w:rsidR="000D2B81" w:rsidRPr="009C7A0A">
        <w:t xml:space="preserve"> novēršam</w:t>
      </w:r>
      <w:r w:rsidR="009B663B" w:rsidRPr="009C7A0A">
        <w:t>i</w:t>
      </w:r>
      <w:r w:rsidR="00CA593D" w:rsidRPr="009C7A0A">
        <w:t>,</w:t>
      </w:r>
      <w:r w:rsidR="000D2B81" w:rsidRPr="009C7A0A">
        <w:t xml:space="preserve"> </w:t>
      </w:r>
      <w:r w:rsidR="006E5A89" w:rsidRPr="009C7A0A">
        <w:t>a</w:t>
      </w:r>
      <w:r w:rsidR="009575C9" w:rsidRPr="009C7A0A">
        <w:t xml:space="preserve">tceļot apelācijas instances tiesas spriedumu </w:t>
      </w:r>
      <w:r w:rsidR="00F04D2B" w:rsidRPr="009C7A0A">
        <w:t xml:space="preserve">iepriekš norādītajā </w:t>
      </w:r>
      <w:r w:rsidR="009575C9" w:rsidRPr="009C7A0A">
        <w:t>daļā</w:t>
      </w:r>
      <w:r w:rsidR="00F04D2B" w:rsidRPr="009C7A0A">
        <w:t xml:space="preserve"> </w:t>
      </w:r>
      <w:r w:rsidR="009575C9" w:rsidRPr="009C7A0A">
        <w:t>un izbeidzot kriminālprocesu</w:t>
      </w:r>
      <w:r w:rsidR="00F04D2B" w:rsidRPr="009C7A0A">
        <w:t>,</w:t>
      </w:r>
      <w:r w:rsidR="009575C9" w:rsidRPr="009C7A0A">
        <w:t xml:space="preserve"> pamatojoties uz Kriminālprocesa likuma 377. panta 1. un 2. punktu</w:t>
      </w:r>
      <w:r w:rsidR="000D2B81" w:rsidRPr="009C7A0A">
        <w:t>.</w:t>
      </w:r>
    </w:p>
    <w:p w14:paraId="01545B94" w14:textId="28DB84F9" w:rsidR="004807F2" w:rsidRPr="009C7A0A" w:rsidRDefault="00276B7F" w:rsidP="009C7A0A">
      <w:pPr>
        <w:widowControl w:val="0"/>
        <w:spacing w:line="276" w:lineRule="auto"/>
        <w:ind w:firstLine="720"/>
        <w:contextualSpacing/>
        <w:jc w:val="both"/>
      </w:pPr>
      <w:r w:rsidRPr="009C7A0A">
        <w:t>Izņemot norādīto, apelācijas instances t</w:t>
      </w:r>
      <w:r w:rsidR="000454CC" w:rsidRPr="009C7A0A">
        <w:t xml:space="preserve">iesa </w:t>
      </w:r>
      <w:r w:rsidR="00152E6F" w:rsidRPr="009C7A0A">
        <w:t xml:space="preserve">2022. gada 12. septembra tiesas sēdē </w:t>
      </w:r>
      <w:r w:rsidR="000454CC" w:rsidRPr="009C7A0A">
        <w:t>atteikusies vērtēt krimināllietas 86. sējumā esošās fotogrāfijas un CD</w:t>
      </w:r>
      <w:r w:rsidR="000B378F" w:rsidRPr="009C7A0A">
        <w:t> </w:t>
      </w:r>
      <w:r w:rsidR="000454CC" w:rsidRPr="009C7A0A">
        <w:t>diskā ierakstīt</w:t>
      </w:r>
      <w:r w:rsidR="00C8035C" w:rsidRPr="009C7A0A">
        <w:t>o</w:t>
      </w:r>
      <w:r w:rsidR="000454CC" w:rsidRPr="009C7A0A">
        <w:t xml:space="preserve"> </w:t>
      </w:r>
      <w:r w:rsidR="000B378F" w:rsidRPr="009C7A0A">
        <w:t>„</w:t>
      </w:r>
      <w:proofErr w:type="spellStart"/>
      <w:r w:rsidR="000454CC" w:rsidRPr="009C7A0A">
        <w:t>Power</w:t>
      </w:r>
      <w:proofErr w:type="spellEnd"/>
      <w:r w:rsidR="000B378F" w:rsidRPr="009C7A0A">
        <w:t> </w:t>
      </w:r>
      <w:proofErr w:type="spellStart"/>
      <w:r w:rsidR="000454CC" w:rsidRPr="009C7A0A">
        <w:t>Point</w:t>
      </w:r>
      <w:proofErr w:type="spellEnd"/>
      <w:r w:rsidR="000B378F" w:rsidRPr="009C7A0A">
        <w:t>”</w:t>
      </w:r>
      <w:r w:rsidR="000454CC" w:rsidRPr="009C7A0A">
        <w:t xml:space="preserve"> prezentāciju</w:t>
      </w:r>
      <w:r w:rsidR="00223F08" w:rsidRPr="009C7A0A">
        <w:t>. Šāda tiesas rīcība nav pamatota</w:t>
      </w:r>
      <w:r w:rsidR="000454CC" w:rsidRPr="009C7A0A">
        <w:t xml:space="preserve">, jo minētie pierādījumi atbilst Kriminālprocesa likuma 127. panta </w:t>
      </w:r>
      <w:r w:rsidR="00152E6F" w:rsidRPr="009C7A0A">
        <w:t xml:space="preserve">prasībām un tiesiski </w:t>
      </w:r>
      <w:r w:rsidR="005765EE" w:rsidRPr="009C7A0A">
        <w:t>pievienoti krimināllietas materiāliem</w:t>
      </w:r>
      <w:r w:rsidR="00B31719" w:rsidRPr="009C7A0A">
        <w:t>.</w:t>
      </w:r>
      <w:bookmarkEnd w:id="0"/>
    </w:p>
    <w:p w14:paraId="7BA0C7EC" w14:textId="77777777" w:rsidR="008460C1" w:rsidRPr="009C7A0A" w:rsidRDefault="008460C1" w:rsidP="009C7A0A">
      <w:pPr>
        <w:widowControl w:val="0"/>
        <w:spacing w:line="276" w:lineRule="auto"/>
        <w:contextualSpacing/>
        <w:jc w:val="both"/>
      </w:pPr>
    </w:p>
    <w:p w14:paraId="682780B7" w14:textId="77777777" w:rsidR="009C591A" w:rsidRPr="009C7A0A" w:rsidRDefault="009C591A" w:rsidP="009C7A0A">
      <w:pPr>
        <w:spacing w:line="276" w:lineRule="auto"/>
        <w:jc w:val="center"/>
        <w:rPr>
          <w:b/>
        </w:rPr>
      </w:pPr>
      <w:r w:rsidRPr="009C7A0A">
        <w:rPr>
          <w:b/>
        </w:rPr>
        <w:t>Motīvu daļa</w:t>
      </w:r>
    </w:p>
    <w:p w14:paraId="5238A961" w14:textId="77777777" w:rsidR="00A8188A" w:rsidRPr="009C7A0A" w:rsidRDefault="00A8188A" w:rsidP="009C7A0A">
      <w:pPr>
        <w:spacing w:line="276" w:lineRule="auto"/>
        <w:jc w:val="center"/>
        <w:rPr>
          <w:b/>
        </w:rPr>
      </w:pPr>
    </w:p>
    <w:p w14:paraId="1FCAA7FC" w14:textId="5BD3273A" w:rsidR="005569E2" w:rsidRPr="009C7A0A" w:rsidRDefault="00A8188A" w:rsidP="009C7A0A">
      <w:pPr>
        <w:widowControl w:val="0"/>
        <w:spacing w:line="276" w:lineRule="auto"/>
        <w:ind w:firstLine="720"/>
        <w:jc w:val="both"/>
      </w:pPr>
      <w:r w:rsidRPr="009C7A0A">
        <w:t>[13] </w:t>
      </w:r>
      <w:r w:rsidR="005569E2" w:rsidRPr="009C7A0A">
        <w:t>Senāts atzī</w:t>
      </w:r>
      <w:r w:rsidR="0046006B" w:rsidRPr="009C7A0A">
        <w:t>st</w:t>
      </w:r>
      <w:r w:rsidR="005569E2" w:rsidRPr="009C7A0A">
        <w:t xml:space="preserve">, ka apsūdzētā </w:t>
      </w:r>
      <w:r w:rsidR="008A2E37">
        <w:rPr>
          <w:rFonts w:eastAsia="Calibri"/>
        </w:rPr>
        <w:t>[pers. A]</w:t>
      </w:r>
      <w:r w:rsidR="005569E2" w:rsidRPr="009C7A0A">
        <w:t xml:space="preserve"> lūgums par lietas izskatīšanu mutvārdu procesā ir noraidāms.</w:t>
      </w:r>
    </w:p>
    <w:p w14:paraId="3C9B2E89" w14:textId="4F1ADA64" w:rsidR="005569E2" w:rsidRPr="009C7A0A" w:rsidRDefault="005569E2" w:rsidP="009C7A0A">
      <w:pPr>
        <w:widowControl w:val="0"/>
        <w:spacing w:line="276" w:lineRule="auto"/>
        <w:ind w:firstLine="720"/>
        <w:jc w:val="both"/>
      </w:pPr>
      <w:r w:rsidRPr="009C7A0A">
        <w:t>Saskaņā ar Kriminālprocesa likuma 583.</w:t>
      </w:r>
      <w:r w:rsidR="00740E2E" w:rsidRPr="009C7A0A">
        <w:t> </w:t>
      </w:r>
      <w:r w:rsidRPr="009C7A0A">
        <w:t xml:space="preserve">panta pirmo daļu, ierosinot kasācijas tiesvedību, tiesa nosaka lietas izskatīšanu rakstveida procesā vai izskatīšanu tiesas sēdē. No šā panta otrās daļas izriet, ka lietas izskatīšanu rakstveida procesā nosaka, ja iespējams pieņemt lēmumu pēc lietā esošajiem materiāliem. Ja nepieciešami papildu paskaidrojumi </w:t>
      </w:r>
      <w:r w:rsidRPr="009C7A0A">
        <w:lastRenderedPageBreak/>
        <w:t>no personām, kurām ir tiesības piedalīties procesā, vai, pēc Augstākās tiesas ieskata, attiecīgajai lietai var būt īpaša nozīme likuma normu interpretēšanā, nosaka lietas izskatīšanu tiesas sēdē.</w:t>
      </w:r>
    </w:p>
    <w:p w14:paraId="6DF93946" w14:textId="28551C42" w:rsidR="005569E2" w:rsidRPr="009C7A0A" w:rsidRDefault="005569E2" w:rsidP="009C7A0A">
      <w:pPr>
        <w:widowControl w:val="0"/>
        <w:spacing w:line="276" w:lineRule="auto"/>
        <w:ind w:firstLine="720"/>
        <w:jc w:val="both"/>
      </w:pPr>
      <w:r w:rsidRPr="009C7A0A">
        <w:t>Senāts atzīst, ka lēmumu iespējams pieņemt pēc lietā esošajiem materiāliem, jo papildu paskaidrojumi no personām, kurām ir tiesības piedalīties procesā, nav nepieciešami, un konkrētajai lietai nav īpašas nozīmes likuma normu interpretēšanā.</w:t>
      </w:r>
    </w:p>
    <w:p w14:paraId="34D3583E" w14:textId="77777777" w:rsidR="006626A4" w:rsidRPr="009C7A0A" w:rsidRDefault="006626A4" w:rsidP="009C7A0A">
      <w:pPr>
        <w:widowControl w:val="0"/>
        <w:spacing w:line="276" w:lineRule="auto"/>
        <w:ind w:firstLine="720"/>
        <w:jc w:val="both"/>
      </w:pPr>
    </w:p>
    <w:p w14:paraId="3206C98A" w14:textId="0AF9863C" w:rsidR="00A8188A" w:rsidRPr="009C7A0A" w:rsidRDefault="006626A4" w:rsidP="009C7A0A">
      <w:pPr>
        <w:widowControl w:val="0"/>
        <w:spacing w:line="276" w:lineRule="auto"/>
        <w:ind w:firstLine="720"/>
        <w:jc w:val="both"/>
      </w:pPr>
      <w:r w:rsidRPr="009C7A0A">
        <w:t>[14] </w:t>
      </w:r>
      <w:r w:rsidR="00A8188A" w:rsidRPr="009C7A0A">
        <w:t xml:space="preserve">Senāts konstatē, ka cietusī </w:t>
      </w:r>
      <w:r w:rsidR="003C6175">
        <w:t>[pers. E]</w:t>
      </w:r>
      <w:r w:rsidR="00A8188A" w:rsidRPr="009C7A0A">
        <w:t xml:space="preserve"> kasācijas sūdzībā lūdz atcelt apelācijas instances tiesas spriedumu daļā, tai skaitā par apsūdzētās </w:t>
      </w:r>
      <w:r w:rsidR="003C6175">
        <w:t>[pers. BO]</w:t>
      </w:r>
      <w:r w:rsidR="00A8188A" w:rsidRPr="009C7A0A">
        <w:t xml:space="preserve"> atzīšanu par nevainīgu pret viņu celtajā apsūdzībā pēc Krimināllikuma 146.</w:t>
      </w:r>
      <w:r w:rsidR="008625FE" w:rsidRPr="009C7A0A">
        <w:t> </w:t>
      </w:r>
      <w:r w:rsidR="00A8188A" w:rsidRPr="009C7A0A">
        <w:t>panta otrās daļas un attaisnošanu.</w:t>
      </w:r>
    </w:p>
    <w:p w14:paraId="496E7CC9" w14:textId="0F094D7B" w:rsidR="00A8188A" w:rsidRPr="009C7A0A" w:rsidRDefault="00A8188A" w:rsidP="00D75CE9">
      <w:pPr>
        <w:widowControl w:val="0"/>
        <w:spacing w:line="276" w:lineRule="auto"/>
        <w:ind w:firstLine="720"/>
        <w:contextualSpacing/>
        <w:jc w:val="both"/>
      </w:pPr>
      <w:r w:rsidRPr="009C7A0A">
        <w:t xml:space="preserve">No lietas materiāliem izriet, ka </w:t>
      </w:r>
      <w:r w:rsidR="00CB6A23">
        <w:t>[pers. BO]</w:t>
      </w:r>
      <w:r w:rsidRPr="009C7A0A">
        <w:t xml:space="preserve"> celta apsūdzība pēc Krimināllikuma 146.</w:t>
      </w:r>
      <w:r w:rsidR="008625FE" w:rsidRPr="009C7A0A">
        <w:t> </w:t>
      </w:r>
      <w:r w:rsidRPr="009C7A0A">
        <w:t xml:space="preserve">panta otrās daļas (redakcijā, kas stājās spēkā </w:t>
      </w:r>
      <w:r w:rsidR="00D911DF" w:rsidRPr="009C7A0A">
        <w:t>2013. gada</w:t>
      </w:r>
      <w:r w:rsidRPr="009C7A0A">
        <w:t xml:space="preserve"> 1.</w:t>
      </w:r>
      <w:r w:rsidR="00D911DF" w:rsidRPr="009C7A0A">
        <w:t> </w:t>
      </w:r>
      <w:r w:rsidRPr="009C7A0A">
        <w:t xml:space="preserve">aprīlī) par to, ka viņa, būdama persona, </w:t>
      </w:r>
      <w:r w:rsidRPr="007C69ED">
        <w:t>kas SIA</w:t>
      </w:r>
      <w:r w:rsidR="008625FE" w:rsidRPr="007C69ED">
        <w:t> </w:t>
      </w:r>
      <w:r w:rsidRPr="007C69ED">
        <w:t>„</w:t>
      </w:r>
      <w:r w:rsidR="007C69ED" w:rsidRPr="007C69ED">
        <w:t>[Nosaukums E]</w:t>
      </w:r>
      <w:r w:rsidRPr="007C69ED">
        <w:t>” atbildīga par darba aizsardzību reglamentējošo normatīvo aktu prasību ievērošanu, pārkāpa šo normatīvo aktu prasības, kā rezultātā iestājās četru SIA</w:t>
      </w:r>
      <w:r w:rsidR="008625FE" w:rsidRPr="007C69ED">
        <w:t xml:space="preserve"> </w:t>
      </w:r>
      <w:r w:rsidRPr="007C69ED">
        <w:t>„</w:t>
      </w:r>
      <w:r w:rsidR="007C69ED" w:rsidRPr="007C69ED">
        <w:t>[Nosaukums</w:t>
      </w:r>
      <w:r w:rsidR="007C69ED">
        <w:t> E]</w:t>
      </w:r>
      <w:r w:rsidRPr="009C7A0A">
        <w:t xml:space="preserve">” darbinieku – </w:t>
      </w:r>
      <w:r w:rsidR="00CB6A23">
        <w:t>[pers. LU]</w:t>
      </w:r>
      <w:r w:rsidRPr="009C7A0A">
        <w:t xml:space="preserve">, </w:t>
      </w:r>
      <w:r w:rsidR="00CB6A23">
        <w:t>[pers. LV]</w:t>
      </w:r>
      <w:r w:rsidRPr="009C7A0A">
        <w:t xml:space="preserve">, </w:t>
      </w:r>
      <w:r w:rsidR="00CB6A23">
        <w:t>[pers. LZ]</w:t>
      </w:r>
      <w:r w:rsidRPr="009C7A0A">
        <w:t xml:space="preserve">, </w:t>
      </w:r>
      <w:r w:rsidR="00CB6A23">
        <w:t>[pers. MA]</w:t>
      </w:r>
      <w:r w:rsidRPr="009C7A0A">
        <w:t xml:space="preserve"> – nāve, darbiniekam </w:t>
      </w:r>
      <w:r w:rsidR="005755B3">
        <w:t>[pers. F]</w:t>
      </w:r>
      <w:r w:rsidRPr="009C7A0A">
        <w:t xml:space="preserve"> tika nodarīti vidēja smaguma miesas bojājumi, bet </w:t>
      </w:r>
      <w:r w:rsidR="007807AC" w:rsidRPr="009C7A0A">
        <w:t xml:space="preserve">darbiniekam </w:t>
      </w:r>
      <w:r w:rsidR="002B2B39">
        <w:t>[pers.</w:t>
      </w:r>
      <w:r w:rsidR="00A86732">
        <w:t> </w:t>
      </w:r>
      <w:r w:rsidR="007D3363">
        <w:t>FT</w:t>
      </w:r>
      <w:r w:rsidR="002B2B39">
        <w:t>]</w:t>
      </w:r>
      <w:r w:rsidRPr="009C7A0A">
        <w:t xml:space="preserve"> tika nodarīti smagi miesas bojājumi. Savukārt no Valsts policijas Galvenās Kriminālpolicijas pārvaldes </w:t>
      </w:r>
      <w:proofErr w:type="spellStart"/>
      <w:r w:rsidRPr="009C7A0A">
        <w:t>Kriminālizmeklēšanas</w:t>
      </w:r>
      <w:proofErr w:type="spellEnd"/>
      <w:r w:rsidRPr="009C7A0A">
        <w:t xml:space="preserve"> pārvaldes 2014.</w:t>
      </w:r>
      <w:r w:rsidR="008625FE" w:rsidRPr="009C7A0A">
        <w:t> </w:t>
      </w:r>
      <w:r w:rsidRPr="009C7A0A">
        <w:t>gada 3.</w:t>
      </w:r>
      <w:r w:rsidR="008625FE" w:rsidRPr="009C7A0A">
        <w:t> </w:t>
      </w:r>
      <w:r w:rsidRPr="009C7A0A">
        <w:t>janvāra un 2014.</w:t>
      </w:r>
      <w:r w:rsidR="008625FE" w:rsidRPr="009C7A0A">
        <w:t> </w:t>
      </w:r>
      <w:r w:rsidRPr="009C7A0A">
        <w:t>gada 6.</w:t>
      </w:r>
      <w:r w:rsidR="008625FE" w:rsidRPr="009C7A0A">
        <w:t> </w:t>
      </w:r>
      <w:r w:rsidRPr="009C7A0A">
        <w:t xml:space="preserve">februāra lēmumiem izriet, ka </w:t>
      </w:r>
      <w:r w:rsidR="00D75CE9">
        <w:t>[pers. E]</w:t>
      </w:r>
      <w:r w:rsidRPr="009C7A0A">
        <w:t xml:space="preserve"> atzīta par cietušo sakarā ar meitas </w:t>
      </w:r>
      <w:r w:rsidR="00D75CE9">
        <w:t>[pers. LT]</w:t>
      </w:r>
      <w:r w:rsidRPr="009C7A0A">
        <w:t xml:space="preserve"> nāvi.</w:t>
      </w:r>
    </w:p>
    <w:p w14:paraId="2EB61A11" w14:textId="660F7A2C" w:rsidR="00A8188A" w:rsidRPr="009C7A0A" w:rsidRDefault="00A8188A" w:rsidP="00D03D1D">
      <w:pPr>
        <w:widowControl w:val="0"/>
        <w:spacing w:line="276" w:lineRule="auto"/>
        <w:ind w:firstLine="720"/>
        <w:contextualSpacing/>
        <w:jc w:val="both"/>
      </w:pPr>
      <w:r w:rsidRPr="009C7A0A">
        <w:t xml:space="preserve">Senāts atzīst, ka apsūdzētajai </w:t>
      </w:r>
      <w:r w:rsidR="00D03D1D">
        <w:t>[pers. BO]</w:t>
      </w:r>
      <w:r w:rsidRPr="009C7A0A">
        <w:t xml:space="preserve"> inkriminētais noziedzīgais nodarījums neaizskar cietušās </w:t>
      </w:r>
      <w:r w:rsidR="00D03D1D">
        <w:t>[pers.</w:t>
      </w:r>
      <w:r w:rsidR="00B372DA">
        <w:t> E</w:t>
      </w:r>
      <w:r w:rsidR="00D03D1D">
        <w:t>]</w:t>
      </w:r>
      <w:r w:rsidRPr="009C7A0A">
        <w:t xml:space="preserve"> intereses šajā kriminālprocesā.</w:t>
      </w:r>
    </w:p>
    <w:p w14:paraId="1B12B8FF" w14:textId="6CEFAD95" w:rsidR="00A8188A" w:rsidRPr="009C7A0A" w:rsidRDefault="00A8188A" w:rsidP="004A6FBE">
      <w:pPr>
        <w:widowControl w:val="0"/>
        <w:spacing w:line="276" w:lineRule="auto"/>
        <w:ind w:firstLine="720"/>
        <w:contextualSpacing/>
        <w:jc w:val="both"/>
      </w:pPr>
      <w:r w:rsidRPr="009C7A0A">
        <w:t xml:space="preserve">Cietušās </w:t>
      </w:r>
      <w:r w:rsidR="004A6FBE">
        <w:t>[pers.</w:t>
      </w:r>
      <w:r w:rsidR="00B34CA0">
        <w:t> </w:t>
      </w:r>
      <w:r w:rsidR="004A6FBE">
        <w:t>E]</w:t>
      </w:r>
      <w:r w:rsidRPr="009C7A0A">
        <w:t xml:space="preserve"> kasācijas sūdzība šajā daļā neatbilst Kriminālprocesa likuma 97.</w:t>
      </w:r>
      <w:r w:rsidR="00D63F29" w:rsidRPr="009C7A0A">
        <w:t> </w:t>
      </w:r>
      <w:r w:rsidRPr="009C7A0A">
        <w:t>panta otrās daļas</w:t>
      </w:r>
      <w:r w:rsidR="00D63F29" w:rsidRPr="009C7A0A">
        <w:t>,</w:t>
      </w:r>
      <w:r w:rsidR="006626A4" w:rsidRPr="009C7A0A">
        <w:t xml:space="preserve"> </w:t>
      </w:r>
      <w:r w:rsidRPr="009C7A0A">
        <w:t>571.</w:t>
      </w:r>
      <w:r w:rsidR="00D63F29" w:rsidRPr="009C7A0A">
        <w:t> </w:t>
      </w:r>
      <w:r w:rsidRPr="009C7A0A">
        <w:t xml:space="preserve">panta otrās daļas </w:t>
      </w:r>
      <w:r w:rsidR="00D911DF" w:rsidRPr="009C7A0A">
        <w:t xml:space="preserve">nosacījumiem </w:t>
      </w:r>
      <w:r w:rsidR="00A76012" w:rsidRPr="009C7A0A">
        <w:t xml:space="preserve">par </w:t>
      </w:r>
      <w:r w:rsidRPr="009C7A0A">
        <w:t xml:space="preserve">cietušā tiesībām kasācijas instances tiesā. Proti, cietušais Kriminālprocesa likumā minētās tiesības, </w:t>
      </w:r>
      <w:r w:rsidR="000A7510" w:rsidRPr="009C7A0A">
        <w:t xml:space="preserve">tai </w:t>
      </w:r>
      <w:r w:rsidRPr="009C7A0A">
        <w:t>skaitā apelācijas instances tiesas nolēmuma pārsūdzību kasācijas instances tiesā, var īstenot tikai tajā kriminālprocesa daļā, kura tieši attiecas uz noziedzīgu nodarījumu, ar kuru viņam nodarīts kaitējums un kas aizskar viņa tiesības un intereses.</w:t>
      </w:r>
    </w:p>
    <w:p w14:paraId="53EB6583" w14:textId="4B09F089" w:rsidR="00A8188A" w:rsidRPr="009C7A0A" w:rsidRDefault="00A8188A" w:rsidP="009C7A0A">
      <w:pPr>
        <w:widowControl w:val="0"/>
        <w:spacing w:line="276" w:lineRule="auto"/>
        <w:ind w:firstLine="720"/>
        <w:contextualSpacing/>
        <w:jc w:val="both"/>
      </w:pPr>
      <w:r w:rsidRPr="009C7A0A">
        <w:t xml:space="preserve">Arī tiesību doktrīnā </w:t>
      </w:r>
      <w:r w:rsidR="005569E2" w:rsidRPr="009C7A0A">
        <w:t>norādīts: ja</w:t>
      </w:r>
      <w:r w:rsidRPr="009C7A0A">
        <w:t xml:space="preserve"> process ir par vairākiem noziedzīgiem nodarījumiem, tad cietušais savas tiesības šajā procesā var realizēt tikai daļā procesa, t.</w:t>
      </w:r>
      <w:r w:rsidR="009855E9" w:rsidRPr="009C7A0A">
        <w:t> </w:t>
      </w:r>
      <w:r w:rsidRPr="009C7A0A">
        <w:t>i., kas skar viņa intereses. Šis princips attiecas uz visu procesu un ir ar lielu sistemātiski organizatorisku nozīmi (</w:t>
      </w:r>
      <w:r w:rsidRPr="009C7A0A">
        <w:rPr>
          <w:i/>
          <w:iCs/>
        </w:rPr>
        <w:t>Strada-Rozenberga</w:t>
      </w:r>
      <w:r w:rsidR="0046006B" w:rsidRPr="009C7A0A">
        <w:rPr>
          <w:i/>
          <w:iCs/>
        </w:rPr>
        <w:t> </w:t>
      </w:r>
      <w:r w:rsidRPr="009C7A0A">
        <w:rPr>
          <w:i/>
          <w:iCs/>
        </w:rPr>
        <w:t>K. 97.</w:t>
      </w:r>
      <w:r w:rsidR="00B05D1E" w:rsidRPr="009C7A0A">
        <w:rPr>
          <w:i/>
          <w:iCs/>
        </w:rPr>
        <w:t> </w:t>
      </w:r>
      <w:r w:rsidRPr="009C7A0A">
        <w:rPr>
          <w:i/>
          <w:iCs/>
        </w:rPr>
        <w:t xml:space="preserve">panta komentārs. </w:t>
      </w:r>
      <w:proofErr w:type="spellStart"/>
      <w:r w:rsidRPr="009C7A0A">
        <w:rPr>
          <w:i/>
          <w:iCs/>
        </w:rPr>
        <w:t>Grām</w:t>
      </w:r>
      <w:proofErr w:type="spellEnd"/>
      <w:r w:rsidRPr="009C7A0A">
        <w:rPr>
          <w:i/>
          <w:iCs/>
        </w:rPr>
        <w:t>.: Kriminālprocesa likuma komentāri. A</w:t>
      </w:r>
      <w:r w:rsidR="006E49E1" w:rsidRPr="009C7A0A">
        <w:rPr>
          <w:i/>
          <w:iCs/>
        </w:rPr>
        <w:t> </w:t>
      </w:r>
      <w:r w:rsidRPr="009C7A0A">
        <w:rPr>
          <w:i/>
          <w:iCs/>
        </w:rPr>
        <w:t>daļa. Zinātniska monogrāfija prof.</w:t>
      </w:r>
      <w:r w:rsidR="00592AE1">
        <w:rPr>
          <w:i/>
          <w:iCs/>
        </w:rPr>
        <w:t> </w:t>
      </w:r>
      <w:r w:rsidRPr="009C7A0A">
        <w:rPr>
          <w:i/>
          <w:iCs/>
        </w:rPr>
        <w:t>K.</w:t>
      </w:r>
      <w:r w:rsidR="00B05D1E" w:rsidRPr="009C7A0A">
        <w:rPr>
          <w:i/>
          <w:iCs/>
        </w:rPr>
        <w:t> </w:t>
      </w:r>
      <w:proofErr w:type="spellStart"/>
      <w:r w:rsidRPr="009C7A0A">
        <w:rPr>
          <w:i/>
          <w:iCs/>
        </w:rPr>
        <w:t>Stradas</w:t>
      </w:r>
      <w:proofErr w:type="spellEnd"/>
      <w:r w:rsidRPr="009C7A0A">
        <w:rPr>
          <w:i/>
          <w:iCs/>
        </w:rPr>
        <w:t>-Rozenbergas zinātniskā redakcijā. Rīga: Latvijas Vēstnesis, 2019, 347.</w:t>
      </w:r>
      <w:r w:rsidR="00B05D1E" w:rsidRPr="009C7A0A">
        <w:rPr>
          <w:i/>
          <w:iCs/>
        </w:rPr>
        <w:t> </w:t>
      </w:r>
      <w:r w:rsidRPr="009C7A0A">
        <w:rPr>
          <w:i/>
          <w:iCs/>
        </w:rPr>
        <w:t>lpp.</w:t>
      </w:r>
      <w:r w:rsidRPr="009C7A0A">
        <w:t>).</w:t>
      </w:r>
    </w:p>
    <w:p w14:paraId="4E81DE5F" w14:textId="721BEB02" w:rsidR="009C591A" w:rsidRPr="009C7A0A" w:rsidRDefault="00A8188A" w:rsidP="009C7A0A">
      <w:pPr>
        <w:widowControl w:val="0"/>
        <w:spacing w:line="276" w:lineRule="auto"/>
        <w:ind w:firstLine="720"/>
        <w:contextualSpacing/>
        <w:jc w:val="both"/>
      </w:pPr>
      <w:r w:rsidRPr="009C7A0A">
        <w:t xml:space="preserve">Ievērojot minēto, Senāts atzīst, ka šajā daļā cietušās </w:t>
      </w:r>
      <w:r w:rsidR="00E95AA5">
        <w:t>[pers. E]</w:t>
      </w:r>
      <w:r w:rsidRPr="009C7A0A">
        <w:t xml:space="preserve"> kasācijas sūdzība</w:t>
      </w:r>
      <w:r w:rsidR="00D911DF" w:rsidRPr="009C7A0A">
        <w:t xml:space="preserve"> nav izskatāma</w:t>
      </w:r>
      <w:r w:rsidRPr="009C7A0A">
        <w:t>.</w:t>
      </w:r>
    </w:p>
    <w:p w14:paraId="5A85F6D4" w14:textId="77777777" w:rsidR="00A8188A" w:rsidRPr="009C7A0A" w:rsidRDefault="00A8188A" w:rsidP="009C7A0A">
      <w:pPr>
        <w:widowControl w:val="0"/>
        <w:spacing w:line="276" w:lineRule="auto"/>
        <w:ind w:firstLine="720"/>
        <w:contextualSpacing/>
        <w:jc w:val="both"/>
      </w:pPr>
    </w:p>
    <w:p w14:paraId="673CBFF2" w14:textId="3266C63E" w:rsidR="009C591A" w:rsidRPr="009C7A0A" w:rsidRDefault="009C591A" w:rsidP="009C7A0A">
      <w:pPr>
        <w:spacing w:line="276" w:lineRule="auto"/>
        <w:ind w:firstLine="720"/>
        <w:jc w:val="both"/>
      </w:pPr>
      <w:r w:rsidRPr="009C7A0A">
        <w:t>[</w:t>
      </w:r>
      <w:r w:rsidR="00A8188A" w:rsidRPr="009C7A0A">
        <w:t>1</w:t>
      </w:r>
      <w:r w:rsidR="00C214B9" w:rsidRPr="009C7A0A">
        <w:t>5</w:t>
      </w:r>
      <w:r w:rsidRPr="009C7A0A">
        <w:t>] Izskatāmajā lietā tiesību</w:t>
      </w:r>
      <w:r w:rsidRPr="009C7A0A">
        <w:rPr>
          <w:rStyle w:val="CommentReference"/>
          <w:sz w:val="24"/>
          <w:szCs w:val="24"/>
        </w:rPr>
        <w:t xml:space="preserve"> j</w:t>
      </w:r>
      <w:r w:rsidRPr="009C7A0A">
        <w:t>autājums, uz kuru jāatbild Senātam</w:t>
      </w:r>
      <w:r w:rsidR="00642582" w:rsidRPr="009C7A0A">
        <w:t xml:space="preserve"> – </w:t>
      </w:r>
      <w:r w:rsidRPr="009C7A0A">
        <w:t>vai</w:t>
      </w:r>
      <w:r w:rsidRPr="009C7A0A">
        <w:rPr>
          <w:rStyle w:val="CommentReference"/>
          <w:sz w:val="24"/>
          <w:szCs w:val="24"/>
        </w:rPr>
        <w:t xml:space="preserve"> glābēju iesaistīšana noziedzīga nodarījuma seku likvid</w:t>
      </w:r>
      <w:r w:rsidR="004A6000" w:rsidRPr="009C7A0A">
        <w:rPr>
          <w:rStyle w:val="CommentReference"/>
          <w:sz w:val="24"/>
          <w:szCs w:val="24"/>
        </w:rPr>
        <w:t>ēšanā</w:t>
      </w:r>
      <w:r w:rsidRPr="009C7A0A">
        <w:t xml:space="preserve"> pārtrauc sākotnējā apdraudējuma tālāko iedarbību un izraisītās sekas.</w:t>
      </w:r>
    </w:p>
    <w:p w14:paraId="209C9429" w14:textId="67316AA9" w:rsidR="009C591A" w:rsidRPr="009C7A0A" w:rsidRDefault="009C591A" w:rsidP="009C7A0A">
      <w:pPr>
        <w:pStyle w:val="BodyText2"/>
        <w:spacing w:line="276" w:lineRule="auto"/>
        <w:ind w:firstLine="720"/>
        <w:jc w:val="both"/>
        <w:rPr>
          <w:rFonts w:ascii="Times New Roman" w:hAnsi="Times New Roman"/>
          <w:sz w:val="24"/>
          <w:szCs w:val="24"/>
        </w:rPr>
      </w:pPr>
      <w:r w:rsidRPr="009C7A0A">
        <w:rPr>
          <w:rFonts w:ascii="Times New Roman" w:hAnsi="Times New Roman"/>
          <w:sz w:val="24"/>
          <w:szCs w:val="24"/>
        </w:rPr>
        <w:t>[</w:t>
      </w:r>
      <w:r w:rsidR="00A8188A" w:rsidRPr="009C7A0A">
        <w:rPr>
          <w:rFonts w:ascii="Times New Roman" w:hAnsi="Times New Roman"/>
          <w:sz w:val="24"/>
          <w:szCs w:val="24"/>
        </w:rPr>
        <w:t>1</w:t>
      </w:r>
      <w:r w:rsidR="00C214B9" w:rsidRPr="009C7A0A">
        <w:rPr>
          <w:rFonts w:ascii="Times New Roman" w:hAnsi="Times New Roman"/>
          <w:sz w:val="24"/>
          <w:szCs w:val="24"/>
        </w:rPr>
        <w:t>5</w:t>
      </w:r>
      <w:r w:rsidRPr="009C7A0A">
        <w:rPr>
          <w:rFonts w:ascii="Times New Roman" w:hAnsi="Times New Roman"/>
          <w:sz w:val="24"/>
          <w:szCs w:val="24"/>
        </w:rPr>
        <w:t>.1] </w:t>
      </w:r>
      <w:r w:rsidR="004A6000" w:rsidRPr="009C7A0A">
        <w:rPr>
          <w:rFonts w:ascii="Times New Roman" w:hAnsi="Times New Roman"/>
          <w:sz w:val="24"/>
          <w:szCs w:val="24"/>
        </w:rPr>
        <w:t xml:space="preserve">Lai atbildētu uz šo jautājumu, </w:t>
      </w:r>
      <w:r w:rsidRPr="009C7A0A">
        <w:rPr>
          <w:rFonts w:ascii="Times New Roman" w:hAnsi="Times New Roman"/>
          <w:sz w:val="24"/>
          <w:szCs w:val="24"/>
        </w:rPr>
        <w:t>Senātam vispirms</w:t>
      </w:r>
      <w:r w:rsidR="004A6000" w:rsidRPr="009C7A0A">
        <w:rPr>
          <w:rFonts w:ascii="Times New Roman" w:hAnsi="Times New Roman"/>
          <w:sz w:val="24"/>
          <w:szCs w:val="24"/>
        </w:rPr>
        <w:t xml:space="preserve"> ir</w:t>
      </w:r>
      <w:r w:rsidRPr="009C7A0A">
        <w:rPr>
          <w:rFonts w:ascii="Times New Roman" w:hAnsi="Times New Roman"/>
          <w:sz w:val="24"/>
          <w:szCs w:val="24"/>
        </w:rPr>
        <w:t xml:space="preserve"> jānoskaidro cēloņsakarības jēdziena saturs un metode, ar kuru pārbaudāma cēloņsakarības esība.</w:t>
      </w:r>
    </w:p>
    <w:p w14:paraId="31ECBC4A" w14:textId="2194BDDD" w:rsidR="009C591A" w:rsidRPr="009C7A0A" w:rsidRDefault="009C591A" w:rsidP="009C7A0A">
      <w:pPr>
        <w:pStyle w:val="BodyText2"/>
        <w:spacing w:line="276" w:lineRule="auto"/>
        <w:ind w:firstLine="720"/>
        <w:jc w:val="both"/>
        <w:rPr>
          <w:rFonts w:ascii="Times New Roman" w:hAnsi="Times New Roman"/>
          <w:sz w:val="24"/>
          <w:szCs w:val="24"/>
        </w:rPr>
      </w:pPr>
      <w:r w:rsidRPr="009C7A0A">
        <w:rPr>
          <w:rFonts w:ascii="Times New Roman" w:hAnsi="Times New Roman"/>
          <w:sz w:val="24"/>
          <w:szCs w:val="24"/>
        </w:rPr>
        <w:t>Cēloņsakarība ir materiālo sastāvu noziedzīgo nodarījumu objektīvās puses pazīme</w:t>
      </w:r>
      <w:r w:rsidR="004A6000" w:rsidRPr="009C7A0A">
        <w:rPr>
          <w:rFonts w:ascii="Times New Roman" w:hAnsi="Times New Roman"/>
          <w:sz w:val="24"/>
          <w:szCs w:val="24"/>
        </w:rPr>
        <w:t>.</w:t>
      </w:r>
    </w:p>
    <w:p w14:paraId="62004317" w14:textId="77777777" w:rsidR="009C591A" w:rsidRPr="009C7A0A" w:rsidRDefault="009C591A" w:rsidP="009C7A0A">
      <w:pPr>
        <w:pStyle w:val="BodyText2"/>
        <w:spacing w:line="276" w:lineRule="auto"/>
        <w:ind w:firstLine="720"/>
        <w:jc w:val="both"/>
        <w:rPr>
          <w:rFonts w:ascii="Times New Roman" w:hAnsi="Times New Roman"/>
          <w:sz w:val="24"/>
          <w:szCs w:val="24"/>
        </w:rPr>
      </w:pPr>
      <w:r w:rsidRPr="009C7A0A">
        <w:rPr>
          <w:rFonts w:ascii="Times New Roman" w:hAnsi="Times New Roman"/>
          <w:sz w:val="24"/>
          <w:szCs w:val="24"/>
        </w:rPr>
        <w:lastRenderedPageBreak/>
        <w:t>Krimināltiesību teorijā un praksē pastāv konsekvents nosacījums, ka persona par noziedzīga nodarījuma izdarīšanu atbild tikai tādos gadījumos, kad ir pierādīta cēloņsakarība starp prettiesisko darbību vai bezdarbību un tām sekām, kas iestājušās šīs darbības vai bezdarbības rezultātā.</w:t>
      </w:r>
    </w:p>
    <w:p w14:paraId="3F1AABE3" w14:textId="771546B1" w:rsidR="009C591A" w:rsidRPr="009C7A0A" w:rsidRDefault="009C591A" w:rsidP="009C7A0A">
      <w:pPr>
        <w:pStyle w:val="BodyText2"/>
        <w:spacing w:line="276" w:lineRule="auto"/>
        <w:ind w:firstLine="720"/>
        <w:jc w:val="both"/>
        <w:rPr>
          <w:rFonts w:ascii="Times New Roman" w:hAnsi="Times New Roman"/>
          <w:sz w:val="24"/>
          <w:szCs w:val="24"/>
        </w:rPr>
      </w:pPr>
      <w:r w:rsidRPr="009C7A0A">
        <w:rPr>
          <w:rFonts w:ascii="Times New Roman" w:hAnsi="Times New Roman"/>
          <w:sz w:val="24"/>
          <w:szCs w:val="24"/>
        </w:rPr>
        <w:t>Tiesību zinātnē</w:t>
      </w:r>
      <w:r w:rsidR="00D911DF" w:rsidRPr="009C7A0A">
        <w:rPr>
          <w:rFonts w:ascii="Times New Roman" w:hAnsi="Times New Roman"/>
          <w:sz w:val="24"/>
          <w:szCs w:val="24"/>
        </w:rPr>
        <w:t xml:space="preserve"> izteikti </w:t>
      </w:r>
      <w:r w:rsidRPr="009C7A0A">
        <w:rPr>
          <w:rFonts w:ascii="Times New Roman" w:hAnsi="Times New Roman"/>
          <w:sz w:val="24"/>
          <w:szCs w:val="24"/>
        </w:rPr>
        <w:t>atšķirīgi viedokļi, kāda cēloņsakarības teorija ir piemērojama, lai noskaidrotu objektīvo saikni starp prettiesisko darbību vai bezdarbību un radītajām laika ziņā sekojošajām kaitīgajām sekām.</w:t>
      </w:r>
    </w:p>
    <w:p w14:paraId="7D40F7D5" w14:textId="56D782CF" w:rsidR="009C591A" w:rsidRPr="009C7A0A" w:rsidRDefault="009C591A" w:rsidP="009C7A0A">
      <w:pPr>
        <w:pStyle w:val="BodyText2"/>
        <w:spacing w:line="276" w:lineRule="auto"/>
        <w:ind w:firstLine="720"/>
        <w:jc w:val="both"/>
        <w:rPr>
          <w:rFonts w:ascii="Times New Roman" w:hAnsi="Times New Roman"/>
          <w:sz w:val="24"/>
          <w:szCs w:val="24"/>
        </w:rPr>
      </w:pPr>
      <w:r w:rsidRPr="009C7A0A">
        <w:rPr>
          <w:rFonts w:ascii="Times New Roman" w:hAnsi="Times New Roman"/>
          <w:sz w:val="24"/>
          <w:szCs w:val="24"/>
        </w:rPr>
        <w:t>Latvijas krimināltiesību teorijā pa</w:t>
      </w:r>
      <w:r w:rsidR="00D911DF" w:rsidRPr="009C7A0A">
        <w:rPr>
          <w:rFonts w:ascii="Times New Roman" w:hAnsi="Times New Roman"/>
          <w:sz w:val="24"/>
          <w:szCs w:val="24"/>
        </w:rPr>
        <w:t>usts v</w:t>
      </w:r>
      <w:r w:rsidRPr="009C7A0A">
        <w:rPr>
          <w:rFonts w:ascii="Times New Roman" w:hAnsi="Times New Roman"/>
          <w:sz w:val="24"/>
          <w:szCs w:val="24"/>
        </w:rPr>
        <w:t>iedoklis, ka darbībai vai bezdarbībai jābūt galvenajam faktoram, kas izraisījis sekas. Cēloņsakarība tiek skaidrota kā objektīvā saikne starp prettiesisko darbību vai bezdarbību un radītajām laika ziņā sekojošajām kaitīgajām sekām, kurā darbība vai bezdarbība sagatavo un nosaka seku iestāšanās reālu iespēju, un darbība vai bezdarbība ir galvenais noteicošais faktors, kas neizbēgami radījis kaitīgās sekas (</w:t>
      </w:r>
      <w:r w:rsidRPr="009C7A0A">
        <w:rPr>
          <w:rFonts w:ascii="Times New Roman" w:hAnsi="Times New Roman"/>
          <w:i/>
          <w:iCs/>
          <w:sz w:val="24"/>
          <w:szCs w:val="24"/>
        </w:rPr>
        <w:t xml:space="preserve">Krastiņš U., </w:t>
      </w:r>
      <w:proofErr w:type="spellStart"/>
      <w:r w:rsidRPr="009C7A0A">
        <w:rPr>
          <w:rFonts w:ascii="Times New Roman" w:hAnsi="Times New Roman"/>
          <w:i/>
          <w:iCs/>
          <w:sz w:val="24"/>
          <w:szCs w:val="24"/>
        </w:rPr>
        <w:t>Liholaja</w:t>
      </w:r>
      <w:proofErr w:type="spellEnd"/>
      <w:r w:rsidRPr="009C7A0A">
        <w:rPr>
          <w:rFonts w:ascii="Times New Roman" w:hAnsi="Times New Roman"/>
          <w:i/>
          <w:iCs/>
          <w:sz w:val="24"/>
          <w:szCs w:val="24"/>
        </w:rPr>
        <w:t> V. Krimināllikuma komentāri. Pirmā daļa (I-VIII</w:t>
      </w:r>
      <w:r w:rsidRPr="009C7A0A">
        <w:rPr>
          <w:rFonts w:ascii="Times New Roman" w:hAnsi="Times New Roman"/>
          <w:i/>
          <w:iCs/>
          <w:sz w:val="24"/>
          <w:szCs w:val="24"/>
          <w:vertAlign w:val="superscript"/>
        </w:rPr>
        <w:t>1</w:t>
      </w:r>
      <w:r w:rsidR="009C03F7" w:rsidRPr="009C7A0A">
        <w:rPr>
          <w:rFonts w:ascii="Times New Roman" w:hAnsi="Times New Roman"/>
          <w:i/>
          <w:iCs/>
          <w:sz w:val="24"/>
          <w:szCs w:val="24"/>
        </w:rPr>
        <w:t> </w:t>
      </w:r>
      <w:r w:rsidRPr="009C7A0A">
        <w:rPr>
          <w:rFonts w:ascii="Times New Roman" w:hAnsi="Times New Roman"/>
          <w:i/>
          <w:iCs/>
          <w:sz w:val="24"/>
          <w:szCs w:val="24"/>
        </w:rPr>
        <w:t>nodaļa). Rīga: Tiesu namu aģentūra,</w:t>
      </w:r>
      <w:r w:rsidR="00AE7F81" w:rsidRPr="009C7A0A">
        <w:rPr>
          <w:rFonts w:ascii="Times New Roman" w:hAnsi="Times New Roman"/>
          <w:i/>
          <w:iCs/>
          <w:sz w:val="24"/>
          <w:szCs w:val="24"/>
        </w:rPr>
        <w:t xml:space="preserve"> </w:t>
      </w:r>
      <w:r w:rsidRPr="009C7A0A">
        <w:rPr>
          <w:rFonts w:ascii="Times New Roman" w:hAnsi="Times New Roman"/>
          <w:i/>
          <w:iCs/>
          <w:sz w:val="24"/>
          <w:szCs w:val="24"/>
        </w:rPr>
        <w:t>2015,</w:t>
      </w:r>
      <w:r w:rsidR="00AE7F81" w:rsidRPr="009C7A0A">
        <w:rPr>
          <w:rFonts w:ascii="Times New Roman" w:hAnsi="Times New Roman"/>
          <w:i/>
          <w:iCs/>
          <w:sz w:val="24"/>
          <w:szCs w:val="24"/>
        </w:rPr>
        <w:t xml:space="preserve"> </w:t>
      </w:r>
      <w:r w:rsidRPr="009C7A0A">
        <w:rPr>
          <w:rFonts w:ascii="Times New Roman" w:hAnsi="Times New Roman"/>
          <w:i/>
          <w:iCs/>
          <w:sz w:val="24"/>
          <w:szCs w:val="24"/>
        </w:rPr>
        <w:t>65. lpp.</w:t>
      </w:r>
      <w:r w:rsidRPr="009C7A0A">
        <w:rPr>
          <w:rFonts w:ascii="Times New Roman" w:hAnsi="Times New Roman"/>
          <w:sz w:val="24"/>
          <w:szCs w:val="24"/>
        </w:rPr>
        <w:t>).</w:t>
      </w:r>
    </w:p>
    <w:p w14:paraId="40709473" w14:textId="24C224A7" w:rsidR="009C591A" w:rsidRPr="009C7A0A" w:rsidRDefault="009C591A" w:rsidP="009C7A0A">
      <w:pPr>
        <w:pStyle w:val="BodyText2"/>
        <w:spacing w:line="276" w:lineRule="auto"/>
        <w:ind w:firstLine="720"/>
        <w:jc w:val="both"/>
        <w:rPr>
          <w:rFonts w:ascii="Times New Roman" w:hAnsi="Times New Roman"/>
          <w:sz w:val="24"/>
          <w:szCs w:val="24"/>
        </w:rPr>
      </w:pPr>
      <w:r w:rsidRPr="009C7A0A">
        <w:rPr>
          <w:rFonts w:ascii="Times New Roman" w:hAnsi="Times New Roman"/>
          <w:sz w:val="24"/>
          <w:szCs w:val="24"/>
        </w:rPr>
        <w:t>Šāds cēloņsakarības skaidrojums tiek uzturēts arī jaunākajā krimināltiesību doktrīnā (</w:t>
      </w:r>
      <w:r w:rsidRPr="009C7A0A">
        <w:rPr>
          <w:rFonts w:ascii="Times New Roman" w:hAnsi="Times New Roman"/>
          <w:i/>
          <w:iCs/>
          <w:sz w:val="24"/>
          <w:szCs w:val="24"/>
        </w:rPr>
        <w:t xml:space="preserve">Krastiņš U., </w:t>
      </w:r>
      <w:proofErr w:type="spellStart"/>
      <w:r w:rsidRPr="009C7A0A">
        <w:rPr>
          <w:rFonts w:ascii="Times New Roman" w:hAnsi="Times New Roman"/>
          <w:i/>
          <w:iCs/>
          <w:sz w:val="24"/>
          <w:szCs w:val="24"/>
        </w:rPr>
        <w:t>Liholaja</w:t>
      </w:r>
      <w:proofErr w:type="spellEnd"/>
      <w:r w:rsidRPr="009C7A0A">
        <w:rPr>
          <w:rFonts w:ascii="Times New Roman" w:hAnsi="Times New Roman"/>
          <w:i/>
          <w:iCs/>
          <w:sz w:val="24"/>
          <w:szCs w:val="24"/>
        </w:rPr>
        <w:t> V. Krimināltiesības. Vispārīgā daļa. Mācību grāmata. Ceturtais papildinātais izdevums. Rīga: Tiesu namu aģentūra, 2024, 131. lpp.</w:t>
      </w:r>
      <w:r w:rsidRPr="009C7A0A">
        <w:rPr>
          <w:rFonts w:ascii="Times New Roman" w:hAnsi="Times New Roman"/>
          <w:sz w:val="24"/>
          <w:szCs w:val="24"/>
        </w:rPr>
        <w:t>).</w:t>
      </w:r>
    </w:p>
    <w:p w14:paraId="39FBD32C" w14:textId="77777777" w:rsidR="009C591A" w:rsidRPr="009C7A0A" w:rsidRDefault="009C591A" w:rsidP="009C7A0A">
      <w:pPr>
        <w:pStyle w:val="BodyText2"/>
        <w:spacing w:line="276" w:lineRule="auto"/>
        <w:ind w:firstLine="720"/>
        <w:jc w:val="both"/>
        <w:rPr>
          <w:rFonts w:ascii="Times New Roman" w:hAnsi="Times New Roman"/>
          <w:sz w:val="24"/>
          <w:szCs w:val="24"/>
        </w:rPr>
      </w:pPr>
      <w:r w:rsidRPr="009C7A0A">
        <w:rPr>
          <w:rFonts w:ascii="Times New Roman" w:hAnsi="Times New Roman"/>
          <w:sz w:val="24"/>
          <w:szCs w:val="24"/>
        </w:rPr>
        <w:t>Tādējādi atbilstoši galvenā cēloņa teorijai tiek meklēts tāds cēlonis, kam ir izšķiroša loma seku radīšanā.</w:t>
      </w:r>
    </w:p>
    <w:p w14:paraId="315CD433" w14:textId="77777777" w:rsidR="00AD0D46" w:rsidRPr="009C7A0A" w:rsidRDefault="009C591A" w:rsidP="009C7A0A">
      <w:pPr>
        <w:pStyle w:val="BodyText2"/>
        <w:spacing w:line="276" w:lineRule="auto"/>
        <w:ind w:firstLine="720"/>
        <w:jc w:val="both"/>
        <w:rPr>
          <w:rFonts w:ascii="Times New Roman" w:hAnsi="Times New Roman"/>
          <w:sz w:val="24"/>
          <w:szCs w:val="24"/>
        </w:rPr>
      </w:pPr>
      <w:r w:rsidRPr="009C7A0A">
        <w:rPr>
          <w:rFonts w:ascii="Times New Roman" w:hAnsi="Times New Roman"/>
          <w:sz w:val="24"/>
          <w:szCs w:val="24"/>
        </w:rPr>
        <w:t xml:space="preserve">Vienlaikus Latvijas juridiskajā literatūrā, atkāpjoties no valdošā viedokļa krimināltiesību teorijā, </w:t>
      </w:r>
      <w:r w:rsidR="004A6000" w:rsidRPr="009C7A0A">
        <w:rPr>
          <w:rFonts w:ascii="Times New Roman" w:hAnsi="Times New Roman"/>
          <w:sz w:val="24"/>
          <w:szCs w:val="24"/>
        </w:rPr>
        <w:t xml:space="preserve">ir </w:t>
      </w:r>
      <w:r w:rsidRPr="009C7A0A">
        <w:rPr>
          <w:rFonts w:ascii="Times New Roman" w:hAnsi="Times New Roman"/>
          <w:sz w:val="24"/>
          <w:szCs w:val="24"/>
        </w:rPr>
        <w:t xml:space="preserve">pausts viedoklis, ka cēloņsakarības pamatošanai būtu izmantojama ekvivalences teorija, kas krimināltiesībās ārvalstīs (piemēram, Vācijā un Austrijā) guvusi vislielāko atbalstu. </w:t>
      </w:r>
    </w:p>
    <w:p w14:paraId="7677F69F" w14:textId="4F691034" w:rsidR="00AD0D46" w:rsidRPr="009C7A0A" w:rsidRDefault="00AD0D46" w:rsidP="009C7A0A">
      <w:pPr>
        <w:spacing w:line="276" w:lineRule="auto"/>
        <w:ind w:firstLine="720"/>
        <w:jc w:val="both"/>
      </w:pPr>
      <w:bookmarkStart w:id="4" w:name="_Hlk174433457"/>
      <w:r w:rsidRPr="009C7A0A">
        <w:t>Saskaņā ar ekvivalences</w:t>
      </w:r>
      <w:bookmarkEnd w:id="4"/>
      <w:r w:rsidRPr="009C7A0A">
        <w:t xml:space="preserve"> teoriju katrs nosacījums, kas veicinājis to, ka iestājušās noteiktas sekas, ir viens no cēloņiem. Turklāt visi cēloņi tiek uzskatīti par līdzvērtīgiem, dalījums svarīgos un nesvarīgos nav pieļaujams, bet vēlāks cēlonis var novērst sākotnējā cēloņa iedarbību un radīt jaunu cēloņu virkni. Cēloņsakarība ir ne tikai tad, ja tās pašas sekas neiestātos vispār, bet arī tad, ja tās pašas sekas iestātos, taču citā veidā, laikā vai vietā, vai ja tās iestātos tajā pašā laikā un vietā, taču būtu mazāk smagas</w:t>
      </w:r>
      <w:r w:rsidRPr="009C7A0A">
        <w:rPr>
          <w:rFonts w:eastAsiaTheme="minorHAnsi"/>
        </w:rPr>
        <w:t xml:space="preserve"> (</w:t>
      </w:r>
      <w:r w:rsidRPr="009C7A0A">
        <w:rPr>
          <w:rFonts w:eastAsiaTheme="minorHAnsi"/>
          <w:i/>
          <w:iCs/>
        </w:rPr>
        <w:t>Leja M. Cēloņsakarības pārbaude krimināltiesībās pēc ekvivalences teorijas principiem. Jurista Vārds, 06.11.2018., Nr. 45 (1051);</w:t>
      </w:r>
      <w:r w:rsidRPr="009C7A0A">
        <w:rPr>
          <w:rFonts w:eastAsiaTheme="minorHAnsi"/>
        </w:rPr>
        <w:t xml:space="preserve"> </w:t>
      </w:r>
      <w:r w:rsidRPr="009C7A0A">
        <w:rPr>
          <w:rFonts w:eastAsiaTheme="minorHAnsi"/>
          <w:i/>
          <w:iCs/>
        </w:rPr>
        <w:t>Leja M. Krimināltiesību aktuālie jautājumi un to risinājumi Latvijā, Austrijā, Šveicē, Vācijā.</w:t>
      </w:r>
      <w:r w:rsidRPr="009C7A0A">
        <w:rPr>
          <w:rFonts w:eastAsiaTheme="minorHAnsi"/>
        </w:rPr>
        <w:t xml:space="preserve"> </w:t>
      </w:r>
      <w:r w:rsidRPr="009C7A0A">
        <w:rPr>
          <w:rFonts w:eastAsiaTheme="minorHAnsi"/>
          <w:i/>
          <w:iCs/>
        </w:rPr>
        <w:t>Noziedzīga nodarījuma uzbūve; cēloņsakarība; vaina; krimināltiesību normu interpretācija un</w:t>
      </w:r>
      <w:r w:rsidRPr="009C7A0A">
        <w:rPr>
          <w:rFonts w:eastAsiaTheme="minorHAnsi"/>
        </w:rPr>
        <w:t xml:space="preserve"> </w:t>
      </w:r>
      <w:r w:rsidRPr="009C7A0A">
        <w:rPr>
          <w:rFonts w:eastAsiaTheme="minorHAnsi"/>
          <w:i/>
          <w:iCs/>
        </w:rPr>
        <w:t>spēks laikā. I daļa. Rīga: Tiesu namu aģentūra, 2019, 492.</w:t>
      </w:r>
      <w:r w:rsidRPr="009C7A0A">
        <w:t>–</w:t>
      </w:r>
      <w:r w:rsidRPr="009C7A0A">
        <w:rPr>
          <w:rFonts w:eastAsiaTheme="minorHAnsi"/>
          <w:i/>
          <w:iCs/>
        </w:rPr>
        <w:t>493. lpp</w:t>
      </w:r>
      <w:r w:rsidRPr="009C7A0A">
        <w:rPr>
          <w:rFonts w:eastAsiaTheme="minorHAnsi"/>
        </w:rPr>
        <w:t>.)</w:t>
      </w:r>
      <w:r w:rsidRPr="009C7A0A">
        <w:t>.</w:t>
      </w:r>
    </w:p>
    <w:p w14:paraId="33767D55" w14:textId="5146551E" w:rsidR="009C591A" w:rsidRPr="009C7A0A" w:rsidRDefault="009C591A" w:rsidP="009C7A0A">
      <w:pPr>
        <w:shd w:val="clear" w:color="auto" w:fill="FFFFFF"/>
        <w:spacing w:line="276" w:lineRule="auto"/>
        <w:ind w:firstLine="720"/>
        <w:jc w:val="both"/>
        <w:rPr>
          <w:rFonts w:eastAsiaTheme="minorHAnsi"/>
        </w:rPr>
      </w:pPr>
      <w:r w:rsidRPr="009C7A0A">
        <w:rPr>
          <w:rFonts w:eastAsiaTheme="minorHAnsi"/>
        </w:rPr>
        <w:t>Galvenā cēloņa kritērijs daudzos gadījumos nav derīgs cēloņsakarības pārbaudē, jo nereti kaitīgās sekas iestājas, vairākiem cēloņiem apvienojoties, piemēram, ja kaitīgās sekas iestājas pēc tam, kad vienas personas tīšām darbībām pievienojas citas personas neuzmanīga rīcība. Šo kritēriju lielākoties nav iespējams izmantot arī noziedzīgos nodarījumos bezdarbības formā, jo šajos gadījumos galvenais seku iestāšanās faktors parasti ir citas personas aktīvas darbības, kuras bezdarbību pieļāvusī persona nav novērsusi (</w:t>
      </w:r>
      <w:r w:rsidRPr="009C7A0A">
        <w:rPr>
          <w:rFonts w:eastAsiaTheme="minorHAnsi"/>
          <w:i/>
          <w:iCs/>
        </w:rPr>
        <w:t>Leja M. Krimināltiesību aktuālie jautājumi un to risinājumi Latvijā, Austrijā, Šveicē, Vācijā.</w:t>
      </w:r>
      <w:r w:rsidRPr="009C7A0A">
        <w:rPr>
          <w:rFonts w:eastAsiaTheme="minorHAnsi"/>
        </w:rPr>
        <w:t xml:space="preserve"> </w:t>
      </w:r>
      <w:r w:rsidRPr="009C7A0A">
        <w:rPr>
          <w:rFonts w:eastAsiaTheme="minorHAnsi"/>
          <w:i/>
          <w:iCs/>
        </w:rPr>
        <w:t>Noziedzīga nodarījuma uzbūve; cēloņsakarība; vaina; krimināltiesību normu interpretācija un</w:t>
      </w:r>
      <w:r w:rsidRPr="009C7A0A">
        <w:rPr>
          <w:rFonts w:eastAsiaTheme="minorHAnsi"/>
        </w:rPr>
        <w:t xml:space="preserve"> </w:t>
      </w:r>
      <w:r w:rsidRPr="009C7A0A">
        <w:rPr>
          <w:rFonts w:eastAsiaTheme="minorHAnsi"/>
          <w:i/>
          <w:iCs/>
        </w:rPr>
        <w:t>spēks laikā. I daļa. Rīga: Tiesu namu aģentūra, 2019, 485.–486. lpp</w:t>
      </w:r>
      <w:r w:rsidRPr="009C7A0A">
        <w:rPr>
          <w:rFonts w:eastAsiaTheme="minorHAnsi"/>
        </w:rPr>
        <w:t>.).</w:t>
      </w:r>
    </w:p>
    <w:p w14:paraId="63B2FA3F" w14:textId="263C0DF6" w:rsidR="009C591A" w:rsidRPr="009C7A0A" w:rsidRDefault="009C591A" w:rsidP="009C7A0A">
      <w:pPr>
        <w:pStyle w:val="BodyText2"/>
        <w:spacing w:line="276" w:lineRule="auto"/>
        <w:ind w:firstLine="720"/>
        <w:jc w:val="both"/>
        <w:rPr>
          <w:rFonts w:ascii="Times New Roman" w:hAnsi="Times New Roman"/>
          <w:sz w:val="24"/>
          <w:szCs w:val="24"/>
        </w:rPr>
      </w:pPr>
      <w:r w:rsidRPr="009C7A0A">
        <w:rPr>
          <w:rFonts w:ascii="Times New Roman" w:hAnsi="Times New Roman"/>
          <w:sz w:val="24"/>
          <w:szCs w:val="24"/>
        </w:rPr>
        <w:t xml:space="preserve">Senāts piekrīt minētajai atziņai, jo nereti kaitīgās sekas iestājas vairākiem cēloņiem apvienojoties, piemēram, ja sekas izraisa vairāku personu neuzmanīgas rīcības </w:t>
      </w:r>
      <w:r w:rsidRPr="009C7A0A">
        <w:rPr>
          <w:rFonts w:ascii="Times New Roman" w:hAnsi="Times New Roman"/>
          <w:sz w:val="24"/>
          <w:szCs w:val="24"/>
        </w:rPr>
        <w:lastRenderedPageBreak/>
        <w:t>„summēšanās”.</w:t>
      </w:r>
      <w:r w:rsidR="00BC3AD0" w:rsidRPr="009C7A0A">
        <w:rPr>
          <w:rFonts w:ascii="Times New Roman" w:hAnsi="Times New Roman"/>
          <w:sz w:val="24"/>
          <w:szCs w:val="24"/>
        </w:rPr>
        <w:t xml:space="preserve"> </w:t>
      </w:r>
      <w:r w:rsidR="00AF22BF" w:rsidRPr="009C7A0A">
        <w:rPr>
          <w:rFonts w:ascii="Times New Roman" w:hAnsi="Times New Roman"/>
          <w:sz w:val="24"/>
          <w:szCs w:val="24"/>
        </w:rPr>
        <w:t xml:space="preserve">Turklāt, </w:t>
      </w:r>
      <w:r w:rsidRPr="009C7A0A">
        <w:rPr>
          <w:rFonts w:ascii="Times New Roman" w:hAnsi="Times New Roman"/>
          <w:sz w:val="24"/>
          <w:szCs w:val="24"/>
        </w:rPr>
        <w:t xml:space="preserve">ja neuzmanības pakāpe ir līdzvērtīga vai precīzi nav salīdzināma, identificēt galveno (noteicošo) faktoru </w:t>
      </w:r>
      <w:r w:rsidR="00AF22BF" w:rsidRPr="009C7A0A">
        <w:rPr>
          <w:rFonts w:ascii="Times New Roman" w:hAnsi="Times New Roman"/>
          <w:sz w:val="24"/>
          <w:szCs w:val="24"/>
        </w:rPr>
        <w:t xml:space="preserve">parasti </w:t>
      </w:r>
      <w:r w:rsidRPr="009C7A0A">
        <w:rPr>
          <w:rFonts w:ascii="Times New Roman" w:hAnsi="Times New Roman"/>
          <w:sz w:val="24"/>
          <w:szCs w:val="24"/>
        </w:rPr>
        <w:t>nav iespējams</w:t>
      </w:r>
      <w:r w:rsidR="00AF22BF" w:rsidRPr="009C7A0A">
        <w:rPr>
          <w:rFonts w:ascii="Times New Roman" w:hAnsi="Times New Roman"/>
          <w:sz w:val="24"/>
          <w:szCs w:val="24"/>
        </w:rPr>
        <w:t>.</w:t>
      </w:r>
    </w:p>
    <w:p w14:paraId="643730F4" w14:textId="114FB5F4" w:rsidR="009C591A" w:rsidRPr="009C7A0A" w:rsidRDefault="009C591A" w:rsidP="009C7A0A">
      <w:pPr>
        <w:pStyle w:val="BodyText2"/>
        <w:spacing w:line="276" w:lineRule="auto"/>
        <w:ind w:firstLine="720"/>
        <w:jc w:val="both"/>
        <w:rPr>
          <w:rFonts w:ascii="Times New Roman" w:hAnsi="Times New Roman"/>
          <w:color w:val="000000" w:themeColor="text1"/>
          <w:sz w:val="24"/>
          <w:szCs w:val="24"/>
        </w:rPr>
      </w:pPr>
      <w:r w:rsidRPr="009C7A0A">
        <w:rPr>
          <w:rFonts w:ascii="Times New Roman" w:hAnsi="Times New Roman"/>
          <w:sz w:val="24"/>
          <w:szCs w:val="24"/>
        </w:rPr>
        <w:t>Senāts jau iepriekš paudis atziņu,</w:t>
      </w:r>
      <w:r w:rsidRPr="009C7A0A">
        <w:rPr>
          <w:rFonts w:ascii="Times New Roman" w:hAnsi="Times New Roman"/>
          <w:b/>
          <w:bCs/>
          <w:sz w:val="24"/>
          <w:szCs w:val="24"/>
        </w:rPr>
        <w:t xml:space="preserve"> </w:t>
      </w:r>
      <w:r w:rsidRPr="009C7A0A">
        <w:rPr>
          <w:rFonts w:ascii="Times New Roman" w:eastAsiaTheme="minorHAnsi" w:hAnsi="Times New Roman"/>
          <w:sz w:val="24"/>
          <w:szCs w:val="24"/>
        </w:rPr>
        <w:t xml:space="preserve">ka cēlonis nezaudē savu juridisko nozīmi, ja bez tā arī citi cēloņi veicinājuši seku iestāšanos. Ekvivalences teorijas principu izmantošanu Senāts akceptējis jau </w:t>
      </w:r>
      <w:r w:rsidRPr="009C7A0A">
        <w:rPr>
          <w:rFonts w:ascii="Times New Roman" w:hAnsi="Times New Roman"/>
          <w:color w:val="000000" w:themeColor="text1"/>
          <w:sz w:val="24"/>
          <w:szCs w:val="24"/>
        </w:rPr>
        <w:t>2019. gada 15. oktobra lēmumā lietā Nr. SKK</w:t>
      </w:r>
      <w:r w:rsidRPr="009C7A0A">
        <w:rPr>
          <w:rFonts w:ascii="Times New Roman" w:hAnsi="Times New Roman"/>
          <w:sz w:val="24"/>
          <w:szCs w:val="24"/>
        </w:rPr>
        <w:noBreakHyphen/>
      </w:r>
      <w:r w:rsidRPr="009C7A0A">
        <w:rPr>
          <w:rFonts w:ascii="Times New Roman" w:hAnsi="Times New Roman"/>
          <w:color w:val="000000" w:themeColor="text1"/>
          <w:sz w:val="24"/>
          <w:szCs w:val="24"/>
        </w:rPr>
        <w:t>357/2019 (</w:t>
      </w:r>
      <w:r w:rsidR="000D1D0B">
        <w:rPr>
          <w:rFonts w:ascii="Times New Roman" w:hAnsi="Times New Roman"/>
          <w:color w:val="000000" w:themeColor="text1"/>
          <w:sz w:val="24"/>
          <w:szCs w:val="24"/>
        </w:rPr>
        <w:t>sk. </w:t>
      </w:r>
      <w:r w:rsidR="000D1D0B" w:rsidRPr="000D1D0B">
        <w:rPr>
          <w:rFonts w:ascii="Times New Roman" w:hAnsi="Times New Roman"/>
          <w:i/>
          <w:iCs/>
          <w:color w:val="000000" w:themeColor="text1"/>
          <w:sz w:val="24"/>
          <w:szCs w:val="24"/>
        </w:rPr>
        <w:t xml:space="preserve">Senāta </w:t>
      </w:r>
      <w:r w:rsidRPr="000D1D0B">
        <w:rPr>
          <w:rFonts w:ascii="Times New Roman" w:hAnsi="Times New Roman"/>
          <w:i/>
          <w:iCs/>
          <w:sz w:val="24"/>
          <w:szCs w:val="24"/>
        </w:rPr>
        <w:t>2023. gada lēmuma lietā Nr. </w:t>
      </w:r>
      <w:hyperlink r:id="rId10" w:history="1">
        <w:r w:rsidRPr="005846EA">
          <w:rPr>
            <w:rStyle w:val="Hyperlink"/>
            <w:rFonts w:ascii="Times New Roman" w:hAnsi="Times New Roman"/>
            <w:i/>
            <w:iCs/>
            <w:sz w:val="24"/>
            <w:szCs w:val="24"/>
          </w:rPr>
          <w:t>SKK</w:t>
        </w:r>
        <w:r w:rsidRPr="005846EA">
          <w:rPr>
            <w:rStyle w:val="Hyperlink"/>
            <w:rFonts w:ascii="Times New Roman" w:hAnsi="Times New Roman"/>
            <w:i/>
            <w:iCs/>
            <w:sz w:val="24"/>
            <w:szCs w:val="24"/>
          </w:rPr>
          <w:noBreakHyphen/>
          <w:t>[P]/2023</w:t>
        </w:r>
      </w:hyperlink>
      <w:r w:rsidRPr="000D1D0B">
        <w:rPr>
          <w:rFonts w:ascii="Times New Roman" w:hAnsi="Times New Roman"/>
          <w:i/>
          <w:iCs/>
          <w:sz w:val="24"/>
          <w:szCs w:val="24"/>
        </w:rPr>
        <w:t>,</w:t>
      </w:r>
      <w:r w:rsidR="005846EA">
        <w:rPr>
          <w:rFonts w:ascii="Times New Roman" w:hAnsi="Times New Roman"/>
          <w:i/>
          <w:iCs/>
          <w:sz w:val="24"/>
          <w:szCs w:val="24"/>
        </w:rPr>
        <w:t xml:space="preserve"> </w:t>
      </w:r>
      <w:r w:rsidRPr="000D1D0B">
        <w:rPr>
          <w:rFonts w:ascii="Times New Roman" w:hAnsi="Times New Roman"/>
          <w:i/>
          <w:iCs/>
          <w:sz w:val="24"/>
          <w:szCs w:val="24"/>
        </w:rPr>
        <w:t>8.2. punkt</w:t>
      </w:r>
      <w:r w:rsidR="005846EA">
        <w:rPr>
          <w:rFonts w:ascii="Times New Roman" w:hAnsi="Times New Roman"/>
          <w:i/>
          <w:iCs/>
          <w:sz w:val="24"/>
          <w:szCs w:val="24"/>
        </w:rPr>
        <w:t>u, pieejams Augstākās tiesas tīmekļvietnē</w:t>
      </w:r>
      <w:r w:rsidRPr="009C7A0A">
        <w:rPr>
          <w:rFonts w:ascii="Times New Roman" w:hAnsi="Times New Roman"/>
          <w:sz w:val="24"/>
          <w:szCs w:val="24"/>
        </w:rPr>
        <w:t>)</w:t>
      </w:r>
      <w:r w:rsidRPr="009C7A0A">
        <w:rPr>
          <w:rFonts w:ascii="Times New Roman" w:hAnsi="Times New Roman"/>
          <w:color w:val="000000" w:themeColor="text1"/>
          <w:sz w:val="24"/>
          <w:szCs w:val="24"/>
        </w:rPr>
        <w:t>.</w:t>
      </w:r>
    </w:p>
    <w:p w14:paraId="14591B65" w14:textId="773C0AD6" w:rsidR="009C591A" w:rsidRPr="009C7A0A" w:rsidRDefault="009C591A" w:rsidP="009C7A0A">
      <w:pPr>
        <w:pStyle w:val="BodyText2"/>
        <w:spacing w:line="276" w:lineRule="auto"/>
        <w:ind w:firstLine="720"/>
        <w:jc w:val="both"/>
        <w:rPr>
          <w:rFonts w:ascii="Times New Roman" w:hAnsi="Times New Roman"/>
          <w:sz w:val="24"/>
          <w:szCs w:val="24"/>
        </w:rPr>
      </w:pPr>
      <w:r w:rsidRPr="009C7A0A">
        <w:rPr>
          <w:rFonts w:ascii="Times New Roman" w:hAnsi="Times New Roman"/>
          <w:sz w:val="24"/>
          <w:szCs w:val="24"/>
        </w:rPr>
        <w:t>Senāts norāda, ka kriminālatbildība ir bargākais juridiskās atbildības veids, tāpēc cēloņsakarību neveido jebkurš nosacījums, kas jebkādā veidā ietekmē seku iestāšanās laiku un/vai vietu. Cēloņsakarība nav konstatējama gadījumā, ja nodarījums nebūtiski ietekmē seku iestāšanās laiku, vienlaikus neietekmējot seku iestāšanos kopumā. Piemēram, nodarījums nenozīmīgi paātrina būves sabrukšanu (tas ir, procesu), bet neietekmē sekas – būves sabrukumu.</w:t>
      </w:r>
    </w:p>
    <w:p w14:paraId="397CB1FB" w14:textId="54E4EEA8" w:rsidR="009C591A" w:rsidRPr="009C7A0A" w:rsidRDefault="009C591A" w:rsidP="009C7A0A">
      <w:pPr>
        <w:pStyle w:val="BodyText2"/>
        <w:spacing w:line="276" w:lineRule="auto"/>
        <w:ind w:firstLine="720"/>
        <w:jc w:val="both"/>
        <w:rPr>
          <w:rFonts w:ascii="Times New Roman" w:hAnsi="Times New Roman"/>
          <w:sz w:val="24"/>
          <w:szCs w:val="24"/>
        </w:rPr>
      </w:pPr>
      <w:r w:rsidRPr="009C7A0A">
        <w:rPr>
          <w:rFonts w:ascii="Times New Roman" w:hAnsi="Times New Roman"/>
          <w:sz w:val="24"/>
          <w:szCs w:val="24"/>
        </w:rPr>
        <w:t>Tādējādi tiesām, pārbaudot cēloņsakarības esību, ir jāvērtē, kāda mērā nodarījums sekmēja seku iestāšanos gadījumā, ja šīs sekas</w:t>
      </w:r>
      <w:r w:rsidR="00EA4EEE" w:rsidRPr="009C7A0A">
        <w:rPr>
          <w:rFonts w:ascii="Times New Roman" w:hAnsi="Times New Roman"/>
          <w:sz w:val="24"/>
          <w:szCs w:val="24"/>
        </w:rPr>
        <w:t xml:space="preserve"> nenovēršami</w:t>
      </w:r>
      <w:r w:rsidRPr="009C7A0A">
        <w:rPr>
          <w:rFonts w:ascii="Times New Roman" w:hAnsi="Times New Roman"/>
          <w:sz w:val="24"/>
          <w:szCs w:val="24"/>
        </w:rPr>
        <w:t xml:space="preserve"> </w:t>
      </w:r>
      <w:r w:rsidR="00EA4EEE" w:rsidRPr="009C7A0A">
        <w:rPr>
          <w:rFonts w:ascii="Times New Roman" w:hAnsi="Times New Roman"/>
          <w:sz w:val="24"/>
          <w:szCs w:val="24"/>
        </w:rPr>
        <w:t>i</w:t>
      </w:r>
      <w:r w:rsidRPr="009C7A0A">
        <w:rPr>
          <w:rFonts w:ascii="Times New Roman" w:hAnsi="Times New Roman"/>
          <w:sz w:val="24"/>
          <w:szCs w:val="24"/>
        </w:rPr>
        <w:t>estātos citā laikā vai vietā. Šādam vērtējumam jābūt pamatotam ar izskatāmajā lietā konstatētajiem faktiem, nepiešķirot izšķirošu nozīmi seku iestāšanās laikam.</w:t>
      </w:r>
    </w:p>
    <w:p w14:paraId="7FC4BE2D" w14:textId="7B173CD3" w:rsidR="009C591A" w:rsidRPr="009C7A0A" w:rsidRDefault="009C591A" w:rsidP="009C7A0A">
      <w:pPr>
        <w:spacing w:line="276" w:lineRule="auto"/>
        <w:ind w:firstLine="720"/>
        <w:jc w:val="both"/>
      </w:pPr>
      <w:r w:rsidRPr="009C7A0A">
        <w:t>Senāts norāda, ka cēloņsakarība kā noziedzīga nodarījuma sastāva pazīme izriet no normas uzbūves, tās konstatēšanas nepieciešamību nosa</w:t>
      </w:r>
      <w:r w:rsidR="00AD3C3E" w:rsidRPr="009C7A0A">
        <w:t>ka</w:t>
      </w:r>
      <w:r w:rsidRPr="009C7A0A">
        <w:t xml:space="preserve"> noziedzīga nodarījuma sastāvā </w:t>
      </w:r>
      <w:r w:rsidR="004201BC" w:rsidRPr="009C7A0A">
        <w:t>paredzēt</w:t>
      </w:r>
      <w:r w:rsidR="00AD3C3E" w:rsidRPr="009C7A0A">
        <w:t>ās</w:t>
      </w:r>
      <w:r w:rsidRPr="009C7A0A">
        <w:t xml:space="preserve"> kaitīg</w:t>
      </w:r>
      <w:r w:rsidR="00AD3C3E" w:rsidRPr="009C7A0A">
        <w:t>ās</w:t>
      </w:r>
      <w:r w:rsidRPr="009C7A0A">
        <w:t xml:space="preserve"> sek</w:t>
      </w:r>
      <w:r w:rsidR="00AD3C3E" w:rsidRPr="009C7A0A">
        <w:t>as</w:t>
      </w:r>
      <w:r w:rsidRPr="009C7A0A">
        <w:t>. Līdz ar to, krimināltiesībās noskaidrojot cēloņsakarības esību, ir nepieciešams konstatēt, vai nodarījums (darbība vai bezdarbība), kas atrodas cēloniskā sakarā ar sekām, atbilst noziedzīga nodarījuma objektīvās puses pazīmēm.</w:t>
      </w:r>
    </w:p>
    <w:p w14:paraId="39C0B5F1" w14:textId="28730E3E" w:rsidR="009C591A" w:rsidRPr="009C7A0A" w:rsidRDefault="009C591A" w:rsidP="009C7A0A">
      <w:pPr>
        <w:spacing w:line="276" w:lineRule="auto"/>
        <w:ind w:firstLine="720"/>
        <w:jc w:val="both"/>
        <w:rPr>
          <w:i/>
          <w:iCs/>
          <w:color w:val="000000" w:themeColor="text1"/>
        </w:rPr>
      </w:pPr>
      <w:r w:rsidRPr="009C7A0A">
        <w:rPr>
          <w:color w:val="000000" w:themeColor="text1"/>
        </w:rPr>
        <w:t xml:space="preserve">Krimināltiesību teorijā kā palīglīdzeklis cēloņsakarības noskaidrošanai ir izstrādāta mācība par objektīvo </w:t>
      </w:r>
      <w:proofErr w:type="spellStart"/>
      <w:r w:rsidRPr="009C7A0A">
        <w:rPr>
          <w:color w:val="000000" w:themeColor="text1"/>
        </w:rPr>
        <w:t>attiecināmību</w:t>
      </w:r>
      <w:proofErr w:type="spellEnd"/>
      <w:r w:rsidRPr="009C7A0A">
        <w:rPr>
          <w:i/>
          <w:iCs/>
        </w:rPr>
        <w:t xml:space="preserve"> </w:t>
      </w:r>
      <w:r w:rsidRPr="009C7A0A">
        <w:t>(„</w:t>
      </w:r>
      <w:proofErr w:type="spellStart"/>
      <w:r w:rsidRPr="009C7A0A">
        <w:rPr>
          <w:i/>
          <w:iCs/>
        </w:rPr>
        <w:t>zurechnen</w:t>
      </w:r>
      <w:proofErr w:type="spellEnd"/>
      <w:r w:rsidRPr="009C7A0A">
        <w:t xml:space="preserve">” – tulkojumā </w:t>
      </w:r>
      <w:r w:rsidR="00AD0D46" w:rsidRPr="009C7A0A">
        <w:t>n</w:t>
      </w:r>
      <w:r w:rsidRPr="009C7A0A">
        <w:t>ozīmē „attiecināt”, „pieskaitīt”)</w:t>
      </w:r>
      <w:r w:rsidRPr="009C7A0A">
        <w:rPr>
          <w:color w:val="000000" w:themeColor="text1"/>
        </w:rPr>
        <w:t xml:space="preserve">. Saskaņā ar šo mācību </w:t>
      </w:r>
      <w:r w:rsidRPr="009C7A0A">
        <w:rPr>
          <w:iCs/>
          <w:color w:val="000000" w:themeColor="text1"/>
        </w:rPr>
        <w:t xml:space="preserve">vispirms pārbaudāms, </w:t>
      </w:r>
      <w:bookmarkStart w:id="5" w:name="_Hlk181091198"/>
      <w:r w:rsidRPr="009C7A0A">
        <w:rPr>
          <w:iCs/>
          <w:color w:val="000000" w:themeColor="text1"/>
        </w:rPr>
        <w:t>vai nodarījums ne vien formāli atbilst noziedzīga nodarījuma sastāvam,</w:t>
      </w:r>
      <w:bookmarkEnd w:id="5"/>
      <w:r w:rsidRPr="009C7A0A">
        <w:rPr>
          <w:iCs/>
          <w:color w:val="000000" w:themeColor="text1"/>
        </w:rPr>
        <w:t xml:space="preserve"> bet papildus arī tas, vai nodarījums ir sociāli </w:t>
      </w:r>
      <w:r w:rsidR="00EA4EEE" w:rsidRPr="009C7A0A">
        <w:rPr>
          <w:iCs/>
          <w:color w:val="000000" w:themeColor="text1"/>
        </w:rPr>
        <w:t>nozīmīgi b</w:t>
      </w:r>
      <w:r w:rsidRPr="009C7A0A">
        <w:rPr>
          <w:iCs/>
          <w:color w:val="000000" w:themeColor="text1"/>
        </w:rPr>
        <w:t xml:space="preserve">īstams. Tam jārada krimināltiesiski nozīmīgs risks noteiktām (pārbaudāmā delikta tipiskām) </w:t>
      </w:r>
      <w:r w:rsidR="00BD2C60" w:rsidRPr="009C7A0A">
        <w:rPr>
          <w:iCs/>
          <w:color w:val="000000" w:themeColor="text1"/>
        </w:rPr>
        <w:t>sekām</w:t>
      </w:r>
      <w:r w:rsidRPr="009C7A0A">
        <w:rPr>
          <w:iCs/>
          <w:color w:val="000000" w:themeColor="text1"/>
        </w:rPr>
        <w:t xml:space="preserve"> un šajā ziņā jāatsedz deliktam specifisks briesmu rādiuss. Ja tas tā nav, atbildība par konkrēto nodarījumu neiestājas jau šī iemesla dēļ </w:t>
      </w:r>
      <w:bookmarkStart w:id="6" w:name="_Hlk184368754"/>
      <w:r w:rsidRPr="009C7A0A">
        <w:rPr>
          <w:iCs/>
          <w:color w:val="000000" w:themeColor="text1"/>
        </w:rPr>
        <w:t>(</w:t>
      </w:r>
      <w:proofErr w:type="spellStart"/>
      <w:r w:rsidRPr="009C7A0A">
        <w:rPr>
          <w:bCs/>
          <w:i/>
          <w:iCs/>
          <w:color w:val="000000" w:themeColor="text1"/>
          <w:spacing w:val="-3"/>
        </w:rPr>
        <w:t>Steininger</w:t>
      </w:r>
      <w:proofErr w:type="spellEnd"/>
      <w:r w:rsidRPr="009C7A0A">
        <w:rPr>
          <w:bCs/>
          <w:i/>
          <w:iCs/>
          <w:color w:val="000000" w:themeColor="text1"/>
          <w:spacing w:val="-3"/>
        </w:rPr>
        <w:t xml:space="preserve"> E. </w:t>
      </w:r>
      <w:proofErr w:type="spellStart"/>
      <w:r w:rsidRPr="009C7A0A">
        <w:rPr>
          <w:bCs/>
          <w:i/>
          <w:iCs/>
          <w:color w:val="000000" w:themeColor="text1"/>
          <w:spacing w:val="-3"/>
        </w:rPr>
        <w:t>Strafrecht</w:t>
      </w:r>
      <w:proofErr w:type="spellEnd"/>
      <w:r w:rsidRPr="009C7A0A">
        <w:rPr>
          <w:bCs/>
          <w:i/>
          <w:iCs/>
          <w:color w:val="000000" w:themeColor="text1"/>
          <w:spacing w:val="-3"/>
        </w:rPr>
        <w:t xml:space="preserve">. </w:t>
      </w:r>
      <w:proofErr w:type="spellStart"/>
      <w:r w:rsidRPr="009C7A0A">
        <w:rPr>
          <w:bCs/>
          <w:i/>
          <w:iCs/>
          <w:color w:val="000000" w:themeColor="text1"/>
          <w:spacing w:val="-3"/>
        </w:rPr>
        <w:t>Allgemeiner</w:t>
      </w:r>
      <w:proofErr w:type="spellEnd"/>
      <w:r w:rsidRPr="009C7A0A">
        <w:rPr>
          <w:bCs/>
          <w:i/>
          <w:iCs/>
          <w:color w:val="000000" w:themeColor="text1"/>
          <w:spacing w:val="-3"/>
        </w:rPr>
        <w:t xml:space="preserve"> </w:t>
      </w:r>
      <w:proofErr w:type="spellStart"/>
      <w:r w:rsidRPr="009C7A0A">
        <w:rPr>
          <w:bCs/>
          <w:i/>
          <w:iCs/>
          <w:color w:val="000000" w:themeColor="text1"/>
          <w:spacing w:val="-3"/>
        </w:rPr>
        <w:t>Teil</w:t>
      </w:r>
      <w:proofErr w:type="spellEnd"/>
      <w:r w:rsidRPr="009C7A0A">
        <w:rPr>
          <w:bCs/>
          <w:i/>
          <w:iCs/>
          <w:color w:val="000000" w:themeColor="text1"/>
          <w:spacing w:val="-3"/>
        </w:rPr>
        <w:t xml:space="preserve">: </w:t>
      </w:r>
      <w:proofErr w:type="spellStart"/>
      <w:r w:rsidRPr="009C7A0A">
        <w:rPr>
          <w:i/>
          <w:iCs/>
          <w:color w:val="000000" w:themeColor="text1"/>
          <w:spacing w:val="-3"/>
        </w:rPr>
        <w:t>Eine</w:t>
      </w:r>
      <w:proofErr w:type="spellEnd"/>
      <w:r w:rsidRPr="009C7A0A">
        <w:rPr>
          <w:i/>
          <w:iCs/>
          <w:color w:val="000000" w:themeColor="text1"/>
          <w:spacing w:val="-3"/>
        </w:rPr>
        <w:t xml:space="preserve"> </w:t>
      </w:r>
      <w:proofErr w:type="spellStart"/>
      <w:r w:rsidRPr="009C7A0A">
        <w:rPr>
          <w:i/>
          <w:iCs/>
          <w:color w:val="000000" w:themeColor="text1"/>
          <w:spacing w:val="-3"/>
        </w:rPr>
        <w:t>Einführung</w:t>
      </w:r>
      <w:proofErr w:type="spellEnd"/>
      <w:r w:rsidRPr="009C7A0A">
        <w:rPr>
          <w:i/>
          <w:iCs/>
          <w:color w:val="000000" w:themeColor="text1"/>
          <w:spacing w:val="-3"/>
        </w:rPr>
        <w:t xml:space="preserve">. </w:t>
      </w:r>
      <w:proofErr w:type="spellStart"/>
      <w:r w:rsidRPr="009C7A0A">
        <w:rPr>
          <w:i/>
          <w:iCs/>
          <w:color w:val="000000" w:themeColor="text1"/>
          <w:spacing w:val="-3"/>
        </w:rPr>
        <w:t>Grundlagen</w:t>
      </w:r>
      <w:proofErr w:type="spellEnd"/>
      <w:r w:rsidRPr="009C7A0A">
        <w:rPr>
          <w:i/>
          <w:iCs/>
          <w:color w:val="000000" w:themeColor="text1"/>
          <w:spacing w:val="-3"/>
        </w:rPr>
        <w:t xml:space="preserve"> – </w:t>
      </w:r>
      <w:proofErr w:type="spellStart"/>
      <w:r w:rsidRPr="009C7A0A">
        <w:rPr>
          <w:i/>
          <w:iCs/>
          <w:color w:val="000000" w:themeColor="text1"/>
          <w:spacing w:val="-3"/>
        </w:rPr>
        <w:t>Das</w:t>
      </w:r>
      <w:proofErr w:type="spellEnd"/>
      <w:r w:rsidRPr="009C7A0A">
        <w:rPr>
          <w:i/>
          <w:iCs/>
          <w:color w:val="000000" w:themeColor="text1"/>
          <w:spacing w:val="-3"/>
        </w:rPr>
        <w:t xml:space="preserve"> </w:t>
      </w:r>
      <w:proofErr w:type="spellStart"/>
      <w:r w:rsidRPr="009C7A0A">
        <w:rPr>
          <w:i/>
          <w:iCs/>
          <w:color w:val="000000" w:themeColor="text1"/>
          <w:spacing w:val="-3"/>
        </w:rPr>
        <w:t>vollendete</w:t>
      </w:r>
      <w:proofErr w:type="spellEnd"/>
      <w:r w:rsidRPr="009C7A0A">
        <w:rPr>
          <w:i/>
          <w:iCs/>
          <w:color w:val="000000" w:themeColor="text1"/>
          <w:spacing w:val="-3"/>
        </w:rPr>
        <w:t xml:space="preserve"> </w:t>
      </w:r>
      <w:proofErr w:type="spellStart"/>
      <w:r w:rsidRPr="009C7A0A">
        <w:rPr>
          <w:i/>
          <w:iCs/>
          <w:color w:val="000000" w:themeColor="text1"/>
          <w:spacing w:val="-3"/>
        </w:rPr>
        <w:t>vorsätzliche</w:t>
      </w:r>
      <w:proofErr w:type="spellEnd"/>
      <w:r w:rsidRPr="009C7A0A">
        <w:rPr>
          <w:i/>
          <w:iCs/>
          <w:color w:val="000000" w:themeColor="text1"/>
          <w:spacing w:val="-3"/>
        </w:rPr>
        <w:t xml:space="preserve"> </w:t>
      </w:r>
      <w:proofErr w:type="spellStart"/>
      <w:r w:rsidRPr="009C7A0A">
        <w:rPr>
          <w:i/>
          <w:iCs/>
          <w:color w:val="000000" w:themeColor="text1"/>
          <w:spacing w:val="-3"/>
        </w:rPr>
        <w:t>Erfolgsdelikt</w:t>
      </w:r>
      <w:proofErr w:type="spellEnd"/>
      <w:r w:rsidRPr="009C7A0A">
        <w:rPr>
          <w:i/>
          <w:iCs/>
          <w:color w:val="000000" w:themeColor="text1"/>
          <w:spacing w:val="-3"/>
        </w:rPr>
        <w:t xml:space="preserve">. </w:t>
      </w:r>
      <w:proofErr w:type="spellStart"/>
      <w:r w:rsidRPr="009C7A0A">
        <w:rPr>
          <w:i/>
          <w:iCs/>
          <w:color w:val="000000" w:themeColor="text1"/>
          <w:spacing w:val="-3"/>
        </w:rPr>
        <w:t>Band</w:t>
      </w:r>
      <w:proofErr w:type="spellEnd"/>
      <w:r w:rsidRPr="009C7A0A">
        <w:rPr>
          <w:i/>
          <w:iCs/>
          <w:color w:val="000000" w:themeColor="text1"/>
          <w:spacing w:val="-3"/>
        </w:rPr>
        <w:t xml:space="preserve"> 1. </w:t>
      </w:r>
      <w:proofErr w:type="spellStart"/>
      <w:r w:rsidRPr="009C7A0A">
        <w:rPr>
          <w:i/>
          <w:iCs/>
          <w:color w:val="000000" w:themeColor="text1"/>
          <w:spacing w:val="-3"/>
        </w:rPr>
        <w:t>Wien</w:t>
      </w:r>
      <w:proofErr w:type="spellEnd"/>
      <w:r w:rsidRPr="009C7A0A">
        <w:rPr>
          <w:i/>
          <w:iCs/>
          <w:color w:val="000000" w:themeColor="text1"/>
          <w:spacing w:val="-3"/>
        </w:rPr>
        <w:t xml:space="preserve">: Linde </w:t>
      </w:r>
      <w:proofErr w:type="spellStart"/>
      <w:r w:rsidRPr="009C7A0A">
        <w:rPr>
          <w:i/>
          <w:iCs/>
          <w:color w:val="000000" w:themeColor="text1"/>
          <w:spacing w:val="-3"/>
        </w:rPr>
        <w:t>Verlag</w:t>
      </w:r>
      <w:proofErr w:type="spellEnd"/>
      <w:r w:rsidRPr="009C7A0A">
        <w:rPr>
          <w:i/>
          <w:iCs/>
          <w:color w:val="000000" w:themeColor="text1"/>
          <w:spacing w:val="-3"/>
        </w:rPr>
        <w:t>, 2013, S. 187</w:t>
      </w:r>
      <w:r w:rsidRPr="009C7A0A">
        <w:rPr>
          <w:color w:val="000000" w:themeColor="text1"/>
        </w:rPr>
        <w:t>)</w:t>
      </w:r>
      <w:r w:rsidRPr="009C7A0A">
        <w:rPr>
          <w:i/>
          <w:iCs/>
          <w:color w:val="000000" w:themeColor="text1"/>
        </w:rPr>
        <w:t>.</w:t>
      </w:r>
    </w:p>
    <w:bookmarkEnd w:id="6"/>
    <w:p w14:paraId="3110A01D" w14:textId="3605510D" w:rsidR="009C591A" w:rsidRPr="009C7A0A" w:rsidRDefault="00BD2C60" w:rsidP="009C7A0A">
      <w:pPr>
        <w:spacing w:line="276" w:lineRule="auto"/>
        <w:ind w:firstLine="720"/>
        <w:jc w:val="both"/>
        <w:rPr>
          <w:rStyle w:val="Hyperlink"/>
          <w:iCs/>
          <w:color w:val="auto"/>
          <w:u w:val="none"/>
        </w:rPr>
      </w:pPr>
      <w:r w:rsidRPr="009C7A0A">
        <w:t>Mācība</w:t>
      </w:r>
      <w:r w:rsidR="009C591A" w:rsidRPr="009C7A0A">
        <w:t xml:space="preserve"> par objektīvo </w:t>
      </w:r>
      <w:proofErr w:type="spellStart"/>
      <w:r w:rsidR="009C591A" w:rsidRPr="009C7A0A">
        <w:t>attiecināmību</w:t>
      </w:r>
      <w:proofErr w:type="spellEnd"/>
      <w:r w:rsidR="009C591A" w:rsidRPr="009C7A0A">
        <w:t xml:space="preserve"> ir atzīta ne tikai kontinentālajās tiesībās, bet arī anglosakšu tiesībās.</w:t>
      </w:r>
    </w:p>
    <w:p w14:paraId="65DB4FE6" w14:textId="0CD19D68" w:rsidR="009C591A" w:rsidRPr="009C7A0A" w:rsidRDefault="009C591A" w:rsidP="009C7A0A">
      <w:pPr>
        <w:spacing w:line="276" w:lineRule="auto"/>
        <w:ind w:firstLine="720"/>
        <w:jc w:val="both"/>
        <w:rPr>
          <w:rStyle w:val="Hyperlink"/>
          <w:bCs/>
          <w:iCs/>
          <w:color w:val="auto"/>
          <w:u w:val="none"/>
        </w:rPr>
      </w:pPr>
      <w:r w:rsidRPr="009C7A0A">
        <w:t xml:space="preserve">Objektīvās </w:t>
      </w:r>
      <w:proofErr w:type="spellStart"/>
      <w:r w:rsidRPr="009C7A0A">
        <w:t>attiecināmības</w:t>
      </w:r>
      <w:proofErr w:type="spellEnd"/>
      <w:r w:rsidRPr="009C7A0A">
        <w:t xml:space="preserve"> izvirzītie mērķi ir nošķirt netaisnību un izslēgt pārmērīgu kait</w:t>
      </w:r>
      <w:r w:rsidR="00BD2C60" w:rsidRPr="009C7A0A">
        <w:t>īguma</w:t>
      </w:r>
      <w:r w:rsidRPr="009C7A0A">
        <w:t xml:space="preserve"> piedēvēšanu prettiesiskai rīcībai (</w:t>
      </w:r>
      <w:proofErr w:type="spellStart"/>
      <w:r w:rsidRPr="009C7A0A">
        <w:rPr>
          <w:i/>
          <w:iCs/>
        </w:rPr>
        <w:t>versanti</w:t>
      </w:r>
      <w:proofErr w:type="spellEnd"/>
      <w:r w:rsidRPr="009C7A0A">
        <w:rPr>
          <w:i/>
          <w:iCs/>
        </w:rPr>
        <w:t xml:space="preserve"> </w:t>
      </w:r>
      <w:proofErr w:type="spellStart"/>
      <w:r w:rsidRPr="009C7A0A">
        <w:rPr>
          <w:i/>
          <w:iCs/>
        </w:rPr>
        <w:t>in</w:t>
      </w:r>
      <w:proofErr w:type="spellEnd"/>
      <w:r w:rsidRPr="009C7A0A">
        <w:rPr>
          <w:i/>
          <w:iCs/>
        </w:rPr>
        <w:t xml:space="preserve"> re </w:t>
      </w:r>
      <w:proofErr w:type="spellStart"/>
      <w:r w:rsidRPr="009C7A0A">
        <w:rPr>
          <w:i/>
          <w:iCs/>
        </w:rPr>
        <w:t>illicita</w:t>
      </w:r>
      <w:proofErr w:type="spellEnd"/>
      <w:r w:rsidRPr="009C7A0A">
        <w:rPr>
          <w:i/>
          <w:iCs/>
        </w:rPr>
        <w:t xml:space="preserve"> </w:t>
      </w:r>
      <w:proofErr w:type="spellStart"/>
      <w:r w:rsidRPr="009C7A0A">
        <w:rPr>
          <w:i/>
          <w:iCs/>
        </w:rPr>
        <w:t>imputantur</w:t>
      </w:r>
      <w:proofErr w:type="spellEnd"/>
      <w:r w:rsidRPr="009C7A0A">
        <w:rPr>
          <w:i/>
          <w:iCs/>
        </w:rPr>
        <w:t xml:space="preserve"> </w:t>
      </w:r>
      <w:proofErr w:type="spellStart"/>
      <w:r w:rsidRPr="009C7A0A">
        <w:rPr>
          <w:i/>
          <w:iCs/>
        </w:rPr>
        <w:t>omnia</w:t>
      </w:r>
      <w:proofErr w:type="spellEnd"/>
      <w:r w:rsidRPr="009C7A0A">
        <w:rPr>
          <w:i/>
          <w:iCs/>
        </w:rPr>
        <w:t xml:space="preserve"> </w:t>
      </w:r>
      <w:proofErr w:type="spellStart"/>
      <w:r w:rsidRPr="009C7A0A">
        <w:rPr>
          <w:i/>
          <w:iCs/>
        </w:rPr>
        <w:t>quae</w:t>
      </w:r>
      <w:proofErr w:type="spellEnd"/>
      <w:r w:rsidRPr="009C7A0A">
        <w:rPr>
          <w:i/>
          <w:iCs/>
        </w:rPr>
        <w:t xml:space="preserve"> </w:t>
      </w:r>
      <w:proofErr w:type="spellStart"/>
      <w:r w:rsidRPr="009C7A0A">
        <w:rPr>
          <w:i/>
          <w:iCs/>
        </w:rPr>
        <w:t>sequuntur</w:t>
      </w:r>
      <w:proofErr w:type="spellEnd"/>
      <w:r w:rsidRPr="009C7A0A">
        <w:rPr>
          <w:i/>
          <w:iCs/>
        </w:rPr>
        <w:t xml:space="preserve"> </w:t>
      </w:r>
      <w:proofErr w:type="spellStart"/>
      <w:r w:rsidRPr="009C7A0A">
        <w:rPr>
          <w:i/>
          <w:iCs/>
        </w:rPr>
        <w:t>ex</w:t>
      </w:r>
      <w:proofErr w:type="spellEnd"/>
      <w:r w:rsidRPr="009C7A0A">
        <w:rPr>
          <w:i/>
          <w:iCs/>
        </w:rPr>
        <w:t xml:space="preserve"> </w:t>
      </w:r>
      <w:proofErr w:type="spellStart"/>
      <w:r w:rsidRPr="009C7A0A">
        <w:rPr>
          <w:i/>
          <w:iCs/>
        </w:rPr>
        <w:t>delicto</w:t>
      </w:r>
      <w:proofErr w:type="spellEnd"/>
      <w:r w:rsidR="00CD57BD" w:rsidRPr="009C7A0A">
        <w:t xml:space="preserve"> – tulkojumā nozīmē „</w:t>
      </w:r>
      <w:r w:rsidRPr="009C7A0A">
        <w:t>kurš iebrauc aizlie</w:t>
      </w:r>
      <w:r w:rsidR="00AF22BF" w:rsidRPr="009C7A0A">
        <w:t>g</w:t>
      </w:r>
      <w:r w:rsidRPr="009C7A0A">
        <w:t>tā teritorijā, atbild par visām sekām, kas izriet no neatļautās rīcības</w:t>
      </w:r>
      <w:r w:rsidR="00CD57BD" w:rsidRPr="009C7A0A">
        <w:t>”</w:t>
      </w:r>
      <w:r w:rsidRPr="009C7A0A">
        <w:t xml:space="preserve">). Doktrīna koncentrējas uz atbilstību starp apdraudējumu izraisošo darbību un materializētu apdraudējumu, un izmanto divpakāpju testu: a) vai apsūdzētā rīcība radīja prettiesisku apdraudējumu, kas izraisīja attiecīgo aizliegto kaitējumu; un b) vai faktiskais kaitējums ir tieši šī apdraudējuma materializācija </w:t>
      </w:r>
      <w:bookmarkStart w:id="7" w:name="_Hlk184368772"/>
      <w:r w:rsidRPr="009C7A0A">
        <w:t>(</w:t>
      </w:r>
      <w:bookmarkStart w:id="8" w:name="_Toc175666605"/>
      <w:proofErr w:type="spellStart"/>
      <w:r w:rsidRPr="009C7A0A">
        <w:rPr>
          <w:bCs/>
          <w:i/>
        </w:rPr>
        <w:t>Stuckenberg</w:t>
      </w:r>
      <w:proofErr w:type="spellEnd"/>
      <w:r w:rsidRPr="009C7A0A">
        <w:rPr>
          <w:bCs/>
          <w:i/>
        </w:rPr>
        <w:t xml:space="preserve"> C. F., </w:t>
      </w:r>
      <w:proofErr w:type="spellStart"/>
      <w:r w:rsidRPr="009C7A0A">
        <w:rPr>
          <w:bCs/>
          <w:i/>
        </w:rPr>
        <w:t>Causation</w:t>
      </w:r>
      <w:proofErr w:type="spellEnd"/>
      <w:r w:rsidRPr="009C7A0A">
        <w:rPr>
          <w:bCs/>
          <w:i/>
        </w:rPr>
        <w:t xml:space="preserve">, </w:t>
      </w:r>
      <w:proofErr w:type="spellStart"/>
      <w:r w:rsidRPr="009C7A0A">
        <w:rPr>
          <w:bCs/>
          <w:i/>
        </w:rPr>
        <w:t>in</w:t>
      </w:r>
      <w:proofErr w:type="spellEnd"/>
      <w:r w:rsidRPr="009C7A0A">
        <w:rPr>
          <w:bCs/>
          <w:i/>
        </w:rPr>
        <w:t xml:space="preserve">: </w:t>
      </w:r>
      <w:proofErr w:type="spellStart"/>
      <w:r w:rsidRPr="009C7A0A">
        <w:rPr>
          <w:bCs/>
          <w:i/>
        </w:rPr>
        <w:t>The</w:t>
      </w:r>
      <w:proofErr w:type="spellEnd"/>
      <w:r w:rsidRPr="009C7A0A">
        <w:rPr>
          <w:bCs/>
          <w:i/>
        </w:rPr>
        <w:t xml:space="preserve"> </w:t>
      </w:r>
      <w:proofErr w:type="spellStart"/>
      <w:r w:rsidRPr="009C7A0A">
        <w:rPr>
          <w:bCs/>
          <w:i/>
        </w:rPr>
        <w:t>Oxford</w:t>
      </w:r>
      <w:proofErr w:type="spellEnd"/>
      <w:r w:rsidRPr="009C7A0A">
        <w:rPr>
          <w:bCs/>
          <w:i/>
        </w:rPr>
        <w:t xml:space="preserve"> </w:t>
      </w:r>
      <w:proofErr w:type="spellStart"/>
      <w:r w:rsidRPr="009C7A0A">
        <w:rPr>
          <w:bCs/>
          <w:i/>
        </w:rPr>
        <w:t>Handbook</w:t>
      </w:r>
      <w:proofErr w:type="spellEnd"/>
      <w:r w:rsidRPr="009C7A0A">
        <w:rPr>
          <w:bCs/>
          <w:i/>
        </w:rPr>
        <w:t xml:space="preserve"> </w:t>
      </w:r>
      <w:proofErr w:type="spellStart"/>
      <w:r w:rsidRPr="009C7A0A">
        <w:rPr>
          <w:bCs/>
          <w:i/>
        </w:rPr>
        <w:t>of</w:t>
      </w:r>
      <w:proofErr w:type="spellEnd"/>
      <w:r w:rsidRPr="009C7A0A">
        <w:rPr>
          <w:bCs/>
          <w:i/>
        </w:rPr>
        <w:t xml:space="preserve"> </w:t>
      </w:r>
      <w:proofErr w:type="spellStart"/>
      <w:r w:rsidRPr="009C7A0A">
        <w:rPr>
          <w:bCs/>
          <w:i/>
        </w:rPr>
        <w:t>Criminal</w:t>
      </w:r>
      <w:proofErr w:type="spellEnd"/>
      <w:r w:rsidRPr="009C7A0A">
        <w:rPr>
          <w:bCs/>
          <w:i/>
        </w:rPr>
        <w:t xml:space="preserve"> </w:t>
      </w:r>
      <w:proofErr w:type="spellStart"/>
      <w:r w:rsidRPr="009C7A0A">
        <w:rPr>
          <w:bCs/>
          <w:i/>
        </w:rPr>
        <w:t>Law</w:t>
      </w:r>
      <w:proofErr w:type="spellEnd"/>
      <w:r w:rsidRPr="009C7A0A">
        <w:rPr>
          <w:bCs/>
          <w:i/>
        </w:rPr>
        <w:t xml:space="preserve">, </w:t>
      </w:r>
      <w:proofErr w:type="spellStart"/>
      <w:r w:rsidRPr="009C7A0A">
        <w:rPr>
          <w:bCs/>
          <w:i/>
        </w:rPr>
        <w:t>Oxford</w:t>
      </w:r>
      <w:proofErr w:type="spellEnd"/>
      <w:r w:rsidRPr="009C7A0A">
        <w:rPr>
          <w:bCs/>
          <w:i/>
        </w:rPr>
        <w:t xml:space="preserve"> </w:t>
      </w:r>
      <w:proofErr w:type="spellStart"/>
      <w:r w:rsidRPr="009C7A0A">
        <w:rPr>
          <w:bCs/>
          <w:i/>
        </w:rPr>
        <w:t>Handbooks</w:t>
      </w:r>
      <w:proofErr w:type="spellEnd"/>
      <w:r w:rsidRPr="009C7A0A">
        <w:rPr>
          <w:bCs/>
          <w:i/>
        </w:rPr>
        <w:t xml:space="preserve"> </w:t>
      </w:r>
      <w:proofErr w:type="spellStart"/>
      <w:r w:rsidRPr="009C7A0A">
        <w:rPr>
          <w:bCs/>
          <w:i/>
        </w:rPr>
        <w:t>in</w:t>
      </w:r>
      <w:proofErr w:type="spellEnd"/>
      <w:r w:rsidRPr="009C7A0A">
        <w:rPr>
          <w:bCs/>
          <w:i/>
        </w:rPr>
        <w:t xml:space="preserve"> </w:t>
      </w:r>
      <w:proofErr w:type="spellStart"/>
      <w:r w:rsidRPr="009C7A0A">
        <w:rPr>
          <w:bCs/>
          <w:i/>
        </w:rPr>
        <w:t>Law</w:t>
      </w:r>
      <w:proofErr w:type="spellEnd"/>
      <w:r w:rsidRPr="009C7A0A">
        <w:rPr>
          <w:bCs/>
          <w:i/>
        </w:rPr>
        <w:t>, 2014, </w:t>
      </w:r>
      <w:bookmarkEnd w:id="8"/>
      <w:proofErr w:type="spellStart"/>
      <w:r w:rsidRPr="009C7A0A">
        <w:rPr>
          <w:i/>
        </w:rPr>
        <w:t>pp</w:t>
      </w:r>
      <w:proofErr w:type="spellEnd"/>
      <w:r w:rsidRPr="009C7A0A">
        <w:rPr>
          <w:i/>
        </w:rPr>
        <w:t>. 487.</w:t>
      </w:r>
      <w:r w:rsidRPr="009C7A0A">
        <w:rPr>
          <w:rStyle w:val="Hyperlink"/>
          <w:bCs/>
          <w:iCs/>
          <w:color w:val="auto"/>
          <w:u w:val="none"/>
        </w:rPr>
        <w:t>).</w:t>
      </w:r>
    </w:p>
    <w:bookmarkEnd w:id="7"/>
    <w:p w14:paraId="299522D1" w14:textId="460D77BA" w:rsidR="009C591A" w:rsidRPr="009C7A0A" w:rsidRDefault="009C591A" w:rsidP="009C7A0A">
      <w:pPr>
        <w:spacing w:line="276" w:lineRule="auto"/>
        <w:ind w:firstLine="720"/>
        <w:jc w:val="both"/>
        <w:rPr>
          <w:rStyle w:val="Hyperlink"/>
          <w:color w:val="auto"/>
          <w:u w:val="none"/>
        </w:rPr>
      </w:pPr>
      <w:r w:rsidRPr="009C7A0A">
        <w:t xml:space="preserve">Tādējādi secināms, ka tiesai, noskaidrojot </w:t>
      </w:r>
      <w:r w:rsidR="00BD2C60" w:rsidRPr="009C7A0A">
        <w:t>s</w:t>
      </w:r>
      <w:r w:rsidRPr="009C7A0A">
        <w:t xml:space="preserve">aikni starp prettiesisku darbību vai bezdarbību un </w:t>
      </w:r>
      <w:r w:rsidR="004201BC" w:rsidRPr="009C7A0A">
        <w:t xml:space="preserve">iestājušām </w:t>
      </w:r>
      <w:r w:rsidR="00AD3C3E" w:rsidRPr="009C7A0A">
        <w:t>s</w:t>
      </w:r>
      <w:r w:rsidRPr="009C7A0A">
        <w:t xml:space="preserve">ekām, ir jāņem vērā inkriminētā noziedzīgā nodarījuma objektīvās pazīmes, kuras raksturo konkrēto noziedzīgā nodarījuma sastāvu, tai skaitā nodarījuma faktiskās darbības, un jāpārliecinās, vai konkrētās sekas ir personas radītā </w:t>
      </w:r>
      <w:r w:rsidRPr="009C7A0A">
        <w:lastRenderedPageBreak/>
        <w:t>neatļautā apdraudējuma rezultāts. Cēloņsakarība nav konstatējama gadījumā, ja persona rīkojās nevērīgi vai pieļāva bezdarbību un radīja apdraudējuma risku, kas neizraisīja inkriminētā noziedzīgā nodarījuma kaitīgās sekas.</w:t>
      </w:r>
    </w:p>
    <w:p w14:paraId="596573DB" w14:textId="60ED926E" w:rsidR="009C591A" w:rsidRPr="009C7A0A" w:rsidRDefault="009C591A" w:rsidP="009C7A0A">
      <w:pPr>
        <w:spacing w:line="276" w:lineRule="auto"/>
        <w:ind w:firstLine="720"/>
        <w:jc w:val="both"/>
        <w:rPr>
          <w:bCs/>
          <w:iCs/>
        </w:rPr>
      </w:pPr>
      <w:r w:rsidRPr="009C7A0A">
        <w:t xml:space="preserve">Juridiskajā literatūrā objektīvās </w:t>
      </w:r>
      <w:proofErr w:type="spellStart"/>
      <w:r w:rsidRPr="009C7A0A">
        <w:t>attiecināmības</w:t>
      </w:r>
      <w:proofErr w:type="spellEnd"/>
      <w:r w:rsidRPr="009C7A0A">
        <w:t xml:space="preserve"> kontekstā tiek pētīts tiesību normas aizsardzības mērķis. Tiek piedāvāts, ka tiesību normas aizsardzības sfēra ir jāvērtē no trim </w:t>
      </w:r>
      <w:proofErr w:type="spellStart"/>
      <w:r w:rsidRPr="009C7A0A">
        <w:t>skatpunktiem</w:t>
      </w:r>
      <w:proofErr w:type="spellEnd"/>
      <w:r w:rsidRPr="009C7A0A">
        <w:t>. Pirmkārt, vai šī norma aizsargā arī to personu, kura ir cietusi, proti, vai cietušais pieder pie to personu grupas, kuras aizsardzībai pārkāptā norma ir pieņemta (personiskā aizsardzības sfēra). Otrkārt, vai zaudējumi, kuru atlīdzība tiek prasīta, ir tāda veida zaudējumi, kurus ar izdoto normu bija paredzēts novērst (materiālā aizsardzības sfēra). Treškārt, vai zaudējumi tika izraisīti tādā veidā, kādā ar pārkāpto normu bija paredzēts tos novērst (modālā aizsardzības sfēra) (</w:t>
      </w:r>
      <w:r w:rsidRPr="009C7A0A">
        <w:rPr>
          <w:i/>
          <w:iCs/>
        </w:rPr>
        <w:t>Strazdiņš Ģ. Ieskats cēloniskā sakarā vērtēšanas pamatos. Jurista Vārds, 02.05.2017., Nr. 19 (973), 23. lpp.</w:t>
      </w:r>
      <w:r w:rsidRPr="009C7A0A">
        <w:t>).</w:t>
      </w:r>
    </w:p>
    <w:p w14:paraId="241A80C9" w14:textId="3A673013" w:rsidR="009C591A" w:rsidRPr="009C7A0A" w:rsidRDefault="009C591A" w:rsidP="009C7A0A">
      <w:pPr>
        <w:spacing w:line="276" w:lineRule="auto"/>
        <w:ind w:firstLine="720"/>
        <w:jc w:val="both"/>
        <w:rPr>
          <w:rFonts w:eastAsiaTheme="minorHAnsi"/>
        </w:rPr>
      </w:pPr>
      <w:proofErr w:type="spellStart"/>
      <w:r w:rsidRPr="009C7A0A">
        <w:rPr>
          <w:color w:val="000000" w:themeColor="text1"/>
        </w:rPr>
        <w:t>Tiesībzinātnieks</w:t>
      </w:r>
      <w:proofErr w:type="spellEnd"/>
      <w:r w:rsidRPr="009C7A0A">
        <w:rPr>
          <w:color w:val="000000" w:themeColor="text1"/>
        </w:rPr>
        <w:t xml:space="preserve"> Māris Leja, atsaucoties uz ārvalstu literatūru un tiesu praksi, paudis viedokli, ka tiesību </w:t>
      </w:r>
      <w:r w:rsidRPr="009C7A0A">
        <w:rPr>
          <w:rFonts w:eastAsiaTheme="minorHAnsi"/>
        </w:rPr>
        <w:t xml:space="preserve">normas aizsardzības mērķis krimināltiesībās īpašu nozīmi iegūst šādos gadījumos: 1) ja dispozīcijā nav aprakstītas noziedzīgā nodarījuma pazīmes, bet </w:t>
      </w:r>
      <w:r w:rsidR="005569E2" w:rsidRPr="009C7A0A">
        <w:rPr>
          <w:rFonts w:eastAsiaTheme="minorHAnsi"/>
        </w:rPr>
        <w:t>tajā ir atsauce u</w:t>
      </w:r>
      <w:r w:rsidRPr="009C7A0A">
        <w:rPr>
          <w:rFonts w:eastAsiaTheme="minorHAnsi"/>
        </w:rPr>
        <w:t xml:space="preserve">z citu normatīvo aktu, kur tās paredzētas (piemēram, </w:t>
      </w:r>
      <w:r w:rsidR="00A34B09" w:rsidRPr="009C7A0A">
        <w:rPr>
          <w:rFonts w:eastAsiaTheme="minorHAnsi"/>
        </w:rPr>
        <w:t>C</w:t>
      </w:r>
      <w:r w:rsidRPr="009C7A0A">
        <w:rPr>
          <w:rFonts w:eastAsiaTheme="minorHAnsi"/>
        </w:rPr>
        <w:t>eļu satiksmes noteikumu); 2) noziedzīgos nodarījumos, kas vērsti pret citas personas dzīvību un veselību, ja jānorobežo apsūdzētā un citu personu atbildības sfēra, piemēram, paša cietušā atbildība nepareizas rīcības dēļ, ārstu atbildība cietušā ārstēšanā pieļauto kļūdu dēļ (</w:t>
      </w:r>
      <w:r w:rsidRPr="009C7A0A">
        <w:rPr>
          <w:rFonts w:eastAsiaTheme="minorHAnsi"/>
          <w:i/>
          <w:iCs/>
        </w:rPr>
        <w:t>Leja M. Krimināltiesību aktuālie jautājumi un to risinājumi Latvijā, Austrijā, Šveicē, Vācijā.</w:t>
      </w:r>
      <w:r w:rsidRPr="009C7A0A">
        <w:rPr>
          <w:rFonts w:eastAsiaTheme="minorHAnsi"/>
        </w:rPr>
        <w:t xml:space="preserve"> </w:t>
      </w:r>
      <w:r w:rsidRPr="009C7A0A">
        <w:rPr>
          <w:rFonts w:eastAsiaTheme="minorHAnsi"/>
          <w:i/>
          <w:iCs/>
        </w:rPr>
        <w:t>Noziedzīga nodarījuma uzbūve; cēloņsakarība; vaina; krimināltiesību normu interpretācija un</w:t>
      </w:r>
      <w:r w:rsidRPr="009C7A0A">
        <w:rPr>
          <w:rFonts w:eastAsiaTheme="minorHAnsi"/>
        </w:rPr>
        <w:t xml:space="preserve"> </w:t>
      </w:r>
      <w:r w:rsidRPr="009C7A0A">
        <w:rPr>
          <w:rFonts w:eastAsiaTheme="minorHAnsi"/>
          <w:i/>
          <w:iCs/>
        </w:rPr>
        <w:t>spēks laikā. I daļa. Rīga: Tiesu namu aģentūra, 2019, 549. lpp</w:t>
      </w:r>
      <w:r w:rsidRPr="009C7A0A">
        <w:rPr>
          <w:rFonts w:eastAsiaTheme="minorHAnsi"/>
        </w:rPr>
        <w:t>.).</w:t>
      </w:r>
    </w:p>
    <w:p w14:paraId="27CB6BE6" w14:textId="7FC8078E" w:rsidR="009C591A" w:rsidRPr="009C7A0A" w:rsidRDefault="009C591A" w:rsidP="009C7A0A">
      <w:pPr>
        <w:pStyle w:val="ML-4tx-2"/>
        <w:spacing w:before="0" w:line="276" w:lineRule="auto"/>
        <w:ind w:firstLine="720"/>
        <w:rPr>
          <w:rFonts w:eastAsiaTheme="minorHAnsi"/>
          <w:sz w:val="24"/>
          <w:szCs w:val="24"/>
        </w:rPr>
      </w:pPr>
      <w:r w:rsidRPr="009C7A0A">
        <w:rPr>
          <w:rFonts w:eastAsiaTheme="minorHAnsi"/>
          <w:sz w:val="24"/>
          <w:szCs w:val="24"/>
        </w:rPr>
        <w:t>[</w:t>
      </w:r>
      <w:r w:rsidR="00A8188A" w:rsidRPr="009C7A0A">
        <w:rPr>
          <w:rFonts w:eastAsiaTheme="minorHAnsi"/>
          <w:sz w:val="24"/>
          <w:szCs w:val="24"/>
        </w:rPr>
        <w:t>1</w:t>
      </w:r>
      <w:r w:rsidR="00AD26A6" w:rsidRPr="009C7A0A">
        <w:rPr>
          <w:rFonts w:eastAsiaTheme="minorHAnsi"/>
          <w:sz w:val="24"/>
          <w:szCs w:val="24"/>
        </w:rPr>
        <w:t>5</w:t>
      </w:r>
      <w:r w:rsidRPr="009C7A0A">
        <w:rPr>
          <w:rFonts w:eastAsiaTheme="minorHAnsi"/>
          <w:sz w:val="24"/>
          <w:szCs w:val="24"/>
        </w:rPr>
        <w:t>.</w:t>
      </w:r>
      <w:r w:rsidR="00C00F98" w:rsidRPr="009C7A0A">
        <w:rPr>
          <w:rFonts w:eastAsiaTheme="minorHAnsi"/>
          <w:sz w:val="24"/>
          <w:szCs w:val="24"/>
        </w:rPr>
        <w:t>2</w:t>
      </w:r>
      <w:r w:rsidRPr="009C7A0A">
        <w:rPr>
          <w:rFonts w:eastAsiaTheme="minorHAnsi"/>
          <w:sz w:val="24"/>
          <w:szCs w:val="24"/>
        </w:rPr>
        <w:t>] Senāts atzīst, ka tiesai, izvērtējot, vai glābēju bojāeja ir attiecināma uz noziedzīgā nodarījuma sākotnējo cēloni, ir jā</w:t>
      </w:r>
      <w:r w:rsidR="00680835" w:rsidRPr="009C7A0A">
        <w:rPr>
          <w:rFonts w:eastAsiaTheme="minorHAnsi"/>
          <w:sz w:val="24"/>
          <w:szCs w:val="24"/>
        </w:rPr>
        <w:t>noskaidro</w:t>
      </w:r>
      <w:r w:rsidR="001F4FF4" w:rsidRPr="009C7A0A">
        <w:rPr>
          <w:rFonts w:eastAsiaTheme="minorHAnsi"/>
          <w:sz w:val="24"/>
          <w:szCs w:val="24"/>
        </w:rPr>
        <w:t>,</w:t>
      </w:r>
      <w:r w:rsidR="00C84BBB">
        <w:rPr>
          <w:rFonts w:eastAsiaTheme="minorHAnsi"/>
          <w:sz w:val="24"/>
          <w:szCs w:val="24"/>
        </w:rPr>
        <w:t xml:space="preserve"> </w:t>
      </w:r>
      <w:r w:rsidRPr="009C7A0A">
        <w:rPr>
          <w:rFonts w:eastAsiaTheme="minorHAnsi"/>
          <w:sz w:val="24"/>
          <w:szCs w:val="24"/>
        </w:rPr>
        <w:t xml:space="preserve">vai glābšanas pasākums jau sākotnēji nav bezjēdzīgs vai saistīts ar acīmredzami nesamērīgu risku un līdz ar to uzskatāms par pilnīgi nesaprātīgu. Tas ir tādos gadījumos, kad objektīvā </w:t>
      </w:r>
      <w:proofErr w:type="spellStart"/>
      <w:r w:rsidRPr="009C7A0A">
        <w:rPr>
          <w:rFonts w:eastAsiaTheme="minorHAnsi"/>
          <w:i/>
          <w:iCs/>
          <w:sz w:val="24"/>
          <w:szCs w:val="24"/>
        </w:rPr>
        <w:t>ex-ante</w:t>
      </w:r>
      <w:proofErr w:type="spellEnd"/>
      <w:r w:rsidRPr="009C7A0A">
        <w:rPr>
          <w:rFonts w:eastAsiaTheme="minorHAnsi"/>
          <w:i/>
          <w:iCs/>
          <w:sz w:val="24"/>
          <w:szCs w:val="24"/>
        </w:rPr>
        <w:t xml:space="preserve"> </w:t>
      </w:r>
      <w:r w:rsidRPr="009C7A0A">
        <w:rPr>
          <w:rFonts w:eastAsiaTheme="minorHAnsi"/>
          <w:sz w:val="24"/>
          <w:szCs w:val="24"/>
        </w:rPr>
        <w:t>vērtējumā riska faktori ir tik būtiski, ka</w:t>
      </w:r>
      <w:r w:rsidR="007E77BA" w:rsidRPr="009C7A0A">
        <w:rPr>
          <w:rFonts w:eastAsiaTheme="minorHAnsi"/>
          <w:sz w:val="24"/>
          <w:szCs w:val="24"/>
        </w:rPr>
        <w:t>,</w:t>
      </w:r>
      <w:r w:rsidRPr="009C7A0A">
        <w:rPr>
          <w:rFonts w:eastAsiaTheme="minorHAnsi"/>
          <w:sz w:val="24"/>
          <w:szCs w:val="24"/>
        </w:rPr>
        <w:t xml:space="preserve"> pienācīgi ņemot vērā glābēju psiholoģiska spiediena situāciju, ir skaidrs, ka glābšanas pasākumu tālākā realizācija rada pilnībā nepieņemamu risku glābēju dzīvībai un veselībai.</w:t>
      </w:r>
    </w:p>
    <w:p w14:paraId="41F717F8" w14:textId="77777777" w:rsidR="009C591A" w:rsidRPr="009C7A0A" w:rsidRDefault="009C591A" w:rsidP="009C7A0A">
      <w:pPr>
        <w:pStyle w:val="ML-4tx-2"/>
        <w:spacing w:before="0" w:line="276" w:lineRule="auto"/>
        <w:ind w:firstLine="720"/>
        <w:rPr>
          <w:sz w:val="24"/>
          <w:szCs w:val="24"/>
        </w:rPr>
      </w:pPr>
      <w:r w:rsidRPr="009C7A0A">
        <w:rPr>
          <w:sz w:val="24"/>
          <w:szCs w:val="24"/>
        </w:rPr>
        <w:t xml:space="preserve">Ievērojot iepriekš izklāstīto, secināms, ka tiesību normas aizsardzības mērķis beidzas tur, kur sākas cietušās personas atbildības joma pašai par sevi. Tas palīdz norobežot apsūdzētā atbildību no negadījumā vēlāk iesaistītās personas nepareizas rīcības. Tādējādi </w:t>
      </w:r>
      <w:r w:rsidRPr="009C7A0A">
        <w:rPr>
          <w:rStyle w:val="CommentReference"/>
          <w:sz w:val="24"/>
          <w:szCs w:val="24"/>
        </w:rPr>
        <w:t>glābēju iesaistīšanās noziedzīga nodarījuma seku likvidācijā</w:t>
      </w:r>
      <w:r w:rsidRPr="009C7A0A">
        <w:rPr>
          <w:sz w:val="24"/>
          <w:szCs w:val="24"/>
        </w:rPr>
        <w:t xml:space="preserve"> pati par sevi nepārtrauc sākotnējā apdraudējuma tālāko iedarbību.</w:t>
      </w:r>
    </w:p>
    <w:p w14:paraId="3F5F4E86" w14:textId="60E8DD6F" w:rsidR="009C591A" w:rsidRPr="009C7A0A" w:rsidRDefault="009C591A" w:rsidP="009C7A0A">
      <w:pPr>
        <w:pStyle w:val="ML-4tx-2"/>
        <w:spacing w:before="0" w:line="276" w:lineRule="auto"/>
        <w:ind w:firstLine="720"/>
        <w:rPr>
          <w:sz w:val="24"/>
          <w:szCs w:val="24"/>
        </w:rPr>
      </w:pPr>
      <w:r w:rsidRPr="009C7A0A">
        <w:rPr>
          <w:sz w:val="24"/>
          <w:szCs w:val="24"/>
        </w:rPr>
        <w:t>Vērtējot, vai glābēju bojāeja un veselības apdraudējums ir attiecināms uz noziedzīgā nodarījuma sākotnējo cēloni, ir jāņem vērā, ka</w:t>
      </w:r>
      <w:r w:rsidR="008C1D93" w:rsidRPr="009C7A0A">
        <w:rPr>
          <w:sz w:val="24"/>
          <w:szCs w:val="24"/>
        </w:rPr>
        <w:t xml:space="preserve"> </w:t>
      </w:r>
      <w:r w:rsidRPr="009C7A0A">
        <w:rPr>
          <w:sz w:val="24"/>
          <w:szCs w:val="24"/>
        </w:rPr>
        <w:t>glābšanas dienestu darbinieki neveic pasākumus nolūkā atteikties no dzīvības un neiesaistās glābšanas darbos brīvprātīgi, jo glābšanas pasākumu veikšana izriet no viņu profesionālajiem pienākumiem un var būt saistīta ar atbildīgu risku nolūkā glābt negadījumā iesaistītās personas</w:t>
      </w:r>
      <w:r w:rsidRPr="009C7A0A">
        <w:rPr>
          <w:b/>
          <w:bCs/>
          <w:color w:val="414142"/>
          <w:sz w:val="24"/>
          <w:szCs w:val="24"/>
          <w:shd w:val="clear" w:color="auto" w:fill="FFFFFF"/>
        </w:rPr>
        <w:t xml:space="preserve"> </w:t>
      </w:r>
      <w:r w:rsidRPr="009C7A0A">
        <w:rPr>
          <w:color w:val="414142"/>
          <w:sz w:val="24"/>
          <w:szCs w:val="24"/>
          <w:shd w:val="clear" w:color="auto" w:fill="FFFFFF"/>
        </w:rPr>
        <w:t>(</w:t>
      </w:r>
      <w:r w:rsidRPr="009C7A0A">
        <w:rPr>
          <w:sz w:val="24"/>
          <w:szCs w:val="24"/>
        </w:rPr>
        <w:t>Ugunsdrošības un ugunsdzēsības likuma 35.</w:t>
      </w:r>
      <w:r w:rsidRPr="009C7A0A">
        <w:rPr>
          <w:sz w:val="24"/>
          <w:szCs w:val="24"/>
          <w:vertAlign w:val="superscript"/>
        </w:rPr>
        <w:t>1</w:t>
      </w:r>
      <w:r w:rsidRPr="009C7A0A">
        <w:rPr>
          <w:sz w:val="24"/>
          <w:szCs w:val="24"/>
        </w:rPr>
        <w:t>, 36. un 37. pants). Tādējādi nav konstatējama glābēju rīcības brīvprātība, kas pārtrauktu cēloņsakarības konstatēšanu starp darbībām un kaitīgajām sekām.</w:t>
      </w:r>
    </w:p>
    <w:p w14:paraId="4EB27BA8" w14:textId="77777777" w:rsidR="006C743E" w:rsidRPr="009C7A0A" w:rsidRDefault="009C591A" w:rsidP="009C7A0A">
      <w:pPr>
        <w:spacing w:line="276" w:lineRule="auto"/>
        <w:ind w:firstLine="720"/>
        <w:jc w:val="both"/>
      </w:pPr>
      <w:r w:rsidRPr="009C7A0A">
        <w:t>Lai arī glābējiem ir pienākums veikt glābšanas pasākumus, tomēr no tā nevar secināt, ka cēloņsakarība starp rīcību un sekām var tikt noteikta bez ierobežojumiem.</w:t>
      </w:r>
    </w:p>
    <w:p w14:paraId="24E8FB6B" w14:textId="5C7698A0" w:rsidR="00C00F98" w:rsidRPr="009C7A0A" w:rsidRDefault="006C743E" w:rsidP="009C7A0A">
      <w:pPr>
        <w:spacing w:line="276" w:lineRule="auto"/>
        <w:ind w:firstLine="720"/>
        <w:jc w:val="both"/>
      </w:pPr>
      <w:r w:rsidRPr="009C7A0A">
        <w:lastRenderedPageBreak/>
        <w:t>J</w:t>
      </w:r>
      <w:r w:rsidR="009C591A" w:rsidRPr="009C7A0A">
        <w:t>a sākotnējie riska faktori objektīvi norāda, ka glābšanas pasākumi ir pilnīgi nepieņemami glābēju dzīvības un veselības apdraudējumam</w:t>
      </w:r>
      <w:r w:rsidR="00C00F98" w:rsidRPr="009C7A0A">
        <w:t>, tad apsūdzētajam nav jāuzņemas atbildība par citu personu nesaprātīgu rīcību.</w:t>
      </w:r>
    </w:p>
    <w:p w14:paraId="29E0F379" w14:textId="074A0875" w:rsidR="009C591A" w:rsidRPr="009C7A0A" w:rsidRDefault="009C591A" w:rsidP="009C7A0A">
      <w:pPr>
        <w:spacing w:line="276" w:lineRule="auto"/>
        <w:ind w:firstLine="720"/>
        <w:jc w:val="both"/>
      </w:pPr>
      <w:r w:rsidRPr="009C7A0A">
        <w:t xml:space="preserve">Tādējādi tiesām jāvērtē, vai glābšanas pasākumi </w:t>
      </w:r>
      <w:r w:rsidR="00FC1AF7" w:rsidRPr="009C7A0A">
        <w:t>nav bijuši</w:t>
      </w:r>
      <w:r w:rsidRPr="009C7A0A">
        <w:t xml:space="preserve"> acīmredzami bezjēdzīgi vai nesamērīgi tam, kādu risku glābēji uzņēmās, apdraudot savu dzīvību un veselību un </w:t>
      </w:r>
      <w:r w:rsidR="00017B35" w:rsidRPr="009C7A0A">
        <w:t>tam,</w:t>
      </w:r>
      <w:r w:rsidRPr="009C7A0A">
        <w:t xml:space="preserve"> kādu rezultātu konkrētajos apstākļos varētu sasniegt.</w:t>
      </w:r>
    </w:p>
    <w:p w14:paraId="35E931DD" w14:textId="77777777" w:rsidR="009C591A" w:rsidRPr="009C7A0A" w:rsidRDefault="009C591A" w:rsidP="009C7A0A">
      <w:pPr>
        <w:spacing w:line="276" w:lineRule="auto"/>
        <w:ind w:firstLine="720"/>
        <w:jc w:val="both"/>
      </w:pPr>
      <w:r w:rsidRPr="009C7A0A">
        <w:t>Acīmredzami nesaprātīga glābšanas mēģinājuma gadījumā cēloņsakarības saikne tiek pārtraukta ar lēmuma par šādu glābšanas darbu pieņemšanas brīdi. Turklāt šādā gadījumā vērtējami nevis atsevišķu ugunsdzēsēju lēmumi un uztvere, bet gan visu glābšanas operācijā iesaistīto ugunsdzēsēju kopējā rīcība.</w:t>
      </w:r>
    </w:p>
    <w:p w14:paraId="4E2ABB02" w14:textId="77777777" w:rsidR="009C591A" w:rsidRPr="009C7A0A" w:rsidRDefault="009C591A" w:rsidP="009C7A0A">
      <w:pPr>
        <w:pStyle w:val="BodyText2"/>
        <w:spacing w:line="276" w:lineRule="auto"/>
        <w:ind w:firstLine="720"/>
        <w:jc w:val="both"/>
        <w:rPr>
          <w:rFonts w:ascii="Times New Roman" w:hAnsi="Times New Roman"/>
          <w:sz w:val="24"/>
          <w:szCs w:val="24"/>
        </w:rPr>
      </w:pPr>
    </w:p>
    <w:p w14:paraId="54B01BC2" w14:textId="3F015ADF" w:rsidR="009C591A" w:rsidRPr="009C7A0A" w:rsidRDefault="009C591A" w:rsidP="009C7A0A">
      <w:pPr>
        <w:pStyle w:val="NormalWeb"/>
        <w:widowControl w:val="0"/>
        <w:shd w:val="clear" w:color="auto" w:fill="FFFFFF"/>
        <w:spacing w:line="276" w:lineRule="auto"/>
        <w:ind w:firstLine="720"/>
        <w:jc w:val="both"/>
      </w:pPr>
      <w:r w:rsidRPr="009C7A0A">
        <w:t>[</w:t>
      </w:r>
      <w:r w:rsidR="00A8188A" w:rsidRPr="009C7A0A">
        <w:t>1</w:t>
      </w:r>
      <w:r w:rsidR="00AD26A6" w:rsidRPr="009C7A0A">
        <w:t>6</w:t>
      </w:r>
      <w:r w:rsidRPr="009C7A0A">
        <w:t>] Senāts atzīst, ka izskatāmajā lietā ir jāatbild</w:t>
      </w:r>
      <w:r w:rsidR="00924911" w:rsidRPr="009C7A0A">
        <w:t xml:space="preserve"> uz jautājumu</w:t>
      </w:r>
      <w:r w:rsidR="00E2012D" w:rsidRPr="009C7A0A">
        <w:t xml:space="preserve">, vai apelācijas instances tiesa ir pārkāpusi </w:t>
      </w:r>
      <w:r w:rsidRPr="009C7A0A">
        <w:t>Kriminālprocesa likum</w:t>
      </w:r>
      <w:r w:rsidR="00C00F98" w:rsidRPr="009C7A0A">
        <w:t>a normas</w:t>
      </w:r>
      <w:r w:rsidR="00E2012D" w:rsidRPr="009C7A0A">
        <w:t>,</w:t>
      </w:r>
      <w:r w:rsidRPr="009C7A0A">
        <w:t xml:space="preserve"> vērtējot</w:t>
      </w:r>
      <w:r w:rsidR="00924911" w:rsidRPr="009C7A0A">
        <w:t>:</w:t>
      </w:r>
      <w:r w:rsidRPr="009C7A0A">
        <w:t xml:space="preserve"> 1) kādi nosacījumi ietekmējuši ēkas sabrukšanu; 2) pierādījumus, ar kuriem valsts apsūdzība pamatojusi personu nolaidīgu profesionālo pienākumu veikšanu un tā rezultātā iestājušās sekas.</w:t>
      </w:r>
    </w:p>
    <w:p w14:paraId="1FDA4DE9" w14:textId="75064CD7" w:rsidR="008C1D93" w:rsidRPr="009C7A0A" w:rsidRDefault="009C591A" w:rsidP="009C7A0A">
      <w:pPr>
        <w:spacing w:line="276" w:lineRule="auto"/>
        <w:ind w:firstLine="720"/>
        <w:jc w:val="both"/>
        <w:rPr>
          <w:rFonts w:eastAsia="Calibri"/>
        </w:rPr>
      </w:pPr>
      <w:r w:rsidRPr="009C7A0A">
        <w:rPr>
          <w:rFonts w:eastAsia="Calibri"/>
        </w:rPr>
        <w:t>[</w:t>
      </w:r>
      <w:r w:rsidR="00A8188A" w:rsidRPr="009C7A0A">
        <w:rPr>
          <w:rFonts w:eastAsia="Calibri"/>
        </w:rPr>
        <w:t>1</w:t>
      </w:r>
      <w:r w:rsidR="00AD26A6" w:rsidRPr="009C7A0A">
        <w:rPr>
          <w:rFonts w:eastAsia="Calibri"/>
        </w:rPr>
        <w:t>6</w:t>
      </w:r>
      <w:r w:rsidR="008C1D93" w:rsidRPr="009C7A0A">
        <w:rPr>
          <w:rFonts w:eastAsia="Calibri"/>
        </w:rPr>
        <w:t>.1</w:t>
      </w:r>
      <w:r w:rsidRPr="009C7A0A">
        <w:rPr>
          <w:rFonts w:eastAsia="Calibri"/>
        </w:rPr>
        <w:t xml:space="preserve">] Senāts konstatē, ka apelācijas instances tiesa nav izvērtējusi visus </w:t>
      </w:r>
      <w:r w:rsidR="008C1D93" w:rsidRPr="009C7A0A">
        <w:rPr>
          <w:rFonts w:eastAsia="Calibri"/>
        </w:rPr>
        <w:t xml:space="preserve">nozīmīgus </w:t>
      </w:r>
      <w:r w:rsidRPr="009C7A0A">
        <w:rPr>
          <w:rFonts w:eastAsia="Calibri"/>
        </w:rPr>
        <w:t>nosacījumus, kuri veicināja jumta konstrukciju nogruvumu.</w:t>
      </w:r>
    </w:p>
    <w:p w14:paraId="5BBD8B02" w14:textId="3F9CEB12" w:rsidR="009C591A" w:rsidRPr="009C7A0A" w:rsidRDefault="009C591A" w:rsidP="009C7A0A">
      <w:pPr>
        <w:spacing w:line="276" w:lineRule="auto"/>
        <w:ind w:firstLine="720"/>
        <w:jc w:val="both"/>
        <w:rPr>
          <w:rFonts w:eastAsia="Calibri"/>
        </w:rPr>
      </w:pPr>
      <w:r w:rsidRPr="009C7A0A">
        <w:rPr>
          <w:rFonts w:eastAsia="Calibri"/>
        </w:rPr>
        <w:t>Izvērtēj</w:t>
      </w:r>
      <w:r w:rsidR="00924911" w:rsidRPr="009C7A0A">
        <w:rPr>
          <w:rFonts w:eastAsia="Calibri"/>
        </w:rPr>
        <w:t>usi</w:t>
      </w:r>
      <w:r w:rsidRPr="009C7A0A">
        <w:rPr>
          <w:rFonts w:eastAsia="Calibri"/>
        </w:rPr>
        <w:t xml:space="preserve"> pierādījumus kopumā un savstarpējā sakarībā, apelācijas instances tiesa atzinusi, ka ēkas nobrukums ir saistīts ar būtisku kļūdu tērauda kopņu MK-1 konstruktīvajā risinājumā.</w:t>
      </w:r>
    </w:p>
    <w:p w14:paraId="118AAB44" w14:textId="606D1626" w:rsidR="009C591A" w:rsidRPr="009C7A0A" w:rsidRDefault="009C591A" w:rsidP="009C7A0A">
      <w:pPr>
        <w:spacing w:line="276" w:lineRule="auto"/>
        <w:ind w:firstLine="720"/>
        <w:jc w:val="both"/>
        <w:rPr>
          <w:b/>
          <w:bCs/>
          <w:lang w:eastAsia="lv-LV"/>
        </w:rPr>
      </w:pPr>
      <w:r w:rsidRPr="00C652F0">
        <w:rPr>
          <w:rFonts w:eastAsia="Calibri"/>
        </w:rPr>
        <w:t>Apelācijas instances tiesa atzinumu, ka jumta konstrukciju nogruvuma cēlonis ir nepareizs kopnes nestspējas aprēķins, pamatojusi ar k</w:t>
      </w:r>
      <w:r w:rsidRPr="00C652F0">
        <w:rPr>
          <w:lang w:eastAsia="lv-LV"/>
        </w:rPr>
        <w:t>ompleksās ekspertīzes ekspertu atzinumu „Par būvkonstrukciju nobrukuma faktu” (</w:t>
      </w:r>
      <w:r w:rsidRPr="00C652F0">
        <w:rPr>
          <w:i/>
          <w:iCs/>
          <w:lang w:eastAsia="lv-LV"/>
        </w:rPr>
        <w:t>lietas</w:t>
      </w:r>
      <w:r w:rsidRPr="00C652F0">
        <w:rPr>
          <w:lang w:eastAsia="lv-LV"/>
        </w:rPr>
        <w:t xml:space="preserve"> </w:t>
      </w:r>
      <w:r w:rsidRPr="00C652F0">
        <w:rPr>
          <w:i/>
          <w:lang w:eastAsia="lv-LV"/>
        </w:rPr>
        <w:t>53. sējuma 1.</w:t>
      </w:r>
      <w:r w:rsidRPr="00C652F0">
        <w:t>–</w:t>
      </w:r>
      <w:r w:rsidRPr="00C652F0">
        <w:rPr>
          <w:i/>
          <w:lang w:eastAsia="lv-LV"/>
        </w:rPr>
        <w:t>36. lapa, 54. sējuma 1.</w:t>
      </w:r>
      <w:r w:rsidRPr="00C652F0">
        <w:t>–</w:t>
      </w:r>
      <w:r w:rsidRPr="00C652F0">
        <w:rPr>
          <w:i/>
          <w:lang w:eastAsia="lv-LV"/>
        </w:rPr>
        <w:t>164. lapa, 55. sējuma 1.</w:t>
      </w:r>
      <w:r w:rsidRPr="00C652F0">
        <w:t>–</w:t>
      </w:r>
      <w:r w:rsidRPr="00C652F0">
        <w:rPr>
          <w:i/>
          <w:lang w:eastAsia="lv-LV"/>
        </w:rPr>
        <w:t>289. lapa, 56. sējuma 1.</w:t>
      </w:r>
      <w:r w:rsidRPr="00C652F0">
        <w:t>–</w:t>
      </w:r>
      <w:r w:rsidRPr="00C652F0">
        <w:rPr>
          <w:i/>
          <w:lang w:eastAsia="lv-LV"/>
        </w:rPr>
        <w:t>475. lapa, 57. sējuma 1.</w:t>
      </w:r>
      <w:r w:rsidRPr="00C652F0">
        <w:t>–</w:t>
      </w:r>
      <w:r w:rsidRPr="00C652F0">
        <w:rPr>
          <w:i/>
          <w:lang w:eastAsia="lv-LV"/>
        </w:rPr>
        <w:t>83. lapa</w:t>
      </w:r>
      <w:r w:rsidRPr="00C652F0">
        <w:rPr>
          <w:lang w:eastAsia="lv-LV"/>
        </w:rPr>
        <w:t xml:space="preserve">), </w:t>
      </w:r>
      <w:r w:rsidR="00974F6D" w:rsidRPr="00C652F0">
        <w:rPr>
          <w:lang w:eastAsia="lv-LV"/>
        </w:rPr>
        <w:t>sabiedrības ar ierobežotu atbildību </w:t>
      </w:r>
      <w:r w:rsidRPr="00C652F0">
        <w:rPr>
          <w:lang w:eastAsia="lv-LV"/>
        </w:rPr>
        <w:t>„BRE” ziņojumu (</w:t>
      </w:r>
      <w:r w:rsidRPr="00C652F0">
        <w:rPr>
          <w:i/>
          <w:iCs/>
          <w:lang w:eastAsia="lv-LV"/>
        </w:rPr>
        <w:t>lietas</w:t>
      </w:r>
      <w:r w:rsidRPr="00C652F0">
        <w:rPr>
          <w:lang w:eastAsia="lv-LV"/>
        </w:rPr>
        <w:t xml:space="preserve"> </w:t>
      </w:r>
      <w:r w:rsidRPr="00C652F0">
        <w:rPr>
          <w:i/>
          <w:iCs/>
          <w:lang w:eastAsia="lv-LV"/>
        </w:rPr>
        <w:t>13. sējuma 87.</w:t>
      </w:r>
      <w:r w:rsidRPr="00C652F0">
        <w:t>–</w:t>
      </w:r>
      <w:r w:rsidRPr="00C652F0">
        <w:rPr>
          <w:i/>
          <w:iCs/>
          <w:lang w:eastAsia="lv-LV"/>
        </w:rPr>
        <w:t>142. lapa, 147.</w:t>
      </w:r>
      <w:r w:rsidRPr="00C652F0">
        <w:t>–</w:t>
      </w:r>
      <w:r w:rsidRPr="00C652F0">
        <w:rPr>
          <w:i/>
          <w:iCs/>
          <w:lang w:eastAsia="lv-LV"/>
        </w:rPr>
        <w:t>202. lapa; 58. sējuma 4.</w:t>
      </w:r>
      <w:r w:rsidRPr="00C652F0">
        <w:t>–</w:t>
      </w:r>
      <w:r w:rsidRPr="00C652F0">
        <w:rPr>
          <w:i/>
          <w:iCs/>
          <w:lang w:eastAsia="lv-LV"/>
        </w:rPr>
        <w:t>313. lapa</w:t>
      </w:r>
      <w:r w:rsidRPr="00C652F0">
        <w:rPr>
          <w:lang w:eastAsia="lv-LV"/>
        </w:rPr>
        <w:t xml:space="preserve">), </w:t>
      </w:r>
      <w:r w:rsidR="00974F6D" w:rsidRPr="00C652F0">
        <w:rPr>
          <w:lang w:eastAsia="lv-LV"/>
        </w:rPr>
        <w:t>sabiedrības ar ierobežotu atbildību </w:t>
      </w:r>
      <w:r w:rsidRPr="00C652F0">
        <w:rPr>
          <w:lang w:eastAsia="lv-LV"/>
        </w:rPr>
        <w:t>„Būvinženieru konsultācij</w:t>
      </w:r>
      <w:r w:rsidR="00974F6D" w:rsidRPr="00C652F0">
        <w:rPr>
          <w:lang w:eastAsia="lv-LV"/>
        </w:rPr>
        <w:t>u</w:t>
      </w:r>
      <w:r w:rsidRPr="00C652F0">
        <w:rPr>
          <w:lang w:eastAsia="lv-LV"/>
        </w:rPr>
        <w:t xml:space="preserve"> birojs” un SIA „</w:t>
      </w:r>
      <w:r w:rsidR="002079B8" w:rsidRPr="00C652F0">
        <w:rPr>
          <w:lang w:eastAsia="lv-LV"/>
        </w:rPr>
        <w:t>[Nosaukums G]</w:t>
      </w:r>
      <w:r w:rsidRPr="00C652F0">
        <w:rPr>
          <w:lang w:eastAsia="lv-LV"/>
        </w:rPr>
        <w:t>” ekspertī</w:t>
      </w:r>
      <w:r w:rsidR="008C1D93" w:rsidRPr="00C652F0">
        <w:rPr>
          <w:lang w:eastAsia="lv-LV"/>
        </w:rPr>
        <w:t>žu</w:t>
      </w:r>
      <w:r w:rsidRPr="00C652F0">
        <w:rPr>
          <w:lang w:eastAsia="lv-LV"/>
        </w:rPr>
        <w:t xml:space="preserve"> atzinum</w:t>
      </w:r>
      <w:r w:rsidR="008C1D93" w:rsidRPr="00C652F0">
        <w:rPr>
          <w:lang w:eastAsia="lv-LV"/>
        </w:rPr>
        <w:t>iem</w:t>
      </w:r>
      <w:r w:rsidRPr="00C652F0">
        <w:rPr>
          <w:lang w:eastAsia="lv-LV"/>
        </w:rPr>
        <w:t xml:space="preserve"> (</w:t>
      </w:r>
      <w:r w:rsidRPr="00C652F0">
        <w:rPr>
          <w:i/>
          <w:iCs/>
          <w:lang w:eastAsia="lv-LV"/>
        </w:rPr>
        <w:t>lietas</w:t>
      </w:r>
      <w:r w:rsidR="008C1D93" w:rsidRPr="00C652F0">
        <w:rPr>
          <w:lang w:eastAsia="lv-LV"/>
        </w:rPr>
        <w:t xml:space="preserve"> </w:t>
      </w:r>
      <w:r w:rsidR="008C1D93" w:rsidRPr="00C652F0">
        <w:rPr>
          <w:i/>
          <w:iCs/>
          <w:lang w:eastAsia="lv-LV"/>
        </w:rPr>
        <w:t>25. sējuma 64.</w:t>
      </w:r>
      <w:r w:rsidR="008C1D93" w:rsidRPr="00C652F0">
        <w:t>–</w:t>
      </w:r>
      <w:r w:rsidR="008C1D93" w:rsidRPr="00C652F0">
        <w:rPr>
          <w:i/>
          <w:iCs/>
          <w:lang w:eastAsia="lv-LV"/>
        </w:rPr>
        <w:t>73. lapa</w:t>
      </w:r>
      <w:r w:rsidR="008C1D93" w:rsidRPr="00C652F0">
        <w:rPr>
          <w:lang w:eastAsia="lv-LV"/>
        </w:rPr>
        <w:t>,</w:t>
      </w:r>
      <w:r w:rsidR="00692A86" w:rsidRPr="00C652F0">
        <w:rPr>
          <w:lang w:eastAsia="lv-LV"/>
        </w:rPr>
        <w:t xml:space="preserve"> </w:t>
      </w:r>
      <w:r w:rsidRPr="00C652F0">
        <w:rPr>
          <w:i/>
          <w:iCs/>
          <w:lang w:eastAsia="lv-LV"/>
        </w:rPr>
        <w:t>77. sējuma 153.</w:t>
      </w:r>
      <w:r w:rsidRPr="00C652F0">
        <w:t>–</w:t>
      </w:r>
      <w:r w:rsidRPr="00C652F0">
        <w:rPr>
          <w:i/>
          <w:iCs/>
          <w:lang w:eastAsia="lv-LV"/>
        </w:rPr>
        <w:t>162. lapa</w:t>
      </w:r>
      <w:r w:rsidRPr="00C652F0">
        <w:rPr>
          <w:lang w:eastAsia="lv-LV"/>
        </w:rPr>
        <w:t>).</w:t>
      </w:r>
    </w:p>
    <w:p w14:paraId="0FD90A86" w14:textId="1F3995EA" w:rsidR="009C591A" w:rsidRPr="009C7A0A" w:rsidRDefault="009C591A" w:rsidP="00B34CA0">
      <w:pPr>
        <w:shd w:val="clear" w:color="auto" w:fill="FFFFFF"/>
        <w:spacing w:line="276" w:lineRule="auto"/>
        <w:ind w:firstLine="720"/>
        <w:jc w:val="both"/>
        <w:rPr>
          <w:lang w:eastAsia="lv-LV"/>
        </w:rPr>
      </w:pPr>
      <w:r w:rsidRPr="009C7A0A">
        <w:rPr>
          <w:lang w:eastAsia="lv-LV"/>
        </w:rPr>
        <w:t>Tāpat apelācijas instances tiesa atzinumu pamatojusi ar ekspert</w:t>
      </w:r>
      <w:r w:rsidR="0058201A" w:rsidRPr="009C7A0A">
        <w:rPr>
          <w:lang w:eastAsia="lv-LV"/>
        </w:rPr>
        <w:t>u</w:t>
      </w:r>
      <w:r w:rsidRPr="009C7A0A">
        <w:rPr>
          <w:lang w:eastAsia="lv-LV"/>
        </w:rPr>
        <w:t xml:space="preserve"> </w:t>
      </w:r>
      <w:r w:rsidR="00B34CA0">
        <w:rPr>
          <w:lang w:eastAsia="lv-LV"/>
        </w:rPr>
        <w:t>[pers. MC]</w:t>
      </w:r>
      <w:r w:rsidRPr="009C7A0A">
        <w:rPr>
          <w:lang w:eastAsia="lv-LV"/>
        </w:rPr>
        <w:t xml:space="preserve">, </w:t>
      </w:r>
      <w:r w:rsidR="00B34CA0">
        <w:rPr>
          <w:lang w:eastAsia="lv-LV"/>
        </w:rPr>
        <w:t>[pers. LD]</w:t>
      </w:r>
      <w:r w:rsidRPr="009C7A0A">
        <w:rPr>
          <w:rFonts w:eastAsia="Calibri"/>
        </w:rPr>
        <w:t xml:space="preserve">, </w:t>
      </w:r>
      <w:r w:rsidR="00B34CA0">
        <w:rPr>
          <w:rFonts w:eastAsia="Calibri"/>
        </w:rPr>
        <w:t>[pers. MD]</w:t>
      </w:r>
      <w:r w:rsidRPr="009C7A0A">
        <w:rPr>
          <w:rFonts w:eastAsia="Calibri"/>
        </w:rPr>
        <w:t xml:space="preserve">, </w:t>
      </w:r>
      <w:r w:rsidR="00B34CA0">
        <w:rPr>
          <w:rFonts w:eastAsia="Calibri"/>
        </w:rPr>
        <w:t>[pers. ME]</w:t>
      </w:r>
      <w:r w:rsidRPr="009C7A0A">
        <w:rPr>
          <w:lang w:eastAsia="lv-LV"/>
        </w:rPr>
        <w:t xml:space="preserve"> liecībām, no kurām secināms, ka ēkas nogruvuma iemesls ir kopnes apakšējā </w:t>
      </w:r>
      <w:r w:rsidR="0058201A" w:rsidRPr="009C7A0A">
        <w:rPr>
          <w:lang w:eastAsia="lv-LV"/>
        </w:rPr>
        <w:t>savienojumu</w:t>
      </w:r>
      <w:r w:rsidR="008C1D93" w:rsidRPr="009C7A0A">
        <w:rPr>
          <w:lang w:eastAsia="lv-LV"/>
        </w:rPr>
        <w:t xml:space="preserve"> </w:t>
      </w:r>
      <w:r w:rsidRPr="009C7A0A">
        <w:rPr>
          <w:lang w:eastAsia="lv-LV"/>
        </w:rPr>
        <w:t xml:space="preserve">mezgla pārslodze. Konkrētais apakšējais mezgls pret drošuma </w:t>
      </w:r>
      <w:r w:rsidR="008C1D93" w:rsidRPr="009C7A0A">
        <w:rPr>
          <w:lang w:eastAsia="lv-LV"/>
        </w:rPr>
        <w:t xml:space="preserve">aprēķinu </w:t>
      </w:r>
      <w:r w:rsidRPr="009C7A0A">
        <w:rPr>
          <w:lang w:eastAsia="lv-LV"/>
        </w:rPr>
        <w:t xml:space="preserve">līmeni, kādu prasa normatīvi, bija pārslogots 6,5 reizes. Minētā pārslodze nozīmēja, ka ēka nākotnē jebkurā gadījumā </w:t>
      </w:r>
      <w:r w:rsidR="00E03762" w:rsidRPr="009C7A0A">
        <w:rPr>
          <w:lang w:eastAsia="lv-LV"/>
        </w:rPr>
        <w:t>sabruks</w:t>
      </w:r>
      <w:r w:rsidRPr="009C7A0A">
        <w:rPr>
          <w:lang w:eastAsia="lv-LV"/>
        </w:rPr>
        <w:t>.</w:t>
      </w:r>
    </w:p>
    <w:p w14:paraId="147580B6" w14:textId="7A8D3B23" w:rsidR="009C591A" w:rsidRPr="009C7A0A" w:rsidRDefault="009C591A" w:rsidP="009C7A0A">
      <w:pPr>
        <w:shd w:val="clear" w:color="auto" w:fill="FFFFFF"/>
        <w:spacing w:line="276" w:lineRule="auto"/>
        <w:ind w:firstLine="720"/>
        <w:jc w:val="both"/>
        <w:rPr>
          <w:lang w:eastAsia="lv-LV"/>
        </w:rPr>
      </w:pPr>
      <w:r w:rsidRPr="009C7A0A">
        <w:rPr>
          <w:rFonts w:eastAsia="Calibri"/>
        </w:rPr>
        <w:t xml:space="preserve">Apelācijas instances tiesa motivēti noraidījusi valsts apsūdzības argumentu par to, ka jumta nobrukumu veicināja projektam neatbilstošs </w:t>
      </w:r>
      <w:proofErr w:type="spellStart"/>
      <w:r w:rsidRPr="009C7A0A">
        <w:rPr>
          <w:rFonts w:eastAsia="Calibri"/>
        </w:rPr>
        <w:t>virsbetona</w:t>
      </w:r>
      <w:proofErr w:type="spellEnd"/>
      <w:r w:rsidRPr="009C7A0A">
        <w:rPr>
          <w:rFonts w:eastAsia="Calibri"/>
        </w:rPr>
        <w:t xml:space="preserve"> svars un stipr</w:t>
      </w:r>
      <w:r w:rsidR="00E2012D" w:rsidRPr="009C7A0A">
        <w:rPr>
          <w:rFonts w:eastAsia="Calibri"/>
        </w:rPr>
        <w:t>ība</w:t>
      </w:r>
      <w:r w:rsidRPr="009C7A0A">
        <w:rPr>
          <w:rFonts w:eastAsia="Calibri"/>
        </w:rPr>
        <w:t>. Savu atzinumu tiesa pamatojusi</w:t>
      </w:r>
      <w:r w:rsidR="008F390B" w:rsidRPr="009C7A0A">
        <w:rPr>
          <w:rFonts w:eastAsia="Calibri"/>
        </w:rPr>
        <w:t xml:space="preserve"> ar </w:t>
      </w:r>
      <w:r w:rsidRPr="009C7A0A">
        <w:rPr>
          <w:rFonts w:eastAsia="Calibri"/>
        </w:rPr>
        <w:t>kriminālprocesā veiktajiem pētījumiem par jumta sabrukšanas cēloņiem un ekspertu, kuriem ir speciāl</w:t>
      </w:r>
      <w:r w:rsidR="008C1D93" w:rsidRPr="009C7A0A">
        <w:rPr>
          <w:rFonts w:eastAsia="Calibri"/>
        </w:rPr>
        <w:t>as</w:t>
      </w:r>
      <w:r w:rsidRPr="009C7A0A">
        <w:rPr>
          <w:rFonts w:eastAsia="Calibri"/>
        </w:rPr>
        <w:t xml:space="preserve"> zināšanas būvniecībā, </w:t>
      </w:r>
      <w:r w:rsidR="008F390B" w:rsidRPr="009C7A0A">
        <w:rPr>
          <w:rFonts w:eastAsia="Calibri"/>
        </w:rPr>
        <w:t xml:space="preserve">liecībām, </w:t>
      </w:r>
      <w:r w:rsidRPr="009C7A0A">
        <w:rPr>
          <w:rFonts w:eastAsia="Calibri"/>
        </w:rPr>
        <w:t>kā arī ar</w:t>
      </w:r>
      <w:r w:rsidR="008F390B" w:rsidRPr="009C7A0A">
        <w:rPr>
          <w:rFonts w:eastAsia="Calibri"/>
        </w:rPr>
        <w:t xml:space="preserve"> to</w:t>
      </w:r>
      <w:r w:rsidRPr="009C7A0A">
        <w:rPr>
          <w:rFonts w:eastAsia="Calibri"/>
        </w:rPr>
        <w:t xml:space="preserve"> personu liecībām, kur</w:t>
      </w:r>
      <w:r w:rsidR="008F390B" w:rsidRPr="009C7A0A">
        <w:rPr>
          <w:rFonts w:eastAsia="Calibri"/>
        </w:rPr>
        <w:t>as</w:t>
      </w:r>
      <w:r w:rsidRPr="009C7A0A">
        <w:rPr>
          <w:rFonts w:eastAsia="Calibri"/>
        </w:rPr>
        <w:t xml:space="preserve"> pēc ugunsgrēka veica būvobjekta pārbaudi.</w:t>
      </w:r>
    </w:p>
    <w:p w14:paraId="7AD78B46" w14:textId="2D2A32BA" w:rsidR="009C591A" w:rsidRPr="009C7A0A" w:rsidRDefault="009C591A" w:rsidP="003C2C84">
      <w:pPr>
        <w:spacing w:line="276" w:lineRule="auto"/>
        <w:ind w:firstLine="720"/>
        <w:jc w:val="both"/>
        <w:rPr>
          <w:rFonts w:eastAsia="Calibri"/>
        </w:rPr>
      </w:pPr>
      <w:r w:rsidRPr="009C7A0A">
        <w:rPr>
          <w:rFonts w:eastAsia="Calibri"/>
        </w:rPr>
        <w:t>Apelācijas instances tiesa norādījusi, ka no komisijas kompleksās būvniecības ekspertīzes ekspertu atzinuma (</w:t>
      </w:r>
      <w:r w:rsidRPr="009C7A0A">
        <w:rPr>
          <w:rFonts w:eastAsia="Calibri"/>
          <w:i/>
          <w:iCs/>
        </w:rPr>
        <w:t>lietas</w:t>
      </w:r>
      <w:r w:rsidRPr="009C7A0A">
        <w:rPr>
          <w:rFonts w:eastAsia="Calibri"/>
        </w:rPr>
        <w:t xml:space="preserve"> </w:t>
      </w:r>
      <w:r w:rsidRPr="009C7A0A">
        <w:rPr>
          <w:rFonts w:eastAsia="Calibri"/>
          <w:i/>
          <w:iCs/>
        </w:rPr>
        <w:t>55. sējuma 119.</w:t>
      </w:r>
      <w:r w:rsidRPr="009C7A0A">
        <w:t>–</w:t>
      </w:r>
      <w:r w:rsidRPr="009C7A0A">
        <w:rPr>
          <w:rFonts w:eastAsia="Calibri"/>
          <w:i/>
          <w:iCs/>
        </w:rPr>
        <w:t>120. lapa</w:t>
      </w:r>
      <w:r w:rsidRPr="009C7A0A">
        <w:rPr>
          <w:rFonts w:eastAsia="Calibri"/>
        </w:rPr>
        <w:t>) un ekspertu</w:t>
      </w:r>
      <w:r w:rsidRPr="009C7A0A">
        <w:rPr>
          <w:rFonts w:eastAsia="Calibri"/>
          <w:lang w:eastAsia="lv-LV"/>
        </w:rPr>
        <w:t xml:space="preserve"> </w:t>
      </w:r>
      <w:r w:rsidR="003C2C84">
        <w:rPr>
          <w:rFonts w:eastAsia="Calibri"/>
          <w:lang w:eastAsia="lv-LV"/>
        </w:rPr>
        <w:t>[pers. MD]</w:t>
      </w:r>
      <w:r w:rsidRPr="009C7A0A">
        <w:rPr>
          <w:rFonts w:eastAsia="Calibri"/>
          <w:lang w:eastAsia="lv-LV"/>
        </w:rPr>
        <w:t xml:space="preserve">, </w:t>
      </w:r>
      <w:r w:rsidR="003C2C84">
        <w:rPr>
          <w:rFonts w:eastAsia="Calibri"/>
          <w:lang w:eastAsia="lv-LV"/>
        </w:rPr>
        <w:t>[pers. MC]</w:t>
      </w:r>
      <w:r w:rsidRPr="009C7A0A">
        <w:rPr>
          <w:rFonts w:eastAsia="Calibri"/>
          <w:lang w:eastAsia="lv-LV"/>
        </w:rPr>
        <w:t xml:space="preserve">, </w:t>
      </w:r>
      <w:r w:rsidR="003C2C84">
        <w:rPr>
          <w:rFonts w:eastAsia="Calibri"/>
          <w:lang w:eastAsia="lv-LV"/>
        </w:rPr>
        <w:t>[pers. LG]</w:t>
      </w:r>
      <w:r w:rsidRPr="009C7A0A">
        <w:rPr>
          <w:rFonts w:eastAsia="Calibri"/>
          <w:lang w:eastAsia="lv-LV"/>
        </w:rPr>
        <w:t xml:space="preserve">, </w:t>
      </w:r>
      <w:r w:rsidR="003C2C84">
        <w:rPr>
          <w:rFonts w:eastAsia="Calibri"/>
          <w:lang w:eastAsia="lv-LV"/>
        </w:rPr>
        <w:t>[pers. LD]</w:t>
      </w:r>
      <w:r w:rsidRPr="009C7A0A">
        <w:rPr>
          <w:rFonts w:eastAsia="Calibri"/>
        </w:rPr>
        <w:t xml:space="preserve"> un </w:t>
      </w:r>
      <w:r w:rsidR="003C2C84">
        <w:rPr>
          <w:rFonts w:eastAsia="Calibri"/>
        </w:rPr>
        <w:t>[pers. LE]</w:t>
      </w:r>
      <w:r w:rsidRPr="009C7A0A">
        <w:rPr>
          <w:rFonts w:eastAsia="Calibri"/>
        </w:rPr>
        <w:t xml:space="preserve"> liecībām secināms, ka pēc </w:t>
      </w:r>
      <w:r w:rsidRPr="009C7A0A">
        <w:rPr>
          <w:rFonts w:eastAsia="Calibri"/>
          <w:lang w:eastAsia="lv-LV"/>
        </w:rPr>
        <w:t xml:space="preserve">ugunsgrēka imitācijas minimālā </w:t>
      </w:r>
      <w:proofErr w:type="spellStart"/>
      <w:r w:rsidRPr="009C7A0A">
        <w:rPr>
          <w:rFonts w:eastAsia="Calibri"/>
          <w:lang w:eastAsia="lv-LV"/>
        </w:rPr>
        <w:t>virsbetona</w:t>
      </w:r>
      <w:proofErr w:type="spellEnd"/>
      <w:r w:rsidRPr="009C7A0A">
        <w:rPr>
          <w:rFonts w:eastAsia="Calibri"/>
          <w:lang w:eastAsia="lv-LV"/>
        </w:rPr>
        <w:t xml:space="preserve"> stiprība bija 25,3 </w:t>
      </w:r>
      <w:proofErr w:type="spellStart"/>
      <w:r w:rsidRPr="009C7A0A">
        <w:rPr>
          <w:rFonts w:eastAsia="Calibri"/>
          <w:lang w:eastAsia="lv-LV"/>
        </w:rPr>
        <w:t>megapaskāli</w:t>
      </w:r>
      <w:proofErr w:type="spellEnd"/>
      <w:r w:rsidRPr="009C7A0A">
        <w:rPr>
          <w:rFonts w:eastAsia="Calibri"/>
          <w:lang w:eastAsia="lv-LV"/>
        </w:rPr>
        <w:t>, kas ir būtiski lielāka, nekā deklarācijā norādītā minimālā stiprība</w:t>
      </w:r>
      <w:r w:rsidR="002D11CA" w:rsidRPr="009C7A0A">
        <w:rPr>
          <w:rFonts w:eastAsia="Calibri"/>
          <w:lang w:eastAsia="lv-LV"/>
        </w:rPr>
        <w:t xml:space="preserve"> – </w:t>
      </w:r>
      <w:r w:rsidRPr="009C7A0A">
        <w:rPr>
          <w:rFonts w:eastAsia="Calibri"/>
          <w:lang w:eastAsia="lv-LV"/>
        </w:rPr>
        <w:t>16 </w:t>
      </w:r>
      <w:proofErr w:type="spellStart"/>
      <w:r w:rsidRPr="009C7A0A">
        <w:rPr>
          <w:rFonts w:eastAsia="Calibri"/>
          <w:lang w:eastAsia="lv-LV"/>
        </w:rPr>
        <w:t>megapaskāli</w:t>
      </w:r>
      <w:proofErr w:type="spellEnd"/>
      <w:r w:rsidRPr="009C7A0A">
        <w:rPr>
          <w:rFonts w:eastAsia="Calibri"/>
          <w:lang w:eastAsia="lv-LV"/>
        </w:rPr>
        <w:t>.</w:t>
      </w:r>
    </w:p>
    <w:p w14:paraId="3A06EF5F" w14:textId="1E7C33E4" w:rsidR="009C591A" w:rsidRPr="009C7A0A" w:rsidRDefault="003C24A1" w:rsidP="009C7A0A">
      <w:pPr>
        <w:spacing w:line="276" w:lineRule="auto"/>
        <w:ind w:firstLine="720"/>
        <w:jc w:val="both"/>
        <w:rPr>
          <w:rFonts w:eastAsia="Calibri"/>
          <w:lang w:eastAsia="lv-LV"/>
        </w:rPr>
      </w:pPr>
      <w:r w:rsidRPr="009C7A0A">
        <w:rPr>
          <w:rFonts w:eastAsia="Calibri"/>
          <w:lang w:eastAsia="lv-LV"/>
        </w:rPr>
        <w:t>Savukārt n</w:t>
      </w:r>
      <w:r w:rsidR="009C591A" w:rsidRPr="009C7A0A">
        <w:rPr>
          <w:rFonts w:eastAsia="Calibri"/>
          <w:lang w:eastAsia="lv-LV"/>
        </w:rPr>
        <w:t>o lieciniek</w:t>
      </w:r>
      <w:r w:rsidR="008C1D93" w:rsidRPr="009C7A0A">
        <w:rPr>
          <w:rFonts w:eastAsia="Calibri"/>
          <w:lang w:eastAsia="lv-LV"/>
        </w:rPr>
        <w:t>u</w:t>
      </w:r>
      <w:r w:rsidR="009C591A" w:rsidRPr="009C7A0A">
        <w:rPr>
          <w:rFonts w:eastAsia="Calibri"/>
          <w:lang w:eastAsia="lv-LV"/>
        </w:rPr>
        <w:t xml:space="preserve"> </w:t>
      </w:r>
      <w:r w:rsidR="00D340EA">
        <w:rPr>
          <w:rFonts w:eastAsia="Calibri"/>
          <w:lang w:eastAsia="lv-LV"/>
        </w:rPr>
        <w:t>[pers. MF]</w:t>
      </w:r>
      <w:r w:rsidR="009C591A" w:rsidRPr="009C7A0A">
        <w:rPr>
          <w:rFonts w:eastAsia="Calibri"/>
          <w:lang w:eastAsia="lv-LV"/>
        </w:rPr>
        <w:t xml:space="preserve">, </w:t>
      </w:r>
      <w:r w:rsidR="00D340EA">
        <w:rPr>
          <w:rFonts w:eastAsia="Calibri"/>
          <w:lang w:eastAsia="lv-LV"/>
        </w:rPr>
        <w:t>[pers. MG]</w:t>
      </w:r>
      <w:r w:rsidR="009C591A" w:rsidRPr="009C7A0A">
        <w:rPr>
          <w:rFonts w:eastAsia="Calibri"/>
          <w:lang w:eastAsia="lv-LV"/>
        </w:rPr>
        <w:t xml:space="preserve"> un </w:t>
      </w:r>
      <w:r w:rsidR="00D340EA">
        <w:rPr>
          <w:rFonts w:eastAsia="Calibri"/>
          <w:lang w:eastAsia="lv-LV"/>
        </w:rPr>
        <w:t>[pers. MH]</w:t>
      </w:r>
      <w:r w:rsidR="009C591A" w:rsidRPr="009C7A0A">
        <w:rPr>
          <w:rFonts w:eastAsia="Calibri"/>
          <w:lang w:eastAsia="lv-LV"/>
        </w:rPr>
        <w:t>, kā arī apsūdzēt</w:t>
      </w:r>
      <w:r w:rsidR="008C1D93" w:rsidRPr="009C7A0A">
        <w:rPr>
          <w:rFonts w:eastAsia="Calibri"/>
          <w:lang w:eastAsia="lv-LV"/>
        </w:rPr>
        <w:t>o</w:t>
      </w:r>
      <w:r w:rsidR="009C591A" w:rsidRPr="009C7A0A">
        <w:rPr>
          <w:rFonts w:eastAsia="Calibri"/>
          <w:lang w:eastAsia="lv-LV"/>
        </w:rPr>
        <w:t xml:space="preserve"> </w:t>
      </w:r>
      <w:r w:rsidR="00AC76F2">
        <w:rPr>
          <w:rFonts w:eastAsia="Calibri"/>
          <w:lang w:eastAsia="lv-LV"/>
        </w:rPr>
        <w:t>[pers. BK]</w:t>
      </w:r>
      <w:r w:rsidR="009C591A" w:rsidRPr="009C7A0A">
        <w:rPr>
          <w:rFonts w:eastAsia="Calibri"/>
          <w:lang w:eastAsia="lv-LV"/>
        </w:rPr>
        <w:t xml:space="preserve"> un </w:t>
      </w:r>
      <w:r w:rsidR="00AC76F2">
        <w:rPr>
          <w:rFonts w:eastAsia="Calibri"/>
          <w:lang w:eastAsia="lv-LV"/>
        </w:rPr>
        <w:t>[pers. BL]</w:t>
      </w:r>
      <w:r w:rsidR="009C591A" w:rsidRPr="009C7A0A">
        <w:rPr>
          <w:rFonts w:eastAsia="Calibri"/>
          <w:lang w:eastAsia="lv-LV"/>
        </w:rPr>
        <w:t xml:space="preserve"> liecībām </w:t>
      </w:r>
      <w:r w:rsidRPr="009C7A0A">
        <w:rPr>
          <w:rFonts w:eastAsia="Calibri"/>
          <w:lang w:eastAsia="lv-LV"/>
        </w:rPr>
        <w:t>tiesa secinājusi</w:t>
      </w:r>
      <w:r w:rsidR="009C591A" w:rsidRPr="009C7A0A">
        <w:rPr>
          <w:rFonts w:eastAsia="Calibri"/>
          <w:lang w:eastAsia="lv-LV"/>
        </w:rPr>
        <w:t xml:space="preserve">, ka </w:t>
      </w:r>
      <w:proofErr w:type="spellStart"/>
      <w:r w:rsidR="009C591A" w:rsidRPr="009C7A0A">
        <w:rPr>
          <w:rFonts w:eastAsia="Calibri"/>
          <w:lang w:eastAsia="lv-LV"/>
        </w:rPr>
        <w:t>virsbetona</w:t>
      </w:r>
      <w:proofErr w:type="spellEnd"/>
      <w:r w:rsidR="009C591A" w:rsidRPr="009C7A0A">
        <w:rPr>
          <w:rFonts w:eastAsia="Calibri"/>
          <w:lang w:eastAsia="lv-LV"/>
        </w:rPr>
        <w:t xml:space="preserve"> stāvokli</w:t>
      </w:r>
      <w:r w:rsidRPr="009C7A0A">
        <w:rPr>
          <w:rFonts w:eastAsia="Calibri"/>
          <w:lang w:eastAsia="lv-LV"/>
        </w:rPr>
        <w:t>s</w:t>
      </w:r>
      <w:r w:rsidR="009C591A" w:rsidRPr="009C7A0A">
        <w:rPr>
          <w:rFonts w:eastAsia="Calibri"/>
          <w:lang w:eastAsia="lv-LV"/>
        </w:rPr>
        <w:t xml:space="preserve"> </w:t>
      </w:r>
      <w:r w:rsidRPr="009C7A0A">
        <w:rPr>
          <w:rFonts w:eastAsia="Calibri"/>
          <w:lang w:eastAsia="lv-LV"/>
        </w:rPr>
        <w:t xml:space="preserve">tika </w:t>
      </w:r>
      <w:r w:rsidR="009C591A" w:rsidRPr="009C7A0A">
        <w:rPr>
          <w:rFonts w:eastAsia="Calibri"/>
          <w:lang w:eastAsia="lv-LV"/>
        </w:rPr>
        <w:t>pārbaudī</w:t>
      </w:r>
      <w:r w:rsidRPr="009C7A0A">
        <w:rPr>
          <w:rFonts w:eastAsia="Calibri"/>
          <w:lang w:eastAsia="lv-LV"/>
        </w:rPr>
        <w:t>ts</w:t>
      </w:r>
      <w:r w:rsidR="009C591A" w:rsidRPr="009C7A0A">
        <w:rPr>
          <w:rFonts w:eastAsia="Calibri"/>
          <w:lang w:eastAsia="lv-LV"/>
        </w:rPr>
        <w:t xml:space="preserve">, </w:t>
      </w:r>
      <w:r w:rsidR="009C591A" w:rsidRPr="009C7A0A">
        <w:rPr>
          <w:rFonts w:eastAsia="Calibri"/>
          <w:lang w:eastAsia="lv-LV"/>
        </w:rPr>
        <w:lastRenderedPageBreak/>
        <w:t xml:space="preserve">izmantojot </w:t>
      </w:r>
      <w:proofErr w:type="spellStart"/>
      <w:r w:rsidR="009C591A" w:rsidRPr="009C7A0A">
        <w:rPr>
          <w:rFonts w:eastAsia="Calibri"/>
          <w:lang w:eastAsia="lv-LV"/>
        </w:rPr>
        <w:t>sklerometru</w:t>
      </w:r>
      <w:proofErr w:type="spellEnd"/>
      <w:r w:rsidR="009C591A" w:rsidRPr="009C7A0A">
        <w:rPr>
          <w:rFonts w:eastAsia="Calibri"/>
          <w:lang w:eastAsia="lv-LV"/>
        </w:rPr>
        <w:t xml:space="preserve"> – Šmita āmuru –, un </w:t>
      </w:r>
      <w:r w:rsidRPr="009C7A0A">
        <w:rPr>
          <w:rFonts w:eastAsia="Calibri"/>
          <w:lang w:eastAsia="lv-LV"/>
        </w:rPr>
        <w:t xml:space="preserve">tika </w:t>
      </w:r>
      <w:r w:rsidR="009C591A" w:rsidRPr="009C7A0A">
        <w:rPr>
          <w:rFonts w:eastAsia="Calibri"/>
          <w:lang w:eastAsia="lv-LV"/>
        </w:rPr>
        <w:t>konstatē</w:t>
      </w:r>
      <w:r w:rsidRPr="009C7A0A">
        <w:rPr>
          <w:rFonts w:eastAsia="Calibri"/>
          <w:lang w:eastAsia="lv-LV"/>
        </w:rPr>
        <w:t>ts</w:t>
      </w:r>
      <w:r w:rsidR="009C591A" w:rsidRPr="009C7A0A">
        <w:rPr>
          <w:rFonts w:eastAsia="Calibri"/>
          <w:lang w:eastAsia="lv-LV"/>
        </w:rPr>
        <w:t xml:space="preserve">, ka </w:t>
      </w:r>
      <w:proofErr w:type="spellStart"/>
      <w:r w:rsidR="009C591A" w:rsidRPr="009C7A0A">
        <w:rPr>
          <w:rFonts w:eastAsia="Calibri"/>
          <w:lang w:eastAsia="lv-LV"/>
        </w:rPr>
        <w:t>virsbetona</w:t>
      </w:r>
      <w:proofErr w:type="spellEnd"/>
      <w:r w:rsidR="009C591A" w:rsidRPr="009C7A0A">
        <w:rPr>
          <w:rFonts w:eastAsia="Calibri"/>
          <w:lang w:eastAsia="lv-LV"/>
        </w:rPr>
        <w:t xml:space="preserve"> stiprība bija lielāka par 15 </w:t>
      </w:r>
      <w:proofErr w:type="spellStart"/>
      <w:r w:rsidR="009C591A" w:rsidRPr="009C7A0A">
        <w:rPr>
          <w:rFonts w:eastAsia="Calibri"/>
          <w:lang w:eastAsia="lv-LV"/>
        </w:rPr>
        <w:t>megapaskāliem</w:t>
      </w:r>
      <w:proofErr w:type="spellEnd"/>
      <w:r w:rsidR="009C591A" w:rsidRPr="009C7A0A">
        <w:rPr>
          <w:rFonts w:eastAsia="Calibri"/>
          <w:lang w:eastAsia="lv-LV"/>
        </w:rPr>
        <w:t xml:space="preserve">. Līdz ar to </w:t>
      </w:r>
      <w:proofErr w:type="spellStart"/>
      <w:r w:rsidR="009C591A" w:rsidRPr="009C7A0A">
        <w:rPr>
          <w:rFonts w:eastAsia="Calibri"/>
          <w:lang w:eastAsia="lv-LV"/>
        </w:rPr>
        <w:t>virsbetona</w:t>
      </w:r>
      <w:proofErr w:type="spellEnd"/>
      <w:r w:rsidR="009C591A" w:rsidRPr="009C7A0A">
        <w:rPr>
          <w:rFonts w:eastAsia="Calibri"/>
          <w:lang w:eastAsia="lv-LV"/>
        </w:rPr>
        <w:t xml:space="preserve"> nomaiņa nebija nepieciešama.</w:t>
      </w:r>
    </w:p>
    <w:p w14:paraId="3719DB91" w14:textId="61C9DBFE" w:rsidR="009C591A" w:rsidRPr="009C7A0A" w:rsidRDefault="009C591A" w:rsidP="009C7A0A">
      <w:pPr>
        <w:spacing w:line="276" w:lineRule="auto"/>
        <w:ind w:firstLine="720"/>
        <w:jc w:val="both"/>
        <w:rPr>
          <w:rFonts w:eastAsia="Calibri"/>
        </w:rPr>
      </w:pPr>
      <w:r w:rsidRPr="009C7A0A">
        <w:rPr>
          <w:rFonts w:eastAsia="Calibri"/>
        </w:rPr>
        <w:t>Pirmās instances tiesā</w:t>
      </w:r>
      <w:r w:rsidRPr="009C7A0A">
        <w:rPr>
          <w:rFonts w:eastAsia="Calibri"/>
          <w:i/>
          <w:iCs/>
        </w:rPr>
        <w:t xml:space="preserve"> </w:t>
      </w:r>
      <w:r w:rsidRPr="009C7A0A">
        <w:rPr>
          <w:rFonts w:eastAsia="Calibri"/>
        </w:rPr>
        <w:t xml:space="preserve">tika noteikta papildu būvkonstrukciju ekspertīze, lai noskaidrotu atšķirības starp komisijas kompleksās ekspertīzes ekspertu un eksperta </w:t>
      </w:r>
      <w:r w:rsidR="001B3962">
        <w:rPr>
          <w:rFonts w:eastAsia="Calibri"/>
        </w:rPr>
        <w:t>[pers. LE]</w:t>
      </w:r>
      <w:r w:rsidRPr="009C7A0A">
        <w:rPr>
          <w:rFonts w:eastAsia="Calibri"/>
        </w:rPr>
        <w:t xml:space="preserve"> ekspertu grupas aprēķiniem un pārbaudītu, vai faktiski fiksētā vidējā svara vērtība</w:t>
      </w:r>
      <w:r w:rsidR="00E2012D" w:rsidRPr="009C7A0A">
        <w:rPr>
          <w:rFonts w:eastAsia="Calibri"/>
        </w:rPr>
        <w:t xml:space="preserve"> </w:t>
      </w:r>
      <w:r w:rsidRPr="009C7A0A">
        <w:rPr>
          <w:rFonts w:eastAsia="Calibri"/>
        </w:rPr>
        <w:t>pārsniedz drošuma koeficientā ietverto rezervi (</w:t>
      </w:r>
      <w:r w:rsidRPr="009C7A0A">
        <w:rPr>
          <w:rFonts w:eastAsia="Calibri"/>
          <w:i/>
          <w:iCs/>
        </w:rPr>
        <w:t>lietas</w:t>
      </w:r>
      <w:r w:rsidRPr="009C7A0A">
        <w:rPr>
          <w:rFonts w:eastAsia="Calibri"/>
        </w:rPr>
        <w:t xml:space="preserve"> </w:t>
      </w:r>
      <w:r w:rsidRPr="009C7A0A">
        <w:rPr>
          <w:rFonts w:eastAsia="Calibri"/>
          <w:i/>
          <w:iCs/>
        </w:rPr>
        <w:t>112. sējuma 133.</w:t>
      </w:r>
      <w:r w:rsidRPr="009C7A0A">
        <w:t>–</w:t>
      </w:r>
      <w:r w:rsidRPr="009C7A0A">
        <w:rPr>
          <w:rFonts w:eastAsia="Calibri"/>
          <w:i/>
          <w:iCs/>
        </w:rPr>
        <w:t>145. lapa</w:t>
      </w:r>
      <w:r w:rsidRPr="009C7A0A">
        <w:rPr>
          <w:rFonts w:eastAsia="Calibri"/>
        </w:rPr>
        <w:t>).</w:t>
      </w:r>
    </w:p>
    <w:p w14:paraId="76090B29" w14:textId="630302C0" w:rsidR="009C591A" w:rsidRPr="009C7A0A" w:rsidRDefault="003C24A1" w:rsidP="009C7A0A">
      <w:pPr>
        <w:spacing w:line="276" w:lineRule="auto"/>
        <w:ind w:firstLine="720"/>
        <w:jc w:val="both"/>
        <w:rPr>
          <w:rFonts w:eastAsia="Calibri"/>
          <w:lang w:eastAsia="lv-LV"/>
        </w:rPr>
      </w:pPr>
      <w:r w:rsidRPr="009C7A0A">
        <w:rPr>
          <w:rFonts w:eastAsia="Calibri"/>
          <w:lang w:eastAsia="lv-LV"/>
        </w:rPr>
        <w:t>Tiesa norādījusi, ka, l</w:t>
      </w:r>
      <w:r w:rsidR="009C591A" w:rsidRPr="009C7A0A">
        <w:rPr>
          <w:rFonts w:eastAsia="Calibri"/>
          <w:lang w:eastAsia="lv-LV"/>
        </w:rPr>
        <w:t>ai arī papildu ekspertīzes ekspertu atzinumā konstatēts, ka pastāv atšķirība aprēķinos par 25</w:t>
      </w:r>
      <w:r w:rsidR="003D0300" w:rsidRPr="009C7A0A">
        <w:rPr>
          <w:rFonts w:eastAsia="Calibri"/>
          <w:lang w:eastAsia="lv-LV"/>
        </w:rPr>
        <w:t>–</w:t>
      </w:r>
      <w:r w:rsidR="009C591A" w:rsidRPr="009C7A0A">
        <w:rPr>
          <w:rFonts w:eastAsia="Calibri"/>
          <w:lang w:eastAsia="lv-LV"/>
        </w:rPr>
        <w:t>28</w:t>
      </w:r>
      <w:r w:rsidR="003D0300" w:rsidRPr="009C7A0A">
        <w:rPr>
          <w:rFonts w:eastAsia="Calibri"/>
          <w:lang w:eastAsia="lv-LV"/>
        </w:rPr>
        <w:t> </w:t>
      </w:r>
      <w:r w:rsidR="009C591A" w:rsidRPr="009C7A0A">
        <w:rPr>
          <w:rFonts w:eastAsia="Calibri"/>
          <w:lang w:eastAsia="lv-LV"/>
        </w:rPr>
        <w:t xml:space="preserve">%, un uzmērītie vidējie </w:t>
      </w:r>
      <w:proofErr w:type="spellStart"/>
      <w:r w:rsidR="009C591A" w:rsidRPr="009C7A0A">
        <w:rPr>
          <w:rFonts w:eastAsia="Calibri"/>
          <w:lang w:eastAsia="lv-LV"/>
        </w:rPr>
        <w:t>virsbetona</w:t>
      </w:r>
      <w:proofErr w:type="spellEnd"/>
      <w:r w:rsidR="009C591A" w:rsidRPr="009C7A0A">
        <w:rPr>
          <w:rFonts w:eastAsia="Calibri"/>
          <w:lang w:eastAsia="lv-LV"/>
        </w:rPr>
        <w:t xml:space="preserve"> slāņu biezumi ir lielāki nekā projektā aprēķinātie, tomēr saskaņā ar būvnormatīvu </w:t>
      </w:r>
      <w:proofErr w:type="spellStart"/>
      <w:r w:rsidR="009C591A" w:rsidRPr="009C7A0A">
        <w:rPr>
          <w:rFonts w:eastAsia="Calibri"/>
          <w:lang w:eastAsia="lv-LV"/>
        </w:rPr>
        <w:t>SNiP</w:t>
      </w:r>
      <w:proofErr w:type="spellEnd"/>
      <w:r w:rsidR="009C591A" w:rsidRPr="009C7A0A">
        <w:rPr>
          <w:rFonts w:eastAsia="Calibri"/>
          <w:lang w:eastAsia="lv-LV"/>
        </w:rPr>
        <w:t xml:space="preserve"> 2.01.07-85 „Slodzes un iedarbes” drošuma koeficients izlīdzinošā </w:t>
      </w:r>
      <w:proofErr w:type="spellStart"/>
      <w:r w:rsidR="009C591A" w:rsidRPr="009C7A0A">
        <w:rPr>
          <w:rFonts w:eastAsia="Calibri"/>
          <w:lang w:eastAsia="lv-LV"/>
        </w:rPr>
        <w:t>virsbetona</w:t>
      </w:r>
      <w:proofErr w:type="spellEnd"/>
      <w:r w:rsidR="009C591A" w:rsidRPr="009C7A0A">
        <w:rPr>
          <w:rFonts w:eastAsia="Calibri"/>
          <w:lang w:eastAsia="lv-LV"/>
        </w:rPr>
        <w:t xml:space="preserve"> slāņa aprēķinam ir 1,30</w:t>
      </w:r>
      <w:r w:rsidRPr="009C7A0A">
        <w:rPr>
          <w:rFonts w:eastAsia="Calibri"/>
          <w:lang w:eastAsia="lv-LV"/>
        </w:rPr>
        <w:t xml:space="preserve">, līdz ar </w:t>
      </w:r>
      <w:r w:rsidR="00246596" w:rsidRPr="009C7A0A">
        <w:rPr>
          <w:rFonts w:eastAsia="Calibri"/>
          <w:lang w:eastAsia="lv-LV"/>
        </w:rPr>
        <w:t>to uzmērītais</w:t>
      </w:r>
      <w:r w:rsidR="009C591A" w:rsidRPr="009C7A0A">
        <w:rPr>
          <w:rFonts w:eastAsia="Calibri"/>
          <w:lang w:eastAsia="lv-LV"/>
        </w:rPr>
        <w:t xml:space="preserve"> </w:t>
      </w:r>
      <w:proofErr w:type="spellStart"/>
      <w:r w:rsidR="009C591A" w:rsidRPr="009C7A0A">
        <w:rPr>
          <w:rFonts w:eastAsia="Calibri"/>
          <w:lang w:eastAsia="lv-LV"/>
        </w:rPr>
        <w:t>virsbetona</w:t>
      </w:r>
      <w:proofErr w:type="spellEnd"/>
      <w:r w:rsidR="009C591A" w:rsidRPr="009C7A0A">
        <w:rPr>
          <w:rFonts w:eastAsia="Calibri"/>
          <w:lang w:eastAsia="lv-LV"/>
        </w:rPr>
        <w:t xml:space="preserve"> svars nepārsniedz iepriekšminētā drošuma koeficientā ietverto rezervi.</w:t>
      </w:r>
    </w:p>
    <w:p w14:paraId="53FE1AA8" w14:textId="77777777" w:rsidR="009C591A" w:rsidRPr="009C7A0A" w:rsidRDefault="009C591A" w:rsidP="009C7A0A">
      <w:pPr>
        <w:spacing w:line="276" w:lineRule="auto"/>
        <w:ind w:firstLine="720"/>
        <w:jc w:val="both"/>
        <w:rPr>
          <w:rFonts w:eastAsia="Calibri"/>
          <w:lang w:eastAsia="lv-LV"/>
        </w:rPr>
      </w:pPr>
      <w:r w:rsidRPr="009C7A0A">
        <w:t>Šāds apelācijas instances tiesas vērtējums atbilst Kriminālprocesa likuma 128. panta otrās un trešās daļas prasībām,</w:t>
      </w:r>
      <w:r w:rsidRPr="009C7A0A">
        <w:rPr>
          <w:rFonts w:eastAsia="Calibri"/>
          <w:lang w:eastAsia="lv-LV"/>
        </w:rPr>
        <w:t xml:space="preserve"> un Senātam nav pamata apšaubīt apelācijas instances tiesas atzinumu, kas pamatots ar pētījuma rezultātā iegūtajām ziņām par jumta nobrukuma cēloņiem.</w:t>
      </w:r>
    </w:p>
    <w:p w14:paraId="5651751F" w14:textId="42ECA436" w:rsidR="009C591A" w:rsidRPr="009C7A0A" w:rsidRDefault="009C591A" w:rsidP="009C7A0A">
      <w:pPr>
        <w:suppressAutoHyphens/>
        <w:autoSpaceDN w:val="0"/>
        <w:spacing w:line="276" w:lineRule="auto"/>
        <w:ind w:firstLine="720"/>
        <w:jc w:val="both"/>
        <w:rPr>
          <w:rFonts w:eastAsia="Calibri"/>
        </w:rPr>
      </w:pPr>
      <w:r w:rsidRPr="009C7A0A">
        <w:rPr>
          <w:rFonts w:eastAsia="Calibri"/>
        </w:rPr>
        <w:t>Senāts konstatē, ka prokurora atšķirīg</w:t>
      </w:r>
      <w:r w:rsidR="003C24A1" w:rsidRPr="009C7A0A">
        <w:rPr>
          <w:rFonts w:eastAsia="Calibri"/>
        </w:rPr>
        <w:t>ai</w:t>
      </w:r>
      <w:r w:rsidRPr="009C7A0A">
        <w:rPr>
          <w:rFonts w:eastAsia="Calibri"/>
        </w:rPr>
        <w:t xml:space="preserve">s viedoklis par lietā iegūto pierādījumu un faktisko apstākļu novērtējumu saistībā ar to, kāds </w:t>
      </w:r>
      <w:r w:rsidRPr="009C7A0A">
        <w:rPr>
          <w:rFonts w:eastAsia="Calibri"/>
          <w:lang w:eastAsia="lv-LV"/>
        </w:rPr>
        <w:t xml:space="preserve">drošuma koeficients </w:t>
      </w:r>
      <w:proofErr w:type="spellStart"/>
      <w:r w:rsidRPr="009C7A0A">
        <w:rPr>
          <w:rFonts w:eastAsia="Calibri"/>
          <w:lang w:eastAsia="lv-LV"/>
        </w:rPr>
        <w:t>virsbetona</w:t>
      </w:r>
      <w:proofErr w:type="spellEnd"/>
      <w:r w:rsidRPr="009C7A0A">
        <w:rPr>
          <w:rFonts w:eastAsia="Calibri"/>
          <w:lang w:eastAsia="lv-LV"/>
        </w:rPr>
        <w:t xml:space="preserve"> slāņa aprēķinā ir piemērojams un kādu ietekmi uz būvkonstrukcijām ir atstājis ugunsgrēks</w:t>
      </w:r>
      <w:r w:rsidRPr="009C7A0A">
        <w:rPr>
          <w:rFonts w:eastAsia="Calibri"/>
        </w:rPr>
        <w:t>, ir vērsts uz to, lai panāktu apelācijas instances tiesas nolēmuma atcelšanu nevis juridisku, bet faktisku iemeslu dēļ, kas ir pretrunā ar Kriminālprocesa likuma 569. panta pirmo daļu.</w:t>
      </w:r>
    </w:p>
    <w:p w14:paraId="0E071B27" w14:textId="6C6DD1D2" w:rsidR="009C591A" w:rsidRPr="009C7A0A" w:rsidRDefault="009C591A" w:rsidP="009C7A0A">
      <w:pPr>
        <w:pStyle w:val="BodyText2"/>
        <w:spacing w:line="276" w:lineRule="auto"/>
        <w:ind w:firstLine="720"/>
        <w:jc w:val="both"/>
        <w:rPr>
          <w:rFonts w:ascii="Times New Roman" w:hAnsi="Times New Roman"/>
          <w:sz w:val="24"/>
          <w:szCs w:val="24"/>
        </w:rPr>
      </w:pPr>
      <w:r w:rsidRPr="009C7A0A">
        <w:rPr>
          <w:rFonts w:ascii="Times New Roman" w:hAnsi="Times New Roman"/>
          <w:sz w:val="24"/>
          <w:szCs w:val="24"/>
        </w:rPr>
        <w:t>[</w:t>
      </w:r>
      <w:r w:rsidR="00A8188A" w:rsidRPr="009C7A0A">
        <w:rPr>
          <w:rFonts w:ascii="Times New Roman" w:hAnsi="Times New Roman"/>
          <w:sz w:val="24"/>
          <w:szCs w:val="24"/>
        </w:rPr>
        <w:t>1</w:t>
      </w:r>
      <w:r w:rsidR="00AD26A6" w:rsidRPr="009C7A0A">
        <w:rPr>
          <w:rFonts w:ascii="Times New Roman" w:hAnsi="Times New Roman"/>
          <w:sz w:val="24"/>
          <w:szCs w:val="24"/>
        </w:rPr>
        <w:t>6</w:t>
      </w:r>
      <w:r w:rsidRPr="009C7A0A">
        <w:rPr>
          <w:rFonts w:ascii="Times New Roman" w:hAnsi="Times New Roman"/>
          <w:sz w:val="24"/>
          <w:szCs w:val="24"/>
        </w:rPr>
        <w:t>.2] Vienlaikus Senāts atzīst, ka apelācijas instances tiesa</w:t>
      </w:r>
      <w:r w:rsidR="0049389B" w:rsidRPr="009C7A0A">
        <w:rPr>
          <w:rFonts w:ascii="Times New Roman" w:hAnsi="Times New Roman"/>
          <w:sz w:val="24"/>
          <w:szCs w:val="24"/>
        </w:rPr>
        <w:t>,</w:t>
      </w:r>
      <w:r w:rsidRPr="009C7A0A">
        <w:rPr>
          <w:rFonts w:ascii="Times New Roman" w:hAnsi="Times New Roman"/>
          <w:sz w:val="24"/>
          <w:szCs w:val="24"/>
        </w:rPr>
        <w:t xml:space="preserve"> pirms noskaidrot, kādā būvniecības posmā tika pieļauti pārkāpumi un k</w:t>
      </w:r>
      <w:r w:rsidR="00246596" w:rsidRPr="009C7A0A">
        <w:rPr>
          <w:rFonts w:ascii="Times New Roman" w:hAnsi="Times New Roman"/>
          <w:sz w:val="24"/>
          <w:szCs w:val="24"/>
        </w:rPr>
        <w:t xml:space="preserve">ura </w:t>
      </w:r>
      <w:r w:rsidRPr="009C7A0A">
        <w:rPr>
          <w:rFonts w:ascii="Times New Roman" w:hAnsi="Times New Roman"/>
          <w:sz w:val="24"/>
          <w:szCs w:val="24"/>
        </w:rPr>
        <w:t xml:space="preserve">persona par to ir atbildīga, nav </w:t>
      </w:r>
      <w:r w:rsidR="0049389B" w:rsidRPr="009C7A0A">
        <w:rPr>
          <w:rFonts w:ascii="Times New Roman" w:hAnsi="Times New Roman"/>
          <w:sz w:val="24"/>
          <w:szCs w:val="24"/>
        </w:rPr>
        <w:t>motivējusi</w:t>
      </w:r>
      <w:r w:rsidRPr="009C7A0A">
        <w:rPr>
          <w:rFonts w:ascii="Times New Roman" w:hAnsi="Times New Roman"/>
          <w:sz w:val="24"/>
          <w:szCs w:val="24"/>
        </w:rPr>
        <w:t>, kāpēc ir noraidāmi pierādījumi, ar kuriem valsts apsūdzība pamatojusi to, ka nepietiekošu kopnes nestspēju un jumta konstrukciju nobrukumu ietekmēja vairāki nosacījumi.</w:t>
      </w:r>
    </w:p>
    <w:p w14:paraId="41A9686E" w14:textId="77777777" w:rsidR="009C591A" w:rsidRPr="009C7A0A" w:rsidRDefault="009C591A" w:rsidP="009C7A0A">
      <w:pPr>
        <w:pStyle w:val="BodyText2"/>
        <w:spacing w:line="276" w:lineRule="auto"/>
        <w:ind w:firstLine="720"/>
        <w:jc w:val="both"/>
        <w:rPr>
          <w:rFonts w:ascii="Times New Roman" w:hAnsi="Times New Roman"/>
          <w:sz w:val="24"/>
          <w:szCs w:val="24"/>
        </w:rPr>
      </w:pPr>
      <w:r w:rsidRPr="009C7A0A">
        <w:rPr>
          <w:rFonts w:ascii="Times New Roman" w:hAnsi="Times New Roman"/>
          <w:sz w:val="24"/>
          <w:szCs w:val="24"/>
        </w:rPr>
        <w:t>Apelācijas instances tiesa, skaidrojot cēloņsakarību, norādījusi, ka cēloņsakarība ir tad, ja darbība vai bezdarbība sagatavo un nosaka seku iestāšanās reālu iespēju, un darbība vai bezdarbība ir galvenais noteicošais faktors, kas neizbēgami radījis kaitīgās sekas.</w:t>
      </w:r>
    </w:p>
    <w:p w14:paraId="1B1825D2" w14:textId="180267C7" w:rsidR="009C591A" w:rsidRPr="009C7A0A" w:rsidRDefault="009C591A" w:rsidP="009C7A0A">
      <w:pPr>
        <w:spacing w:line="276" w:lineRule="auto"/>
        <w:ind w:firstLine="720"/>
        <w:jc w:val="both"/>
      </w:pPr>
      <w:r w:rsidRPr="009C7A0A">
        <w:t>Senāts atzīt, ka apelācijas instances tiesa, noskaidrojot, kādi apstākļi noteica konkrētu seku iestāšanos, nav ņēmusi vērā iepriekš judikatūrā un krimināltiesību teorijā pausto atziņu, ka sekas var veidoties, apvienojoties vairākiem cēloņiem, un to, ka cēloņsakarība ir ne tikai tad, ja tās pašas sekas neiestātos vispār, bet arī tad, ja tās pašas sekas iestātos, taču citā veidā, laikā vai vietā, vai ja tās iestātos tajā pašā laikā un vietā, taču būtu mazāk smagas (</w:t>
      </w:r>
      <w:r w:rsidRPr="00496D33">
        <w:t>lēmuma 5.1. punkt</w:t>
      </w:r>
      <w:r w:rsidR="00496D33">
        <w:t>s</w:t>
      </w:r>
      <w:r w:rsidRPr="009C7A0A">
        <w:t>).</w:t>
      </w:r>
    </w:p>
    <w:p w14:paraId="086FA54F" w14:textId="22470E2B" w:rsidR="009C591A" w:rsidRPr="009C7A0A" w:rsidRDefault="009C591A" w:rsidP="009C7A0A">
      <w:pPr>
        <w:pStyle w:val="BodyText2"/>
        <w:spacing w:line="276" w:lineRule="auto"/>
        <w:ind w:firstLine="720"/>
        <w:jc w:val="both"/>
        <w:rPr>
          <w:rFonts w:ascii="Times New Roman" w:hAnsi="Times New Roman"/>
          <w:sz w:val="24"/>
          <w:szCs w:val="24"/>
        </w:rPr>
      </w:pPr>
      <w:r w:rsidRPr="009C7A0A">
        <w:rPr>
          <w:rFonts w:ascii="Times New Roman" w:hAnsi="Times New Roman"/>
          <w:sz w:val="24"/>
          <w:szCs w:val="24"/>
        </w:rPr>
        <w:t xml:space="preserve">Apelācijas instances tiesa atzinusi, ka seku iestāšanās noteicošais nosacījums bija nepareizs kopnes mezgla aprēķins, kas radīja kopnes apakšējā </w:t>
      </w:r>
      <w:r w:rsidRPr="009C7A0A">
        <w:rPr>
          <w:rFonts w:ascii="Times New Roman" w:hAnsi="Times New Roman"/>
          <w:sz w:val="24"/>
          <w:szCs w:val="24"/>
          <w:lang w:eastAsia="lv-LV"/>
        </w:rPr>
        <w:t>mezgla pārslodzi 6,5 reizes</w:t>
      </w:r>
      <w:r w:rsidR="0049389B" w:rsidRPr="009C7A0A">
        <w:rPr>
          <w:rFonts w:ascii="Times New Roman" w:hAnsi="Times New Roman"/>
          <w:sz w:val="24"/>
          <w:szCs w:val="24"/>
        </w:rPr>
        <w:t>, taču</w:t>
      </w:r>
      <w:r w:rsidRPr="009C7A0A">
        <w:rPr>
          <w:rFonts w:ascii="Times New Roman" w:hAnsi="Times New Roman"/>
          <w:sz w:val="24"/>
          <w:szCs w:val="24"/>
        </w:rPr>
        <w:t xml:space="preserve"> tiesa n</w:t>
      </w:r>
      <w:r w:rsidR="0049389B" w:rsidRPr="009C7A0A">
        <w:rPr>
          <w:rFonts w:ascii="Times New Roman" w:hAnsi="Times New Roman"/>
          <w:sz w:val="24"/>
          <w:szCs w:val="24"/>
        </w:rPr>
        <w:t xml:space="preserve">av </w:t>
      </w:r>
      <w:r w:rsidRPr="009C7A0A">
        <w:rPr>
          <w:rFonts w:ascii="Times New Roman" w:hAnsi="Times New Roman"/>
          <w:sz w:val="24"/>
          <w:szCs w:val="24"/>
        </w:rPr>
        <w:t>pamatoj</w:t>
      </w:r>
      <w:r w:rsidR="0049389B" w:rsidRPr="009C7A0A">
        <w:rPr>
          <w:rFonts w:ascii="Times New Roman" w:hAnsi="Times New Roman"/>
          <w:sz w:val="24"/>
          <w:szCs w:val="24"/>
        </w:rPr>
        <w:t>usi</w:t>
      </w:r>
      <w:r w:rsidRPr="009C7A0A">
        <w:rPr>
          <w:rFonts w:ascii="Times New Roman" w:hAnsi="Times New Roman"/>
          <w:sz w:val="24"/>
          <w:szCs w:val="24"/>
        </w:rPr>
        <w:t>, kādi apstākļi izveidoja</w:t>
      </w:r>
      <w:r w:rsidR="0049389B" w:rsidRPr="009C7A0A">
        <w:rPr>
          <w:rFonts w:ascii="Times New Roman" w:hAnsi="Times New Roman"/>
          <w:sz w:val="24"/>
          <w:szCs w:val="24"/>
        </w:rPr>
        <w:t xml:space="preserve"> šo pārslodzi</w:t>
      </w:r>
      <w:r w:rsidRPr="009C7A0A">
        <w:rPr>
          <w:rFonts w:ascii="Times New Roman" w:hAnsi="Times New Roman"/>
          <w:sz w:val="24"/>
          <w:szCs w:val="24"/>
        </w:rPr>
        <w:t>, un atstāj</w:t>
      </w:r>
      <w:r w:rsidR="0049389B" w:rsidRPr="009C7A0A">
        <w:rPr>
          <w:rFonts w:ascii="Times New Roman" w:hAnsi="Times New Roman"/>
          <w:sz w:val="24"/>
          <w:szCs w:val="24"/>
        </w:rPr>
        <w:t>usi</w:t>
      </w:r>
      <w:r w:rsidRPr="009C7A0A">
        <w:rPr>
          <w:rFonts w:ascii="Times New Roman" w:hAnsi="Times New Roman"/>
          <w:sz w:val="24"/>
          <w:szCs w:val="24"/>
        </w:rPr>
        <w:t xml:space="preserve"> bez ievērības kompleksās ekspertīzes ekspertu atzinumā </w:t>
      </w:r>
      <w:r w:rsidR="00246596" w:rsidRPr="009C7A0A">
        <w:rPr>
          <w:rFonts w:ascii="Times New Roman" w:hAnsi="Times New Roman"/>
          <w:sz w:val="24"/>
          <w:szCs w:val="24"/>
        </w:rPr>
        <w:t>secināto, ka</w:t>
      </w:r>
      <w:r w:rsidRPr="009C7A0A">
        <w:rPr>
          <w:rFonts w:ascii="Times New Roman" w:hAnsi="Times New Roman"/>
          <w:sz w:val="24"/>
          <w:szCs w:val="24"/>
        </w:rPr>
        <w:t xml:space="preserve"> pārslodzi veidoja ne vien kļūdains kopnes projekts, sadalot to divās daļās un nenodrošinot kopnes balsta mezgla nestspēju, bet arī </w:t>
      </w:r>
      <w:r w:rsidRPr="009C7A0A">
        <w:rPr>
          <w:rFonts w:ascii="Times New Roman" w:eastAsia="Calibri" w:hAnsi="Times New Roman"/>
          <w:sz w:val="24"/>
          <w:szCs w:val="24"/>
        </w:rPr>
        <w:t xml:space="preserve">standartiem </w:t>
      </w:r>
      <w:r w:rsidR="00246596" w:rsidRPr="009C7A0A">
        <w:rPr>
          <w:rFonts w:ascii="Times New Roman" w:eastAsia="Calibri" w:hAnsi="Times New Roman"/>
          <w:sz w:val="24"/>
          <w:szCs w:val="24"/>
        </w:rPr>
        <w:t xml:space="preserve">neatbilstošu </w:t>
      </w:r>
      <w:r w:rsidRPr="009C7A0A">
        <w:rPr>
          <w:rFonts w:ascii="Times New Roman" w:eastAsia="Calibri" w:hAnsi="Times New Roman"/>
          <w:sz w:val="24"/>
          <w:szCs w:val="24"/>
        </w:rPr>
        <w:t>bultskrūvju un uzgriežņu izmantošana, nepietiek</w:t>
      </w:r>
      <w:r w:rsidR="008769F9" w:rsidRPr="009C7A0A">
        <w:rPr>
          <w:rFonts w:ascii="Times New Roman" w:eastAsia="Calibri" w:hAnsi="Times New Roman"/>
          <w:sz w:val="24"/>
          <w:szCs w:val="24"/>
        </w:rPr>
        <w:t>ams</w:t>
      </w:r>
      <w:r w:rsidRPr="009C7A0A">
        <w:rPr>
          <w:rFonts w:ascii="Times New Roman" w:eastAsia="Calibri" w:hAnsi="Times New Roman"/>
          <w:sz w:val="24"/>
          <w:szCs w:val="24"/>
        </w:rPr>
        <w:t xml:space="preserve"> uzgriežņu nospriegojuma līmenis un nekvalitatīvs </w:t>
      </w:r>
      <w:proofErr w:type="spellStart"/>
      <w:r w:rsidRPr="009C7A0A">
        <w:rPr>
          <w:rFonts w:ascii="Times New Roman" w:eastAsia="Calibri" w:hAnsi="Times New Roman"/>
          <w:sz w:val="24"/>
          <w:szCs w:val="24"/>
        </w:rPr>
        <w:t>fasonlapu</w:t>
      </w:r>
      <w:proofErr w:type="spellEnd"/>
      <w:r w:rsidRPr="009C7A0A">
        <w:rPr>
          <w:rFonts w:ascii="Times New Roman" w:eastAsia="Calibri" w:hAnsi="Times New Roman"/>
          <w:sz w:val="24"/>
          <w:szCs w:val="24"/>
        </w:rPr>
        <w:t xml:space="preserve"> metinājums.</w:t>
      </w:r>
    </w:p>
    <w:p w14:paraId="3E258E22" w14:textId="77777777" w:rsidR="009C591A" w:rsidRPr="009C7A0A" w:rsidRDefault="009C591A" w:rsidP="009C7A0A">
      <w:pPr>
        <w:pStyle w:val="BodyText2"/>
        <w:spacing w:line="276" w:lineRule="auto"/>
        <w:ind w:firstLine="720"/>
        <w:jc w:val="both"/>
        <w:rPr>
          <w:rFonts w:ascii="Times New Roman" w:hAnsi="Times New Roman"/>
          <w:sz w:val="24"/>
          <w:szCs w:val="24"/>
        </w:rPr>
      </w:pPr>
      <w:r w:rsidRPr="009C7A0A">
        <w:rPr>
          <w:rFonts w:ascii="Times New Roman" w:hAnsi="Times New Roman"/>
          <w:sz w:val="24"/>
          <w:szCs w:val="24"/>
        </w:rPr>
        <w:lastRenderedPageBreak/>
        <w:t>No kompleksās būvniecības ekspertīzes ekspertu atzinuma secināms, ka jumta konstrukcijas kopējo nestspēju ietekmēja rupjas kļūdas tērauda kopnes MK-1 konstruktīvajā risinājumā.</w:t>
      </w:r>
    </w:p>
    <w:p w14:paraId="41CA7E4D" w14:textId="53034289" w:rsidR="009C591A" w:rsidRPr="009C7A0A" w:rsidRDefault="009C591A" w:rsidP="009C7A0A">
      <w:pPr>
        <w:pStyle w:val="BodyText2"/>
        <w:spacing w:line="276" w:lineRule="auto"/>
        <w:ind w:firstLine="720"/>
        <w:jc w:val="both"/>
        <w:rPr>
          <w:rFonts w:ascii="Times New Roman" w:hAnsi="Times New Roman"/>
          <w:sz w:val="24"/>
          <w:szCs w:val="24"/>
        </w:rPr>
      </w:pPr>
      <w:r w:rsidRPr="009C7A0A">
        <w:rPr>
          <w:rFonts w:ascii="Times New Roman" w:hAnsi="Times New Roman"/>
          <w:sz w:val="24"/>
          <w:szCs w:val="24"/>
        </w:rPr>
        <w:t>Pēc veiktajiem aprēķiniem atsevišķi kopnes tērauda elementi bija pārslogoti līdz 142</w:t>
      </w:r>
      <w:r w:rsidR="00DE36E3" w:rsidRPr="009C7A0A">
        <w:rPr>
          <w:rFonts w:ascii="Times New Roman" w:hAnsi="Times New Roman"/>
          <w:sz w:val="24"/>
          <w:szCs w:val="24"/>
        </w:rPr>
        <w:t> </w:t>
      </w:r>
      <w:r w:rsidRPr="009C7A0A">
        <w:rPr>
          <w:rFonts w:ascii="Times New Roman" w:hAnsi="Times New Roman"/>
          <w:sz w:val="24"/>
          <w:szCs w:val="24"/>
        </w:rPr>
        <w:t xml:space="preserve">% no tā nestspējas (pārslodze 1,4 reizes), netika nodrošināta kopnes balsta mezgla nestspēja (pārslodze 2,8 reizes), kopnes </w:t>
      </w:r>
      <w:proofErr w:type="spellStart"/>
      <w:r w:rsidRPr="009C7A0A">
        <w:rPr>
          <w:rFonts w:ascii="Times New Roman" w:hAnsi="Times New Roman"/>
          <w:sz w:val="24"/>
          <w:szCs w:val="24"/>
        </w:rPr>
        <w:t>apakšjoslas</w:t>
      </w:r>
      <w:proofErr w:type="spellEnd"/>
      <w:r w:rsidRPr="009C7A0A">
        <w:rPr>
          <w:rFonts w:ascii="Times New Roman" w:hAnsi="Times New Roman"/>
          <w:sz w:val="24"/>
          <w:szCs w:val="24"/>
        </w:rPr>
        <w:t xml:space="preserve"> vidējā savienojuma mezgla metinājuma šuvju stiprība (pārslodze 1,8 reizes) un kopnes </w:t>
      </w:r>
      <w:proofErr w:type="spellStart"/>
      <w:r w:rsidRPr="009C7A0A">
        <w:rPr>
          <w:rFonts w:ascii="Times New Roman" w:hAnsi="Times New Roman"/>
          <w:sz w:val="24"/>
          <w:szCs w:val="24"/>
        </w:rPr>
        <w:t>apakšjoslas</w:t>
      </w:r>
      <w:proofErr w:type="spellEnd"/>
      <w:r w:rsidRPr="009C7A0A">
        <w:rPr>
          <w:rFonts w:ascii="Times New Roman" w:hAnsi="Times New Roman"/>
          <w:sz w:val="24"/>
          <w:szCs w:val="24"/>
        </w:rPr>
        <w:t xml:space="preserve"> vidējā savienojuma </w:t>
      </w:r>
      <w:proofErr w:type="spellStart"/>
      <w:r w:rsidRPr="009C7A0A">
        <w:rPr>
          <w:rFonts w:ascii="Times New Roman" w:hAnsi="Times New Roman"/>
          <w:sz w:val="24"/>
          <w:szCs w:val="24"/>
        </w:rPr>
        <w:t>skrūvsavienojumu</w:t>
      </w:r>
      <w:proofErr w:type="spellEnd"/>
      <w:r w:rsidRPr="009C7A0A">
        <w:rPr>
          <w:rFonts w:ascii="Times New Roman" w:hAnsi="Times New Roman"/>
          <w:sz w:val="24"/>
          <w:szCs w:val="24"/>
        </w:rPr>
        <w:t xml:space="preserve"> stiprība (pārslodze 6,5 reizes). Tieši šī mezgla pārslogošana izraisīja jumta konstrukcijas sabrukumu.</w:t>
      </w:r>
    </w:p>
    <w:p w14:paraId="105C228C" w14:textId="77777777" w:rsidR="009C591A" w:rsidRPr="009C7A0A" w:rsidRDefault="009C591A" w:rsidP="009C7A0A">
      <w:pPr>
        <w:pStyle w:val="BodyText2"/>
        <w:spacing w:line="276" w:lineRule="auto"/>
        <w:ind w:firstLine="720"/>
        <w:jc w:val="both"/>
        <w:rPr>
          <w:rFonts w:ascii="Times New Roman" w:eastAsia="Calibri" w:hAnsi="Times New Roman"/>
          <w:sz w:val="24"/>
          <w:szCs w:val="24"/>
        </w:rPr>
      </w:pPr>
      <w:r w:rsidRPr="009C7A0A">
        <w:rPr>
          <w:rFonts w:ascii="Times New Roman" w:eastAsia="Calibri" w:hAnsi="Times New Roman"/>
          <w:sz w:val="24"/>
          <w:szCs w:val="24"/>
        </w:rPr>
        <w:t xml:space="preserve">Eksperti norādījuši, ka jumta konstrukciju nestspēju būtiski ietekmēja tērauda kopņu MK-1 </w:t>
      </w:r>
      <w:proofErr w:type="spellStart"/>
      <w:r w:rsidRPr="009C7A0A">
        <w:rPr>
          <w:rFonts w:ascii="Times New Roman" w:eastAsia="Calibri" w:hAnsi="Times New Roman"/>
          <w:sz w:val="24"/>
          <w:szCs w:val="24"/>
        </w:rPr>
        <w:t>apakšjoslas</w:t>
      </w:r>
      <w:proofErr w:type="spellEnd"/>
      <w:r w:rsidRPr="009C7A0A">
        <w:rPr>
          <w:rFonts w:ascii="Times New Roman" w:eastAsia="Calibri" w:hAnsi="Times New Roman"/>
          <w:sz w:val="24"/>
          <w:szCs w:val="24"/>
        </w:rPr>
        <w:t xml:space="preserve"> </w:t>
      </w:r>
      <w:proofErr w:type="spellStart"/>
      <w:r w:rsidRPr="009C7A0A">
        <w:rPr>
          <w:rFonts w:ascii="Times New Roman" w:eastAsia="Calibri" w:hAnsi="Times New Roman"/>
          <w:sz w:val="24"/>
          <w:szCs w:val="24"/>
        </w:rPr>
        <w:t>skrūvsavienojumā</w:t>
      </w:r>
      <w:proofErr w:type="spellEnd"/>
      <w:r w:rsidRPr="009C7A0A">
        <w:rPr>
          <w:rFonts w:ascii="Times New Roman" w:eastAsia="Calibri" w:hAnsi="Times New Roman"/>
          <w:sz w:val="24"/>
          <w:szCs w:val="24"/>
        </w:rPr>
        <w:t xml:space="preserve"> izmantoto </w:t>
      </w:r>
      <w:proofErr w:type="spellStart"/>
      <w:r w:rsidRPr="009C7A0A">
        <w:rPr>
          <w:rFonts w:ascii="Times New Roman" w:eastAsia="Calibri" w:hAnsi="Times New Roman"/>
          <w:sz w:val="24"/>
          <w:szCs w:val="24"/>
        </w:rPr>
        <w:t>bulstskrūvju</w:t>
      </w:r>
      <w:proofErr w:type="spellEnd"/>
      <w:r w:rsidRPr="009C7A0A">
        <w:rPr>
          <w:rFonts w:ascii="Times New Roman" w:eastAsia="Calibri" w:hAnsi="Times New Roman"/>
          <w:sz w:val="24"/>
          <w:szCs w:val="24"/>
        </w:rPr>
        <w:t xml:space="preserve"> un uzgriežņu tehniskie parametri. Lai arī jumta nobrukums būtu prognozējams arī pie standartiem atbilstošu bultskrūvju un uzgriežņu izmantošanas, tomēr tas notiktu vēlāk pie vēl lielākas slodzes uz jumta.</w:t>
      </w:r>
    </w:p>
    <w:p w14:paraId="39A60EC8" w14:textId="330A9AA9" w:rsidR="009C591A" w:rsidRPr="009C7A0A" w:rsidRDefault="009C591A" w:rsidP="009C7A0A">
      <w:pPr>
        <w:pStyle w:val="BodyText2"/>
        <w:spacing w:line="276" w:lineRule="auto"/>
        <w:ind w:firstLine="720"/>
        <w:jc w:val="both"/>
        <w:rPr>
          <w:rFonts w:ascii="Times New Roman" w:eastAsia="Calibri" w:hAnsi="Times New Roman"/>
          <w:sz w:val="24"/>
          <w:szCs w:val="24"/>
        </w:rPr>
      </w:pPr>
      <w:r w:rsidRPr="009C7A0A">
        <w:rPr>
          <w:rFonts w:ascii="Times New Roman" w:eastAsia="Calibri" w:hAnsi="Times New Roman"/>
          <w:sz w:val="24"/>
          <w:szCs w:val="24"/>
        </w:rPr>
        <w:t>Turklāt eksperti, laboratoriski pārbaudot uzgriežņu I8I stiprību, konstatēja, ka tā bija mazāka par to minimālo stiprības līmeni, kāds noteikts standartā LVS</w:t>
      </w:r>
      <w:r w:rsidR="003F0916" w:rsidRPr="009C7A0A">
        <w:rPr>
          <w:rFonts w:ascii="Times New Roman" w:eastAsia="Calibri" w:hAnsi="Times New Roman"/>
          <w:sz w:val="24"/>
          <w:szCs w:val="24"/>
        </w:rPr>
        <w:t> </w:t>
      </w:r>
      <w:r w:rsidRPr="009C7A0A">
        <w:rPr>
          <w:rFonts w:ascii="Times New Roman" w:eastAsia="Calibri" w:hAnsi="Times New Roman"/>
          <w:sz w:val="24"/>
          <w:szCs w:val="24"/>
        </w:rPr>
        <w:t>EN</w:t>
      </w:r>
      <w:r w:rsidR="003F0916" w:rsidRPr="009C7A0A">
        <w:rPr>
          <w:rFonts w:ascii="Times New Roman" w:eastAsia="Calibri" w:hAnsi="Times New Roman"/>
          <w:sz w:val="24"/>
          <w:szCs w:val="24"/>
        </w:rPr>
        <w:t> </w:t>
      </w:r>
      <w:r w:rsidRPr="009C7A0A">
        <w:rPr>
          <w:rFonts w:ascii="Times New Roman" w:eastAsia="Calibri" w:hAnsi="Times New Roman"/>
          <w:sz w:val="24"/>
          <w:szCs w:val="24"/>
        </w:rPr>
        <w:t>ISO</w:t>
      </w:r>
      <w:r w:rsidR="003F0916" w:rsidRPr="009C7A0A">
        <w:rPr>
          <w:rFonts w:ascii="Times New Roman" w:eastAsia="Calibri" w:hAnsi="Times New Roman"/>
          <w:sz w:val="24"/>
          <w:szCs w:val="24"/>
        </w:rPr>
        <w:t> </w:t>
      </w:r>
      <w:r w:rsidRPr="009C7A0A">
        <w:rPr>
          <w:rFonts w:ascii="Times New Roman" w:eastAsia="Calibri" w:hAnsi="Times New Roman"/>
          <w:sz w:val="24"/>
          <w:szCs w:val="24"/>
        </w:rPr>
        <w:t>898 - 2. Minimālajai slodzei jābūt lielākai par 225,4 </w:t>
      </w:r>
      <w:proofErr w:type="spellStart"/>
      <w:r w:rsidRPr="009C7A0A">
        <w:rPr>
          <w:rFonts w:ascii="Times New Roman" w:eastAsia="Calibri" w:hAnsi="Times New Roman"/>
          <w:sz w:val="24"/>
          <w:szCs w:val="24"/>
        </w:rPr>
        <w:t>kN</w:t>
      </w:r>
      <w:proofErr w:type="spellEnd"/>
      <w:r w:rsidRPr="009C7A0A">
        <w:rPr>
          <w:rFonts w:ascii="Times New Roman" w:eastAsia="Calibri" w:hAnsi="Times New Roman"/>
          <w:sz w:val="24"/>
          <w:szCs w:val="24"/>
        </w:rPr>
        <w:t>, savukārt vidējais pārbaudes rezultāts bija 194,8 </w:t>
      </w:r>
      <w:proofErr w:type="spellStart"/>
      <w:r w:rsidRPr="009C7A0A">
        <w:rPr>
          <w:rFonts w:ascii="Times New Roman" w:eastAsia="Calibri" w:hAnsi="Times New Roman"/>
          <w:sz w:val="24"/>
          <w:szCs w:val="24"/>
        </w:rPr>
        <w:t>kN</w:t>
      </w:r>
      <w:proofErr w:type="spellEnd"/>
      <w:r w:rsidRPr="009C7A0A">
        <w:rPr>
          <w:rFonts w:ascii="Times New Roman" w:eastAsia="Calibri" w:hAnsi="Times New Roman"/>
          <w:sz w:val="24"/>
          <w:szCs w:val="24"/>
        </w:rPr>
        <w:t>.</w:t>
      </w:r>
    </w:p>
    <w:p w14:paraId="3291D1CB" w14:textId="78A69990" w:rsidR="009C591A" w:rsidRPr="009C7A0A" w:rsidRDefault="009C591A" w:rsidP="009C7A0A">
      <w:pPr>
        <w:pStyle w:val="BodyText2"/>
        <w:spacing w:line="276" w:lineRule="auto"/>
        <w:ind w:firstLine="720"/>
        <w:jc w:val="both"/>
        <w:rPr>
          <w:rFonts w:ascii="Times New Roman" w:eastAsia="Calibri" w:hAnsi="Times New Roman"/>
          <w:sz w:val="24"/>
          <w:szCs w:val="24"/>
        </w:rPr>
      </w:pPr>
      <w:r w:rsidRPr="009C7A0A">
        <w:rPr>
          <w:rFonts w:ascii="Times New Roman" w:eastAsia="Calibri" w:hAnsi="Times New Roman"/>
          <w:sz w:val="24"/>
          <w:szCs w:val="24"/>
        </w:rPr>
        <w:t xml:space="preserve">Eksperti, apsekojot nobrukušās konstrukcijas, konstatēja nekvalitatīvu montāžas mezgla metinājumu (apjomīgs </w:t>
      </w:r>
      <w:proofErr w:type="spellStart"/>
      <w:r w:rsidRPr="009C7A0A">
        <w:rPr>
          <w:rFonts w:ascii="Times New Roman" w:eastAsia="Calibri" w:hAnsi="Times New Roman"/>
          <w:sz w:val="24"/>
          <w:szCs w:val="24"/>
        </w:rPr>
        <w:t>nesakusums</w:t>
      </w:r>
      <w:proofErr w:type="spellEnd"/>
      <w:r w:rsidRPr="009C7A0A">
        <w:rPr>
          <w:rFonts w:ascii="Times New Roman" w:eastAsia="Calibri" w:hAnsi="Times New Roman"/>
          <w:sz w:val="24"/>
          <w:szCs w:val="24"/>
        </w:rPr>
        <w:t>), kas arī aktivizēja jumta nobrukumu</w:t>
      </w:r>
      <w:r w:rsidR="008769F9" w:rsidRPr="009C7A0A">
        <w:rPr>
          <w:rFonts w:ascii="Times New Roman" w:eastAsia="Calibri" w:hAnsi="Times New Roman"/>
          <w:sz w:val="24"/>
          <w:szCs w:val="24"/>
        </w:rPr>
        <w:t>,</w:t>
      </w:r>
      <w:r w:rsidRPr="009C7A0A">
        <w:rPr>
          <w:rFonts w:ascii="Times New Roman" w:eastAsia="Calibri" w:hAnsi="Times New Roman"/>
          <w:sz w:val="24"/>
          <w:szCs w:val="24"/>
        </w:rPr>
        <w:t xml:space="preserve"> un tam ir bijusi būtiska nozīme, kāpēc nav noturējies konkrētais jumta iecirknis. Turklāt defekta raksturs un apmērs bija tāds, ka bojājumu noteikti varēja pamanīt.</w:t>
      </w:r>
    </w:p>
    <w:p w14:paraId="1F2A28FF" w14:textId="1A0DCF85" w:rsidR="009C591A" w:rsidRPr="009C7A0A" w:rsidRDefault="009C591A" w:rsidP="009C7A0A">
      <w:pPr>
        <w:pStyle w:val="BodyText2"/>
        <w:spacing w:line="276" w:lineRule="auto"/>
        <w:ind w:firstLine="720"/>
        <w:jc w:val="both"/>
        <w:rPr>
          <w:rFonts w:ascii="Times New Roman" w:hAnsi="Times New Roman"/>
          <w:sz w:val="24"/>
          <w:szCs w:val="24"/>
        </w:rPr>
      </w:pPr>
      <w:r w:rsidRPr="009C7A0A">
        <w:rPr>
          <w:rFonts w:ascii="Times New Roman" w:hAnsi="Times New Roman"/>
          <w:sz w:val="24"/>
          <w:szCs w:val="24"/>
        </w:rPr>
        <w:t xml:space="preserve">Tādējādi Senāts atzīst, ka kopējo kopnes nestspēju ietekmēja vairāki nosacījumi – bultskrūvju un uzgriežņu izmantošana neatbilstoši standartiem, neatbilstošs uzgriežņu nospriegojuma līmenis un nekvalitatīvs </w:t>
      </w:r>
      <w:proofErr w:type="spellStart"/>
      <w:r w:rsidRPr="009C7A0A">
        <w:rPr>
          <w:rFonts w:ascii="Times New Roman" w:hAnsi="Times New Roman"/>
          <w:sz w:val="24"/>
          <w:szCs w:val="24"/>
        </w:rPr>
        <w:t>fasonlapu</w:t>
      </w:r>
      <w:proofErr w:type="spellEnd"/>
      <w:r w:rsidRPr="009C7A0A">
        <w:rPr>
          <w:rFonts w:ascii="Times New Roman" w:hAnsi="Times New Roman"/>
          <w:sz w:val="24"/>
          <w:szCs w:val="24"/>
        </w:rPr>
        <w:t xml:space="preserve"> metinājums–, par kuriem apelācijas instances tiesa nav sniegusi motivētu un likumam atbilstošu vērtējumu.</w:t>
      </w:r>
    </w:p>
    <w:p w14:paraId="2F7386B8" w14:textId="1EDED59E" w:rsidR="009C591A" w:rsidRPr="009C7A0A" w:rsidRDefault="009C591A" w:rsidP="009C7A0A">
      <w:pPr>
        <w:pStyle w:val="BodyText2"/>
        <w:spacing w:line="276" w:lineRule="auto"/>
        <w:ind w:firstLine="720"/>
        <w:jc w:val="both"/>
        <w:rPr>
          <w:rFonts w:ascii="Times New Roman" w:hAnsi="Times New Roman"/>
          <w:sz w:val="24"/>
          <w:szCs w:val="24"/>
        </w:rPr>
      </w:pPr>
      <w:r w:rsidRPr="009C7A0A">
        <w:rPr>
          <w:rFonts w:ascii="Times New Roman" w:hAnsi="Times New Roman"/>
          <w:sz w:val="24"/>
          <w:szCs w:val="24"/>
        </w:rPr>
        <w:t>Apelācijas instances tiesa aprobežojusies ar vispārīgu atziņu, ka minētie apstākļi nav bijuši tiešā cēloniskā sakarā ar jumta nobrukumu. Turklāt apelācijas instances tiesa izdarīj</w:t>
      </w:r>
      <w:r w:rsidR="00246596" w:rsidRPr="009C7A0A">
        <w:rPr>
          <w:rFonts w:ascii="Times New Roman" w:hAnsi="Times New Roman"/>
          <w:sz w:val="24"/>
          <w:szCs w:val="24"/>
        </w:rPr>
        <w:t xml:space="preserve">usi </w:t>
      </w:r>
      <w:r w:rsidRPr="009C7A0A">
        <w:rPr>
          <w:rFonts w:ascii="Times New Roman" w:hAnsi="Times New Roman"/>
          <w:sz w:val="24"/>
          <w:szCs w:val="24"/>
        </w:rPr>
        <w:t>pretrunīgus secinājumus</w:t>
      </w:r>
      <w:r w:rsidR="00EC28B3" w:rsidRPr="009C7A0A">
        <w:rPr>
          <w:rFonts w:ascii="Times New Roman" w:hAnsi="Times New Roman"/>
          <w:sz w:val="24"/>
          <w:szCs w:val="24"/>
        </w:rPr>
        <w:t>,</w:t>
      </w:r>
      <w:r w:rsidRPr="009C7A0A">
        <w:rPr>
          <w:rFonts w:ascii="Times New Roman" w:hAnsi="Times New Roman"/>
          <w:sz w:val="24"/>
          <w:szCs w:val="24"/>
        </w:rPr>
        <w:t xml:space="preserve"> proti, pamatojot cēloņsakarības </w:t>
      </w:r>
      <w:proofErr w:type="spellStart"/>
      <w:r w:rsidRPr="009C7A0A">
        <w:rPr>
          <w:rFonts w:ascii="Times New Roman" w:hAnsi="Times New Roman"/>
          <w:sz w:val="24"/>
          <w:szCs w:val="24"/>
        </w:rPr>
        <w:t>neesību</w:t>
      </w:r>
      <w:proofErr w:type="spellEnd"/>
      <w:r w:rsidRPr="009C7A0A">
        <w:rPr>
          <w:rFonts w:ascii="Times New Roman" w:hAnsi="Times New Roman"/>
          <w:sz w:val="24"/>
          <w:szCs w:val="24"/>
        </w:rPr>
        <w:t xml:space="preserve"> sakarā ar nekvalitatīvu savienojuma mezgla metinājumu, tiesa norādījusi, ka jumta nobrukuma cēlonis ir </w:t>
      </w:r>
      <w:proofErr w:type="spellStart"/>
      <w:r w:rsidRPr="009C7A0A">
        <w:rPr>
          <w:rFonts w:ascii="Times New Roman" w:hAnsi="Times New Roman"/>
          <w:sz w:val="24"/>
          <w:szCs w:val="24"/>
        </w:rPr>
        <w:t>skrūvsavienojuma</w:t>
      </w:r>
      <w:proofErr w:type="spellEnd"/>
      <w:r w:rsidRPr="009C7A0A">
        <w:rPr>
          <w:rFonts w:ascii="Times New Roman" w:hAnsi="Times New Roman"/>
          <w:sz w:val="24"/>
          <w:szCs w:val="24"/>
        </w:rPr>
        <w:t xml:space="preserve"> stiprības nenodrošināšana, savukārt par neatbilstošiem </w:t>
      </w:r>
      <w:proofErr w:type="spellStart"/>
      <w:r w:rsidRPr="009C7A0A">
        <w:rPr>
          <w:rFonts w:ascii="Times New Roman" w:hAnsi="Times New Roman"/>
          <w:sz w:val="24"/>
          <w:szCs w:val="24"/>
        </w:rPr>
        <w:t>skrūvsavienojumiem</w:t>
      </w:r>
      <w:proofErr w:type="spellEnd"/>
      <w:r w:rsidRPr="009C7A0A">
        <w:rPr>
          <w:rFonts w:ascii="Times New Roman" w:hAnsi="Times New Roman"/>
          <w:sz w:val="24"/>
          <w:szCs w:val="24"/>
        </w:rPr>
        <w:t xml:space="preserve"> norādījusi, ka tas nav atzīstams par cēloni, jo jumts nobruktu arī pie stiprāk</w:t>
      </w:r>
      <w:r w:rsidR="008769F9" w:rsidRPr="009C7A0A">
        <w:rPr>
          <w:rFonts w:ascii="Times New Roman" w:hAnsi="Times New Roman"/>
          <w:sz w:val="24"/>
          <w:szCs w:val="24"/>
        </w:rPr>
        <w:t>u</w:t>
      </w:r>
      <w:r w:rsidRPr="009C7A0A">
        <w:rPr>
          <w:rFonts w:ascii="Times New Roman" w:hAnsi="Times New Roman"/>
          <w:sz w:val="24"/>
          <w:szCs w:val="24"/>
        </w:rPr>
        <w:t xml:space="preserve"> </w:t>
      </w:r>
      <w:proofErr w:type="spellStart"/>
      <w:r w:rsidRPr="009C7A0A">
        <w:rPr>
          <w:rFonts w:ascii="Times New Roman" w:hAnsi="Times New Roman"/>
          <w:sz w:val="24"/>
          <w:szCs w:val="24"/>
        </w:rPr>
        <w:t>skrūvsavienojumu</w:t>
      </w:r>
      <w:proofErr w:type="spellEnd"/>
      <w:r w:rsidRPr="009C7A0A">
        <w:rPr>
          <w:rFonts w:ascii="Times New Roman" w:hAnsi="Times New Roman"/>
          <w:sz w:val="24"/>
          <w:szCs w:val="24"/>
        </w:rPr>
        <w:t xml:space="preserve"> izmantošanas.</w:t>
      </w:r>
    </w:p>
    <w:p w14:paraId="7E0410A4" w14:textId="32B5DD0F" w:rsidR="009C591A" w:rsidRPr="009C7A0A" w:rsidRDefault="009C591A" w:rsidP="009C7A0A">
      <w:pPr>
        <w:pStyle w:val="BodyText2"/>
        <w:spacing w:line="276" w:lineRule="auto"/>
        <w:ind w:firstLine="720"/>
        <w:jc w:val="both"/>
        <w:rPr>
          <w:rFonts w:ascii="Times New Roman" w:hAnsi="Times New Roman"/>
          <w:sz w:val="24"/>
          <w:szCs w:val="24"/>
        </w:rPr>
      </w:pPr>
      <w:r w:rsidRPr="009C7A0A">
        <w:rPr>
          <w:rFonts w:ascii="Times New Roman" w:eastAsia="Calibri" w:hAnsi="Times New Roman"/>
          <w:sz w:val="24"/>
          <w:szCs w:val="24"/>
        </w:rPr>
        <w:t xml:space="preserve">Ievērojot minēto, Senāts atzīst, ka </w:t>
      </w:r>
      <w:r w:rsidRPr="009C7A0A">
        <w:rPr>
          <w:rFonts w:ascii="Times New Roman" w:hAnsi="Times New Roman"/>
          <w:sz w:val="24"/>
          <w:szCs w:val="24"/>
        </w:rPr>
        <w:t xml:space="preserve">apelācijas instances tiesa </w:t>
      </w:r>
      <w:r w:rsidR="00246596" w:rsidRPr="009C7A0A">
        <w:rPr>
          <w:rFonts w:ascii="Times New Roman" w:hAnsi="Times New Roman"/>
          <w:sz w:val="24"/>
          <w:szCs w:val="24"/>
        </w:rPr>
        <w:t xml:space="preserve">nav izvērtējusi </w:t>
      </w:r>
      <w:r w:rsidRPr="009C7A0A">
        <w:rPr>
          <w:rFonts w:ascii="Times New Roman" w:hAnsi="Times New Roman"/>
          <w:sz w:val="24"/>
          <w:szCs w:val="24"/>
        </w:rPr>
        <w:t>visu</w:t>
      </w:r>
      <w:r w:rsidR="008769F9" w:rsidRPr="009C7A0A">
        <w:rPr>
          <w:rFonts w:ascii="Times New Roman" w:hAnsi="Times New Roman"/>
          <w:sz w:val="24"/>
          <w:szCs w:val="24"/>
        </w:rPr>
        <w:t>s</w:t>
      </w:r>
      <w:r w:rsidRPr="009C7A0A">
        <w:rPr>
          <w:rFonts w:ascii="Times New Roman" w:hAnsi="Times New Roman"/>
          <w:sz w:val="24"/>
          <w:szCs w:val="24"/>
        </w:rPr>
        <w:t xml:space="preserve"> nosacījumu</w:t>
      </w:r>
      <w:r w:rsidR="008769F9" w:rsidRPr="009C7A0A">
        <w:rPr>
          <w:rFonts w:ascii="Times New Roman" w:hAnsi="Times New Roman"/>
          <w:sz w:val="24"/>
          <w:szCs w:val="24"/>
        </w:rPr>
        <w:t>s</w:t>
      </w:r>
      <w:r w:rsidRPr="009C7A0A">
        <w:rPr>
          <w:rFonts w:ascii="Times New Roman" w:hAnsi="Times New Roman"/>
          <w:sz w:val="24"/>
          <w:szCs w:val="24"/>
        </w:rPr>
        <w:t>, kas veicināja kopnes nobrukumu,</w:t>
      </w:r>
      <w:r w:rsidR="008769F9" w:rsidRPr="009C7A0A">
        <w:rPr>
          <w:rFonts w:ascii="Times New Roman" w:hAnsi="Times New Roman"/>
          <w:sz w:val="24"/>
          <w:szCs w:val="24"/>
        </w:rPr>
        <w:t xml:space="preserve"> to kopumā, </w:t>
      </w:r>
      <w:r w:rsidRPr="009C7A0A">
        <w:rPr>
          <w:rFonts w:ascii="Times New Roman" w:hAnsi="Times New Roman"/>
          <w:sz w:val="24"/>
          <w:szCs w:val="24"/>
        </w:rPr>
        <w:t xml:space="preserve">tādējādi tās pamatojums par cēloņsakarības </w:t>
      </w:r>
      <w:proofErr w:type="spellStart"/>
      <w:r w:rsidRPr="009C7A0A">
        <w:rPr>
          <w:rFonts w:ascii="Times New Roman" w:hAnsi="Times New Roman"/>
          <w:sz w:val="24"/>
          <w:szCs w:val="24"/>
        </w:rPr>
        <w:t>neesību</w:t>
      </w:r>
      <w:proofErr w:type="spellEnd"/>
      <w:r w:rsidRPr="009C7A0A">
        <w:rPr>
          <w:rFonts w:ascii="Times New Roman" w:hAnsi="Times New Roman"/>
          <w:sz w:val="24"/>
          <w:szCs w:val="24"/>
        </w:rPr>
        <w:t xml:space="preserve"> iepriekš norādītajos apstākļos neatbilst Kriminālprocesa likuma 564. panta ceturtās daļas prasībām.</w:t>
      </w:r>
    </w:p>
    <w:p w14:paraId="7CFF4E93" w14:textId="77777777" w:rsidR="009C591A" w:rsidRPr="009C7A0A" w:rsidRDefault="009C591A" w:rsidP="009C7A0A">
      <w:pPr>
        <w:pStyle w:val="BodyText2"/>
        <w:spacing w:line="276" w:lineRule="auto"/>
        <w:ind w:firstLine="720"/>
        <w:jc w:val="both"/>
        <w:rPr>
          <w:rFonts w:ascii="Times New Roman" w:hAnsi="Times New Roman"/>
          <w:sz w:val="24"/>
          <w:szCs w:val="24"/>
        </w:rPr>
      </w:pPr>
    </w:p>
    <w:p w14:paraId="697645ED" w14:textId="3F472086" w:rsidR="009C591A" w:rsidRPr="009C7A0A" w:rsidRDefault="009C591A" w:rsidP="009C7A0A">
      <w:pPr>
        <w:pStyle w:val="BodyText2"/>
        <w:spacing w:line="276" w:lineRule="auto"/>
        <w:ind w:firstLine="720"/>
        <w:jc w:val="both"/>
        <w:rPr>
          <w:rFonts w:ascii="Times New Roman" w:hAnsi="Times New Roman"/>
          <w:sz w:val="24"/>
          <w:szCs w:val="24"/>
        </w:rPr>
      </w:pPr>
      <w:r w:rsidRPr="009C7A0A">
        <w:rPr>
          <w:rFonts w:ascii="Times New Roman" w:hAnsi="Times New Roman"/>
          <w:sz w:val="24"/>
          <w:szCs w:val="24"/>
        </w:rPr>
        <w:t>[</w:t>
      </w:r>
      <w:r w:rsidR="00A8188A" w:rsidRPr="009C7A0A">
        <w:rPr>
          <w:rFonts w:ascii="Times New Roman" w:hAnsi="Times New Roman"/>
          <w:sz w:val="24"/>
          <w:szCs w:val="24"/>
        </w:rPr>
        <w:t>17</w:t>
      </w:r>
      <w:r w:rsidRPr="009C7A0A">
        <w:rPr>
          <w:rFonts w:ascii="Times New Roman" w:hAnsi="Times New Roman"/>
          <w:sz w:val="24"/>
          <w:szCs w:val="24"/>
        </w:rPr>
        <w:t>] Senāts konstatē, ka apelācijas instances tiesas spriedums atceļams daļā:</w:t>
      </w:r>
    </w:p>
    <w:p w14:paraId="79657DEB" w14:textId="786781EB" w:rsidR="009C591A" w:rsidRPr="009C7A0A" w:rsidRDefault="009C591A" w:rsidP="009C7A0A">
      <w:pPr>
        <w:widowControl w:val="0"/>
        <w:spacing w:line="276" w:lineRule="auto"/>
        <w:ind w:firstLine="720"/>
        <w:jc w:val="both"/>
        <w:rPr>
          <w:rFonts w:eastAsia="Calibri"/>
        </w:rPr>
      </w:pPr>
      <w:r w:rsidRPr="009C7A0A">
        <w:t xml:space="preserve">ar kuru no </w:t>
      </w:r>
      <w:r w:rsidR="00B6119E">
        <w:rPr>
          <w:rFonts w:eastAsia="Calibri"/>
          <w:lang w:eastAsia="lv-LV"/>
        </w:rPr>
        <w:t>[pers. A]</w:t>
      </w:r>
      <w:r w:rsidRPr="009C7A0A">
        <w:t xml:space="preserve"> inkriminēto noziedzīgo nodarījumu apraksta izslēgti būvniecības procesā pieļautie pārkāpumi – tas, ka </w:t>
      </w:r>
      <w:r w:rsidR="00B6119E">
        <w:rPr>
          <w:rFonts w:eastAsia="Calibri"/>
          <w:lang w:eastAsia="lv-LV"/>
        </w:rPr>
        <w:t>[pers. A]</w:t>
      </w:r>
      <w:r w:rsidRPr="009C7A0A">
        <w:t xml:space="preserve"> nenovērsa </w:t>
      </w:r>
      <w:r w:rsidRPr="009C7A0A">
        <w:rPr>
          <w:rFonts w:eastAsia="Calibri"/>
        </w:rPr>
        <w:t>neatbilstošu bultskrūvju un uzgriežņu izmantošanu kopņu savienošanā</w:t>
      </w:r>
      <w:r w:rsidR="008A1308" w:rsidRPr="009C7A0A">
        <w:rPr>
          <w:rFonts w:eastAsia="Calibri"/>
        </w:rPr>
        <w:t xml:space="preserve"> un</w:t>
      </w:r>
      <w:r w:rsidRPr="009C7A0A">
        <w:rPr>
          <w:rFonts w:eastAsia="Calibri"/>
        </w:rPr>
        <w:t xml:space="preserve"> nepārliecinājās par bultskrūvju nostiepumu un metinājuma stiprumu</w:t>
      </w:r>
      <w:r w:rsidR="007E1548" w:rsidRPr="009C7A0A">
        <w:rPr>
          <w:rFonts w:eastAsia="Calibri"/>
        </w:rPr>
        <w:t xml:space="preserve"> (turpmāk – būvniecības procesā pieļautie pārkāpumi)</w:t>
      </w:r>
      <w:r w:rsidRPr="009C7A0A">
        <w:rPr>
          <w:rFonts w:eastAsia="Calibri"/>
        </w:rPr>
        <w:t>;</w:t>
      </w:r>
    </w:p>
    <w:p w14:paraId="459CA4FF" w14:textId="1864F288" w:rsidR="009C591A" w:rsidRPr="009C7A0A" w:rsidRDefault="009C591A" w:rsidP="009C7A0A">
      <w:pPr>
        <w:widowControl w:val="0"/>
        <w:spacing w:line="276" w:lineRule="auto"/>
        <w:ind w:firstLine="720"/>
        <w:jc w:val="both"/>
        <w:rPr>
          <w:rFonts w:eastAsia="Calibri"/>
        </w:rPr>
      </w:pPr>
      <w:r w:rsidRPr="009C7A0A">
        <w:rPr>
          <w:rFonts w:eastAsia="Calibri"/>
        </w:rPr>
        <w:t xml:space="preserve">ar kuru no </w:t>
      </w:r>
      <w:r w:rsidR="00FA7922">
        <w:rPr>
          <w:rFonts w:eastAsia="Calibri"/>
          <w:lang w:eastAsia="lv-LV"/>
        </w:rPr>
        <w:t>[pers. A]</w:t>
      </w:r>
      <w:r w:rsidRPr="009C7A0A">
        <w:rPr>
          <w:rFonts w:eastAsia="Calibri"/>
        </w:rPr>
        <w:t xml:space="preserve"> inkriminētās apsūdzības izslēgts apraksts par </w:t>
      </w:r>
      <w:r w:rsidRPr="009C7A0A">
        <w:t>glābēju bojāeju, dažādas smaguma pakāpes miesas bojājumu nodarīšanu un mantisko zaudējumu rašanos;</w:t>
      </w:r>
    </w:p>
    <w:p w14:paraId="25729199" w14:textId="2745A257" w:rsidR="009C591A" w:rsidRPr="009C7A0A" w:rsidRDefault="009C591A" w:rsidP="009C7A0A">
      <w:pPr>
        <w:widowControl w:val="0"/>
        <w:spacing w:line="276" w:lineRule="auto"/>
        <w:ind w:firstLine="720"/>
        <w:jc w:val="both"/>
      </w:pPr>
      <w:r w:rsidRPr="009C7A0A">
        <w:lastRenderedPageBreak/>
        <w:t xml:space="preserve">par apsūdzētā </w:t>
      </w:r>
      <w:r w:rsidR="00E40FD3">
        <w:t>[pers. BI]</w:t>
      </w:r>
      <w:r w:rsidRPr="009C7A0A">
        <w:t xml:space="preserve"> atzīšanu par nevainīgu</w:t>
      </w:r>
      <w:r w:rsidR="00DF6273" w:rsidRPr="009C7A0A">
        <w:t xml:space="preserve"> </w:t>
      </w:r>
      <w:r w:rsidRPr="009C7A0A">
        <w:t xml:space="preserve">pret viņu </w:t>
      </w:r>
      <w:r w:rsidR="00DF6273" w:rsidRPr="009C7A0A">
        <w:t xml:space="preserve">celtajā </w:t>
      </w:r>
      <w:r w:rsidRPr="009C7A0A">
        <w:t>apsūdzībā pēc Krimināllikuma 239. panta otrās daļas (likuma redakcijā, kas stājās spēkā 2013. gada 1. aprīlī)</w:t>
      </w:r>
      <w:r w:rsidR="008E18F3" w:rsidRPr="009C7A0A">
        <w:t xml:space="preserve">, </w:t>
      </w:r>
      <w:r w:rsidRPr="009C7A0A">
        <w:t>123. panta otrās daļas un attaisnošanu;</w:t>
      </w:r>
    </w:p>
    <w:p w14:paraId="37484E95" w14:textId="55061CFA" w:rsidR="009C591A" w:rsidRPr="009C7A0A" w:rsidRDefault="009C591A" w:rsidP="009C7A0A">
      <w:pPr>
        <w:widowControl w:val="0"/>
        <w:spacing w:line="276" w:lineRule="auto"/>
        <w:ind w:firstLine="720"/>
        <w:jc w:val="both"/>
      </w:pPr>
      <w:r w:rsidRPr="009C7A0A">
        <w:t xml:space="preserve">par apsūdzētā </w:t>
      </w:r>
      <w:r w:rsidR="00862BD3">
        <w:t>[pers. BK]</w:t>
      </w:r>
      <w:r w:rsidRPr="009C7A0A">
        <w:t xml:space="preserve"> atzīšanu par nevainīgu pret viņu </w:t>
      </w:r>
      <w:r w:rsidR="00DF6273" w:rsidRPr="009C7A0A">
        <w:t xml:space="preserve">celtajā </w:t>
      </w:r>
      <w:r w:rsidRPr="009C7A0A">
        <w:t>apsūdzībā pēc Krimināllikuma 239. panta otrās daļas (likuma redakcijā, kas stājās spēkā 2013. gada 1. aprīlī)</w:t>
      </w:r>
      <w:r w:rsidR="00E4686D" w:rsidRPr="009C7A0A">
        <w:t>,</w:t>
      </w:r>
      <w:r w:rsidRPr="009C7A0A">
        <w:t xml:space="preserve"> 123. panta otrās daļas un attaisnošanu;</w:t>
      </w:r>
    </w:p>
    <w:p w14:paraId="6BFB8637" w14:textId="09C47557" w:rsidR="009C591A" w:rsidRPr="009C7A0A" w:rsidRDefault="009C591A" w:rsidP="009C7A0A">
      <w:pPr>
        <w:widowControl w:val="0"/>
        <w:spacing w:line="276" w:lineRule="auto"/>
        <w:ind w:firstLine="720"/>
        <w:jc w:val="both"/>
      </w:pPr>
      <w:r w:rsidRPr="009C7A0A">
        <w:t xml:space="preserve">par apsūdzētā </w:t>
      </w:r>
      <w:r w:rsidR="004F098F">
        <w:t>[pers. BL]</w:t>
      </w:r>
      <w:r w:rsidRPr="009C7A0A">
        <w:t xml:space="preserve"> atzīšanu par nevainīgu pret viņu </w:t>
      </w:r>
      <w:r w:rsidR="00DF6273" w:rsidRPr="009C7A0A">
        <w:t xml:space="preserve">celtajā </w:t>
      </w:r>
      <w:r w:rsidRPr="009C7A0A">
        <w:t>apsūdzībā pēc Krimināllikuma 239. panta otrās daļas (likuma redakcijā, kas stājās spēkā 2013. gada 1. aprīlī)</w:t>
      </w:r>
      <w:r w:rsidR="00E4686D" w:rsidRPr="009C7A0A">
        <w:t>,</w:t>
      </w:r>
      <w:r w:rsidRPr="009C7A0A">
        <w:t xml:space="preserve"> 123. panta otrās daļas un attaisnošanu;</w:t>
      </w:r>
    </w:p>
    <w:p w14:paraId="2B58CEE3" w14:textId="092F88B6" w:rsidR="009C591A" w:rsidRPr="009C7A0A" w:rsidRDefault="009C591A" w:rsidP="009C7A0A">
      <w:pPr>
        <w:widowControl w:val="0"/>
        <w:spacing w:line="276" w:lineRule="auto"/>
        <w:ind w:firstLine="720"/>
        <w:jc w:val="both"/>
      </w:pPr>
      <w:r w:rsidRPr="009C7A0A">
        <w:t xml:space="preserve">par apsūdzētā </w:t>
      </w:r>
      <w:r w:rsidR="00F041A4">
        <w:t>[pers. BN]</w:t>
      </w:r>
      <w:r w:rsidRPr="009C7A0A">
        <w:t xml:space="preserve"> atzīšanu par nevainīgu pret viņu </w:t>
      </w:r>
      <w:r w:rsidR="00DF6273" w:rsidRPr="009C7A0A">
        <w:t xml:space="preserve">celtajā </w:t>
      </w:r>
      <w:r w:rsidRPr="009C7A0A">
        <w:t>apsūdzībā pēc Krimināllikuma 319. panta trešās daļas (likuma redakcijā, kas stājās spēkā 2013. gada 1. aprīlī) un attaisnošanu.</w:t>
      </w:r>
    </w:p>
    <w:p w14:paraId="0905AB51" w14:textId="5F492A12" w:rsidR="009C591A" w:rsidRPr="009C7A0A" w:rsidRDefault="009C591A" w:rsidP="009C7A0A">
      <w:pPr>
        <w:widowControl w:val="0"/>
        <w:tabs>
          <w:tab w:val="left" w:pos="1710"/>
        </w:tabs>
        <w:spacing w:line="276" w:lineRule="auto"/>
        <w:ind w:firstLine="720"/>
        <w:jc w:val="both"/>
      </w:pPr>
      <w:r w:rsidRPr="009C7A0A">
        <w:t>[</w:t>
      </w:r>
      <w:r w:rsidR="00A8188A" w:rsidRPr="009C7A0A">
        <w:t>17</w:t>
      </w:r>
      <w:r w:rsidRPr="009C7A0A">
        <w:t>.1] Senāts atzīst, ka apelācijas instances tiesa, iztiesājot lietu šajā daļā, nav ievērojusi Kriminālprocesa likuma normas un judikatūras atziņas.</w:t>
      </w:r>
    </w:p>
    <w:p w14:paraId="3989F587" w14:textId="77777777" w:rsidR="009C591A" w:rsidRPr="009C7A0A" w:rsidRDefault="009C591A" w:rsidP="009C7A0A">
      <w:pPr>
        <w:widowControl w:val="0"/>
        <w:spacing w:line="276" w:lineRule="auto"/>
        <w:ind w:firstLine="720"/>
        <w:jc w:val="both"/>
      </w:pPr>
      <w:r w:rsidRPr="009C7A0A">
        <w:t>Atbilstoši Kriminālprocesa likuma 128. panta otrajai daļai to, cik ticamas ir pierādīšanā izmantojamās ziņas par faktiem, izvērtē, aplūkojot visus kriminālprocesa laikā iegūtos faktus vai ziņas par faktiem kopumā un savstarpējā sakarībā.</w:t>
      </w:r>
    </w:p>
    <w:p w14:paraId="7C9D113C" w14:textId="77777777" w:rsidR="009C591A" w:rsidRPr="009C7A0A" w:rsidRDefault="009C591A" w:rsidP="009C7A0A">
      <w:pPr>
        <w:pStyle w:val="BodyText2"/>
        <w:spacing w:line="276" w:lineRule="auto"/>
        <w:ind w:firstLine="720"/>
        <w:jc w:val="both"/>
        <w:rPr>
          <w:rFonts w:ascii="Times New Roman" w:hAnsi="Times New Roman"/>
          <w:sz w:val="24"/>
          <w:szCs w:val="24"/>
        </w:rPr>
      </w:pPr>
      <w:r w:rsidRPr="009C7A0A">
        <w:rPr>
          <w:rFonts w:ascii="Times New Roman" w:hAnsi="Times New Roman"/>
          <w:sz w:val="24"/>
          <w:szCs w:val="24"/>
        </w:rPr>
        <w:t>Kriminālprocesa likuma 564. pantā reglamentēts apelācijas instances tiesas nolēmuma saturs. Šā panta ceturtā daļa noteic, ka apelācijas instances tiesas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30AB18CB" w14:textId="725EFB1C" w:rsidR="009C591A" w:rsidRPr="009C7A0A" w:rsidRDefault="009C591A" w:rsidP="009C7A0A">
      <w:pPr>
        <w:spacing w:line="276" w:lineRule="auto"/>
        <w:ind w:firstLine="720"/>
        <w:jc w:val="both"/>
        <w:rPr>
          <w:bCs/>
        </w:rPr>
      </w:pPr>
      <w:r w:rsidRPr="009C7A0A">
        <w:t xml:space="preserve">Senāts jau iepriekš norādījis, ka saskaņā ar Kriminālprocesa likuma 561. panta pirmās daļas nosacījumiem lieta apelācijas instances tiesā iztiesājama kārtībā, kāda noteikta krimināllietu iztiesāšanai pirmās instances tiesā, izņemot Kriminālprocesa likuma 53. nodaļā noteikto. Lietas izskatīšana apelācijas instances tiesā ir lietas otrreizēja izskatīšana pēc būtības un tā ir papildu garantija tiesas nolēmuma tiesiskumam un pamatotībai. Apelācijas instances tiesai apelācijas sūdzībā un protestā norādītie juridiski nozīmīgie apstākļi, proti, noziedzīgā nodarījuma sastāva esība vai </w:t>
      </w:r>
      <w:proofErr w:type="spellStart"/>
      <w:r w:rsidRPr="009C7A0A">
        <w:t>neesība</w:t>
      </w:r>
      <w:proofErr w:type="spellEnd"/>
      <w:r w:rsidRPr="009C7A0A">
        <w:t xml:space="preserve"> apsūdzētā rīcībā, ņemot vērā lietas faktiskos apstākļus, judikatūru un apsūdzības formulējumu, kā arī citi apstākļi krimināltiesisko attiecību taisnīgam noregulējumam, jāizvērtē un atzinums jāpamato ar likumu, pārbaudītajiem, novērtētajiem pierādījumiem (</w:t>
      </w:r>
      <w:r w:rsidRPr="009C7A0A">
        <w:rPr>
          <w:i/>
          <w:iCs/>
        </w:rPr>
        <w:t xml:space="preserve">Senāta 2017. gada 10. oktobra lēmuma lietā Nr. SKK-532/2017, </w:t>
      </w:r>
      <w:hyperlink r:id="rId11" w:history="1">
        <w:r w:rsidRPr="00C038A2">
          <w:rPr>
            <w:rStyle w:val="Hyperlink"/>
            <w:bCs/>
            <w:i/>
            <w:iCs/>
          </w:rPr>
          <w:t>ECLI:LV:AT:2017:1010.15830406610.1.L</w:t>
        </w:r>
      </w:hyperlink>
      <w:r w:rsidRPr="009C7A0A">
        <w:rPr>
          <w:rStyle w:val="Hyperlink"/>
          <w:bCs/>
          <w:i/>
          <w:iCs/>
          <w:color w:val="000000" w:themeColor="text1"/>
          <w:u w:val="none"/>
        </w:rPr>
        <w:t>, 9.1. </w:t>
      </w:r>
      <w:r w:rsidR="005E2B4A" w:rsidRPr="009C7A0A">
        <w:rPr>
          <w:rStyle w:val="Hyperlink"/>
          <w:bCs/>
          <w:i/>
          <w:iCs/>
          <w:color w:val="000000" w:themeColor="text1"/>
          <w:u w:val="none"/>
        </w:rPr>
        <w:t>punkt</w:t>
      </w:r>
      <w:r w:rsidR="00C038A2">
        <w:rPr>
          <w:rStyle w:val="Hyperlink"/>
          <w:bCs/>
          <w:i/>
          <w:iCs/>
          <w:color w:val="000000" w:themeColor="text1"/>
          <w:u w:val="none"/>
        </w:rPr>
        <w:t>s</w:t>
      </w:r>
      <w:r w:rsidRPr="009C7A0A">
        <w:rPr>
          <w:bCs/>
        </w:rPr>
        <w:t>)</w:t>
      </w:r>
      <w:r w:rsidRPr="009C7A0A">
        <w:rPr>
          <w:bCs/>
          <w:i/>
          <w:iCs/>
        </w:rPr>
        <w:t>.</w:t>
      </w:r>
      <w:bookmarkStart w:id="9" w:name="_CTVK001b4a0e78d1b3648bdac1281e79df0064a"/>
    </w:p>
    <w:p w14:paraId="2EE2F019" w14:textId="1F8B901E" w:rsidR="009C591A" w:rsidRPr="009C7A0A" w:rsidRDefault="009C591A" w:rsidP="009C7A0A">
      <w:pPr>
        <w:spacing w:line="276" w:lineRule="auto"/>
        <w:ind w:firstLine="720"/>
        <w:jc w:val="both"/>
        <w:rPr>
          <w:bCs/>
        </w:rPr>
      </w:pPr>
      <w:r w:rsidRPr="009C7A0A">
        <w:rPr>
          <w:bCs/>
        </w:rPr>
        <w:t>P</w:t>
      </w:r>
      <w:r w:rsidRPr="009C7A0A">
        <w:rPr>
          <w:color w:val="000000"/>
        </w:rPr>
        <w:t>amatojuma princips ir viens no procesuālā taisnīguma nodrošināšanas līdzekļiem, un atbilstoši tam tiesai ir pienākums motivēt savu nolēmumu. Kriminālprocesa likuma prasība par motivētu nolēmumu ir ievērota, ja tiesa ir motivējusi visus būtiskos atzinumus, kuriem ir nozīme lietas taisnīgā izspriešanā, un motīvu izklāsta apjoms ļauj saprast, kā tiesa nonākusi pie šiem atzinumiem. Motīvu norādīšana tiesas nolēmumā ir viens no līdzekļiem, kas izslēdz tiesas patvaļas iespējamību un ļauj personai pārliecināties, ka tā ir uzklausīta un tās sniegtie argumenti ir izvērtēti (</w:t>
      </w:r>
      <w:r w:rsidR="000C6E4E">
        <w:rPr>
          <w:color w:val="000000"/>
        </w:rPr>
        <w:t>sk. </w:t>
      </w:r>
      <w:r w:rsidRPr="009C7A0A">
        <w:rPr>
          <w:i/>
          <w:color w:val="000000"/>
        </w:rPr>
        <w:t xml:space="preserve">Senāta 2022. gada 5. jūlija lēmuma lietā Nr. SKK-1/2022, </w:t>
      </w:r>
      <w:hyperlink r:id="rId12" w:history="1">
        <w:r w:rsidRPr="00237707">
          <w:rPr>
            <w:rStyle w:val="Hyperlink"/>
            <w:i/>
          </w:rPr>
          <w:t>ECLI:LV:AT:2022:0705.11816006914.4.L</w:t>
        </w:r>
      </w:hyperlink>
      <w:r w:rsidRPr="009C7A0A">
        <w:rPr>
          <w:i/>
          <w:color w:val="000000"/>
        </w:rPr>
        <w:t>, 18. punkt</w:t>
      </w:r>
      <w:r w:rsidR="00FB3290">
        <w:rPr>
          <w:i/>
          <w:color w:val="000000"/>
        </w:rPr>
        <w:t>u</w:t>
      </w:r>
      <w:r w:rsidRPr="009C7A0A">
        <w:rPr>
          <w:color w:val="000000"/>
        </w:rPr>
        <w:t>).</w:t>
      </w:r>
      <w:bookmarkEnd w:id="9"/>
      <w:r w:rsidRPr="009C7A0A">
        <w:fldChar w:fldCharType="begin"/>
      </w:r>
      <w:r w:rsidRPr="009C7A0A">
        <w:instrText>ADDIN CITAVI.PLACEHOLDER 43fda777-4c69-4cbe-af49-b36fe95d4d14 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</w:instrText>
      </w:r>
      <w:r w:rsidRPr="009C7A0A">
        <w:fldChar w:fldCharType="separate"/>
      </w:r>
      <w:bookmarkStart w:id="10" w:name="_CTVP00143fda7774c694cbeaf49b36fe95d4d14"/>
      <w:bookmarkEnd w:id="10"/>
      <w:r w:rsidRPr="009C7A0A">
        <w:fldChar w:fldCharType="end"/>
      </w:r>
    </w:p>
    <w:p w14:paraId="5321CC71" w14:textId="75C3C7BF" w:rsidR="009C591A" w:rsidRPr="009C7A0A" w:rsidRDefault="009C591A" w:rsidP="009C7A0A">
      <w:pPr>
        <w:pStyle w:val="BodyText2"/>
        <w:spacing w:line="276" w:lineRule="auto"/>
        <w:ind w:firstLine="720"/>
        <w:jc w:val="both"/>
        <w:rPr>
          <w:rFonts w:ascii="Times New Roman" w:hAnsi="Times New Roman"/>
          <w:sz w:val="24"/>
          <w:szCs w:val="24"/>
        </w:rPr>
      </w:pPr>
      <w:r w:rsidRPr="009C7A0A">
        <w:rPr>
          <w:rFonts w:ascii="Times New Roman" w:hAnsi="Times New Roman"/>
          <w:sz w:val="24"/>
          <w:szCs w:val="24"/>
        </w:rPr>
        <w:lastRenderedPageBreak/>
        <w:t>[</w:t>
      </w:r>
      <w:r w:rsidR="00A8188A" w:rsidRPr="009C7A0A">
        <w:rPr>
          <w:rFonts w:ascii="Times New Roman" w:hAnsi="Times New Roman"/>
          <w:sz w:val="24"/>
          <w:szCs w:val="24"/>
        </w:rPr>
        <w:t>17</w:t>
      </w:r>
      <w:r w:rsidRPr="009C7A0A">
        <w:rPr>
          <w:rFonts w:ascii="Times New Roman" w:hAnsi="Times New Roman"/>
          <w:sz w:val="24"/>
          <w:szCs w:val="24"/>
        </w:rPr>
        <w:t xml:space="preserve">.2] Apelācijas instances tiesas sprieduma atcelšana daļā, ar kuru no </w:t>
      </w:r>
      <w:r w:rsidR="00D22BC3">
        <w:rPr>
          <w:rFonts w:eastAsia="Calibri"/>
          <w:lang w:eastAsia="lv-LV"/>
        </w:rPr>
        <w:t>[pers. A]</w:t>
      </w:r>
      <w:r w:rsidRPr="009C7A0A">
        <w:rPr>
          <w:rFonts w:ascii="Times New Roman" w:hAnsi="Times New Roman"/>
          <w:sz w:val="24"/>
          <w:szCs w:val="24"/>
        </w:rPr>
        <w:t xml:space="preserve"> apsūdzības</w:t>
      </w:r>
      <w:r w:rsidR="004D13AC" w:rsidRPr="009C7A0A">
        <w:rPr>
          <w:rFonts w:ascii="Times New Roman" w:hAnsi="Times New Roman"/>
          <w:sz w:val="24"/>
          <w:szCs w:val="24"/>
        </w:rPr>
        <w:t xml:space="preserve"> </w:t>
      </w:r>
      <w:r w:rsidRPr="009C7A0A">
        <w:rPr>
          <w:rFonts w:ascii="Times New Roman" w:hAnsi="Times New Roman"/>
          <w:sz w:val="24"/>
          <w:szCs w:val="24"/>
        </w:rPr>
        <w:t>izslēgt</w:t>
      </w:r>
      <w:r w:rsidR="009645F2" w:rsidRPr="009C7A0A">
        <w:rPr>
          <w:rFonts w:ascii="Times New Roman" w:hAnsi="Times New Roman"/>
          <w:sz w:val="24"/>
          <w:szCs w:val="24"/>
        </w:rPr>
        <w:t>a</w:t>
      </w:r>
      <w:r w:rsidR="009645F2" w:rsidRPr="009C7A0A">
        <w:rPr>
          <w:rFonts w:ascii="Times New Roman" w:eastAsia="Calibri" w:hAnsi="Times New Roman"/>
          <w:sz w:val="24"/>
          <w:szCs w:val="24"/>
        </w:rPr>
        <w:t xml:space="preserve"> </w:t>
      </w:r>
      <w:r w:rsidR="009645F2" w:rsidRPr="009C7A0A">
        <w:rPr>
          <w:rFonts w:ascii="Times New Roman" w:hAnsi="Times New Roman"/>
          <w:sz w:val="24"/>
          <w:szCs w:val="24"/>
        </w:rPr>
        <w:t>glābēju bojāeja, dažādas smaguma pakāpes miesas bojājumu nodarīšana un mantisko zaudējumu rašan</w:t>
      </w:r>
      <w:r w:rsidR="004D13AC" w:rsidRPr="009C7A0A">
        <w:rPr>
          <w:rFonts w:ascii="Times New Roman" w:hAnsi="Times New Roman"/>
          <w:sz w:val="24"/>
          <w:szCs w:val="24"/>
        </w:rPr>
        <w:t>ā</w:t>
      </w:r>
      <w:r w:rsidR="009645F2" w:rsidRPr="009C7A0A">
        <w:rPr>
          <w:rFonts w:ascii="Times New Roman" w:hAnsi="Times New Roman"/>
          <w:sz w:val="24"/>
          <w:szCs w:val="24"/>
        </w:rPr>
        <w:t>s</w:t>
      </w:r>
      <w:r w:rsidRPr="009C7A0A">
        <w:rPr>
          <w:rFonts w:ascii="Times New Roman" w:hAnsi="Times New Roman"/>
          <w:sz w:val="24"/>
          <w:szCs w:val="24"/>
        </w:rPr>
        <w:t>.</w:t>
      </w:r>
    </w:p>
    <w:p w14:paraId="52ACF154" w14:textId="6CACE9BA" w:rsidR="009C591A" w:rsidRPr="009C7A0A" w:rsidRDefault="009C591A" w:rsidP="009C7A0A">
      <w:pPr>
        <w:pStyle w:val="BodyText2"/>
        <w:spacing w:line="276" w:lineRule="auto"/>
        <w:ind w:firstLine="720"/>
        <w:jc w:val="both"/>
        <w:rPr>
          <w:rFonts w:ascii="Times New Roman" w:hAnsi="Times New Roman"/>
          <w:sz w:val="24"/>
          <w:szCs w:val="24"/>
        </w:rPr>
      </w:pPr>
      <w:r w:rsidRPr="009C7A0A">
        <w:rPr>
          <w:rFonts w:ascii="Times New Roman" w:hAnsi="Times New Roman"/>
          <w:sz w:val="24"/>
          <w:szCs w:val="24"/>
        </w:rPr>
        <w:t>[</w:t>
      </w:r>
      <w:r w:rsidR="00A8188A" w:rsidRPr="009C7A0A">
        <w:rPr>
          <w:rFonts w:ascii="Times New Roman" w:hAnsi="Times New Roman"/>
          <w:sz w:val="24"/>
          <w:szCs w:val="24"/>
        </w:rPr>
        <w:t>17</w:t>
      </w:r>
      <w:r w:rsidRPr="009C7A0A">
        <w:rPr>
          <w:rFonts w:ascii="Times New Roman" w:hAnsi="Times New Roman"/>
          <w:sz w:val="24"/>
          <w:szCs w:val="24"/>
        </w:rPr>
        <w:t xml:space="preserve">.2.1] Senāts konstatē, ka apelācijas instances tiesas spriedums atceļams daļā, ar kuru no </w:t>
      </w:r>
      <w:r w:rsidR="0069241E">
        <w:rPr>
          <w:rFonts w:eastAsia="Calibri"/>
          <w:lang w:eastAsia="lv-LV"/>
        </w:rPr>
        <w:t>[pers. A]</w:t>
      </w:r>
      <w:r w:rsidRPr="009C7A0A">
        <w:rPr>
          <w:rFonts w:ascii="Times New Roman" w:hAnsi="Times New Roman"/>
          <w:sz w:val="24"/>
          <w:szCs w:val="24"/>
        </w:rPr>
        <w:t xml:space="preserve"> inkriminēto noziedzīgo nodarījumu apraksta izslēgti atsevišķi nodarījuma apstākļi –</w:t>
      </w:r>
      <w:r w:rsidR="00DF6273" w:rsidRPr="009C7A0A">
        <w:rPr>
          <w:rFonts w:ascii="Times New Roman" w:hAnsi="Times New Roman"/>
          <w:sz w:val="24"/>
          <w:szCs w:val="24"/>
        </w:rPr>
        <w:t xml:space="preserve"> </w:t>
      </w:r>
      <w:r w:rsidRPr="009C7A0A">
        <w:rPr>
          <w:rFonts w:ascii="Times New Roman" w:hAnsi="Times New Roman"/>
          <w:sz w:val="24"/>
          <w:szCs w:val="24"/>
        </w:rPr>
        <w:t xml:space="preserve">tas, ka aiz neuzmanības ir iestājusies </w:t>
      </w:r>
      <w:r w:rsidR="00341E96">
        <w:rPr>
          <w:rFonts w:ascii="Times New Roman" w:hAnsi="Times New Roman"/>
          <w:sz w:val="24"/>
          <w:szCs w:val="24"/>
        </w:rPr>
        <w:t>[pers. KU]</w:t>
      </w:r>
      <w:r w:rsidRPr="009C7A0A">
        <w:rPr>
          <w:rFonts w:ascii="Times New Roman" w:hAnsi="Times New Roman"/>
          <w:sz w:val="24"/>
          <w:szCs w:val="24"/>
        </w:rPr>
        <w:t xml:space="preserve">, </w:t>
      </w:r>
      <w:r w:rsidR="00341E96">
        <w:rPr>
          <w:rFonts w:ascii="Times New Roman" w:hAnsi="Times New Roman"/>
          <w:sz w:val="24"/>
          <w:szCs w:val="24"/>
        </w:rPr>
        <w:t>[pers. KV]</w:t>
      </w:r>
      <w:r w:rsidRPr="009C7A0A">
        <w:rPr>
          <w:rFonts w:ascii="Times New Roman" w:hAnsi="Times New Roman"/>
          <w:sz w:val="24"/>
          <w:szCs w:val="24"/>
        </w:rPr>
        <w:t xml:space="preserve"> un </w:t>
      </w:r>
      <w:r w:rsidR="00341E96">
        <w:rPr>
          <w:rFonts w:ascii="Times New Roman" w:hAnsi="Times New Roman"/>
          <w:sz w:val="24"/>
          <w:szCs w:val="24"/>
        </w:rPr>
        <w:t>[pers. KZ]</w:t>
      </w:r>
      <w:r w:rsidRPr="009C7A0A">
        <w:rPr>
          <w:rFonts w:ascii="Times New Roman" w:hAnsi="Times New Roman"/>
          <w:sz w:val="24"/>
          <w:szCs w:val="24"/>
        </w:rPr>
        <w:t xml:space="preserve"> nāve un cietušajiem </w:t>
      </w:r>
      <w:r w:rsidR="00341E96">
        <w:rPr>
          <w:rFonts w:ascii="Times New Roman" w:hAnsi="Times New Roman"/>
          <w:sz w:val="24"/>
          <w:szCs w:val="24"/>
        </w:rPr>
        <w:t>[pers. JV]</w:t>
      </w:r>
      <w:r w:rsidRPr="009C7A0A">
        <w:rPr>
          <w:rFonts w:ascii="Times New Roman" w:hAnsi="Times New Roman"/>
          <w:sz w:val="24"/>
          <w:szCs w:val="24"/>
        </w:rPr>
        <w:t xml:space="preserve">, </w:t>
      </w:r>
      <w:r w:rsidR="00341E96">
        <w:rPr>
          <w:rFonts w:ascii="Times New Roman" w:hAnsi="Times New Roman"/>
          <w:sz w:val="24"/>
          <w:szCs w:val="24"/>
        </w:rPr>
        <w:t>[pers. KC]</w:t>
      </w:r>
      <w:r w:rsidRPr="009C7A0A">
        <w:rPr>
          <w:rFonts w:ascii="Times New Roman" w:hAnsi="Times New Roman"/>
          <w:sz w:val="24"/>
          <w:szCs w:val="24"/>
        </w:rPr>
        <w:t xml:space="preserve">, </w:t>
      </w:r>
      <w:r w:rsidR="00341E96">
        <w:rPr>
          <w:rFonts w:ascii="Times New Roman" w:hAnsi="Times New Roman"/>
          <w:sz w:val="24"/>
          <w:szCs w:val="24"/>
        </w:rPr>
        <w:t>[pers. </w:t>
      </w:r>
      <w:r w:rsidR="00B263C5">
        <w:rPr>
          <w:rFonts w:ascii="Times New Roman" w:hAnsi="Times New Roman"/>
          <w:sz w:val="24"/>
          <w:szCs w:val="24"/>
        </w:rPr>
        <w:t>HV</w:t>
      </w:r>
      <w:r w:rsidR="00341E96">
        <w:rPr>
          <w:rFonts w:ascii="Times New Roman" w:hAnsi="Times New Roman"/>
          <w:sz w:val="24"/>
          <w:szCs w:val="24"/>
        </w:rPr>
        <w:t>]</w:t>
      </w:r>
      <w:r w:rsidRPr="009C7A0A">
        <w:rPr>
          <w:rFonts w:ascii="Times New Roman" w:hAnsi="Times New Roman"/>
          <w:sz w:val="24"/>
          <w:szCs w:val="24"/>
        </w:rPr>
        <w:t xml:space="preserve">, </w:t>
      </w:r>
      <w:r w:rsidR="00341E96">
        <w:rPr>
          <w:rFonts w:ascii="Times New Roman" w:hAnsi="Times New Roman"/>
          <w:sz w:val="24"/>
          <w:szCs w:val="24"/>
        </w:rPr>
        <w:t>[pers. KF]</w:t>
      </w:r>
      <w:r w:rsidRPr="009C7A0A">
        <w:rPr>
          <w:rFonts w:ascii="Times New Roman" w:hAnsi="Times New Roman"/>
          <w:sz w:val="24"/>
          <w:szCs w:val="24"/>
        </w:rPr>
        <w:t xml:space="preserve">, </w:t>
      </w:r>
      <w:r w:rsidR="00341E96">
        <w:rPr>
          <w:rFonts w:ascii="Times New Roman" w:hAnsi="Times New Roman"/>
          <w:sz w:val="24"/>
          <w:szCs w:val="24"/>
        </w:rPr>
        <w:t>[pers. JO]</w:t>
      </w:r>
      <w:r w:rsidRPr="009C7A0A">
        <w:rPr>
          <w:rFonts w:ascii="Times New Roman" w:hAnsi="Times New Roman"/>
          <w:sz w:val="24"/>
          <w:szCs w:val="24"/>
        </w:rPr>
        <w:t xml:space="preserve">, </w:t>
      </w:r>
      <w:r w:rsidR="00341E96">
        <w:rPr>
          <w:rFonts w:ascii="Times New Roman" w:hAnsi="Times New Roman"/>
          <w:sz w:val="24"/>
          <w:szCs w:val="24"/>
        </w:rPr>
        <w:t>[pers. KG]</w:t>
      </w:r>
      <w:r w:rsidRPr="009C7A0A">
        <w:rPr>
          <w:rFonts w:ascii="Times New Roman" w:hAnsi="Times New Roman"/>
          <w:sz w:val="24"/>
          <w:szCs w:val="24"/>
        </w:rPr>
        <w:t xml:space="preserve">, </w:t>
      </w:r>
      <w:r w:rsidR="00341E96">
        <w:rPr>
          <w:rFonts w:ascii="Times New Roman" w:hAnsi="Times New Roman"/>
          <w:sz w:val="24"/>
          <w:szCs w:val="24"/>
        </w:rPr>
        <w:t>[pers. KA]</w:t>
      </w:r>
      <w:r w:rsidRPr="009C7A0A">
        <w:rPr>
          <w:rFonts w:ascii="Times New Roman" w:hAnsi="Times New Roman"/>
          <w:sz w:val="24"/>
          <w:szCs w:val="24"/>
        </w:rPr>
        <w:t xml:space="preserve">, </w:t>
      </w:r>
      <w:r w:rsidR="00341E96">
        <w:rPr>
          <w:rFonts w:ascii="Times New Roman" w:hAnsi="Times New Roman"/>
          <w:sz w:val="24"/>
          <w:szCs w:val="24"/>
        </w:rPr>
        <w:t>[pers. KH]</w:t>
      </w:r>
      <w:r w:rsidRPr="009C7A0A">
        <w:rPr>
          <w:rFonts w:ascii="Times New Roman" w:hAnsi="Times New Roman"/>
          <w:sz w:val="24"/>
          <w:szCs w:val="24"/>
        </w:rPr>
        <w:t xml:space="preserve">, </w:t>
      </w:r>
      <w:r w:rsidR="00341E96">
        <w:rPr>
          <w:rFonts w:ascii="Times New Roman" w:hAnsi="Times New Roman"/>
          <w:sz w:val="24"/>
          <w:szCs w:val="24"/>
        </w:rPr>
        <w:t>[pers. KD]</w:t>
      </w:r>
      <w:r w:rsidRPr="009C7A0A">
        <w:rPr>
          <w:rFonts w:ascii="Times New Roman" w:hAnsi="Times New Roman"/>
          <w:sz w:val="24"/>
          <w:szCs w:val="24"/>
        </w:rPr>
        <w:t xml:space="preserve"> un </w:t>
      </w:r>
      <w:r w:rsidR="00702371">
        <w:rPr>
          <w:rFonts w:ascii="Times New Roman" w:hAnsi="Times New Roman"/>
          <w:sz w:val="24"/>
          <w:szCs w:val="24"/>
        </w:rPr>
        <w:t>[pers. JU]</w:t>
      </w:r>
      <w:r w:rsidRPr="009C7A0A">
        <w:rPr>
          <w:rFonts w:ascii="Times New Roman" w:hAnsi="Times New Roman"/>
          <w:sz w:val="24"/>
          <w:szCs w:val="24"/>
        </w:rPr>
        <w:t xml:space="preserve"> </w:t>
      </w:r>
      <w:r w:rsidR="00FD2FAE" w:rsidRPr="009C7A0A">
        <w:rPr>
          <w:rFonts w:ascii="Times New Roman" w:hAnsi="Times New Roman"/>
          <w:sz w:val="24"/>
          <w:szCs w:val="24"/>
        </w:rPr>
        <w:t>nodarīti</w:t>
      </w:r>
      <w:r w:rsidRPr="009C7A0A">
        <w:rPr>
          <w:rFonts w:ascii="Times New Roman" w:hAnsi="Times New Roman"/>
          <w:sz w:val="24"/>
          <w:szCs w:val="24"/>
        </w:rPr>
        <w:t xml:space="preserve"> dažādas smaguma pakāpes miesas bojājumi un radušies mantiskie zaudējumi.</w:t>
      </w:r>
    </w:p>
    <w:p w14:paraId="4FB2FB08" w14:textId="77777777" w:rsidR="009C591A" w:rsidRPr="009C7A0A" w:rsidRDefault="009C591A" w:rsidP="009C7A0A">
      <w:pPr>
        <w:pStyle w:val="BodyText2"/>
        <w:spacing w:line="276" w:lineRule="auto"/>
        <w:ind w:firstLine="720"/>
        <w:jc w:val="both"/>
        <w:rPr>
          <w:rFonts w:ascii="Times New Roman" w:hAnsi="Times New Roman"/>
          <w:sz w:val="24"/>
          <w:szCs w:val="24"/>
        </w:rPr>
      </w:pPr>
      <w:r w:rsidRPr="009C7A0A">
        <w:rPr>
          <w:rFonts w:ascii="Times New Roman" w:eastAsia="NSimSun" w:hAnsi="Times New Roman"/>
          <w:iCs/>
          <w:kern w:val="2"/>
          <w:sz w:val="24"/>
          <w:szCs w:val="24"/>
          <w:lang w:eastAsia="zh-CN" w:bidi="hi-IN"/>
        </w:rPr>
        <w:t>Apelācijas instances tiesa secinājusi, ka glābšanas darbu vadītājs nav izvēlējies tādus katastrofas seku likvidēšanas pasākumus, kuros neciestu glābšanas darbos piedalījušies glābēji.</w:t>
      </w:r>
    </w:p>
    <w:p w14:paraId="6A5E9017" w14:textId="2B72656E" w:rsidR="009C591A" w:rsidRPr="009C7A0A" w:rsidRDefault="009C591A" w:rsidP="009C7A0A">
      <w:pPr>
        <w:spacing w:line="276" w:lineRule="auto"/>
        <w:ind w:firstLine="720"/>
        <w:jc w:val="both"/>
        <w:rPr>
          <w:rFonts w:eastAsia="Calibri"/>
          <w:iCs/>
        </w:rPr>
      </w:pPr>
      <w:r w:rsidRPr="009C7A0A">
        <w:rPr>
          <w:rFonts w:eastAsia="Calibri"/>
        </w:rPr>
        <w:t xml:space="preserve">Apelācijas instances tiesa norādījusi, ka glābšanas darbu vadītājs deva rīkojumu </w:t>
      </w:r>
      <w:r w:rsidRPr="009C7A0A">
        <w:rPr>
          <w:rFonts w:eastAsia="Calibri"/>
          <w:iCs/>
        </w:rPr>
        <w:t>ugunsdzēsējiem glābējiem</w:t>
      </w:r>
      <w:r w:rsidRPr="009C7A0A">
        <w:rPr>
          <w:rFonts w:eastAsia="Calibri"/>
        </w:rPr>
        <w:t xml:space="preserve"> veikt glābšanas darbus daļēji sabrukušajā lielveikala ēkā, un tikai pēc otrā jumta nogruvuma, kurā cieta arī </w:t>
      </w:r>
      <w:r w:rsidRPr="009C7A0A">
        <w:rPr>
          <w:rFonts w:eastAsia="Calibri"/>
          <w:iCs/>
        </w:rPr>
        <w:t>ugunsdzēsēji glābēji</w:t>
      </w:r>
      <w:r w:rsidRPr="009C7A0A">
        <w:rPr>
          <w:rFonts w:eastAsia="Calibri"/>
        </w:rPr>
        <w:t xml:space="preserve">, glābšanas darbu vadītājs deva rīkojumu darba iecirkņu vadītājiem strādāt tikai no jumta konstrukcijām brīvā vietā, </w:t>
      </w:r>
      <w:r w:rsidR="00FD2FAE" w:rsidRPr="009C7A0A">
        <w:rPr>
          <w:rFonts w:eastAsia="Calibri"/>
        </w:rPr>
        <w:t>lai</w:t>
      </w:r>
      <w:r w:rsidRPr="009C7A0A">
        <w:rPr>
          <w:rFonts w:eastAsia="Calibri"/>
        </w:rPr>
        <w:t xml:space="preserve"> gan pastāvēja risks, ka nogruvums var atkārtoties, par ko ugunsdzēsēji glābēji tika brīdināti.</w:t>
      </w:r>
      <w:r w:rsidR="00DF6273" w:rsidRPr="009C7A0A">
        <w:rPr>
          <w:rFonts w:eastAsia="Calibri"/>
          <w:iCs/>
        </w:rPr>
        <w:t xml:space="preserve"> </w:t>
      </w:r>
      <w:r w:rsidRPr="009C7A0A">
        <w:rPr>
          <w:rFonts w:eastAsia="Calibri"/>
        </w:rPr>
        <w:t>Turklāt ugunsdzēsēji glābēji brīvprātīgi uzņēmās profesionālo risku ierasties katastrofas vietā pēc izsaukuma, apzinoties bīstamību un nedrošību atrasties zem pāri palikušajām lielveikala ēkas jumta un sienu konstrukcijām.</w:t>
      </w:r>
      <w:r w:rsidR="00EA2731" w:rsidRPr="009C7A0A">
        <w:rPr>
          <w:rFonts w:eastAsia="Calibri"/>
          <w:iCs/>
        </w:rPr>
        <w:t xml:space="preserve"> </w:t>
      </w:r>
      <w:r w:rsidRPr="009C7A0A">
        <w:rPr>
          <w:rFonts w:eastAsia="Calibri"/>
        </w:rPr>
        <w:t>Tādējādi glābēju</w:t>
      </w:r>
      <w:r w:rsidRPr="009C7A0A">
        <w:rPr>
          <w:rFonts w:eastAsia="Calibri"/>
          <w:bCs/>
        </w:rPr>
        <w:t xml:space="preserve"> bojāeja, </w:t>
      </w:r>
      <w:r w:rsidRPr="009C7A0A">
        <w:rPr>
          <w:rFonts w:eastAsia="Calibri"/>
          <w:iCs/>
        </w:rPr>
        <w:t>nodarītie miesas bojājumi un mantiskie zaudējumi</w:t>
      </w:r>
      <w:r w:rsidRPr="009C7A0A">
        <w:rPr>
          <w:rFonts w:eastAsia="Calibri"/>
          <w:bCs/>
        </w:rPr>
        <w:t xml:space="preserve"> nav radušies tieši noziedzīga nodarījuma (celtniecības normu un noteikumu pārkāpumu) rezultātā, bet gan likvidējot jau notikušā noziedzīgā nodarījuma </w:t>
      </w:r>
      <w:r w:rsidR="00FD2FAE" w:rsidRPr="009C7A0A">
        <w:rPr>
          <w:rFonts w:eastAsia="Calibri"/>
          <w:bCs/>
        </w:rPr>
        <w:t>radītās</w:t>
      </w:r>
      <w:r w:rsidRPr="009C7A0A">
        <w:rPr>
          <w:rFonts w:eastAsia="Calibri"/>
          <w:bCs/>
        </w:rPr>
        <w:t xml:space="preserve"> sekas, pildot savus dienesta/amata pienākumus, par ko atbild valsts.</w:t>
      </w:r>
    </w:p>
    <w:p w14:paraId="48CAAE8E" w14:textId="5EA9F989" w:rsidR="009C591A" w:rsidRPr="009C7A0A" w:rsidRDefault="009C591A" w:rsidP="009C7A0A">
      <w:pPr>
        <w:spacing w:line="276" w:lineRule="auto"/>
        <w:ind w:firstLine="720"/>
        <w:jc w:val="both"/>
        <w:rPr>
          <w:rFonts w:eastAsia="Calibri"/>
          <w:bCs/>
        </w:rPr>
      </w:pPr>
      <w:r w:rsidRPr="009C7A0A">
        <w:rPr>
          <w:rFonts w:eastAsia="Calibri"/>
          <w:bCs/>
        </w:rPr>
        <w:t xml:space="preserve">Senāts atzīst, ka apelācijas instances tiesa pretēji krimināltiesību doktrīnā paustajai atziņai un </w:t>
      </w:r>
      <w:r w:rsidRPr="009C7A0A">
        <w:t>Ugunsdrošības un ugunsdzēsības likuma 35.</w:t>
      </w:r>
      <w:r w:rsidRPr="009C7A0A">
        <w:rPr>
          <w:vertAlign w:val="superscript"/>
        </w:rPr>
        <w:t>1</w:t>
      </w:r>
      <w:r w:rsidRPr="009C7A0A">
        <w:t>, 36. un 37. pantam</w:t>
      </w:r>
      <w:r w:rsidRPr="009C7A0A">
        <w:rPr>
          <w:rFonts w:eastAsia="Calibri"/>
          <w:bCs/>
        </w:rPr>
        <w:t xml:space="preserve"> secinājusi, ka persona, kura veic profesionālos pienākumus, brīvprātīgi riskē ar savu dzīvību un veselību, uzņemoties bīstamus glābšanas pasākumus.</w:t>
      </w:r>
    </w:p>
    <w:p w14:paraId="22975328" w14:textId="422B5223" w:rsidR="009C591A" w:rsidRPr="009C7A0A" w:rsidRDefault="009C591A" w:rsidP="009C7A0A">
      <w:pPr>
        <w:spacing w:line="276" w:lineRule="auto"/>
        <w:ind w:firstLine="720"/>
        <w:jc w:val="both"/>
        <w:rPr>
          <w:rFonts w:eastAsia="Calibri"/>
          <w:bCs/>
        </w:rPr>
      </w:pPr>
      <w:r w:rsidRPr="009C7A0A">
        <w:rPr>
          <w:rFonts w:eastAsia="Calibri"/>
          <w:bCs/>
        </w:rPr>
        <w:t xml:space="preserve">Apelācijas instances tiesa cietušo ugunsdzēsēju glābēju rīcību vērtējusi, ņemot vērā tikai viņu darbību ārējo </w:t>
      </w:r>
      <w:r w:rsidR="00DF6273" w:rsidRPr="009C7A0A">
        <w:rPr>
          <w:rFonts w:eastAsia="Calibri"/>
          <w:bCs/>
        </w:rPr>
        <w:t>izpausmi</w:t>
      </w:r>
      <w:r w:rsidR="006645FD" w:rsidRPr="009C7A0A">
        <w:rPr>
          <w:rFonts w:eastAsia="Calibri"/>
          <w:bCs/>
        </w:rPr>
        <w:t xml:space="preserve">, </w:t>
      </w:r>
      <w:r w:rsidRPr="009C7A0A">
        <w:rPr>
          <w:rFonts w:eastAsia="Calibri"/>
          <w:bCs/>
        </w:rPr>
        <w:t xml:space="preserve">proti, to, ka cietušie ierādās notikuma vietā un veica glābšanas pasākumus. Vienlaikus tiesa atstājusi bez ievērības, ka ugunsdzēsējiem glābējiem ir juridisks pienākums novērst cietušo dzīvības un veselības apdraudējumu, un pati par sevi glābšanas darbu uzsākšana, ja tā neietekmē konstrukciju stabilitāti, nepārtrauc sākotnējo cēloņsakarību. Tiesa nav konstatējusi faktus, kas norādītu uz to, ka glābēju darbības </w:t>
      </w:r>
      <w:r w:rsidR="00FD2FAE" w:rsidRPr="009C7A0A">
        <w:rPr>
          <w:rFonts w:eastAsia="Calibri"/>
          <w:bCs/>
        </w:rPr>
        <w:t xml:space="preserve">ir </w:t>
      </w:r>
      <w:r w:rsidRPr="009C7A0A">
        <w:rPr>
          <w:rFonts w:eastAsia="Calibri"/>
          <w:bCs/>
        </w:rPr>
        <w:t>veicinājušas atlikušā jumta nogruvumu, un to, ka sākotnējais cēlonis nebūtu attiecināms uz jumta turpmāku nogruvumu.</w:t>
      </w:r>
    </w:p>
    <w:p w14:paraId="225DE9A5" w14:textId="77777777" w:rsidR="009C591A" w:rsidRPr="009C7A0A" w:rsidRDefault="009C591A" w:rsidP="009C7A0A">
      <w:pPr>
        <w:spacing w:line="276" w:lineRule="auto"/>
        <w:ind w:firstLine="720"/>
        <w:jc w:val="both"/>
        <w:rPr>
          <w:rFonts w:eastAsia="Calibri"/>
          <w:bCs/>
        </w:rPr>
      </w:pPr>
      <w:r w:rsidRPr="009C7A0A">
        <w:rPr>
          <w:rFonts w:eastAsia="Calibri"/>
          <w:bCs/>
        </w:rPr>
        <w:t>Apelācijas instances tiesa nav pamatojusi, kāpēc Krimināllikuma 239. pantā paredzētās smagās sekas neaptver arī glābšanas pasākumā piedalījušos personu dzīvības un veselības apdraudējumu.</w:t>
      </w:r>
    </w:p>
    <w:p w14:paraId="07D916B1" w14:textId="02504256" w:rsidR="009C591A" w:rsidRPr="009C7A0A" w:rsidRDefault="009C591A" w:rsidP="009C7A0A">
      <w:pPr>
        <w:spacing w:line="276" w:lineRule="auto"/>
        <w:ind w:firstLine="720"/>
        <w:jc w:val="both"/>
        <w:rPr>
          <w:rFonts w:eastAsia="Calibri"/>
          <w:bCs/>
        </w:rPr>
      </w:pPr>
      <w:r w:rsidRPr="009C7A0A">
        <w:rPr>
          <w:rFonts w:eastAsia="Calibri"/>
          <w:bCs/>
        </w:rPr>
        <w:t>Krimināllikuma 239. pantā paredzētais noziedzīgais nodarījums apdraud vispārējo drošību celtniecības darbu veikšanā un var nodarīt kaitējumu personas dzīvībai un veselībai. No minētās likuma normas tvēruma secināms, ka tā nesatur norādi uz konkrētu cietušo grupu, pret kuru vēršas vainīgais, tādējādi minētā Krimināllikuma norma aizsargā jebkuras personas dzīvības un veselības apdraudējumu, ja to izraisīj</w:t>
      </w:r>
      <w:r w:rsidR="0046026A" w:rsidRPr="009C7A0A">
        <w:rPr>
          <w:rFonts w:eastAsia="Calibri"/>
          <w:bCs/>
        </w:rPr>
        <w:t>usi</w:t>
      </w:r>
      <w:r w:rsidRPr="009C7A0A">
        <w:rPr>
          <w:rFonts w:eastAsia="Calibri"/>
          <w:bCs/>
        </w:rPr>
        <w:t xml:space="preserve"> </w:t>
      </w:r>
      <w:r w:rsidRPr="009C7A0A">
        <w:t>celtniecības noteikumu pārkāpšanas rezultātā sabrukusī būve vai tās daļa</w:t>
      </w:r>
      <w:r w:rsidRPr="009C7A0A">
        <w:rPr>
          <w:rFonts w:eastAsia="Calibri"/>
          <w:bCs/>
        </w:rPr>
        <w:t>.</w:t>
      </w:r>
    </w:p>
    <w:p w14:paraId="245F95A8" w14:textId="77777777" w:rsidR="009C591A" w:rsidRPr="009C7A0A" w:rsidRDefault="009C591A" w:rsidP="009C7A0A">
      <w:pPr>
        <w:spacing w:line="276" w:lineRule="auto"/>
        <w:ind w:firstLine="720"/>
        <w:jc w:val="both"/>
        <w:rPr>
          <w:rFonts w:eastAsia="Calibri"/>
          <w:bCs/>
        </w:rPr>
      </w:pPr>
      <w:r w:rsidRPr="009C7A0A">
        <w:rPr>
          <w:rFonts w:eastAsia="Calibri"/>
          <w:bCs/>
        </w:rPr>
        <w:lastRenderedPageBreak/>
        <w:t xml:space="preserve">Tādējādi apelācijas instances tiesai bija jāsniedz arī motivēta argumentācija par </w:t>
      </w:r>
      <w:r w:rsidRPr="009C7A0A">
        <w:t>glābšanas pasākumu nesamērīgumu vai bezjēdzīgumu.</w:t>
      </w:r>
    </w:p>
    <w:p w14:paraId="01FD0B40" w14:textId="17FF8CC8" w:rsidR="009C591A" w:rsidRPr="009C7A0A" w:rsidRDefault="009C591A" w:rsidP="009C7A0A">
      <w:pPr>
        <w:pStyle w:val="BodyText2"/>
        <w:spacing w:line="276" w:lineRule="auto"/>
        <w:ind w:firstLine="720"/>
        <w:jc w:val="both"/>
        <w:rPr>
          <w:rFonts w:ascii="Times New Roman" w:hAnsi="Times New Roman"/>
          <w:sz w:val="24"/>
          <w:szCs w:val="24"/>
        </w:rPr>
      </w:pPr>
      <w:r w:rsidRPr="009C7A0A">
        <w:rPr>
          <w:rFonts w:ascii="Times New Roman" w:hAnsi="Times New Roman"/>
          <w:sz w:val="24"/>
          <w:szCs w:val="24"/>
        </w:rPr>
        <w:t>Senāts konstatē, ka apelācijas instances tiesa vispārīgi secinājusi, ka glābējiem bija zināms, ka pastāvēja jumta atlikušās daļas nobrukuma riski</w:t>
      </w:r>
      <w:r w:rsidR="0048568D" w:rsidRPr="009C7A0A">
        <w:rPr>
          <w:rFonts w:ascii="Times New Roman" w:hAnsi="Times New Roman"/>
          <w:sz w:val="24"/>
          <w:szCs w:val="24"/>
        </w:rPr>
        <w:t xml:space="preserve"> </w:t>
      </w:r>
      <w:r w:rsidRPr="009C7A0A">
        <w:rPr>
          <w:rFonts w:ascii="Times New Roman" w:hAnsi="Times New Roman"/>
          <w:sz w:val="24"/>
          <w:szCs w:val="24"/>
        </w:rPr>
        <w:t>un tas bijis pietiekams pamats, lai glābēji neapdraudētu savas dzīvības un neveiktu glābšanas pasākumus zem nenogruvušām jumta konstrukcijām.</w:t>
      </w:r>
    </w:p>
    <w:p w14:paraId="09FCD7F3" w14:textId="44497B77" w:rsidR="009F4E5E" w:rsidRPr="009C7A0A" w:rsidRDefault="009C591A" w:rsidP="009C7A0A">
      <w:pPr>
        <w:spacing w:line="276" w:lineRule="auto"/>
        <w:ind w:firstLine="720"/>
        <w:jc w:val="both"/>
      </w:pPr>
      <w:r w:rsidRPr="009C7A0A">
        <w:rPr>
          <w:rFonts w:eastAsia="Calibri"/>
          <w:bCs/>
        </w:rPr>
        <w:t>Senāts atzīst, ka apelācijas instances tiesai</w:t>
      </w:r>
      <w:r w:rsidR="0046026A" w:rsidRPr="009C7A0A">
        <w:rPr>
          <w:rFonts w:eastAsia="Calibri"/>
          <w:bCs/>
        </w:rPr>
        <w:t>, pamatojoties uz lietā iegūtajiem pierādījumiem,</w:t>
      </w:r>
      <w:r w:rsidRPr="009C7A0A">
        <w:rPr>
          <w:rFonts w:eastAsia="Calibri"/>
          <w:bCs/>
        </w:rPr>
        <w:t xml:space="preserve"> bija rūpīgi jāizvērtē</w:t>
      </w:r>
      <w:r w:rsidR="009F4E5E" w:rsidRPr="009C7A0A">
        <w:rPr>
          <w:rFonts w:eastAsia="Calibri"/>
          <w:bCs/>
        </w:rPr>
        <w:t xml:space="preserve"> </w:t>
      </w:r>
      <w:r w:rsidR="001C0F9D" w:rsidRPr="009C7A0A">
        <w:rPr>
          <w:rFonts w:eastAsia="Calibri"/>
          <w:bCs/>
        </w:rPr>
        <w:t>apstāklis</w:t>
      </w:r>
      <w:r w:rsidR="009F4E5E" w:rsidRPr="009C7A0A">
        <w:rPr>
          <w:rFonts w:eastAsia="Calibri"/>
          <w:bCs/>
        </w:rPr>
        <w:t xml:space="preserve">, ka </w:t>
      </w:r>
      <w:r w:rsidRPr="009C7A0A">
        <w:t>glābšanas pasākumi bija pilnīgi nepieņemami</w:t>
      </w:r>
      <w:r w:rsidR="009F4E5E" w:rsidRPr="009C7A0A">
        <w:t>, lai tos veiktu</w:t>
      </w:r>
      <w:r w:rsidRPr="009C7A0A">
        <w:t>.</w:t>
      </w:r>
    </w:p>
    <w:p w14:paraId="63A55916" w14:textId="28D18C37" w:rsidR="009C591A" w:rsidRPr="009C7A0A" w:rsidRDefault="009C591A" w:rsidP="009C7A0A">
      <w:pPr>
        <w:spacing w:line="276" w:lineRule="auto"/>
        <w:ind w:firstLine="720"/>
        <w:jc w:val="both"/>
      </w:pPr>
      <w:r w:rsidRPr="009C7A0A">
        <w:t>Šādu motivētu argumentāciju apelācijas instances tiesa nav sniegusi.</w:t>
      </w:r>
    </w:p>
    <w:p w14:paraId="59577BBB" w14:textId="2591DC03" w:rsidR="009C591A" w:rsidRPr="009C7A0A" w:rsidRDefault="009C591A" w:rsidP="009C7A0A">
      <w:pPr>
        <w:pStyle w:val="BodyText2"/>
        <w:spacing w:line="276" w:lineRule="auto"/>
        <w:ind w:firstLine="720"/>
        <w:jc w:val="both"/>
        <w:rPr>
          <w:rFonts w:ascii="Times New Roman" w:hAnsi="Times New Roman"/>
          <w:sz w:val="24"/>
          <w:szCs w:val="24"/>
        </w:rPr>
      </w:pPr>
      <w:r w:rsidRPr="009C7A0A">
        <w:rPr>
          <w:rFonts w:ascii="Times New Roman" w:hAnsi="Times New Roman"/>
          <w:sz w:val="24"/>
          <w:szCs w:val="24"/>
        </w:rPr>
        <w:t xml:space="preserve">Tāpat apelācijas instances tiesa nav pamatojusi, kā apstāklis, ka apsūdzētais </w:t>
      </w:r>
      <w:r w:rsidR="00310738">
        <w:rPr>
          <w:rFonts w:eastAsia="Calibri"/>
          <w:lang w:eastAsia="lv-LV"/>
        </w:rPr>
        <w:t xml:space="preserve">[pers. A] </w:t>
      </w:r>
      <w:r w:rsidRPr="009C7A0A">
        <w:rPr>
          <w:rFonts w:ascii="Times New Roman" w:hAnsi="Times New Roman"/>
          <w:sz w:val="24"/>
          <w:szCs w:val="24"/>
        </w:rPr>
        <w:t>nespēja ietekmēt glābšanas darbu pasākumu veikšanu, varēja ietekmēt cēloņsakarības konstatēšanu.</w:t>
      </w:r>
    </w:p>
    <w:p w14:paraId="0C32A481" w14:textId="24B59577" w:rsidR="009C591A" w:rsidRPr="009C7A0A" w:rsidRDefault="009C591A" w:rsidP="009C7A0A">
      <w:pPr>
        <w:spacing w:line="276" w:lineRule="auto"/>
        <w:ind w:firstLine="720"/>
        <w:jc w:val="both"/>
      </w:pPr>
      <w:r w:rsidRPr="009C7A0A">
        <w:t xml:space="preserve">Pretēji apelācijas instances tiesas vispārīgai atsaucei </w:t>
      </w:r>
      <w:r w:rsidR="008B6B59" w:rsidRPr="009C7A0A">
        <w:t xml:space="preserve">tiesai </w:t>
      </w:r>
      <w:r w:rsidR="009F4E5E" w:rsidRPr="009C7A0A">
        <w:t xml:space="preserve">vajadzēja vērtēt to, ka </w:t>
      </w:r>
      <w:r w:rsidRPr="009C7A0A">
        <w:t>celtniecības noteikumu pārkāpums izraisīja obligātu nepieciešamību veikt glābšanas darbu pasākumus sakarā ar personu dzīvības un veselības apdraudējuma novēršanu</w:t>
      </w:r>
      <w:r w:rsidR="007D4F2A" w:rsidRPr="009C7A0A">
        <w:t xml:space="preserve"> un tikai pēc tām izdarīt secinājumu par to, ka</w:t>
      </w:r>
      <w:r w:rsidRPr="009C7A0A">
        <w:t xml:space="preserve"> notikuma vietā glābēju ierašanās un nepieciešamība veikt profesionālos pienākumus ir </w:t>
      </w:r>
      <w:r w:rsidR="007D4F2A" w:rsidRPr="009C7A0A">
        <w:t xml:space="preserve">vai nav </w:t>
      </w:r>
      <w:r w:rsidRPr="009C7A0A">
        <w:t>cēloniskā sakarā ar tās personas, kura pārkāpusi celtniecības noteikumus, prettiesisko rīcību.</w:t>
      </w:r>
    </w:p>
    <w:p w14:paraId="0DDDAE1A" w14:textId="776A0409" w:rsidR="009C591A" w:rsidRPr="009C7A0A" w:rsidRDefault="009C591A" w:rsidP="009C7A0A">
      <w:pPr>
        <w:spacing w:line="276" w:lineRule="auto"/>
        <w:ind w:firstLine="720"/>
        <w:jc w:val="both"/>
      </w:pPr>
      <w:r w:rsidRPr="009C7A0A">
        <w:t xml:space="preserve">Turklāt </w:t>
      </w:r>
      <w:r w:rsidR="007D4F2A" w:rsidRPr="009C7A0A">
        <w:t xml:space="preserve">Senāts norāda, ka </w:t>
      </w:r>
      <w:r w:rsidRPr="009C7A0A">
        <w:t>vainīgajam ir jārēķinās</w:t>
      </w:r>
      <w:r w:rsidR="007D4F2A" w:rsidRPr="009C7A0A">
        <w:t>, ka viņa nodarījums var izraisīt</w:t>
      </w:r>
      <w:r w:rsidRPr="009C7A0A">
        <w:t xml:space="preserve"> </w:t>
      </w:r>
      <w:r w:rsidR="007D4F2A" w:rsidRPr="009C7A0A">
        <w:t xml:space="preserve">arī </w:t>
      </w:r>
      <w:r w:rsidRPr="009C7A0A">
        <w:t>glābšanas pasākum</w:t>
      </w:r>
      <w:r w:rsidR="007D4F2A" w:rsidRPr="009C7A0A">
        <w:t>us</w:t>
      </w:r>
      <w:r w:rsidRPr="009C7A0A">
        <w:t>.</w:t>
      </w:r>
    </w:p>
    <w:p w14:paraId="0C6CC8A1" w14:textId="605806B2" w:rsidR="009C591A" w:rsidRPr="009C7A0A" w:rsidRDefault="009C591A" w:rsidP="009C7A0A">
      <w:pPr>
        <w:pStyle w:val="BodyText2"/>
        <w:spacing w:line="276" w:lineRule="auto"/>
        <w:ind w:firstLine="720"/>
        <w:jc w:val="both"/>
        <w:rPr>
          <w:rFonts w:ascii="Times New Roman" w:hAnsi="Times New Roman"/>
          <w:sz w:val="24"/>
          <w:szCs w:val="24"/>
        </w:rPr>
      </w:pPr>
      <w:r w:rsidRPr="009C7A0A">
        <w:rPr>
          <w:rFonts w:ascii="Times New Roman" w:hAnsi="Times New Roman"/>
          <w:sz w:val="24"/>
          <w:szCs w:val="24"/>
        </w:rPr>
        <w:t xml:space="preserve">Krimināllikuma 239. panta otrajā daļā paredzētais noziedzīgais nodarījums no subjektīvās puses attiecībā pret sekām raksturojas ar neuzmanību – noziedzīgs nodarījums atzīstams par izdarītu aiz </w:t>
      </w:r>
      <w:r w:rsidR="002C32F2" w:rsidRPr="009C7A0A">
        <w:rPr>
          <w:rFonts w:ascii="Times New Roman" w:hAnsi="Times New Roman"/>
          <w:sz w:val="24"/>
          <w:szCs w:val="24"/>
        </w:rPr>
        <w:t xml:space="preserve">noziedzīgas </w:t>
      </w:r>
      <w:r w:rsidRPr="009C7A0A">
        <w:rPr>
          <w:rFonts w:ascii="Times New Roman" w:hAnsi="Times New Roman"/>
          <w:sz w:val="24"/>
          <w:szCs w:val="24"/>
        </w:rPr>
        <w:t>pašpaļāvības vai aiz noziedzīgās nevērības.</w:t>
      </w:r>
    </w:p>
    <w:p w14:paraId="44599045" w14:textId="164EEDCF" w:rsidR="009C591A" w:rsidRPr="009C7A0A" w:rsidRDefault="009C591A" w:rsidP="009C7A0A">
      <w:pPr>
        <w:pStyle w:val="BodyText2"/>
        <w:spacing w:line="276" w:lineRule="auto"/>
        <w:ind w:firstLine="720"/>
        <w:jc w:val="both"/>
        <w:rPr>
          <w:rFonts w:ascii="Times New Roman" w:hAnsi="Times New Roman"/>
          <w:sz w:val="24"/>
          <w:szCs w:val="24"/>
        </w:rPr>
      </w:pPr>
      <w:r w:rsidRPr="009C7A0A">
        <w:rPr>
          <w:rFonts w:ascii="Times New Roman" w:hAnsi="Times New Roman"/>
          <w:sz w:val="24"/>
          <w:szCs w:val="24"/>
        </w:rPr>
        <w:t>Noziedzīgas nevērības gribas momentam ir divi kritēriji – objektīvais (vajadzēja paredzēt) un subjektīvais (varēja paredzēt). Noziedzīgas nevērības objektīvais kritērijs nozīmē, ka personai jāievēro savai profesijai, specialitātei vai nodarbošanās atbilstoši piesardzības noteikumi, kas tiek prasīts, lai nepieļautu kaitīgo seku iestāšanos. Subjektīvais kritērijs vērtējams, ievērojot to, vai konkrētā persona atbilstoši savām personiskajām īpašībām, kvalifikācijai, konkrētajiem apstākļiem, situācijai, kurā noziedzīgais nodarījums izdarīts, varēja paredzēt savas darbības vai bezdarbības kaitīgās sekas (</w:t>
      </w:r>
      <w:r w:rsidRPr="009C7A0A">
        <w:rPr>
          <w:rFonts w:ascii="Times New Roman" w:hAnsi="Times New Roman"/>
          <w:i/>
          <w:iCs/>
          <w:sz w:val="24"/>
          <w:szCs w:val="24"/>
        </w:rPr>
        <w:t>Krastiņš U. Noziedzīga nodarījuma sastāvs un nodarījuma kvalifikācija. Teorētiskie aspekti. Rīga: Tiesu namu aģentūra, 2014, 165.</w:t>
      </w:r>
      <w:r w:rsidRPr="009C7A0A">
        <w:rPr>
          <w:rFonts w:ascii="Times New Roman" w:hAnsi="Times New Roman"/>
          <w:sz w:val="24"/>
          <w:szCs w:val="24"/>
        </w:rPr>
        <w:t>–</w:t>
      </w:r>
      <w:r w:rsidRPr="009C7A0A">
        <w:rPr>
          <w:rFonts w:ascii="Times New Roman" w:hAnsi="Times New Roman"/>
          <w:i/>
          <w:iCs/>
          <w:sz w:val="24"/>
          <w:szCs w:val="24"/>
        </w:rPr>
        <w:t>166. lpp.</w:t>
      </w:r>
      <w:r w:rsidRPr="009C7A0A">
        <w:rPr>
          <w:rFonts w:ascii="Times New Roman" w:hAnsi="Times New Roman"/>
          <w:sz w:val="24"/>
          <w:szCs w:val="24"/>
        </w:rPr>
        <w:t>).</w:t>
      </w:r>
    </w:p>
    <w:p w14:paraId="3B00815B" w14:textId="103E74DA" w:rsidR="009C591A" w:rsidRPr="009C7A0A" w:rsidRDefault="009C591A" w:rsidP="009C7A0A">
      <w:pPr>
        <w:pStyle w:val="BodyText2"/>
        <w:spacing w:line="276" w:lineRule="auto"/>
        <w:ind w:firstLine="720"/>
        <w:jc w:val="both"/>
        <w:rPr>
          <w:rFonts w:ascii="Times New Roman" w:hAnsi="Times New Roman"/>
          <w:sz w:val="24"/>
          <w:szCs w:val="24"/>
        </w:rPr>
      </w:pPr>
      <w:r w:rsidRPr="009C7A0A">
        <w:rPr>
          <w:rFonts w:ascii="Times New Roman" w:hAnsi="Times New Roman"/>
          <w:sz w:val="24"/>
          <w:szCs w:val="24"/>
        </w:rPr>
        <w:t>Personām, kuras atbild par pieļauto kļūdu kopņu nestspējas aprēķinā, ievērojot savas profesijas iemaņas un zināšanas, bija jārēķinās ar būves nogrūšanas riska iespējamību, un viņ</w:t>
      </w:r>
      <w:r w:rsidR="007D4F2A" w:rsidRPr="009C7A0A">
        <w:rPr>
          <w:rFonts w:ascii="Times New Roman" w:hAnsi="Times New Roman"/>
          <w:sz w:val="24"/>
          <w:szCs w:val="24"/>
        </w:rPr>
        <w:t>a</w:t>
      </w:r>
      <w:r w:rsidRPr="009C7A0A">
        <w:rPr>
          <w:rFonts w:ascii="Times New Roman" w:hAnsi="Times New Roman"/>
          <w:sz w:val="24"/>
          <w:szCs w:val="24"/>
        </w:rPr>
        <w:t xml:space="preserve">m bija jāspēj tās paredzēt. Nav nepieciešams, lai apsūdzētais detalizēti paredzētu savu darbību izraisītās kaitīgās sekas, </w:t>
      </w:r>
      <w:r w:rsidR="002C32F2" w:rsidRPr="009C7A0A">
        <w:rPr>
          <w:rFonts w:ascii="Times New Roman" w:hAnsi="Times New Roman"/>
          <w:sz w:val="24"/>
          <w:szCs w:val="24"/>
        </w:rPr>
        <w:t xml:space="preserve">bet </w:t>
      </w:r>
      <w:r w:rsidRPr="009C7A0A">
        <w:rPr>
          <w:rFonts w:ascii="Times New Roman" w:hAnsi="Times New Roman"/>
          <w:sz w:val="24"/>
          <w:szCs w:val="24"/>
        </w:rPr>
        <w:t>ir pietiekami, ja seku smagums ir būtībā paredzams. Šajā ziņā ir acīmredzami, ka jebkura katastrofa ir saistīta ar speciālo dienestu ierašanos notikuma vietā un rada potenciālo risku iesaistīto glābēju dzīvībai un veselībai.</w:t>
      </w:r>
    </w:p>
    <w:p w14:paraId="1D6F552E" w14:textId="48176E79" w:rsidR="009C591A" w:rsidRPr="009C7A0A" w:rsidRDefault="009C591A" w:rsidP="009C7A0A">
      <w:pPr>
        <w:spacing w:line="276" w:lineRule="auto"/>
        <w:ind w:firstLine="720"/>
        <w:jc w:val="both"/>
        <w:rPr>
          <w:color w:val="000000" w:themeColor="text1"/>
        </w:rPr>
      </w:pPr>
      <w:r w:rsidRPr="009C7A0A">
        <w:t xml:space="preserve">Senāts atzīst, ka apelācijas instances tiesa atziņu </w:t>
      </w:r>
      <w:r w:rsidRPr="009C7A0A">
        <w:rPr>
          <w:color w:val="000000" w:themeColor="text1"/>
        </w:rPr>
        <w:t>par jaunas cēloņsakarības rašanos nav pamatojusi atbilstoši Kriminālprocesa likuma 564. panta ceturtajai daļai</w:t>
      </w:r>
      <w:r w:rsidR="002C32F2" w:rsidRPr="009C7A0A">
        <w:rPr>
          <w:color w:val="000000" w:themeColor="text1"/>
        </w:rPr>
        <w:t>.</w:t>
      </w:r>
    </w:p>
    <w:p w14:paraId="53238660" w14:textId="26AEEFC3" w:rsidR="009C591A" w:rsidRPr="009C7A0A" w:rsidRDefault="009C591A" w:rsidP="009C7A0A">
      <w:pPr>
        <w:spacing w:line="276" w:lineRule="auto"/>
        <w:ind w:firstLine="720"/>
        <w:jc w:val="both"/>
        <w:rPr>
          <w:color w:val="000000" w:themeColor="text1"/>
        </w:rPr>
      </w:pPr>
      <w:r w:rsidRPr="009C7A0A">
        <w:rPr>
          <w:color w:val="000000" w:themeColor="text1"/>
        </w:rPr>
        <w:t>[</w:t>
      </w:r>
      <w:r w:rsidR="00A8188A" w:rsidRPr="009C7A0A">
        <w:rPr>
          <w:color w:val="000000" w:themeColor="text1"/>
        </w:rPr>
        <w:t>17</w:t>
      </w:r>
      <w:r w:rsidRPr="009C7A0A">
        <w:rPr>
          <w:color w:val="000000" w:themeColor="text1"/>
        </w:rPr>
        <w:t xml:space="preserve">.2.2] Senāts konstatē, ka apelācijas instances tiesa, izslēdzot no </w:t>
      </w:r>
      <w:r w:rsidR="00195289">
        <w:rPr>
          <w:rFonts w:eastAsia="Calibri"/>
          <w:lang w:eastAsia="lv-LV"/>
        </w:rPr>
        <w:t>[pers. A]</w:t>
      </w:r>
      <w:r w:rsidRPr="009C7A0A">
        <w:rPr>
          <w:color w:val="000000" w:themeColor="text1"/>
        </w:rPr>
        <w:t xml:space="preserve"> celtās apsūdzības būvniecībā pieļautos pārkāpumus, atzinusi, ka minētie pārkāpumi nav radījuši smagas sekas, jo jumta konstrukciju nogruvuma cēlonis ir nepareizs kopnes apakšējā </w:t>
      </w:r>
      <w:r w:rsidRPr="009C7A0A">
        <w:rPr>
          <w:color w:val="000000" w:themeColor="text1"/>
        </w:rPr>
        <w:lastRenderedPageBreak/>
        <w:t xml:space="preserve">mezgla aprēķins. Tiesa nav sniegusi motivētu pamatojumu, kāpēc izdarījusi šādu </w:t>
      </w:r>
      <w:r w:rsidR="002C32F2" w:rsidRPr="009C7A0A">
        <w:rPr>
          <w:color w:val="000000" w:themeColor="text1"/>
        </w:rPr>
        <w:t>secinājumu</w:t>
      </w:r>
      <w:r w:rsidR="00645CA8" w:rsidRPr="009C7A0A">
        <w:rPr>
          <w:color w:val="000000" w:themeColor="text1"/>
        </w:rPr>
        <w:t xml:space="preserve">, </w:t>
      </w:r>
      <w:r w:rsidRPr="009C7A0A">
        <w:rPr>
          <w:color w:val="000000" w:themeColor="text1"/>
        </w:rPr>
        <w:t xml:space="preserve">aprobežojoties ar norādi, ka cēloņsakarības </w:t>
      </w:r>
      <w:proofErr w:type="spellStart"/>
      <w:r w:rsidRPr="009C7A0A">
        <w:rPr>
          <w:color w:val="000000" w:themeColor="text1"/>
        </w:rPr>
        <w:t>neesības</w:t>
      </w:r>
      <w:proofErr w:type="spellEnd"/>
      <w:r w:rsidRPr="009C7A0A">
        <w:rPr>
          <w:color w:val="000000" w:themeColor="text1"/>
        </w:rPr>
        <w:t xml:space="preserve"> argumentācija tiks sniegta, vērtējot </w:t>
      </w:r>
      <w:r w:rsidR="00EA0C8A">
        <w:rPr>
          <w:color w:val="000000" w:themeColor="text1"/>
        </w:rPr>
        <w:t>[pers. BJ]</w:t>
      </w:r>
      <w:r w:rsidRPr="009C7A0A">
        <w:rPr>
          <w:color w:val="000000" w:themeColor="text1"/>
        </w:rPr>
        <w:t xml:space="preserve">, </w:t>
      </w:r>
      <w:r w:rsidR="00EA0C8A">
        <w:rPr>
          <w:color w:val="000000" w:themeColor="text1"/>
        </w:rPr>
        <w:t>[pers. BK]</w:t>
      </w:r>
      <w:r w:rsidRPr="009C7A0A">
        <w:rPr>
          <w:color w:val="000000" w:themeColor="text1"/>
        </w:rPr>
        <w:t xml:space="preserve"> un </w:t>
      </w:r>
      <w:r w:rsidR="00EA0C8A">
        <w:rPr>
          <w:color w:val="000000" w:themeColor="text1"/>
        </w:rPr>
        <w:t>[pers. BL]</w:t>
      </w:r>
      <w:r w:rsidRPr="009C7A0A">
        <w:rPr>
          <w:color w:val="000000" w:themeColor="text1"/>
        </w:rPr>
        <w:t xml:space="preserve"> celto apsūdzību pamatotību.</w:t>
      </w:r>
    </w:p>
    <w:p w14:paraId="14E6E15A" w14:textId="56DDE675" w:rsidR="009C591A" w:rsidRPr="009C7A0A" w:rsidRDefault="009C591A" w:rsidP="0090528B">
      <w:pPr>
        <w:spacing w:line="276" w:lineRule="auto"/>
        <w:ind w:firstLine="720"/>
        <w:jc w:val="both"/>
        <w:rPr>
          <w:color w:val="000000" w:themeColor="text1"/>
        </w:rPr>
      </w:pPr>
      <w:r w:rsidRPr="009C7A0A">
        <w:rPr>
          <w:color w:val="000000" w:themeColor="text1"/>
        </w:rPr>
        <w:t xml:space="preserve">Apelācijas instances tiesa spriedumā vērtējot </w:t>
      </w:r>
      <w:r w:rsidR="0090528B">
        <w:rPr>
          <w:color w:val="000000" w:themeColor="text1"/>
        </w:rPr>
        <w:t>[pers. BJ]</w:t>
      </w:r>
      <w:r w:rsidRPr="009C7A0A">
        <w:rPr>
          <w:color w:val="000000" w:themeColor="text1"/>
        </w:rPr>
        <w:t xml:space="preserve">, </w:t>
      </w:r>
      <w:r w:rsidR="0090528B">
        <w:rPr>
          <w:color w:val="000000" w:themeColor="text1"/>
        </w:rPr>
        <w:t>[pers. BK]</w:t>
      </w:r>
      <w:r w:rsidRPr="009C7A0A">
        <w:rPr>
          <w:color w:val="000000" w:themeColor="text1"/>
        </w:rPr>
        <w:t xml:space="preserve"> un </w:t>
      </w:r>
      <w:r w:rsidR="0090528B">
        <w:rPr>
          <w:color w:val="000000" w:themeColor="text1"/>
        </w:rPr>
        <w:t xml:space="preserve">[pers. BL] </w:t>
      </w:r>
      <w:r w:rsidRPr="009C7A0A">
        <w:rPr>
          <w:color w:val="000000" w:themeColor="text1"/>
        </w:rPr>
        <w:t xml:space="preserve">celto apsūdzību, nav ņēmusi vērā, ka </w:t>
      </w:r>
      <w:r w:rsidR="0090528B">
        <w:rPr>
          <w:color w:val="000000" w:themeColor="text1"/>
        </w:rPr>
        <w:t>[pers. A]</w:t>
      </w:r>
      <w:r w:rsidRPr="009C7A0A">
        <w:rPr>
          <w:color w:val="000000" w:themeColor="text1"/>
        </w:rPr>
        <w:t xml:space="preserve"> bija atšķirīgi profesionālie pienākumi un </w:t>
      </w:r>
      <w:r w:rsidR="00DF6273" w:rsidRPr="009C7A0A">
        <w:rPr>
          <w:color w:val="000000" w:themeColor="text1"/>
        </w:rPr>
        <w:t>atbildība, proti</w:t>
      </w:r>
      <w:r w:rsidRPr="009C7A0A">
        <w:rPr>
          <w:color w:val="000000" w:themeColor="text1"/>
        </w:rPr>
        <w:t xml:space="preserve">, viņš bija atbildīgs par kopnes nestspējas aprēķinu, par to, kāda stipruma bultskrūves un uzgriežņi ir izmantojami, </w:t>
      </w:r>
      <w:r w:rsidR="005D29CC" w:rsidRPr="009C7A0A">
        <w:rPr>
          <w:color w:val="000000" w:themeColor="text1"/>
        </w:rPr>
        <w:t xml:space="preserve">kā arī par </w:t>
      </w:r>
      <w:r w:rsidR="00DF6273" w:rsidRPr="009C7A0A">
        <w:rPr>
          <w:color w:val="000000" w:themeColor="text1"/>
        </w:rPr>
        <w:t>to, vai</w:t>
      </w:r>
      <w:r w:rsidRPr="009C7A0A">
        <w:rPr>
          <w:color w:val="000000" w:themeColor="text1"/>
        </w:rPr>
        <w:t xml:space="preserve"> ir nepieciešams bultskrūvju nostiepums, lai nodrošinātu drošu kopnes nestspēju.</w:t>
      </w:r>
    </w:p>
    <w:p w14:paraId="785FF051" w14:textId="42BCA01D" w:rsidR="009C591A" w:rsidRPr="009C7A0A" w:rsidRDefault="009C591A" w:rsidP="009C7A0A">
      <w:pPr>
        <w:spacing w:line="276" w:lineRule="auto"/>
        <w:ind w:firstLine="720"/>
        <w:jc w:val="both"/>
        <w:rPr>
          <w:color w:val="000000"/>
        </w:rPr>
      </w:pPr>
      <w:r w:rsidRPr="009C7A0A">
        <w:rPr>
          <w:color w:val="000000"/>
        </w:rPr>
        <w:t xml:space="preserve">Tādējādi no apelācijas instances tiesas sniegtā motīvu izklāsta nav saprotams, kā tiesa nonākusi pie secinājuma, ka no </w:t>
      </w:r>
      <w:r w:rsidR="002C5D59">
        <w:rPr>
          <w:color w:val="000000" w:themeColor="text1"/>
        </w:rPr>
        <w:t>[pers. A]</w:t>
      </w:r>
      <w:r w:rsidRPr="009C7A0A">
        <w:rPr>
          <w:color w:val="000000"/>
        </w:rPr>
        <w:t xml:space="preserve"> apsūdzības ir izslēdzams tas, ka </w:t>
      </w:r>
      <w:r w:rsidRPr="009C7A0A">
        <w:rPr>
          <w:color w:val="000000" w:themeColor="text1"/>
        </w:rPr>
        <w:t xml:space="preserve">viņš, būdams būvkonstrukciju daļas </w:t>
      </w:r>
      <w:proofErr w:type="spellStart"/>
      <w:r w:rsidRPr="009C7A0A">
        <w:rPr>
          <w:color w:val="000000" w:themeColor="text1"/>
        </w:rPr>
        <w:t>autoruzraugs</w:t>
      </w:r>
      <w:proofErr w:type="spellEnd"/>
      <w:r w:rsidR="00A41C77" w:rsidRPr="009C7A0A">
        <w:rPr>
          <w:color w:val="000000" w:themeColor="text1"/>
        </w:rPr>
        <w:t>:</w:t>
      </w:r>
      <w:r w:rsidRPr="009C7A0A">
        <w:rPr>
          <w:color w:val="000000" w:themeColor="text1"/>
        </w:rPr>
        <w:t xml:space="preserve"> 1) </w:t>
      </w:r>
      <w:r w:rsidRPr="009C7A0A">
        <w:rPr>
          <w:rFonts w:eastAsia="Calibri"/>
        </w:rPr>
        <w:t>pieļāva, ka kopņu montāžas laikā kopņu daļas tika savienotas ar bultskrūvēm un uzgriežņiem, kuri nebija paredzēti izmantošanai slodzi nesošo metāla konstrukciju savienošanai</w:t>
      </w:r>
      <w:r w:rsidR="005D29CC" w:rsidRPr="009C7A0A">
        <w:rPr>
          <w:rFonts w:eastAsia="Calibri"/>
        </w:rPr>
        <w:t xml:space="preserve">; </w:t>
      </w:r>
      <w:r w:rsidRPr="009C7A0A">
        <w:rPr>
          <w:color w:val="000000"/>
        </w:rPr>
        <w:t>2)</w:t>
      </w:r>
      <w:r w:rsidR="00195665" w:rsidRPr="009C7A0A">
        <w:rPr>
          <w:color w:val="000000"/>
        </w:rPr>
        <w:t> </w:t>
      </w:r>
      <w:r w:rsidRPr="009C7A0A">
        <w:rPr>
          <w:color w:val="000000"/>
        </w:rPr>
        <w:t>pieļāva bultskrūvju nostiepuma neveikšanu.</w:t>
      </w:r>
    </w:p>
    <w:p w14:paraId="13933D3A" w14:textId="79EDBF35" w:rsidR="009C591A" w:rsidRPr="009C7A0A" w:rsidRDefault="009C591A" w:rsidP="009C7A0A">
      <w:pPr>
        <w:spacing w:line="276" w:lineRule="auto"/>
        <w:ind w:firstLine="720"/>
        <w:jc w:val="both"/>
        <w:rPr>
          <w:strike/>
          <w:color w:val="000000" w:themeColor="text1"/>
        </w:rPr>
      </w:pPr>
      <w:r w:rsidRPr="009C7A0A">
        <w:rPr>
          <w:color w:val="000000" w:themeColor="text1"/>
        </w:rPr>
        <w:t>Senāts atzīst, ka apelācijas instances tiesa nav sniegusi vērtējumu par apsūdzībā inkriminēt</w:t>
      </w:r>
      <w:r w:rsidR="00BE3A52" w:rsidRPr="009C7A0A">
        <w:rPr>
          <w:color w:val="000000" w:themeColor="text1"/>
        </w:rPr>
        <w:t>aj</w:t>
      </w:r>
      <w:r w:rsidRPr="009C7A0A">
        <w:rPr>
          <w:color w:val="000000" w:themeColor="text1"/>
        </w:rPr>
        <w:t>iem apstākļiem, kuriem ir</w:t>
      </w:r>
      <w:r w:rsidRPr="009C7A0A">
        <w:rPr>
          <w:color w:val="000000"/>
        </w:rPr>
        <w:t xml:space="preserve"> nozīme lietas taisnīgā izspriešanā, un līdz </w:t>
      </w:r>
      <w:r w:rsidRPr="009C7A0A">
        <w:rPr>
          <w:color w:val="000000" w:themeColor="text1"/>
        </w:rPr>
        <w:t>ar to pārkāpusi Kriminālprocesa likuma 564. panta ceturtās daļas prasības.</w:t>
      </w:r>
    </w:p>
    <w:p w14:paraId="12A09FD5" w14:textId="4EBE2B64" w:rsidR="009C591A" w:rsidRPr="009C7A0A" w:rsidRDefault="009C591A" w:rsidP="009C7A0A">
      <w:pPr>
        <w:spacing w:line="276" w:lineRule="auto"/>
        <w:ind w:firstLine="720"/>
        <w:jc w:val="both"/>
        <w:rPr>
          <w:color w:val="000000" w:themeColor="text1"/>
        </w:rPr>
      </w:pPr>
      <w:r w:rsidRPr="009C7A0A">
        <w:rPr>
          <w:iCs/>
        </w:rPr>
        <w:t>[</w:t>
      </w:r>
      <w:r w:rsidR="00A8188A" w:rsidRPr="009C7A0A">
        <w:rPr>
          <w:iCs/>
        </w:rPr>
        <w:t>17</w:t>
      </w:r>
      <w:r w:rsidRPr="009C7A0A">
        <w:rPr>
          <w:iCs/>
        </w:rPr>
        <w:t>.2.3] </w:t>
      </w:r>
      <w:r w:rsidRPr="009C7A0A">
        <w:rPr>
          <w:color w:val="000000" w:themeColor="text1"/>
        </w:rPr>
        <w:t xml:space="preserve">Ņemot vērā, ka no </w:t>
      </w:r>
      <w:r w:rsidR="00312A60">
        <w:rPr>
          <w:color w:val="000000" w:themeColor="text1"/>
        </w:rPr>
        <w:t>[pers. A]</w:t>
      </w:r>
      <w:r w:rsidR="009645F2" w:rsidRPr="009C7A0A">
        <w:rPr>
          <w:color w:val="000000" w:themeColor="text1"/>
        </w:rPr>
        <w:t xml:space="preserve"> </w:t>
      </w:r>
      <w:r w:rsidRPr="009C7A0A">
        <w:rPr>
          <w:color w:val="000000" w:themeColor="text1"/>
        </w:rPr>
        <w:t xml:space="preserve">apsūdzības izslēgtā daļa </w:t>
      </w:r>
      <w:r w:rsidR="007E1548" w:rsidRPr="009C7A0A">
        <w:rPr>
          <w:color w:val="000000" w:themeColor="text1"/>
        </w:rPr>
        <w:t>par</w:t>
      </w:r>
      <w:r w:rsidR="009645F2" w:rsidRPr="009C7A0A">
        <w:rPr>
          <w:rFonts w:eastAsia="Calibri"/>
        </w:rPr>
        <w:t xml:space="preserve"> būvniecības procesā pieļautiem pārkāpumiem un</w:t>
      </w:r>
      <w:r w:rsidR="007E1548" w:rsidRPr="009C7A0A">
        <w:rPr>
          <w:color w:val="000000" w:themeColor="text1"/>
        </w:rPr>
        <w:t xml:space="preserve"> </w:t>
      </w:r>
      <w:r w:rsidR="003A23E8" w:rsidRPr="009C7A0A">
        <w:rPr>
          <w:color w:val="000000" w:themeColor="text1"/>
        </w:rPr>
        <w:t xml:space="preserve">glābēju bojāeju, dažādu smaguma pakāpes miesas bojājumu nodarīšanu un mantisko zaudējumu rašanos </w:t>
      </w:r>
      <w:r w:rsidRPr="009C7A0A">
        <w:rPr>
          <w:color w:val="000000" w:themeColor="text1"/>
        </w:rPr>
        <w:t xml:space="preserve">veido vienotu noziedzīgo nodarījumu aprakstu, apelācijas instances tiesas spriedums ir atceļams daļā par </w:t>
      </w:r>
      <w:r w:rsidR="00940AAD">
        <w:rPr>
          <w:color w:val="000000" w:themeColor="text1"/>
        </w:rPr>
        <w:t>[pers. A]</w:t>
      </w:r>
      <w:r w:rsidRPr="009C7A0A">
        <w:rPr>
          <w:color w:val="000000" w:themeColor="text1"/>
        </w:rPr>
        <w:t xml:space="preserve"> atzīšanu par vainīgu un sodīšanu </w:t>
      </w:r>
      <w:r w:rsidRPr="009C7A0A">
        <w:t>pēc Krimināllikuma 239. panta otrās daļas (likuma redakcijā, kas stājās spēkā 2013. gada 1. aprīlī)</w:t>
      </w:r>
      <w:r w:rsidR="008906BA" w:rsidRPr="009C7A0A">
        <w:t>,</w:t>
      </w:r>
      <w:r w:rsidRPr="009C7A0A">
        <w:t xml:space="preserve"> 123. panta otrās daļas.</w:t>
      </w:r>
    </w:p>
    <w:p w14:paraId="372065FA" w14:textId="3FECF146" w:rsidR="009C591A" w:rsidRPr="009C7A0A" w:rsidRDefault="009C591A" w:rsidP="009C7A0A">
      <w:pPr>
        <w:spacing w:line="276" w:lineRule="auto"/>
        <w:ind w:firstLine="720"/>
        <w:jc w:val="both"/>
      </w:pPr>
      <w:r w:rsidRPr="009C7A0A">
        <w:t>Vienlaikus Senāts norāda, ka</w:t>
      </w:r>
      <w:r w:rsidR="008B6A2B" w:rsidRPr="009C7A0A">
        <w:t xml:space="preserve">, </w:t>
      </w:r>
      <w:r w:rsidRPr="009C7A0A">
        <w:t xml:space="preserve">atkārtoti izskatot </w:t>
      </w:r>
      <w:r w:rsidR="001A063B">
        <w:rPr>
          <w:color w:val="000000" w:themeColor="text1"/>
        </w:rPr>
        <w:t>[pers. A]</w:t>
      </w:r>
      <w:r w:rsidRPr="009C7A0A">
        <w:t xml:space="preserve"> celtās apsūdzības pamatotību, apelācijas instances tiesai nav jāveic pierādījumu vērtējums daļā, par kuru tā iepriekš bija atzinusi </w:t>
      </w:r>
      <w:r w:rsidR="000E088C">
        <w:rPr>
          <w:color w:val="000000" w:themeColor="text1"/>
        </w:rPr>
        <w:t>[pers. A]</w:t>
      </w:r>
      <w:r w:rsidRPr="009C7A0A">
        <w:t xml:space="preserve"> par vainīgu pēc Krimināllikuma 239. panta otrās daļas (likuma redakcijā, kas stājās spēkā 2013. gada 1. aprīlī)</w:t>
      </w:r>
      <w:r w:rsidR="008B6A2B" w:rsidRPr="009C7A0A">
        <w:t>,</w:t>
      </w:r>
      <w:r w:rsidRPr="009C7A0A">
        <w:t xml:space="preserve"> 123. panta otrās daļas.</w:t>
      </w:r>
    </w:p>
    <w:p w14:paraId="70F4F91D" w14:textId="695C0734" w:rsidR="009C591A" w:rsidRPr="009C7A0A" w:rsidRDefault="009C591A" w:rsidP="009C7A0A">
      <w:pPr>
        <w:spacing w:line="276" w:lineRule="auto"/>
        <w:ind w:firstLine="720"/>
        <w:jc w:val="both"/>
        <w:rPr>
          <w:iCs/>
        </w:rPr>
      </w:pPr>
      <w:r w:rsidRPr="009C7A0A">
        <w:rPr>
          <w:iCs/>
        </w:rPr>
        <w:t>[</w:t>
      </w:r>
      <w:r w:rsidR="00A8188A" w:rsidRPr="009C7A0A">
        <w:rPr>
          <w:iCs/>
        </w:rPr>
        <w:t>17</w:t>
      </w:r>
      <w:r w:rsidRPr="009C7A0A">
        <w:rPr>
          <w:iCs/>
        </w:rPr>
        <w:t>.3] </w:t>
      </w:r>
      <w:r w:rsidRPr="009C7A0A">
        <w:t xml:space="preserve">Apelācijas instances tiesa atzinusi </w:t>
      </w:r>
      <w:r w:rsidR="00340304">
        <w:rPr>
          <w:color w:val="000000" w:themeColor="text1"/>
        </w:rPr>
        <w:t>[pers. BK]</w:t>
      </w:r>
      <w:r w:rsidRPr="009C7A0A">
        <w:t xml:space="preserve"> un </w:t>
      </w:r>
      <w:r w:rsidR="00340304">
        <w:rPr>
          <w:color w:val="000000" w:themeColor="text1"/>
        </w:rPr>
        <w:t>[pers. BL]</w:t>
      </w:r>
      <w:r w:rsidRPr="009C7A0A">
        <w:t xml:space="preserve"> par nevainīgiem pret viņiem celtajā apsūdzībā pēc Krimināllikuma 239. panta otrās daļas (likuma redakcijā, kas stājās spēkā 2013. gada 1. aprīlī)</w:t>
      </w:r>
      <w:r w:rsidR="008B6A2B" w:rsidRPr="009C7A0A">
        <w:t>,</w:t>
      </w:r>
      <w:r w:rsidRPr="009C7A0A">
        <w:t xml:space="preserve"> 123. panta otrās daļas un attaisnojusi.</w:t>
      </w:r>
    </w:p>
    <w:p w14:paraId="0105D0D0" w14:textId="50FEE740" w:rsidR="009C591A" w:rsidRPr="009C7A0A" w:rsidRDefault="009C591A" w:rsidP="009C7A0A">
      <w:pPr>
        <w:spacing w:line="276" w:lineRule="auto"/>
        <w:ind w:firstLine="720"/>
        <w:jc w:val="both"/>
      </w:pPr>
      <w:r w:rsidRPr="009C7A0A">
        <w:t>Tiesa atbilstoši Kriminālprocesa likuma 519. panta 1. punktam atzinusi, ka apsūdzēt</w:t>
      </w:r>
      <w:r w:rsidR="005D29CC" w:rsidRPr="009C7A0A">
        <w:t>o</w:t>
      </w:r>
      <w:r w:rsidRPr="009C7A0A">
        <w:t xml:space="preserve"> </w:t>
      </w:r>
      <w:r w:rsidR="00B145DB">
        <w:t>[pers. BK]</w:t>
      </w:r>
      <w:r w:rsidRPr="009C7A0A">
        <w:t xml:space="preserve"> un </w:t>
      </w:r>
      <w:r w:rsidR="00B145DB">
        <w:t>[pers. BL]</w:t>
      </w:r>
      <w:r w:rsidRPr="009C7A0A">
        <w:t xml:space="preserve"> nodarījumos nav noziedzīgā nodarījuma sastāva.</w:t>
      </w:r>
    </w:p>
    <w:p w14:paraId="57287807" w14:textId="6C34D7CA" w:rsidR="009C591A" w:rsidRPr="009C7A0A" w:rsidRDefault="009C591A" w:rsidP="009C7A0A">
      <w:pPr>
        <w:spacing w:line="276" w:lineRule="auto"/>
        <w:ind w:firstLine="720"/>
        <w:jc w:val="both"/>
        <w:rPr>
          <w:rFonts w:eastAsia="Calibri"/>
        </w:rPr>
      </w:pPr>
      <w:r w:rsidRPr="009C7A0A">
        <w:t>Apsūdzētaj</w:t>
      </w:r>
      <w:r w:rsidR="005D29CC" w:rsidRPr="009C7A0A">
        <w:t>ie</w:t>
      </w:r>
      <w:r w:rsidRPr="009C7A0A">
        <w:t xml:space="preserve">m </w:t>
      </w:r>
      <w:r w:rsidR="00B145DB">
        <w:t>[pers. BK]</w:t>
      </w:r>
      <w:r w:rsidRPr="009C7A0A">
        <w:t xml:space="preserve"> un </w:t>
      </w:r>
      <w:r w:rsidR="00B145DB">
        <w:t>[pers. BL]</w:t>
      </w:r>
      <w:r w:rsidRPr="009C7A0A">
        <w:t xml:space="preserve"> inkriminēts, ka viņi, </w:t>
      </w:r>
      <w:r w:rsidRPr="009C7A0A">
        <w:rPr>
          <w:lang w:eastAsia="lv-LV"/>
        </w:rPr>
        <w:t>pārkāpjot normatīv</w:t>
      </w:r>
      <w:r w:rsidR="00162579" w:rsidRPr="009C7A0A">
        <w:rPr>
          <w:lang w:eastAsia="lv-LV"/>
        </w:rPr>
        <w:t>o</w:t>
      </w:r>
      <w:r w:rsidRPr="009C7A0A">
        <w:rPr>
          <w:lang w:eastAsia="lv-LV"/>
        </w:rPr>
        <w:t xml:space="preserve"> </w:t>
      </w:r>
      <w:r w:rsidR="008825A6" w:rsidRPr="009C7A0A">
        <w:rPr>
          <w:lang w:eastAsia="lv-LV"/>
        </w:rPr>
        <w:t xml:space="preserve">tiesību </w:t>
      </w:r>
      <w:r w:rsidRPr="009C7A0A">
        <w:rPr>
          <w:lang w:eastAsia="lv-LV"/>
        </w:rPr>
        <w:t>aktu prasības,</w:t>
      </w:r>
      <w:r w:rsidRPr="009C7A0A">
        <w:t xml:space="preserve"> </w:t>
      </w:r>
      <w:r w:rsidRPr="009C7A0A">
        <w:rPr>
          <w:lang w:eastAsia="lv-LV"/>
        </w:rPr>
        <w:t xml:space="preserve">nevērīgi pildīja savus profesionālos pienākumus, proti, </w:t>
      </w:r>
      <w:r w:rsidR="001A1608">
        <w:rPr>
          <w:rFonts w:eastAsia="Calibri"/>
        </w:rPr>
        <w:t>[pers. BK]</w:t>
      </w:r>
      <w:r w:rsidRPr="009C7A0A">
        <w:rPr>
          <w:rFonts w:eastAsia="Calibri"/>
        </w:rPr>
        <w:t xml:space="preserve"> – būvdarbu vadītāja</w:t>
      </w:r>
      <w:r w:rsidR="00C85742" w:rsidRPr="009C7A0A">
        <w:rPr>
          <w:rFonts w:eastAsia="Calibri"/>
        </w:rPr>
        <w:t xml:space="preserve"> pienākumus</w:t>
      </w:r>
      <w:r w:rsidRPr="009C7A0A">
        <w:rPr>
          <w:rFonts w:eastAsia="Calibri"/>
        </w:rPr>
        <w:t xml:space="preserve">, bet </w:t>
      </w:r>
      <w:r w:rsidR="001A1608">
        <w:rPr>
          <w:rFonts w:eastAsia="Calibri"/>
        </w:rPr>
        <w:t>[pers. BL]</w:t>
      </w:r>
      <w:r w:rsidRPr="009C7A0A">
        <w:rPr>
          <w:rFonts w:eastAsia="Calibri"/>
        </w:rPr>
        <w:t xml:space="preserve"> </w:t>
      </w:r>
      <w:r w:rsidRPr="009C7A0A">
        <w:rPr>
          <w:lang w:eastAsia="lv-LV"/>
        </w:rPr>
        <w:t xml:space="preserve">– </w:t>
      </w:r>
      <w:r w:rsidRPr="009C7A0A">
        <w:rPr>
          <w:rFonts w:eastAsia="Calibri"/>
        </w:rPr>
        <w:t>būvuzrauga</w:t>
      </w:r>
      <w:r w:rsidR="005D29CC" w:rsidRPr="009C7A0A">
        <w:rPr>
          <w:lang w:eastAsia="lv-LV"/>
        </w:rPr>
        <w:t xml:space="preserve"> pienākumus.</w:t>
      </w:r>
    </w:p>
    <w:p w14:paraId="469194C9" w14:textId="6D74B63D" w:rsidR="009C591A" w:rsidRPr="009C7A0A" w:rsidRDefault="009C591A" w:rsidP="009C7A0A">
      <w:pPr>
        <w:spacing w:line="276" w:lineRule="auto"/>
        <w:ind w:firstLine="720"/>
        <w:jc w:val="both"/>
      </w:pPr>
      <w:r w:rsidRPr="009C7A0A">
        <w:t xml:space="preserve">Būvniecības likuma 3. panta trešās daļas 1., 3. punkts </w:t>
      </w:r>
      <w:r w:rsidR="00A41C77" w:rsidRPr="009C7A0A">
        <w:t>(</w:t>
      </w:r>
      <w:r w:rsidR="003A23E8" w:rsidRPr="009C7A0A">
        <w:t>tiesību akts</w:t>
      </w:r>
      <w:r w:rsidR="00A41C77" w:rsidRPr="009C7A0A">
        <w:t xml:space="preserve"> zaudējis spēku 2014. gada 1. oktobrī) </w:t>
      </w:r>
      <w:r w:rsidRPr="009C7A0A">
        <w:t>noteic</w:t>
      </w:r>
      <w:r w:rsidR="00A41C77" w:rsidRPr="009C7A0A">
        <w:t>a</w:t>
      </w:r>
      <w:r w:rsidRPr="009C7A0A">
        <w:t>, ka būve projektējama un būvējama tā, lai nodrošinātu vides arhitektonisko kvalitāti, vides pieejamību, dabas resursu racionālu izmantošanu, kā arī visas būves un tās atsevišķu daļu stiprību, stabilitāti un drošību lietošanā.</w:t>
      </w:r>
    </w:p>
    <w:p w14:paraId="5A05CC11" w14:textId="10AC26B7" w:rsidR="009C591A" w:rsidRPr="009C7A0A" w:rsidRDefault="009C591A" w:rsidP="009C7A0A">
      <w:pPr>
        <w:spacing w:line="276" w:lineRule="auto"/>
        <w:ind w:firstLine="720"/>
        <w:jc w:val="both"/>
        <w:rPr>
          <w:b/>
          <w:bCs/>
        </w:rPr>
      </w:pPr>
      <w:r w:rsidRPr="009C7A0A">
        <w:t xml:space="preserve">Savukārt </w:t>
      </w:r>
      <w:r w:rsidR="00606F05" w:rsidRPr="009C7A0A">
        <w:t>Ministru kabineta 2001. gada 27. martā noteikumi Nr.</w:t>
      </w:r>
      <w:r w:rsidR="00D60E1D" w:rsidRPr="009C7A0A">
        <w:t> </w:t>
      </w:r>
      <w:r w:rsidR="00606F05" w:rsidRPr="009C7A0A">
        <w:t>142</w:t>
      </w:r>
      <w:r w:rsidR="00606F05" w:rsidRPr="009C7A0A">
        <w:rPr>
          <w:b/>
          <w:bCs/>
        </w:rPr>
        <w:t xml:space="preserve"> </w:t>
      </w:r>
      <w:r w:rsidR="00606F05" w:rsidRPr="009C7A0A">
        <w:t>„</w:t>
      </w:r>
      <w:r w:rsidRPr="009C7A0A">
        <w:t>Latvijas būvnormatīva LBN 006-00 „Būtiskās prasības būvēm”</w:t>
      </w:r>
      <w:r w:rsidR="00606F05" w:rsidRPr="009C7A0A">
        <w:t>”</w:t>
      </w:r>
      <w:r w:rsidRPr="009C7A0A">
        <w:t xml:space="preserve"> </w:t>
      </w:r>
      <w:r w:rsidR="00606F05" w:rsidRPr="009C7A0A">
        <w:t xml:space="preserve">(turpmāk – Latvijas būvnormatīvs LBN 006-00) </w:t>
      </w:r>
      <w:r w:rsidRPr="009C7A0A">
        <w:t xml:space="preserve">3. punkts </w:t>
      </w:r>
      <w:r w:rsidR="00A41C77" w:rsidRPr="009C7A0A">
        <w:t>(</w:t>
      </w:r>
      <w:r w:rsidR="003A23E8" w:rsidRPr="009C7A0A">
        <w:t>tiesību akts</w:t>
      </w:r>
      <w:r w:rsidR="00606F05" w:rsidRPr="009C7A0A">
        <w:t xml:space="preserve"> zaudēja spēku 2015. gada 1. jūlijā</w:t>
      </w:r>
      <w:r w:rsidR="00A41C77" w:rsidRPr="009C7A0A">
        <w:t xml:space="preserve">) </w:t>
      </w:r>
      <w:r w:rsidRPr="009C7A0A">
        <w:t>noteic</w:t>
      </w:r>
      <w:r w:rsidR="00A41C77" w:rsidRPr="009C7A0A">
        <w:t>a</w:t>
      </w:r>
      <w:r w:rsidRPr="009C7A0A">
        <w:t xml:space="preserve">, ka būves projektē un būvē tā, lai normālas ekspluatācijas apstākļos visā ekonomiski pamatotā ekspluatācijas (dzīves cikla) laikā, ņemot vērā prognozējamās iedarbes uz būvēm, tās atbilstu šajā būvnormatīvā noteiktajām būtiskajām prasībām. </w:t>
      </w:r>
      <w:r w:rsidRPr="009C7A0A">
        <w:lastRenderedPageBreak/>
        <w:t>Minētā būvnormatīva 4. punkts noteic, ka būves projektē un būvē tā, lai, tās ekspluatējot pilnā aprēķina slodzē, neizraisītu avārijas situāciju ar šādām sekām: visas būves vai tās atsevišķu daļu sabrukumu.</w:t>
      </w:r>
    </w:p>
    <w:p w14:paraId="2B729B58" w14:textId="77777777" w:rsidR="009C591A" w:rsidRPr="009C7A0A" w:rsidRDefault="009C591A" w:rsidP="009C7A0A">
      <w:pPr>
        <w:spacing w:line="276" w:lineRule="auto"/>
        <w:ind w:firstLine="720"/>
        <w:jc w:val="both"/>
        <w:rPr>
          <w:lang w:eastAsia="lv-LV"/>
        </w:rPr>
      </w:pPr>
      <w:r w:rsidRPr="009C7A0A">
        <w:rPr>
          <w:lang w:eastAsia="lv-LV"/>
        </w:rPr>
        <w:t>Senāts atzīst par nepamatotu apelācijas instances tiesas secinājumu, ka būvniecības pamatnosacījuma iekļaušana apsūdzībā pēc Krimināllikuma 239. panta otrās daļas ir nevietā, jo tā neatklāj būvniecības dalībnieka konkrētu būvnoteikumu pārkāpumu.</w:t>
      </w:r>
    </w:p>
    <w:p w14:paraId="66BE3969" w14:textId="37AACB88" w:rsidR="009C591A" w:rsidRPr="009C7A0A" w:rsidRDefault="009C591A" w:rsidP="009C7A0A">
      <w:pPr>
        <w:spacing w:line="276" w:lineRule="auto"/>
        <w:ind w:firstLine="720"/>
        <w:jc w:val="both"/>
        <w:rPr>
          <w:lang w:eastAsia="lv-LV"/>
        </w:rPr>
      </w:pPr>
      <w:r w:rsidRPr="009C7A0A">
        <w:rPr>
          <w:lang w:eastAsia="lv-LV"/>
        </w:rPr>
        <w:t xml:space="preserve">Senāts norāda, ka minētās </w:t>
      </w:r>
      <w:r w:rsidR="00C2316C" w:rsidRPr="009C7A0A">
        <w:rPr>
          <w:lang w:eastAsia="lv-LV"/>
        </w:rPr>
        <w:t>tiesību</w:t>
      </w:r>
      <w:r w:rsidRPr="009C7A0A">
        <w:rPr>
          <w:lang w:eastAsia="lv-LV"/>
        </w:rPr>
        <w:t xml:space="preserve"> normas noteic, kādā ietvarā būvniecības dalībniekiem ir jādarbojas, pildot savus profesionālos pienākumus, tas ir, tajās ir nostiprināts princips, ka katram būvniecības dalībniekam savas kompetences ietvaros jādarbojas tā, lai būvniecības rezultātā tapusī būve atbilstu drošības prasībām.</w:t>
      </w:r>
    </w:p>
    <w:p w14:paraId="2AAD650F" w14:textId="77777777" w:rsidR="009C591A" w:rsidRPr="009C7A0A" w:rsidRDefault="009C591A" w:rsidP="009C7A0A">
      <w:pPr>
        <w:spacing w:line="276" w:lineRule="auto"/>
        <w:ind w:firstLine="720"/>
        <w:jc w:val="both"/>
        <w:rPr>
          <w:lang w:eastAsia="lv-LV"/>
        </w:rPr>
      </w:pPr>
      <w:r w:rsidRPr="009C7A0A">
        <w:rPr>
          <w:lang w:eastAsia="lv-LV"/>
        </w:rPr>
        <w:t>Tiesību principi ir primārais tiesību avots, kuru var izmantot nolēmumu pamatojumā un argumentācijā. Tāpat tiesību principu palīdzību var izmantot tiesību normu piemērošanā.</w:t>
      </w:r>
    </w:p>
    <w:p w14:paraId="0DFC6AB0" w14:textId="17BB0EB4" w:rsidR="009C591A" w:rsidRPr="009C7A0A" w:rsidRDefault="009C591A" w:rsidP="00D9478B">
      <w:pPr>
        <w:spacing w:line="276" w:lineRule="auto"/>
        <w:ind w:firstLine="720"/>
        <w:jc w:val="both"/>
        <w:rPr>
          <w:rFonts w:eastAsia="Calibri"/>
        </w:rPr>
      </w:pPr>
      <w:r w:rsidRPr="009C7A0A">
        <w:rPr>
          <w:rFonts w:eastAsia="Calibri"/>
        </w:rPr>
        <w:t xml:space="preserve">Turklāt pamatnosacījums par to, ka </w:t>
      </w:r>
      <w:r w:rsidRPr="009C7A0A">
        <w:rPr>
          <w:lang w:eastAsia="lv-LV"/>
        </w:rPr>
        <w:t xml:space="preserve">katram būvniecības dalībniekam savas kompetences ietvaros jādarbojas tā, lai būvniecības rezultātā tapusī būve atbilstu drošības prasībām, ir ietverts </w:t>
      </w:r>
      <w:r w:rsidR="00C6301A" w:rsidRPr="009C7A0A">
        <w:rPr>
          <w:rFonts w:eastAsia="Calibri"/>
        </w:rPr>
        <w:t>sabiedrības ar ierobežotu atbildību </w:t>
      </w:r>
      <w:r w:rsidRPr="009C7A0A">
        <w:rPr>
          <w:rFonts w:eastAsia="Calibri"/>
        </w:rPr>
        <w:t>„</w:t>
      </w:r>
      <w:r w:rsidR="00D9478B">
        <w:rPr>
          <w:rFonts w:eastAsia="Calibri"/>
        </w:rPr>
        <w:t>[Nosaukums I]</w:t>
      </w:r>
      <w:r w:rsidRPr="009C7A0A">
        <w:rPr>
          <w:rFonts w:eastAsia="Calibri"/>
        </w:rPr>
        <w:t xml:space="preserve">” un </w:t>
      </w:r>
      <w:r w:rsidRPr="009C7A0A">
        <w:rPr>
          <w:color w:val="000000"/>
        </w:rPr>
        <w:t>SIA „</w:t>
      </w:r>
      <w:r w:rsidR="00AA4626">
        <w:rPr>
          <w:color w:val="000000"/>
        </w:rPr>
        <w:t>[Nosaukums C]</w:t>
      </w:r>
      <w:r w:rsidRPr="009C7A0A">
        <w:rPr>
          <w:color w:val="000000"/>
        </w:rPr>
        <w:t>”</w:t>
      </w:r>
      <w:r w:rsidRPr="009C7A0A">
        <w:rPr>
          <w:rFonts w:eastAsia="Calibri"/>
        </w:rPr>
        <w:t xml:space="preserve"> sadarbības līgumā par tirdzniecības centra, tā infrastruktūras un autostāvvietas būvēšanu. No minētā sadarbības līguma izriet, ka būvnieka pārstāvim ir jāpārbauda būvniecības kvalitāte un jāizlabo jebkādi trūkumi un defekti, jāinformē pasūtītājs par jebkādiem nopietniem defektiem, kuri tiek konstatēti darbu izpildes gaitā, un par šo trūkumu novēršanas veidu, kā arī jārīkojas atbilstoši labas būvniecības prakses principiem. Arī </w:t>
      </w:r>
      <w:r w:rsidR="00A94C7E" w:rsidRPr="009C7A0A">
        <w:rPr>
          <w:rFonts w:eastAsia="Calibri"/>
        </w:rPr>
        <w:t>Ministru kabineta 2004.</w:t>
      </w:r>
      <w:r w:rsidR="00D70A73" w:rsidRPr="009C7A0A">
        <w:rPr>
          <w:rFonts w:eastAsia="Calibri"/>
        </w:rPr>
        <w:t> </w:t>
      </w:r>
      <w:r w:rsidR="00A94C7E" w:rsidRPr="009C7A0A">
        <w:rPr>
          <w:rFonts w:eastAsia="Calibri"/>
        </w:rPr>
        <w:t>gada 10. februāra noteikumi Nr.</w:t>
      </w:r>
      <w:r w:rsidR="00D70A73" w:rsidRPr="009C7A0A">
        <w:rPr>
          <w:rFonts w:eastAsia="Calibri"/>
        </w:rPr>
        <w:t> </w:t>
      </w:r>
      <w:r w:rsidR="00A94C7E" w:rsidRPr="009C7A0A">
        <w:rPr>
          <w:rFonts w:eastAsia="Calibri"/>
        </w:rPr>
        <w:t xml:space="preserve">75 „Noteikumi par Latvijas būvnormatīvu LBN 303-03 </w:t>
      </w:r>
      <w:r w:rsidR="00E75D31" w:rsidRPr="009C7A0A">
        <w:rPr>
          <w:rFonts w:eastAsia="Calibri"/>
        </w:rPr>
        <w:t>„</w:t>
      </w:r>
      <w:r w:rsidR="00A94C7E" w:rsidRPr="009C7A0A">
        <w:rPr>
          <w:rFonts w:eastAsia="Calibri"/>
        </w:rPr>
        <w:t>Būvuzraudzības noteikumi”” (</w:t>
      </w:r>
      <w:r w:rsidR="00D06270" w:rsidRPr="009C7A0A">
        <w:rPr>
          <w:rFonts w:eastAsia="Calibri"/>
        </w:rPr>
        <w:t>tiesību akts</w:t>
      </w:r>
      <w:r w:rsidR="00A94C7E" w:rsidRPr="009C7A0A">
        <w:rPr>
          <w:rFonts w:eastAsia="Calibri"/>
        </w:rPr>
        <w:t xml:space="preserve"> zaudēja spēku 2014. gada 1. oktobrī) </w:t>
      </w:r>
      <w:r w:rsidRPr="009C7A0A">
        <w:rPr>
          <w:rFonts w:eastAsia="Calibri"/>
        </w:rPr>
        <w:t>noteic</w:t>
      </w:r>
      <w:r w:rsidR="00A94C7E" w:rsidRPr="009C7A0A">
        <w:rPr>
          <w:rFonts w:eastAsia="Calibri"/>
        </w:rPr>
        <w:t>a</w:t>
      </w:r>
      <w:r w:rsidRPr="009C7A0A">
        <w:rPr>
          <w:rFonts w:eastAsia="Calibri"/>
        </w:rPr>
        <w:t xml:space="preserve"> būvuzraugam pienākumu kontrolēt, lai uzceltā būve atbilstu drošības prasībām.</w:t>
      </w:r>
    </w:p>
    <w:p w14:paraId="27959916" w14:textId="3269A44B" w:rsidR="009C591A" w:rsidRPr="009C7A0A" w:rsidRDefault="009C591A" w:rsidP="009C7A0A">
      <w:pPr>
        <w:spacing w:line="276" w:lineRule="auto"/>
        <w:ind w:firstLine="720"/>
        <w:jc w:val="both"/>
        <w:rPr>
          <w:lang w:eastAsia="lv-LV"/>
        </w:rPr>
      </w:pPr>
      <w:r w:rsidRPr="009C7A0A">
        <w:rPr>
          <w:lang w:eastAsia="lv-LV"/>
        </w:rPr>
        <w:t>Tādējādi Senātam jāpārbauda apelācijas instances tiesas atzinumi par to, vai,</w:t>
      </w:r>
      <w:r w:rsidR="0031257C" w:rsidRPr="009C7A0A">
        <w:rPr>
          <w:lang w:eastAsia="lv-LV"/>
        </w:rPr>
        <w:t xml:space="preserve"> </w:t>
      </w:r>
      <w:r w:rsidRPr="009C7A0A">
        <w:rPr>
          <w:lang w:eastAsia="lv-LV"/>
        </w:rPr>
        <w:t>vērtējot apsūdzētaj</w:t>
      </w:r>
      <w:r w:rsidR="00DF6273" w:rsidRPr="009C7A0A">
        <w:rPr>
          <w:lang w:eastAsia="lv-LV"/>
        </w:rPr>
        <w:t>ie</w:t>
      </w:r>
      <w:r w:rsidRPr="009C7A0A">
        <w:rPr>
          <w:lang w:eastAsia="lv-LV"/>
        </w:rPr>
        <w:t xml:space="preserve">m </w:t>
      </w:r>
      <w:r w:rsidR="00FB0DED">
        <w:rPr>
          <w:lang w:eastAsia="lv-LV"/>
        </w:rPr>
        <w:t xml:space="preserve">[pers. BK] </w:t>
      </w:r>
      <w:r w:rsidRPr="009C7A0A">
        <w:rPr>
          <w:lang w:eastAsia="lv-LV"/>
        </w:rPr>
        <w:t xml:space="preserve">un </w:t>
      </w:r>
      <w:r w:rsidR="00FB0DED">
        <w:rPr>
          <w:lang w:eastAsia="lv-LV"/>
        </w:rPr>
        <w:t>[pers. BL]</w:t>
      </w:r>
      <w:r w:rsidRPr="009C7A0A">
        <w:rPr>
          <w:lang w:eastAsia="lv-LV"/>
        </w:rPr>
        <w:t xml:space="preserve"> celtās apsūdzības pamatotību, ir ņ</w:t>
      </w:r>
      <w:r w:rsidR="00A8188A" w:rsidRPr="009C7A0A">
        <w:rPr>
          <w:lang w:eastAsia="lv-LV"/>
        </w:rPr>
        <w:t>e</w:t>
      </w:r>
      <w:r w:rsidRPr="009C7A0A">
        <w:rPr>
          <w:lang w:eastAsia="lv-LV"/>
        </w:rPr>
        <w:t xml:space="preserve">mti vērā arī būvniecības </w:t>
      </w:r>
      <w:r w:rsidR="00676A32" w:rsidRPr="009C7A0A">
        <w:rPr>
          <w:lang w:eastAsia="lv-LV"/>
        </w:rPr>
        <w:t>pamatnoteikumi.</w:t>
      </w:r>
    </w:p>
    <w:p w14:paraId="012663BF" w14:textId="0F43E318" w:rsidR="009C591A" w:rsidRPr="009C7A0A" w:rsidRDefault="00BF610B" w:rsidP="009C7A0A">
      <w:pPr>
        <w:spacing w:line="276" w:lineRule="auto"/>
        <w:ind w:firstLine="720"/>
        <w:jc w:val="both"/>
        <w:rPr>
          <w:rFonts w:eastAsia="Calibri"/>
        </w:rPr>
      </w:pPr>
      <w:r w:rsidRPr="009C7A0A">
        <w:t>N</w:t>
      </w:r>
      <w:r w:rsidR="009C591A" w:rsidRPr="009C7A0A">
        <w:rPr>
          <w:rFonts w:eastAsia="Calibri"/>
        </w:rPr>
        <w:t>o apsūdzības secināms, ka: 1) </w:t>
      </w:r>
      <w:r w:rsidR="00920622">
        <w:rPr>
          <w:lang w:eastAsia="lv-LV"/>
        </w:rPr>
        <w:t xml:space="preserve">[pers. BK] </w:t>
      </w:r>
      <w:r w:rsidR="00920622" w:rsidRPr="009C7A0A">
        <w:rPr>
          <w:lang w:eastAsia="lv-LV"/>
        </w:rPr>
        <w:t xml:space="preserve">un </w:t>
      </w:r>
      <w:r w:rsidR="00920622">
        <w:rPr>
          <w:lang w:eastAsia="lv-LV"/>
        </w:rPr>
        <w:t>[pers. BL]</w:t>
      </w:r>
      <w:r w:rsidR="009C591A" w:rsidRPr="009C7A0A">
        <w:rPr>
          <w:rFonts w:eastAsia="Calibri"/>
        </w:rPr>
        <w:t xml:space="preserve"> veica montāžas darbu, </w:t>
      </w:r>
      <w:r w:rsidRPr="009C7A0A">
        <w:rPr>
          <w:rFonts w:eastAsia="Calibri"/>
        </w:rPr>
        <w:t>lai</w:t>
      </w:r>
      <w:r w:rsidR="009C591A" w:rsidRPr="009C7A0A">
        <w:rPr>
          <w:rFonts w:eastAsia="Calibri"/>
        </w:rPr>
        <w:t xml:space="preserve"> gan projekta detalizācijā nebija tērauda kopņu MK-1 montāžas mezgla projekta risinājuma, arī kopņu </w:t>
      </w:r>
      <w:proofErr w:type="spellStart"/>
      <w:r w:rsidR="009C591A" w:rsidRPr="009C7A0A">
        <w:rPr>
          <w:rFonts w:eastAsia="Calibri"/>
        </w:rPr>
        <w:t>apakšjoslas</w:t>
      </w:r>
      <w:proofErr w:type="spellEnd"/>
      <w:r w:rsidR="009C591A" w:rsidRPr="009C7A0A">
        <w:rPr>
          <w:rFonts w:eastAsia="Calibri"/>
        </w:rPr>
        <w:t xml:space="preserve"> montāžas mezgla izpildījuma ar tajā izmantotām skrūvēm un citām savienojuma detaļām; 2) </w:t>
      </w:r>
      <w:r w:rsidR="004453CA">
        <w:rPr>
          <w:lang w:eastAsia="lv-LV"/>
        </w:rPr>
        <w:t xml:space="preserve">[pers. BK] </w:t>
      </w:r>
      <w:r w:rsidR="004453CA" w:rsidRPr="009C7A0A">
        <w:rPr>
          <w:lang w:eastAsia="lv-LV"/>
        </w:rPr>
        <w:t xml:space="preserve">un </w:t>
      </w:r>
      <w:r w:rsidR="004453CA">
        <w:rPr>
          <w:lang w:eastAsia="lv-LV"/>
        </w:rPr>
        <w:t>[pers. BL]</w:t>
      </w:r>
      <w:r w:rsidR="009C591A" w:rsidRPr="009C7A0A">
        <w:rPr>
          <w:rFonts w:eastAsia="Calibri"/>
        </w:rPr>
        <w:t xml:space="preserve"> nepilnvērtīgi veica </w:t>
      </w:r>
      <w:proofErr w:type="spellStart"/>
      <w:r w:rsidR="009C591A" w:rsidRPr="009C7A0A">
        <w:rPr>
          <w:rFonts w:eastAsia="Calibri"/>
        </w:rPr>
        <w:t>metālkopņu</w:t>
      </w:r>
      <w:proofErr w:type="spellEnd"/>
      <w:r w:rsidR="009C591A" w:rsidRPr="009C7A0A">
        <w:rPr>
          <w:rFonts w:eastAsia="Calibri"/>
        </w:rPr>
        <w:t xml:space="preserve"> MK</w:t>
      </w:r>
      <w:r w:rsidR="003C7B04" w:rsidRPr="009C7A0A">
        <w:rPr>
          <w:rFonts w:eastAsia="Calibri"/>
        </w:rPr>
        <w:t>-</w:t>
      </w:r>
      <w:r w:rsidR="009C591A" w:rsidRPr="009C7A0A">
        <w:rPr>
          <w:rFonts w:eastAsia="Calibri"/>
        </w:rPr>
        <w:t>1, metāla siju un saites apskati (ārējo pārbaudi) un kvalitātes pārbaudi segtajiem darbiem, kā arī pieļāva, ka kopņu montāžas laikā kopņu daļas tika savienotas ar bultskrūvēm un uzgriežņiem, kuri nebija paredzēti izmantošanai slodzi nesošo metāla konstrukciju savienošanai; 3) </w:t>
      </w:r>
      <w:r w:rsidR="003B216E">
        <w:rPr>
          <w:lang w:eastAsia="lv-LV"/>
        </w:rPr>
        <w:t xml:space="preserve">[pers. BK] </w:t>
      </w:r>
      <w:r w:rsidR="003B216E" w:rsidRPr="009C7A0A">
        <w:rPr>
          <w:lang w:eastAsia="lv-LV"/>
        </w:rPr>
        <w:t xml:space="preserve">un </w:t>
      </w:r>
      <w:r w:rsidR="003B216E">
        <w:rPr>
          <w:lang w:eastAsia="lv-LV"/>
        </w:rPr>
        <w:t>[pers. BL]</w:t>
      </w:r>
      <w:r w:rsidR="009C591A" w:rsidRPr="009C7A0A">
        <w:rPr>
          <w:rFonts w:eastAsia="Calibri"/>
        </w:rPr>
        <w:t xml:space="preserve"> nepārliecinājās par kopņu montāžas veicēj</w:t>
      </w:r>
      <w:r w:rsidRPr="009C7A0A">
        <w:rPr>
          <w:rFonts w:eastAsia="Calibri"/>
        </w:rPr>
        <w:t>a</w:t>
      </w:r>
      <w:r w:rsidR="009C591A" w:rsidRPr="009C7A0A">
        <w:rPr>
          <w:rFonts w:eastAsia="Calibri"/>
        </w:rPr>
        <w:t xml:space="preserve"> – </w:t>
      </w:r>
      <w:r w:rsidR="009C591A" w:rsidRPr="009C7A0A">
        <w:rPr>
          <w:bCs/>
          <w:color w:val="000000"/>
        </w:rPr>
        <w:t>SIA „</w:t>
      </w:r>
      <w:r w:rsidR="00962C5B">
        <w:rPr>
          <w:bCs/>
          <w:color w:val="000000"/>
        </w:rPr>
        <w:t>[Nosaukums F]</w:t>
      </w:r>
      <w:r w:rsidR="009C591A" w:rsidRPr="009C7A0A">
        <w:rPr>
          <w:bCs/>
          <w:color w:val="000000"/>
        </w:rPr>
        <w:t>”</w:t>
      </w:r>
      <w:r w:rsidR="009C591A" w:rsidRPr="009C7A0A">
        <w:rPr>
          <w:rFonts w:eastAsia="Calibri"/>
        </w:rPr>
        <w:t xml:space="preserve"> – darba vadītāja personību un kvalifikāciju montāžas veikšanā; 4)</w:t>
      </w:r>
      <w:r w:rsidR="009C591A" w:rsidRPr="009C7A0A">
        <w:rPr>
          <w:rFonts w:eastAsia="Calibri"/>
          <w:iCs/>
        </w:rPr>
        <w:t> </w:t>
      </w:r>
      <w:r w:rsidR="007815F1">
        <w:rPr>
          <w:rFonts w:eastAsia="Calibri"/>
          <w:iCs/>
        </w:rPr>
        <w:t>[pers. BK]</w:t>
      </w:r>
      <w:r w:rsidR="009C591A" w:rsidRPr="009C7A0A">
        <w:rPr>
          <w:rFonts w:eastAsia="Calibri"/>
          <w:iCs/>
        </w:rPr>
        <w:t xml:space="preserve"> </w:t>
      </w:r>
      <w:r w:rsidR="009C591A" w:rsidRPr="009C7A0A">
        <w:rPr>
          <w:rFonts w:eastAsia="Calibri"/>
        </w:rPr>
        <w:t xml:space="preserve">pieņēma nozīmīgo konstrukciju elementus, nezondējot ar </w:t>
      </w:r>
      <w:proofErr w:type="spellStart"/>
      <w:r w:rsidR="009C591A" w:rsidRPr="009C7A0A">
        <w:rPr>
          <w:rFonts w:eastAsia="Calibri"/>
        </w:rPr>
        <w:t>mērtaustu</w:t>
      </w:r>
      <w:proofErr w:type="spellEnd"/>
      <w:r w:rsidR="009C591A" w:rsidRPr="009C7A0A">
        <w:rPr>
          <w:rFonts w:eastAsia="Calibri"/>
        </w:rPr>
        <w:t xml:space="preserve"> spraugu starp </w:t>
      </w:r>
      <w:proofErr w:type="spellStart"/>
      <w:r w:rsidR="009C591A" w:rsidRPr="009C7A0A">
        <w:rPr>
          <w:rFonts w:eastAsia="Calibri"/>
        </w:rPr>
        <w:t>fasonlapām</w:t>
      </w:r>
      <w:proofErr w:type="spellEnd"/>
      <w:r w:rsidR="009C591A" w:rsidRPr="009C7A0A">
        <w:rPr>
          <w:rFonts w:eastAsia="Calibri"/>
        </w:rPr>
        <w:t xml:space="preserve"> un neveicot bultskrūvju aizgriezuma kontroli.</w:t>
      </w:r>
    </w:p>
    <w:p w14:paraId="38CD509B" w14:textId="52E729F0" w:rsidR="009C591A" w:rsidRPr="009C7A0A" w:rsidRDefault="009C591A" w:rsidP="009C7A0A">
      <w:pPr>
        <w:spacing w:line="276" w:lineRule="auto"/>
        <w:ind w:firstLine="720"/>
        <w:jc w:val="both"/>
        <w:rPr>
          <w:rFonts w:eastAsia="Calibri"/>
        </w:rPr>
      </w:pPr>
      <w:r w:rsidRPr="009C7A0A">
        <w:rPr>
          <w:rFonts w:eastAsia="Calibri"/>
        </w:rPr>
        <w:t>Apelācijas instances tiesa atzinusi, ka apsūdzēt</w:t>
      </w:r>
      <w:r w:rsidR="00C2316C" w:rsidRPr="009C7A0A">
        <w:rPr>
          <w:rFonts w:eastAsia="Calibri"/>
        </w:rPr>
        <w:t xml:space="preserve">ie </w:t>
      </w:r>
      <w:r w:rsidR="007815F1">
        <w:rPr>
          <w:lang w:eastAsia="lv-LV"/>
        </w:rPr>
        <w:t xml:space="preserve">[pers. BK] </w:t>
      </w:r>
      <w:r w:rsidR="007815F1" w:rsidRPr="009C7A0A">
        <w:rPr>
          <w:lang w:eastAsia="lv-LV"/>
        </w:rPr>
        <w:t xml:space="preserve">un </w:t>
      </w:r>
      <w:r w:rsidR="007815F1">
        <w:rPr>
          <w:lang w:eastAsia="lv-LV"/>
        </w:rPr>
        <w:t>[pers. BL]</w:t>
      </w:r>
      <w:r w:rsidRPr="009C7A0A">
        <w:rPr>
          <w:rFonts w:eastAsia="Calibri"/>
        </w:rPr>
        <w:t xml:space="preserve"> būvniecības procesu veica atbilstoši būvkonstrukciju projektam, </w:t>
      </w:r>
      <w:r w:rsidR="00676A32" w:rsidRPr="009C7A0A">
        <w:rPr>
          <w:rFonts w:eastAsia="Calibri"/>
        </w:rPr>
        <w:t xml:space="preserve">tai skaitā ievērojot to, </w:t>
      </w:r>
      <w:r w:rsidRPr="009C7A0A">
        <w:rPr>
          <w:rFonts w:eastAsia="Calibri"/>
        </w:rPr>
        <w:t>ar kād</w:t>
      </w:r>
      <w:r w:rsidR="00BF610B" w:rsidRPr="009C7A0A">
        <w:rPr>
          <w:rFonts w:eastAsia="Calibri"/>
        </w:rPr>
        <w:t>as</w:t>
      </w:r>
      <w:r w:rsidRPr="009C7A0A">
        <w:rPr>
          <w:rFonts w:eastAsia="Calibri"/>
        </w:rPr>
        <w:t xml:space="preserve"> stiprības klases bultskrūvēm un uzgriežņiem kopnes ir savienojamas</w:t>
      </w:r>
      <w:r w:rsidR="00E32FF8" w:rsidRPr="009C7A0A">
        <w:rPr>
          <w:rFonts w:eastAsia="Calibri"/>
        </w:rPr>
        <w:t>,</w:t>
      </w:r>
      <w:r w:rsidR="00976B3F" w:rsidRPr="009C7A0A">
        <w:rPr>
          <w:rFonts w:eastAsia="Calibri"/>
        </w:rPr>
        <w:t xml:space="preserve"> </w:t>
      </w:r>
      <w:r w:rsidR="00676A32" w:rsidRPr="009C7A0A">
        <w:rPr>
          <w:rFonts w:eastAsia="Calibri"/>
        </w:rPr>
        <w:t>to</w:t>
      </w:r>
      <w:r w:rsidRPr="009C7A0A">
        <w:rPr>
          <w:rFonts w:eastAsia="Calibri"/>
        </w:rPr>
        <w:t xml:space="preserve">, </w:t>
      </w:r>
      <w:r w:rsidR="00676A32" w:rsidRPr="009C7A0A">
        <w:rPr>
          <w:rFonts w:eastAsia="Calibri"/>
        </w:rPr>
        <w:t>ka</w:t>
      </w:r>
      <w:r w:rsidR="00976B3F" w:rsidRPr="009C7A0A">
        <w:rPr>
          <w:rFonts w:eastAsia="Calibri"/>
        </w:rPr>
        <w:t>,</w:t>
      </w:r>
      <w:r w:rsidR="00C2316C" w:rsidRPr="009C7A0A">
        <w:rPr>
          <w:rFonts w:eastAsia="Calibri"/>
        </w:rPr>
        <w:t xml:space="preserve"> montējot kopnes</w:t>
      </w:r>
      <w:r w:rsidR="00976B3F" w:rsidRPr="009C7A0A">
        <w:rPr>
          <w:rFonts w:eastAsia="Calibri"/>
        </w:rPr>
        <w:t>,</w:t>
      </w:r>
      <w:r w:rsidR="00676A32" w:rsidRPr="009C7A0A">
        <w:rPr>
          <w:rFonts w:eastAsia="Calibri"/>
        </w:rPr>
        <w:t xml:space="preserve"> nav veicams</w:t>
      </w:r>
      <w:r w:rsidRPr="009C7A0A">
        <w:rPr>
          <w:rFonts w:eastAsia="Calibri"/>
        </w:rPr>
        <w:t xml:space="preserve"> kontrolēts bultskrūvju nospriegojums</w:t>
      </w:r>
      <w:r w:rsidR="00676A32" w:rsidRPr="009C7A0A">
        <w:rPr>
          <w:rFonts w:eastAsia="Calibri"/>
        </w:rPr>
        <w:t>, kā arī</w:t>
      </w:r>
      <w:r w:rsidRPr="009C7A0A">
        <w:rPr>
          <w:rFonts w:eastAsia="Calibri"/>
        </w:rPr>
        <w:t xml:space="preserve"> </w:t>
      </w:r>
      <w:r w:rsidR="00676A32" w:rsidRPr="009C7A0A">
        <w:rPr>
          <w:rFonts w:eastAsia="Calibri"/>
        </w:rPr>
        <w:t xml:space="preserve">tiesa </w:t>
      </w:r>
      <w:r w:rsidRPr="009C7A0A">
        <w:rPr>
          <w:rFonts w:eastAsia="Calibri"/>
        </w:rPr>
        <w:t xml:space="preserve">vērtējusi </w:t>
      </w:r>
      <w:r w:rsidRPr="009C7A0A">
        <w:rPr>
          <w:iCs/>
        </w:rPr>
        <w:t xml:space="preserve">metāla kopņu </w:t>
      </w:r>
      <w:proofErr w:type="spellStart"/>
      <w:r w:rsidRPr="009C7A0A">
        <w:rPr>
          <w:iCs/>
        </w:rPr>
        <w:t>fasonlapu</w:t>
      </w:r>
      <w:proofErr w:type="spellEnd"/>
      <w:r w:rsidRPr="009C7A0A">
        <w:rPr>
          <w:iCs/>
        </w:rPr>
        <w:t xml:space="preserve"> metinājuma atbilstību </w:t>
      </w:r>
      <w:proofErr w:type="spellStart"/>
      <w:r w:rsidRPr="009C7A0A">
        <w:rPr>
          <w:iCs/>
        </w:rPr>
        <w:t>SNiP</w:t>
      </w:r>
      <w:proofErr w:type="spellEnd"/>
      <w:r w:rsidRPr="009C7A0A">
        <w:rPr>
          <w:iCs/>
        </w:rPr>
        <w:t xml:space="preserve"> 3.03.01.-87 </w:t>
      </w:r>
      <w:r w:rsidRPr="009C7A0A">
        <w:rPr>
          <w:iCs/>
          <w:lang w:eastAsia="lv-LV"/>
        </w:rPr>
        <w:t xml:space="preserve">„Nesošās un norobežojošās konstrukcijas” </w:t>
      </w:r>
      <w:r w:rsidRPr="009C7A0A">
        <w:rPr>
          <w:iCs/>
        </w:rPr>
        <w:t>prasībām</w:t>
      </w:r>
      <w:r w:rsidRPr="009C7A0A">
        <w:t>.</w:t>
      </w:r>
    </w:p>
    <w:p w14:paraId="379A2952" w14:textId="1313B1B8" w:rsidR="009C591A" w:rsidRPr="009C7A0A" w:rsidRDefault="00822E4A" w:rsidP="009C7A0A">
      <w:pPr>
        <w:spacing w:line="276" w:lineRule="auto"/>
        <w:ind w:firstLine="720"/>
        <w:jc w:val="both"/>
        <w:rPr>
          <w:rFonts w:eastAsia="Calibri"/>
        </w:rPr>
      </w:pPr>
      <w:r w:rsidRPr="009C7A0A">
        <w:rPr>
          <w:rFonts w:eastAsia="Calibri"/>
        </w:rPr>
        <w:lastRenderedPageBreak/>
        <w:t>[17.3.1] </w:t>
      </w:r>
      <w:r w:rsidR="009C591A" w:rsidRPr="009C7A0A">
        <w:rPr>
          <w:rFonts w:eastAsia="Calibri"/>
        </w:rPr>
        <w:t>Senāts norāda, ka apsūdzēt</w:t>
      </w:r>
      <w:r w:rsidR="00C2316C" w:rsidRPr="009C7A0A">
        <w:rPr>
          <w:rFonts w:eastAsia="Calibri"/>
        </w:rPr>
        <w:t>o</w:t>
      </w:r>
      <w:r w:rsidR="009C591A" w:rsidRPr="009C7A0A">
        <w:rPr>
          <w:rFonts w:eastAsia="Calibri"/>
        </w:rPr>
        <w:t xml:space="preserve"> </w:t>
      </w:r>
      <w:r w:rsidR="009C1595">
        <w:rPr>
          <w:lang w:eastAsia="lv-LV"/>
        </w:rPr>
        <w:t xml:space="preserve">[pers. BK] </w:t>
      </w:r>
      <w:r w:rsidR="009C1595" w:rsidRPr="009C7A0A">
        <w:rPr>
          <w:lang w:eastAsia="lv-LV"/>
        </w:rPr>
        <w:t xml:space="preserve">un </w:t>
      </w:r>
      <w:r w:rsidR="009C1595">
        <w:rPr>
          <w:lang w:eastAsia="lv-LV"/>
        </w:rPr>
        <w:t>[pers. BL]</w:t>
      </w:r>
      <w:r w:rsidR="009C591A" w:rsidRPr="009C7A0A">
        <w:rPr>
          <w:rFonts w:eastAsia="Calibri"/>
        </w:rPr>
        <w:t xml:space="preserve"> veicamos pienākumus būvniecības procesā regulēja ne tikai būvkonstrukciju projekts, bet arī atbilstoši Latvijas būvniecības normatīvi.</w:t>
      </w:r>
    </w:p>
    <w:p w14:paraId="302FFA05" w14:textId="77777777" w:rsidR="009C591A" w:rsidRPr="009C7A0A" w:rsidRDefault="009C591A" w:rsidP="009C7A0A">
      <w:pPr>
        <w:spacing w:line="276" w:lineRule="auto"/>
        <w:ind w:firstLine="720"/>
        <w:jc w:val="both"/>
      </w:pPr>
      <w:r w:rsidRPr="009C7A0A">
        <w:rPr>
          <w:iCs/>
        </w:rPr>
        <w:t xml:space="preserve">Atbilstoši </w:t>
      </w:r>
      <w:proofErr w:type="spellStart"/>
      <w:r w:rsidRPr="009C7A0A">
        <w:rPr>
          <w:iCs/>
        </w:rPr>
        <w:t>SNiP</w:t>
      </w:r>
      <w:proofErr w:type="spellEnd"/>
      <w:r w:rsidRPr="009C7A0A">
        <w:rPr>
          <w:iCs/>
        </w:rPr>
        <w:t xml:space="preserve"> 3.03.01.-87 </w:t>
      </w:r>
      <w:r w:rsidRPr="009C7A0A">
        <w:rPr>
          <w:iCs/>
          <w:lang w:eastAsia="lv-LV"/>
        </w:rPr>
        <w:t xml:space="preserve">„Nesošās un norobežojošās konstrukcijas” </w:t>
      </w:r>
      <w:r w:rsidRPr="009C7A0A">
        <w:rPr>
          <w:iCs/>
        </w:rPr>
        <w:t>1.2. punktam būvniecības dalībniekiem</w:t>
      </w:r>
      <w:r w:rsidRPr="009C7A0A">
        <w:t xml:space="preserve"> darbi jāveic ne vien atbilstoši būvniecības projektam, bet arī ievērojot būvniecības standartus.</w:t>
      </w:r>
    </w:p>
    <w:p w14:paraId="3B975361" w14:textId="47070C67" w:rsidR="009C591A" w:rsidRPr="009C7A0A" w:rsidRDefault="009C591A" w:rsidP="009C7A0A">
      <w:pPr>
        <w:spacing w:line="276" w:lineRule="auto"/>
        <w:ind w:firstLine="720"/>
        <w:jc w:val="both"/>
        <w:rPr>
          <w:rFonts w:eastAsia="Calibri"/>
          <w:iCs/>
          <w:color w:val="000000" w:themeColor="text1"/>
        </w:rPr>
      </w:pPr>
      <w:r w:rsidRPr="009C7A0A">
        <w:rPr>
          <w:iCs/>
          <w:lang w:eastAsia="lv-LV"/>
        </w:rPr>
        <w:t>Apelācijas instances tiesa</w:t>
      </w:r>
      <w:r w:rsidR="00F56705" w:rsidRPr="009C7A0A">
        <w:rPr>
          <w:iCs/>
          <w:lang w:eastAsia="lv-LV"/>
        </w:rPr>
        <w:t xml:space="preserve">, atsaucoties uz Latvijas Republikas Ekonomikas ministrijas 2011. gada 16. februāra paziņojumu par reglamentētās sfēras būvizstrādājumu standartu saraksta publicēšanu, </w:t>
      </w:r>
      <w:r w:rsidRPr="009C7A0A">
        <w:rPr>
          <w:iCs/>
          <w:lang w:eastAsia="lv-LV"/>
        </w:rPr>
        <w:t>norādījusi, ka no Latvijas standartu saraksta 2011. gada redakcijas secināms, ka tajā nav iekļauts standarts LVS</w:t>
      </w:r>
      <w:r w:rsidR="00001084" w:rsidRPr="009C7A0A">
        <w:rPr>
          <w:iCs/>
          <w:lang w:eastAsia="lv-LV"/>
        </w:rPr>
        <w:t> </w:t>
      </w:r>
      <w:r w:rsidRPr="009C7A0A">
        <w:rPr>
          <w:iCs/>
          <w:lang w:eastAsia="lv-LV"/>
        </w:rPr>
        <w:t>EN</w:t>
      </w:r>
      <w:r w:rsidR="00001084" w:rsidRPr="009C7A0A">
        <w:rPr>
          <w:iCs/>
          <w:lang w:eastAsia="lv-LV"/>
        </w:rPr>
        <w:t> </w:t>
      </w:r>
      <w:r w:rsidRPr="009C7A0A">
        <w:rPr>
          <w:iCs/>
          <w:lang w:eastAsia="lv-LV"/>
        </w:rPr>
        <w:t xml:space="preserve">1090-2:2008, pēc kura tika izgatavotas konstrukcijas objektā „Daudzstāvu dzīvojamā ēka un tirdzniecības centrs, </w:t>
      </w:r>
      <w:r w:rsidR="00094BDB">
        <w:rPr>
          <w:iCs/>
          <w:lang w:eastAsia="lv-LV"/>
        </w:rPr>
        <w:t>[adrese]</w:t>
      </w:r>
      <w:r w:rsidRPr="009C7A0A">
        <w:rPr>
          <w:iCs/>
          <w:lang w:eastAsia="lv-LV"/>
        </w:rPr>
        <w:t>”</w:t>
      </w:r>
      <w:r w:rsidR="00AD26A6" w:rsidRPr="009C7A0A">
        <w:rPr>
          <w:iCs/>
          <w:lang w:eastAsia="lv-LV"/>
        </w:rPr>
        <w:t xml:space="preserve"> (turpmāk arī –  Objekts)</w:t>
      </w:r>
      <w:r w:rsidRPr="009C7A0A">
        <w:rPr>
          <w:iCs/>
          <w:lang w:eastAsia="lv-LV"/>
        </w:rPr>
        <w:t xml:space="preserve">. Tādējādi atbilstoši </w:t>
      </w:r>
      <w:r w:rsidRPr="009C7A0A">
        <w:t>Ministru kabineta 2001. gada 30. aprīļa noteikumiem Nr. 181 „Būvizstrādājumu atbilstības novērtēšanas kārtība reglamentētajā sfērā”</w:t>
      </w:r>
      <w:r w:rsidR="00606F05" w:rsidRPr="009C7A0A">
        <w:t xml:space="preserve"> (</w:t>
      </w:r>
      <w:r w:rsidR="00D06270" w:rsidRPr="009C7A0A">
        <w:t>tiesību akts</w:t>
      </w:r>
      <w:r w:rsidR="00606F05" w:rsidRPr="009C7A0A">
        <w:t xml:space="preserve"> zaudēja spēku 2013. gada 18. septembrī)</w:t>
      </w:r>
      <w:r w:rsidRPr="009C7A0A">
        <w:rPr>
          <w:b/>
          <w:bCs/>
        </w:rPr>
        <w:t xml:space="preserve"> </w:t>
      </w:r>
      <w:r w:rsidRPr="009C7A0A">
        <w:rPr>
          <w:iCs/>
          <w:lang w:eastAsia="lv-LV"/>
        </w:rPr>
        <w:t>kopne nebija uzskatāma par reglamentētās sfēras būvizstrādājumu.</w:t>
      </w:r>
    </w:p>
    <w:p w14:paraId="3766879B" w14:textId="35339F09" w:rsidR="009C591A" w:rsidRPr="009C7A0A" w:rsidRDefault="009C591A" w:rsidP="009C7A0A">
      <w:pPr>
        <w:spacing w:line="276" w:lineRule="auto"/>
        <w:ind w:firstLine="720"/>
        <w:jc w:val="both"/>
        <w:rPr>
          <w:rFonts w:eastAsia="Calibri"/>
          <w:iCs/>
        </w:rPr>
      </w:pPr>
      <w:r w:rsidRPr="009C7A0A">
        <w:rPr>
          <w:rFonts w:eastAsia="Calibri"/>
          <w:iCs/>
        </w:rPr>
        <w:t>Turklāt apelācijas instances tiesa norādījusi, ka iesniegtajos projekta dokumentos (BK daļas rasējumos un K</w:t>
      </w:r>
      <w:r w:rsidR="00DE085E" w:rsidRPr="009C7A0A">
        <w:rPr>
          <w:rFonts w:eastAsia="Calibri"/>
          <w:iCs/>
        </w:rPr>
        <w:t>M</w:t>
      </w:r>
      <w:r w:rsidRPr="009C7A0A">
        <w:rPr>
          <w:rFonts w:eastAsia="Calibri"/>
          <w:iCs/>
        </w:rPr>
        <w:t xml:space="preserve">D), ne arī kādā citā ar būvprojektu saistītajā dokumentā nebija norādīts, ka kopņu savienojuma mezglos jāizmanto speciāli augstas stiprības </w:t>
      </w:r>
      <w:proofErr w:type="spellStart"/>
      <w:r w:rsidRPr="009C7A0A">
        <w:rPr>
          <w:rFonts w:eastAsia="Calibri"/>
          <w:iCs/>
        </w:rPr>
        <w:t>skrūvsavienojumi</w:t>
      </w:r>
      <w:proofErr w:type="spellEnd"/>
      <w:r w:rsidRPr="009C7A0A">
        <w:rPr>
          <w:rFonts w:eastAsia="Calibri"/>
          <w:iCs/>
        </w:rPr>
        <w:t xml:space="preserve"> vai ka metāla kopņu būvniecībā būtu izmantojami standarti ar LVS</w:t>
      </w:r>
      <w:r w:rsidR="00A4693E" w:rsidRPr="009C7A0A">
        <w:rPr>
          <w:rFonts w:eastAsia="Calibri"/>
          <w:iCs/>
        </w:rPr>
        <w:t> </w:t>
      </w:r>
      <w:r w:rsidRPr="009C7A0A">
        <w:rPr>
          <w:rFonts w:eastAsia="Calibri"/>
          <w:iCs/>
        </w:rPr>
        <w:t>EN</w:t>
      </w:r>
      <w:r w:rsidR="00A4693E" w:rsidRPr="009C7A0A">
        <w:rPr>
          <w:rFonts w:eastAsia="Calibri"/>
          <w:iCs/>
        </w:rPr>
        <w:t> </w:t>
      </w:r>
      <w:r w:rsidRPr="009C7A0A">
        <w:rPr>
          <w:rFonts w:eastAsia="Calibri"/>
          <w:iCs/>
        </w:rPr>
        <w:t>15048-1:2007 un LVS</w:t>
      </w:r>
      <w:r w:rsidR="00A4693E" w:rsidRPr="009C7A0A">
        <w:rPr>
          <w:rFonts w:eastAsia="Calibri"/>
          <w:iCs/>
        </w:rPr>
        <w:t> </w:t>
      </w:r>
      <w:r w:rsidRPr="009C7A0A">
        <w:rPr>
          <w:rFonts w:eastAsia="Calibri"/>
          <w:iCs/>
        </w:rPr>
        <w:t>EN</w:t>
      </w:r>
      <w:r w:rsidR="00A4693E" w:rsidRPr="009C7A0A">
        <w:rPr>
          <w:rFonts w:eastAsia="Calibri"/>
          <w:iCs/>
        </w:rPr>
        <w:t> </w:t>
      </w:r>
      <w:r w:rsidRPr="009C7A0A">
        <w:rPr>
          <w:rFonts w:eastAsia="Calibri"/>
          <w:iCs/>
        </w:rPr>
        <w:t>14399-1:2005 marķējumiem.</w:t>
      </w:r>
    </w:p>
    <w:p w14:paraId="3B201430" w14:textId="2FFED53F" w:rsidR="009C591A" w:rsidRPr="009C7A0A" w:rsidRDefault="00F56705" w:rsidP="009C7A0A">
      <w:pPr>
        <w:spacing w:line="276" w:lineRule="auto"/>
        <w:ind w:firstLine="720"/>
        <w:jc w:val="both"/>
        <w:rPr>
          <w:rFonts w:eastAsia="Calibri"/>
          <w:iCs/>
          <w:color w:val="000000" w:themeColor="text1"/>
        </w:rPr>
      </w:pPr>
      <w:r w:rsidRPr="009C7A0A">
        <w:rPr>
          <w:rFonts w:eastAsia="Calibri"/>
          <w:iCs/>
        </w:rPr>
        <w:t>Senāts norāda, ka l</w:t>
      </w:r>
      <w:r w:rsidR="009C591A" w:rsidRPr="009C7A0A">
        <w:rPr>
          <w:rFonts w:eastAsia="Calibri"/>
          <w:iCs/>
        </w:rPr>
        <w:t>ikuma „Par atbilstības novērtēšanu” 1. panta 7. un 9. punktā ir sniegti terminu „nereglamentētā sfēra” un „reglamentētā sfēra” skaidrojumi.</w:t>
      </w:r>
      <w:r w:rsidR="009C591A" w:rsidRPr="009C7A0A">
        <w:rPr>
          <w:rFonts w:eastAsia="Calibri"/>
          <w:iCs/>
          <w:color w:val="000000" w:themeColor="text1"/>
        </w:rPr>
        <w:t xml:space="preserve"> No šiem skaidrojumiem secināms, ka nereglamentētā sfēra ir sfēra, kas nav pakļauta normatīvajos aktos noteiktajai obligātajai produktu, procesu un pakalpojumu atbilstības novērtēšanai. Savukārt reglamentētā sfēra ir sfēra, kas pakļauta normatīvajos aktos noteiktajai obligātajai produktu, procesu vai pakalpojumu atbilstības novērtēšanai.</w:t>
      </w:r>
    </w:p>
    <w:p w14:paraId="58B3374C" w14:textId="0E1DDD31" w:rsidR="009C591A" w:rsidRPr="009C7A0A" w:rsidRDefault="009C591A" w:rsidP="009C7A0A">
      <w:pPr>
        <w:spacing w:line="276" w:lineRule="auto"/>
        <w:ind w:firstLine="720"/>
        <w:jc w:val="both"/>
        <w:rPr>
          <w:iCs/>
          <w:color w:val="000000" w:themeColor="text1"/>
          <w:lang w:eastAsia="lv-LV"/>
        </w:rPr>
      </w:pPr>
      <w:r w:rsidRPr="009C7A0A">
        <w:rPr>
          <w:rFonts w:eastAsia="Calibri"/>
          <w:iCs/>
          <w:color w:val="000000" w:themeColor="text1"/>
        </w:rPr>
        <w:t xml:space="preserve">Tādējādi reglamentētās sfēras produktam izgatavotājs garantē atbilstošu kvalitāti un drošumu, un to regulē speciāli šīm nolūkam pieņemts standarts, par ko atbilstošā ministrija paziņo </w:t>
      </w:r>
      <w:r w:rsidR="006A5E14" w:rsidRPr="009C7A0A">
        <w:rPr>
          <w:rFonts w:eastAsia="Calibri"/>
          <w:iCs/>
          <w:color w:val="000000" w:themeColor="text1"/>
        </w:rPr>
        <w:t>sabiedrības ar ierobežotu atbildību </w:t>
      </w:r>
      <w:r w:rsidRPr="009C7A0A">
        <w:rPr>
          <w:rFonts w:eastAsia="Calibri"/>
          <w:iCs/>
          <w:color w:val="000000" w:themeColor="text1"/>
        </w:rPr>
        <w:t>„Standartizācijas, akreditācijas un metroloģijas centrs”</w:t>
      </w:r>
      <w:r w:rsidR="009466C0" w:rsidRPr="009C7A0A">
        <w:rPr>
          <w:iCs/>
          <w:lang w:eastAsia="lv-LV"/>
        </w:rPr>
        <w:t xml:space="preserve"> Standartizācijas birojam (turpmāk – Standartizācijas birojs)</w:t>
      </w:r>
      <w:r w:rsidRPr="009C7A0A">
        <w:rPr>
          <w:rFonts w:eastAsia="Calibri"/>
          <w:iCs/>
          <w:color w:val="000000" w:themeColor="text1"/>
        </w:rPr>
        <w:t>.</w:t>
      </w:r>
      <w:r w:rsidRPr="009C7A0A">
        <w:rPr>
          <w:iCs/>
          <w:lang w:eastAsia="lv-LV"/>
        </w:rPr>
        <w:t xml:space="preserve"> Taču no minētā neizriet, ka nereglamentējošās sfēras produkti ir ārpus tiesiskā regulējuma un uz tiem nav attiecināmi citi nacionālie standarti, kas iekļauti Standartizācijas biroja</w:t>
      </w:r>
      <w:r w:rsidR="009466C0" w:rsidRPr="009C7A0A">
        <w:rPr>
          <w:iCs/>
          <w:lang w:eastAsia="lv-LV"/>
        </w:rPr>
        <w:t xml:space="preserve"> </w:t>
      </w:r>
      <w:r w:rsidRPr="009C7A0A">
        <w:rPr>
          <w:iCs/>
          <w:lang w:eastAsia="lv-LV"/>
        </w:rPr>
        <w:t>mājaslapā internetā</w:t>
      </w:r>
      <w:r w:rsidR="00A94C7E" w:rsidRPr="009C7A0A">
        <w:rPr>
          <w:iCs/>
          <w:lang w:eastAsia="lv-LV"/>
        </w:rPr>
        <w:t xml:space="preserve"> </w:t>
      </w:r>
      <w:r w:rsidR="00A94C7E" w:rsidRPr="009C7A0A">
        <w:rPr>
          <w:iCs/>
          <w:color w:val="000000" w:themeColor="text1"/>
          <w:lang w:eastAsia="lv-LV"/>
        </w:rPr>
        <w:t>(</w:t>
      </w:r>
      <w:hyperlink r:id="rId13" w:history="1">
        <w:r w:rsidR="00A94C7E" w:rsidRPr="009C7A0A">
          <w:rPr>
            <w:rStyle w:val="Hyperlink"/>
            <w:iCs/>
            <w:color w:val="000000" w:themeColor="text1"/>
            <w:u w:val="none"/>
            <w:lang w:eastAsia="lv-LV"/>
          </w:rPr>
          <w:t>www.lvs.lv</w:t>
        </w:r>
      </w:hyperlink>
      <w:r w:rsidR="00A94C7E" w:rsidRPr="009C7A0A">
        <w:rPr>
          <w:iCs/>
          <w:color w:val="000000" w:themeColor="text1"/>
          <w:lang w:eastAsia="lv-LV"/>
        </w:rPr>
        <w:t>)</w:t>
      </w:r>
      <w:r w:rsidRPr="009C7A0A">
        <w:rPr>
          <w:iCs/>
          <w:color w:val="000000" w:themeColor="text1"/>
          <w:lang w:eastAsia="lv-LV"/>
        </w:rPr>
        <w:t>.</w:t>
      </w:r>
    </w:p>
    <w:p w14:paraId="6E5D51D9" w14:textId="714ED9BA" w:rsidR="009C591A" w:rsidRPr="009C7A0A" w:rsidRDefault="009C591A" w:rsidP="009C7A0A">
      <w:pPr>
        <w:spacing w:line="276" w:lineRule="auto"/>
        <w:ind w:firstLine="720"/>
        <w:jc w:val="both"/>
        <w:rPr>
          <w:iCs/>
          <w:lang w:eastAsia="lv-LV"/>
        </w:rPr>
      </w:pPr>
      <w:r w:rsidRPr="009C7A0A">
        <w:rPr>
          <w:iCs/>
          <w:color w:val="000000" w:themeColor="text1"/>
        </w:rPr>
        <w:t>Lai arī metāla kopne nebija atzīstama par reglamentētas sfēras būvizstrādājumu, apelācijas instances tiesa nav sniegusi motivētu atzinumu,</w:t>
      </w:r>
      <w:r w:rsidRPr="009C7A0A">
        <w:rPr>
          <w:color w:val="000000" w:themeColor="text1"/>
          <w:shd w:val="clear" w:color="auto" w:fill="FFFFFF"/>
        </w:rPr>
        <w:t xml:space="preserve"> </w:t>
      </w:r>
      <w:r w:rsidRPr="009C7A0A">
        <w:rPr>
          <w:iCs/>
          <w:color w:val="000000" w:themeColor="text1"/>
        </w:rPr>
        <w:t xml:space="preserve">kāpēc nesošo konstrukciju savienošanā nav jāievēro </w:t>
      </w:r>
      <w:r w:rsidRPr="009C7A0A">
        <w:rPr>
          <w:rFonts w:eastAsia="Calibri"/>
          <w:color w:val="000000" w:themeColor="text1"/>
        </w:rPr>
        <w:t xml:space="preserve">standarti, kuri publicēti Standartizācijas biroja mājaslapā un uz kuriem bija </w:t>
      </w:r>
      <w:r w:rsidRPr="009C7A0A">
        <w:rPr>
          <w:rFonts w:eastAsia="Calibri"/>
        </w:rPr>
        <w:t xml:space="preserve">atsaukusies valsts apsūdzība, piemēram, standarti </w:t>
      </w:r>
      <w:r w:rsidRPr="009C7A0A">
        <w:rPr>
          <w:iCs/>
          <w:lang w:eastAsia="lv-LV"/>
        </w:rPr>
        <w:t>LVS</w:t>
      </w:r>
      <w:r w:rsidR="00191223" w:rsidRPr="009C7A0A">
        <w:rPr>
          <w:iCs/>
          <w:lang w:eastAsia="lv-LV"/>
        </w:rPr>
        <w:t> </w:t>
      </w:r>
      <w:r w:rsidRPr="009C7A0A">
        <w:rPr>
          <w:iCs/>
          <w:lang w:eastAsia="lv-LV"/>
        </w:rPr>
        <w:t>EN</w:t>
      </w:r>
      <w:r w:rsidR="00191223" w:rsidRPr="009C7A0A">
        <w:rPr>
          <w:iCs/>
          <w:lang w:eastAsia="lv-LV"/>
        </w:rPr>
        <w:t> </w:t>
      </w:r>
      <w:r w:rsidRPr="009C7A0A">
        <w:rPr>
          <w:iCs/>
          <w:lang w:eastAsia="lv-LV"/>
        </w:rPr>
        <w:t>14399-1:2005 „</w:t>
      </w:r>
      <w:r w:rsidRPr="009C7A0A">
        <w:t xml:space="preserve">Augstas stiprības </w:t>
      </w:r>
      <w:proofErr w:type="spellStart"/>
      <w:r w:rsidRPr="009C7A0A">
        <w:t>skrūvsavienojumu</w:t>
      </w:r>
      <w:proofErr w:type="spellEnd"/>
      <w:r w:rsidRPr="009C7A0A">
        <w:t xml:space="preserve"> elementu komplekti metāla konstrukciju iepriekšējai savilkšanai - 1. daļa: Vispārīgās prasības”</w:t>
      </w:r>
      <w:r w:rsidRPr="009C7A0A">
        <w:rPr>
          <w:iCs/>
          <w:lang w:eastAsia="lv-LV"/>
        </w:rPr>
        <w:t xml:space="preserve"> (spēkā no 2005. gada 26. jūlija līdz 2015. gada 18. jūnijam) un metāla kopņu pasē norādītie standarti, </w:t>
      </w:r>
      <w:r w:rsidR="000A7510" w:rsidRPr="009C7A0A">
        <w:rPr>
          <w:iCs/>
          <w:lang w:eastAsia="lv-LV"/>
        </w:rPr>
        <w:t xml:space="preserve">tai </w:t>
      </w:r>
      <w:r w:rsidRPr="009C7A0A">
        <w:rPr>
          <w:iCs/>
          <w:lang w:eastAsia="lv-LV"/>
        </w:rPr>
        <w:t>skaitā standarts</w:t>
      </w:r>
      <w:r w:rsidRPr="009C7A0A">
        <w:t xml:space="preserve"> </w:t>
      </w:r>
      <w:r w:rsidRPr="009C7A0A">
        <w:rPr>
          <w:iCs/>
          <w:lang w:eastAsia="lv-LV"/>
        </w:rPr>
        <w:t>LVS</w:t>
      </w:r>
      <w:r w:rsidR="00191223" w:rsidRPr="009C7A0A">
        <w:rPr>
          <w:iCs/>
          <w:lang w:eastAsia="lv-LV"/>
        </w:rPr>
        <w:t> </w:t>
      </w:r>
      <w:r w:rsidRPr="009C7A0A">
        <w:rPr>
          <w:iCs/>
          <w:lang w:eastAsia="lv-LV"/>
        </w:rPr>
        <w:t>EN</w:t>
      </w:r>
      <w:r w:rsidR="00191223" w:rsidRPr="009C7A0A">
        <w:rPr>
          <w:iCs/>
          <w:lang w:eastAsia="lv-LV"/>
        </w:rPr>
        <w:t> </w:t>
      </w:r>
      <w:r w:rsidRPr="009C7A0A">
        <w:rPr>
          <w:iCs/>
          <w:lang w:eastAsia="lv-LV"/>
        </w:rPr>
        <w:t>1090-2:2008 „Tērauda konstrukciju un alumīnija konstrukciju izgatavošana. 2. daļa: Tehniskās prasības tērauda konstrukcijām”</w:t>
      </w:r>
      <w:r w:rsidR="00507320">
        <w:rPr>
          <w:iCs/>
          <w:lang w:eastAsia="lv-LV"/>
        </w:rPr>
        <w:t xml:space="preserve"> </w:t>
      </w:r>
      <w:r w:rsidRPr="009C7A0A">
        <w:rPr>
          <w:iCs/>
          <w:lang w:eastAsia="lv-LV"/>
        </w:rPr>
        <w:t>(spēkā līdz 2011. gada 15. decembrim).</w:t>
      </w:r>
    </w:p>
    <w:p w14:paraId="0D19D99C" w14:textId="22AA9A11" w:rsidR="009C591A" w:rsidRPr="009C7A0A" w:rsidRDefault="006F794B" w:rsidP="009C7A0A">
      <w:pPr>
        <w:spacing w:line="276" w:lineRule="auto"/>
        <w:ind w:firstLine="720"/>
        <w:jc w:val="both"/>
        <w:rPr>
          <w:rFonts w:eastAsia="Calibri"/>
        </w:rPr>
      </w:pPr>
      <w:r w:rsidRPr="009C7A0A">
        <w:rPr>
          <w:rFonts w:eastAsia="Calibri"/>
        </w:rPr>
        <w:t>Senāts atzīst, ka a</w:t>
      </w:r>
      <w:r w:rsidR="009C591A" w:rsidRPr="009C7A0A">
        <w:rPr>
          <w:rFonts w:eastAsia="Calibri"/>
        </w:rPr>
        <w:t xml:space="preserve">pelācijas instances tiesa nav motivēti noraidījusi </w:t>
      </w:r>
      <w:r w:rsidRPr="009C7A0A">
        <w:rPr>
          <w:rFonts w:eastAsia="Calibri"/>
        </w:rPr>
        <w:t xml:space="preserve">turpmāk izklāstītos </w:t>
      </w:r>
      <w:r w:rsidR="009C591A" w:rsidRPr="009C7A0A">
        <w:rPr>
          <w:rFonts w:eastAsia="Calibri"/>
        </w:rPr>
        <w:t>pierādījumus, ar kuriem tika pamatota apsūdzība.</w:t>
      </w:r>
    </w:p>
    <w:p w14:paraId="2E4432BD" w14:textId="3C0A95DA" w:rsidR="009466C0" w:rsidRPr="009C7A0A" w:rsidRDefault="009C591A" w:rsidP="009C7A0A">
      <w:pPr>
        <w:spacing w:line="276" w:lineRule="auto"/>
        <w:ind w:firstLine="720"/>
        <w:jc w:val="both"/>
        <w:rPr>
          <w:rFonts w:eastAsia="Calibri"/>
        </w:rPr>
      </w:pPr>
      <w:r w:rsidRPr="009C7A0A">
        <w:rPr>
          <w:iCs/>
          <w:color w:val="000000" w:themeColor="text1"/>
        </w:rPr>
        <w:lastRenderedPageBreak/>
        <w:t xml:space="preserve">No </w:t>
      </w:r>
      <w:r w:rsidRPr="009C7A0A">
        <w:rPr>
          <w:rFonts w:eastAsia="Calibri"/>
        </w:rPr>
        <w:t xml:space="preserve">Patērētāju tiesību aizsardzības centra 2015. gada 5. janvāra atzinuma Nr. 4.2.- 2/20 un liecinieces </w:t>
      </w:r>
      <w:r w:rsidR="00581CFA">
        <w:rPr>
          <w:rFonts w:eastAsia="Calibri"/>
        </w:rPr>
        <w:t>[pers. LF]</w:t>
      </w:r>
      <w:r w:rsidRPr="009C7A0A">
        <w:rPr>
          <w:rFonts w:eastAsia="Calibri"/>
        </w:rPr>
        <w:t xml:space="preserve"> liecībām secināms, ka Standartizācijas biroja mājaslapā</w:t>
      </w:r>
      <w:r w:rsidR="009466C0" w:rsidRPr="009C7A0A">
        <w:rPr>
          <w:rFonts w:eastAsia="Calibri"/>
        </w:rPr>
        <w:t xml:space="preserve"> ir publicēti</w:t>
      </w:r>
      <w:r w:rsidR="009466C0" w:rsidRPr="009C7A0A">
        <w:rPr>
          <w:iCs/>
          <w:lang w:eastAsia="lv-LV"/>
        </w:rPr>
        <w:t xml:space="preserve"> </w:t>
      </w:r>
      <w:r w:rsidR="000B78AB" w:rsidRPr="009C7A0A">
        <w:rPr>
          <w:rFonts w:eastAsia="Calibri"/>
        </w:rPr>
        <w:t xml:space="preserve">slodzi nesošo metāla konstrukciju savienošanai šādi </w:t>
      </w:r>
      <w:r w:rsidR="009466C0" w:rsidRPr="009C7A0A">
        <w:rPr>
          <w:iCs/>
          <w:lang w:eastAsia="lv-LV"/>
        </w:rPr>
        <w:t>standarti</w:t>
      </w:r>
      <w:r w:rsidRPr="009C7A0A">
        <w:rPr>
          <w:rFonts w:eastAsia="Calibri"/>
        </w:rPr>
        <w:t xml:space="preserve">: </w:t>
      </w:r>
    </w:p>
    <w:p w14:paraId="4FD99AF3" w14:textId="480C32E6" w:rsidR="000B78AB" w:rsidRPr="009C7A0A" w:rsidRDefault="009C591A" w:rsidP="009C7A0A">
      <w:pPr>
        <w:spacing w:line="276" w:lineRule="auto"/>
        <w:ind w:firstLine="720"/>
        <w:jc w:val="both"/>
        <w:rPr>
          <w:rFonts w:eastAsia="Calibri"/>
        </w:rPr>
      </w:pPr>
      <w:r w:rsidRPr="009C7A0A">
        <w:rPr>
          <w:rFonts w:eastAsia="Calibri"/>
        </w:rPr>
        <w:t>1) LVS EN 15048</w:t>
      </w:r>
      <w:r w:rsidRPr="009C7A0A">
        <w:noBreakHyphen/>
      </w:r>
      <w:r w:rsidRPr="009C7A0A">
        <w:rPr>
          <w:rFonts w:eastAsia="Calibri"/>
        </w:rPr>
        <w:t>1:2007 „Saskrūvējumi ar iepriekš neslogotām bultskrūvēm. 1. daļa: Vispārīgās prasības” (turpmāk arī – EN</w:t>
      </w:r>
      <w:r w:rsidR="00117C5D" w:rsidRPr="009C7A0A">
        <w:rPr>
          <w:rFonts w:eastAsia="Calibri"/>
        </w:rPr>
        <w:t> </w:t>
      </w:r>
      <w:r w:rsidRPr="009C7A0A">
        <w:rPr>
          <w:rFonts w:eastAsia="Calibri"/>
        </w:rPr>
        <w:t>15048</w:t>
      </w:r>
      <w:r w:rsidRPr="009C7A0A">
        <w:noBreakHyphen/>
      </w:r>
      <w:r w:rsidRPr="009C7A0A">
        <w:rPr>
          <w:rFonts w:eastAsia="Calibri"/>
        </w:rPr>
        <w:t xml:space="preserve">1); </w:t>
      </w:r>
    </w:p>
    <w:p w14:paraId="33BDFF2D" w14:textId="17098F1A" w:rsidR="009C591A" w:rsidRPr="009C7A0A" w:rsidRDefault="009C591A" w:rsidP="009C7A0A">
      <w:pPr>
        <w:spacing w:line="276" w:lineRule="auto"/>
        <w:ind w:firstLine="720"/>
        <w:jc w:val="both"/>
        <w:rPr>
          <w:rFonts w:eastAsia="Calibri"/>
        </w:rPr>
      </w:pPr>
      <w:r w:rsidRPr="009C7A0A">
        <w:rPr>
          <w:rFonts w:eastAsia="Calibri"/>
        </w:rPr>
        <w:t>2) LVS EN 14399</w:t>
      </w:r>
      <w:r w:rsidRPr="009C7A0A">
        <w:noBreakHyphen/>
      </w:r>
      <w:r w:rsidRPr="009C7A0A">
        <w:rPr>
          <w:rFonts w:eastAsia="Calibri"/>
        </w:rPr>
        <w:t xml:space="preserve">1:2005 „Augstas stiprības </w:t>
      </w:r>
      <w:proofErr w:type="spellStart"/>
      <w:r w:rsidRPr="009C7A0A">
        <w:rPr>
          <w:rFonts w:eastAsia="Calibri"/>
        </w:rPr>
        <w:t>skrūvsavienojumu</w:t>
      </w:r>
      <w:proofErr w:type="spellEnd"/>
      <w:r w:rsidRPr="009C7A0A">
        <w:rPr>
          <w:rFonts w:eastAsia="Calibri"/>
        </w:rPr>
        <w:t xml:space="preserve"> elementu komplekti metāla konstrukciju iepriekšējai savilkšanai – 1. daļa: Vispārīgās prasības” (turpmāk arī – EN</w:t>
      </w:r>
      <w:r w:rsidR="00117C5D" w:rsidRPr="009C7A0A">
        <w:rPr>
          <w:rFonts w:eastAsia="Calibri"/>
        </w:rPr>
        <w:t> </w:t>
      </w:r>
      <w:r w:rsidRPr="009C7A0A">
        <w:rPr>
          <w:rFonts w:eastAsia="Calibri"/>
        </w:rPr>
        <w:t>14399</w:t>
      </w:r>
      <w:r w:rsidRPr="009C7A0A">
        <w:noBreakHyphen/>
      </w:r>
      <w:r w:rsidRPr="009C7A0A">
        <w:rPr>
          <w:rFonts w:eastAsia="Calibri"/>
        </w:rPr>
        <w:t>1).</w:t>
      </w:r>
    </w:p>
    <w:p w14:paraId="01494592" w14:textId="15A33908" w:rsidR="009C591A" w:rsidRPr="009C7A0A" w:rsidRDefault="000B78AB" w:rsidP="009C7A0A">
      <w:pPr>
        <w:spacing w:line="276" w:lineRule="auto"/>
        <w:ind w:firstLine="720"/>
        <w:jc w:val="both"/>
        <w:rPr>
          <w:iCs/>
          <w:lang w:eastAsia="lv-LV"/>
        </w:rPr>
      </w:pPr>
      <w:r w:rsidRPr="009C7A0A">
        <w:rPr>
          <w:iCs/>
          <w:lang w:eastAsia="lv-LV"/>
        </w:rPr>
        <w:t xml:space="preserve">Savukārt </w:t>
      </w:r>
      <w:r w:rsidR="009C591A" w:rsidRPr="009C7A0A">
        <w:rPr>
          <w:iCs/>
          <w:lang w:eastAsia="lv-LV"/>
        </w:rPr>
        <w:t>LVS EN 1090-2:2008 „Tērauda konstrukciju un alumīnija konstrukciju izgatavošana</w:t>
      </w:r>
      <w:r w:rsidRPr="009C7A0A">
        <w:t xml:space="preserve"> </w:t>
      </w:r>
      <w:r w:rsidR="009C591A" w:rsidRPr="009C7A0A">
        <w:rPr>
          <w:iCs/>
          <w:lang w:eastAsia="lv-LV"/>
        </w:rPr>
        <w:t>2. daļa: Tehniskās prasības tērauda konstrukcijām” 5.6.3. punkts noteic</w:t>
      </w:r>
      <w:r w:rsidRPr="009C7A0A">
        <w:rPr>
          <w:iCs/>
          <w:lang w:eastAsia="lv-LV"/>
        </w:rPr>
        <w:t>a</w:t>
      </w:r>
      <w:r w:rsidR="009C591A" w:rsidRPr="009C7A0A">
        <w:rPr>
          <w:iCs/>
          <w:lang w:eastAsia="lv-LV"/>
        </w:rPr>
        <w:t>, ka skrūvēto savienojumu vietās jāizmanto bultskrūvju komplekti, kas atbilst EN 15048-1 vai EN 14399-1.</w:t>
      </w:r>
    </w:p>
    <w:p w14:paraId="72FE94F4" w14:textId="75EA6FA2" w:rsidR="009C591A" w:rsidRPr="009C7A0A" w:rsidRDefault="009C591A" w:rsidP="009C7A0A">
      <w:pPr>
        <w:spacing w:line="276" w:lineRule="auto"/>
        <w:ind w:firstLine="720"/>
        <w:jc w:val="both"/>
        <w:rPr>
          <w:color w:val="000000" w:themeColor="text1"/>
        </w:rPr>
      </w:pPr>
      <w:r w:rsidRPr="009C7A0A">
        <w:rPr>
          <w:rFonts w:eastAsia="Calibri"/>
        </w:rPr>
        <w:t>Patērētāju tiesību aizsardzības centrs konstatēja, ka iesniegtajām bultskrūvēm ir marķējums „TBF” un stiprības klase „8.8.”, uzgriežņiem marķējums – „S” un „8”, bet nav attiecīgā marķējuma „SB” vai „HV”, vai „HR”</w:t>
      </w:r>
      <w:r w:rsidR="00515097" w:rsidRPr="009C7A0A">
        <w:rPr>
          <w:rFonts w:eastAsia="Calibri"/>
        </w:rPr>
        <w:t>,</w:t>
      </w:r>
      <w:r w:rsidRPr="009C7A0A">
        <w:rPr>
          <w:rFonts w:eastAsia="Calibri"/>
        </w:rPr>
        <w:t xml:space="preserve"> kā noteikts standartā EN 15048-1 vai EN 14399-1. Secināts, ka iesniegtās bultskrūves un uzgriežņi nav nodrošināti ar standartos noteikto marķējumu, līdz ar to ražotājs tos nav paredzējis izmantošanai slodzi nesošo metāla konstrukciju savienošanai (</w:t>
      </w:r>
      <w:r w:rsidR="00DE085E" w:rsidRPr="009C7A0A">
        <w:rPr>
          <w:rFonts w:eastAsia="Calibri"/>
          <w:i/>
          <w:iCs/>
        </w:rPr>
        <w:t xml:space="preserve">lietas </w:t>
      </w:r>
      <w:r w:rsidRPr="009C7A0A">
        <w:rPr>
          <w:rFonts w:eastAsia="Calibri"/>
          <w:i/>
        </w:rPr>
        <w:t>11. sējum</w:t>
      </w:r>
      <w:r w:rsidR="00DE085E" w:rsidRPr="009C7A0A">
        <w:rPr>
          <w:rFonts w:eastAsia="Calibri"/>
          <w:i/>
        </w:rPr>
        <w:t>a</w:t>
      </w:r>
      <w:r w:rsidRPr="009C7A0A">
        <w:rPr>
          <w:rFonts w:eastAsia="Calibri"/>
          <w:i/>
        </w:rPr>
        <w:t xml:space="preserve"> 91.</w:t>
      </w:r>
      <w:r w:rsidRPr="009C7A0A">
        <w:t>–</w:t>
      </w:r>
      <w:r w:rsidRPr="009C7A0A">
        <w:rPr>
          <w:rFonts w:eastAsia="Calibri"/>
          <w:i/>
        </w:rPr>
        <w:t>93. lapa</w:t>
      </w:r>
      <w:r w:rsidRPr="009C7A0A">
        <w:rPr>
          <w:rFonts w:eastAsia="Calibri"/>
        </w:rPr>
        <w:t>).</w:t>
      </w:r>
    </w:p>
    <w:p w14:paraId="2BA54735" w14:textId="511465D9" w:rsidR="009C591A" w:rsidRPr="009C7A0A" w:rsidRDefault="009C591A" w:rsidP="009C7A0A">
      <w:pPr>
        <w:spacing w:line="276" w:lineRule="auto"/>
        <w:ind w:firstLine="720"/>
        <w:jc w:val="both"/>
        <w:rPr>
          <w:rFonts w:eastAsia="Calibri"/>
        </w:rPr>
      </w:pPr>
      <w:r w:rsidRPr="009C7A0A">
        <w:rPr>
          <w:rFonts w:eastAsia="Calibri"/>
        </w:rPr>
        <w:t>[</w:t>
      </w:r>
      <w:r w:rsidR="00EA01F9" w:rsidRPr="009C7A0A">
        <w:rPr>
          <w:rFonts w:eastAsia="Calibri"/>
        </w:rPr>
        <w:t>17</w:t>
      </w:r>
      <w:r w:rsidRPr="009C7A0A">
        <w:rPr>
          <w:rFonts w:eastAsia="Calibri"/>
        </w:rPr>
        <w:t xml:space="preserve">.3.2] Senāts pievienojas prokurora kasācijas protestā norādītajam argumentam, ka </w:t>
      </w:r>
      <w:r w:rsidRPr="009C7A0A">
        <w:t xml:space="preserve">projekta detalizācija nesaturēja pilnīgu kopņu </w:t>
      </w:r>
      <w:proofErr w:type="spellStart"/>
      <w:r w:rsidRPr="009C7A0A">
        <w:t>apakšjoslas</w:t>
      </w:r>
      <w:proofErr w:type="spellEnd"/>
      <w:r w:rsidRPr="009C7A0A">
        <w:t xml:space="preserve"> montāžas mezgla izpildījumu ar tajā izmantotajām skrūvēm un citām savienojuma detaļām, </w:t>
      </w:r>
      <w:r w:rsidR="00334743" w:rsidRPr="009C7A0A">
        <w:t>līdz ar to</w:t>
      </w:r>
      <w:r w:rsidRPr="009C7A0A">
        <w:t xml:space="preserve"> nebija saprotams</w:t>
      </w:r>
      <w:r w:rsidR="00334743" w:rsidRPr="009C7A0A">
        <w:t xml:space="preserve"> tas</w:t>
      </w:r>
      <w:r w:rsidRPr="009C7A0A">
        <w:t xml:space="preserve">, kādas stiprības skrūves ir izmantojamas, un tas, vai montāžas darbi veicami ar kontrolētu </w:t>
      </w:r>
      <w:proofErr w:type="spellStart"/>
      <w:r w:rsidRPr="009C7A0A">
        <w:t>bulstskrūvju</w:t>
      </w:r>
      <w:proofErr w:type="spellEnd"/>
      <w:r w:rsidRPr="009C7A0A">
        <w:t xml:space="preserve"> </w:t>
      </w:r>
      <w:proofErr w:type="spellStart"/>
      <w:r w:rsidRPr="009C7A0A">
        <w:t>nospriegumu</w:t>
      </w:r>
      <w:proofErr w:type="spellEnd"/>
      <w:r w:rsidRPr="009C7A0A">
        <w:t xml:space="preserve"> vai bez tā.</w:t>
      </w:r>
    </w:p>
    <w:p w14:paraId="7EA9974A" w14:textId="79B60345" w:rsidR="009C591A" w:rsidRPr="009C7A0A" w:rsidRDefault="009C591A" w:rsidP="009C7A0A">
      <w:pPr>
        <w:spacing w:line="276" w:lineRule="auto"/>
        <w:ind w:firstLine="720"/>
        <w:jc w:val="both"/>
      </w:pPr>
      <w:r w:rsidRPr="009C7A0A">
        <w:t>Apelācijas instances tiesa atzinumu pamatojusi ar kompleksās būvniecības ekspertīzes ekspertu atzinum</w:t>
      </w:r>
      <w:r w:rsidR="00334743" w:rsidRPr="009C7A0A">
        <w:t>ā</w:t>
      </w:r>
      <w:r w:rsidRPr="009C7A0A">
        <w:t>, nozīmīgu konstrukciju pieņemšanas akt</w:t>
      </w:r>
      <w:r w:rsidR="00334743" w:rsidRPr="009C7A0A">
        <w:t>ā</w:t>
      </w:r>
      <w:r w:rsidRPr="009C7A0A">
        <w:t xml:space="preserve">, </w:t>
      </w:r>
      <w:r w:rsidRPr="009C7A0A">
        <w:rPr>
          <w:bCs/>
          <w:color w:val="000000"/>
        </w:rPr>
        <w:t>SIA „</w:t>
      </w:r>
      <w:r w:rsidR="00581CFA">
        <w:rPr>
          <w:bCs/>
          <w:color w:val="000000"/>
        </w:rPr>
        <w:t>[Nosaukums F]</w:t>
      </w:r>
      <w:r w:rsidRPr="009C7A0A">
        <w:rPr>
          <w:bCs/>
          <w:color w:val="000000"/>
        </w:rPr>
        <w:t>”</w:t>
      </w:r>
      <w:r w:rsidRPr="009C7A0A">
        <w:t xml:space="preserve"> izstrādāt</w:t>
      </w:r>
      <w:r w:rsidR="00334743" w:rsidRPr="009C7A0A">
        <w:t>ajā</w:t>
      </w:r>
      <w:r w:rsidRPr="009C7A0A">
        <w:t xml:space="preserve"> detalizēt</w:t>
      </w:r>
      <w:r w:rsidR="00334743" w:rsidRPr="009C7A0A">
        <w:t>ajā</w:t>
      </w:r>
      <w:r w:rsidRPr="009C7A0A">
        <w:t xml:space="preserve"> rasējum</w:t>
      </w:r>
      <w:r w:rsidR="00334743" w:rsidRPr="009C7A0A">
        <w:t>ā</w:t>
      </w:r>
      <w:r w:rsidRPr="009C7A0A">
        <w:t xml:space="preserve"> KMD, rasējuma BK-03-13.5 „Kopne MK-1” risinājum</w:t>
      </w:r>
      <w:r w:rsidR="00334743" w:rsidRPr="009C7A0A">
        <w:t>ā ietvertajām ziņām</w:t>
      </w:r>
      <w:r w:rsidRPr="009C7A0A">
        <w:t xml:space="preserve">, kā </w:t>
      </w:r>
      <w:r w:rsidR="00F848A0" w:rsidRPr="009C7A0A">
        <w:t>arī ekspertu</w:t>
      </w:r>
      <w:r w:rsidRPr="009C7A0A">
        <w:t xml:space="preserve"> </w:t>
      </w:r>
      <w:r w:rsidR="00F419B9">
        <w:t>[pers. LG]</w:t>
      </w:r>
      <w:r w:rsidRPr="009C7A0A">
        <w:t xml:space="preserve">, </w:t>
      </w:r>
      <w:r w:rsidR="00F419B9">
        <w:t>[pers. MD]</w:t>
      </w:r>
      <w:r w:rsidRPr="009C7A0A">
        <w:t xml:space="preserve"> un </w:t>
      </w:r>
      <w:r w:rsidR="00F419B9">
        <w:t>[pers. MC]</w:t>
      </w:r>
      <w:r w:rsidRPr="009C7A0A">
        <w:t xml:space="preserve"> liecībām, un norādījusi, ka projekta dokumentācija saturēja pietiek</w:t>
      </w:r>
      <w:r w:rsidR="00515097" w:rsidRPr="009C7A0A">
        <w:t>am</w:t>
      </w:r>
      <w:r w:rsidRPr="009C7A0A">
        <w:t xml:space="preserve">as ziņas, lai varētu izdarīt secinājumu, ka kopnes stiprināmas ar 20 mm bultskrūvēm DIN 931 un to stiprības klase ir </w:t>
      </w:r>
      <w:r w:rsidR="00DE085E" w:rsidRPr="009C7A0A">
        <w:t>„</w:t>
      </w:r>
      <w:r w:rsidRPr="009C7A0A">
        <w:t>8.8</w:t>
      </w:r>
      <w:r w:rsidR="00DE085E" w:rsidRPr="009C7A0A">
        <w:t>”.</w:t>
      </w:r>
    </w:p>
    <w:p w14:paraId="4B1DE652" w14:textId="77777777" w:rsidR="009C591A" w:rsidRPr="009C7A0A" w:rsidRDefault="009C591A" w:rsidP="009C7A0A">
      <w:pPr>
        <w:spacing w:line="276" w:lineRule="auto"/>
        <w:ind w:firstLine="720"/>
        <w:jc w:val="both"/>
      </w:pPr>
      <w:r w:rsidRPr="009C7A0A">
        <w:t xml:space="preserve">Tāpat apelācijas instances tiesa norādījusi, ka lēmumu par kontrolētu nospriegojumu skrūvēm pieņem būvkonstrukciju sadaļas izstrādātājs. Ja projektā nav atzīmes, ka jābūt kontrolētam nospriegojumam, tad konstrukciju montāžā nav piemērojams </w:t>
      </w:r>
      <w:proofErr w:type="spellStart"/>
      <w:r w:rsidRPr="009C7A0A">
        <w:t>SNiP</w:t>
      </w:r>
      <w:proofErr w:type="spellEnd"/>
      <w:r w:rsidRPr="009C7A0A">
        <w:t xml:space="preserve"> 3.03.01.-87 „Nesošās un norobežojošās konstrukcijas” 4.36. punkts.</w:t>
      </w:r>
    </w:p>
    <w:p w14:paraId="5519BC1E" w14:textId="195AE0D7" w:rsidR="009C591A" w:rsidRPr="009C7A0A" w:rsidRDefault="009C591A" w:rsidP="009C7A0A">
      <w:pPr>
        <w:spacing w:line="276" w:lineRule="auto"/>
        <w:ind w:firstLine="720"/>
        <w:jc w:val="both"/>
        <w:rPr>
          <w:iCs/>
        </w:rPr>
      </w:pPr>
      <w:r w:rsidRPr="009C7A0A">
        <w:rPr>
          <w:lang w:eastAsia="lv-LV"/>
        </w:rPr>
        <w:t xml:space="preserve">Šādu secinājumu tiesa pamatojusi ar ekspertu </w:t>
      </w:r>
      <w:r w:rsidR="00AD3E82">
        <w:rPr>
          <w:lang w:eastAsia="lv-LV"/>
        </w:rPr>
        <w:t>[pers. LG]</w:t>
      </w:r>
      <w:r w:rsidRPr="009C7A0A">
        <w:rPr>
          <w:lang w:eastAsia="lv-LV"/>
        </w:rPr>
        <w:t xml:space="preserve">, </w:t>
      </w:r>
      <w:r w:rsidR="00AD3E82">
        <w:rPr>
          <w:lang w:eastAsia="lv-LV"/>
        </w:rPr>
        <w:t>[pers. MD]</w:t>
      </w:r>
      <w:r w:rsidRPr="009C7A0A">
        <w:rPr>
          <w:lang w:eastAsia="lv-LV"/>
        </w:rPr>
        <w:t xml:space="preserve">, </w:t>
      </w:r>
      <w:r w:rsidR="00AD3E82">
        <w:rPr>
          <w:lang w:eastAsia="lv-LV"/>
        </w:rPr>
        <w:t>[pers. MC]</w:t>
      </w:r>
      <w:r w:rsidRPr="009C7A0A">
        <w:rPr>
          <w:lang w:eastAsia="lv-LV"/>
        </w:rPr>
        <w:t xml:space="preserve"> un </w:t>
      </w:r>
      <w:r w:rsidR="00AD3E82">
        <w:rPr>
          <w:lang w:eastAsia="lv-LV"/>
        </w:rPr>
        <w:t>[pers. LE]</w:t>
      </w:r>
      <w:r w:rsidRPr="009C7A0A">
        <w:rPr>
          <w:lang w:eastAsia="lv-LV"/>
        </w:rPr>
        <w:t xml:space="preserve"> liecībām, no kurām secināms, ka</w:t>
      </w:r>
      <w:r w:rsidRPr="009C7A0A">
        <w:rPr>
          <w:iCs/>
          <w:lang w:eastAsia="lv-LV"/>
        </w:rPr>
        <w:t xml:space="preserve"> </w:t>
      </w:r>
      <w:proofErr w:type="spellStart"/>
      <w:r w:rsidRPr="009C7A0A">
        <w:rPr>
          <w:iCs/>
          <w:lang w:eastAsia="lv-LV"/>
        </w:rPr>
        <w:t>SNiP</w:t>
      </w:r>
      <w:proofErr w:type="spellEnd"/>
      <w:r w:rsidRPr="009C7A0A">
        <w:rPr>
          <w:iCs/>
          <w:lang w:eastAsia="lv-LV"/>
        </w:rPr>
        <w:t xml:space="preserve"> 3.03.01.-87 „Nesošās un norobežojošās konstrukcijas” normatīva 4.36. punkts attiecas uz bultskrūvēm (</w:t>
      </w:r>
      <w:proofErr w:type="spellStart"/>
      <w:r w:rsidRPr="009C7A0A">
        <w:rPr>
          <w:iCs/>
          <w:lang w:eastAsia="lv-LV"/>
        </w:rPr>
        <w:t>skrūvsavienojumiem</w:t>
      </w:r>
      <w:proofErr w:type="spellEnd"/>
      <w:r w:rsidRPr="009C7A0A">
        <w:rPr>
          <w:iCs/>
          <w:lang w:eastAsia="lv-LV"/>
        </w:rPr>
        <w:t xml:space="preserve">) ar kontrolētu nospriegojumu. Lai pielietotu </w:t>
      </w:r>
      <w:proofErr w:type="spellStart"/>
      <w:r w:rsidRPr="009C7A0A">
        <w:rPr>
          <w:iCs/>
          <w:lang w:eastAsia="lv-LV"/>
        </w:rPr>
        <w:t>skrūvsavienojumiem</w:t>
      </w:r>
      <w:proofErr w:type="spellEnd"/>
      <w:r w:rsidRPr="009C7A0A">
        <w:rPr>
          <w:iCs/>
          <w:lang w:eastAsia="lv-LV"/>
        </w:rPr>
        <w:t xml:space="preserve"> kontrolētu nospriegojumu, tam obligāti jābūt norādītam būvkonstrukciju projektā. Būvkonstrukciju projekta rasējumā MK-1 un paskaidrojuma rakstā nebija norādes par kontrolētu </w:t>
      </w:r>
      <w:proofErr w:type="spellStart"/>
      <w:r w:rsidRPr="009C7A0A">
        <w:rPr>
          <w:iCs/>
          <w:lang w:eastAsia="lv-LV"/>
        </w:rPr>
        <w:t>skrūvsavienojumu</w:t>
      </w:r>
      <w:proofErr w:type="spellEnd"/>
      <w:r w:rsidRPr="009C7A0A">
        <w:rPr>
          <w:iCs/>
          <w:lang w:eastAsia="lv-LV"/>
        </w:rPr>
        <w:t xml:space="preserve"> nospriegojumu.</w:t>
      </w:r>
    </w:p>
    <w:p w14:paraId="5752AD0E" w14:textId="1EA30F6B" w:rsidR="009C591A" w:rsidRPr="009C7A0A" w:rsidRDefault="009C591A" w:rsidP="009C7A0A">
      <w:pPr>
        <w:spacing w:line="276" w:lineRule="auto"/>
        <w:ind w:firstLine="720"/>
        <w:jc w:val="both"/>
        <w:rPr>
          <w:iCs/>
        </w:rPr>
      </w:pPr>
      <w:r w:rsidRPr="009C7A0A">
        <w:rPr>
          <w:iCs/>
        </w:rPr>
        <w:t xml:space="preserve">Tādējādi veiktā </w:t>
      </w:r>
      <w:r w:rsidR="00DF5C99" w:rsidRPr="009C7A0A">
        <w:rPr>
          <w:iCs/>
        </w:rPr>
        <w:t xml:space="preserve">kopņu </w:t>
      </w:r>
      <w:r w:rsidRPr="009C7A0A">
        <w:rPr>
          <w:iCs/>
        </w:rPr>
        <w:t xml:space="preserve">montāža, neizmantojot kontrolēto </w:t>
      </w:r>
      <w:proofErr w:type="spellStart"/>
      <w:r w:rsidRPr="009C7A0A">
        <w:rPr>
          <w:iCs/>
        </w:rPr>
        <w:t>skrūvsavienojumu</w:t>
      </w:r>
      <w:proofErr w:type="spellEnd"/>
      <w:r w:rsidRPr="009C7A0A">
        <w:rPr>
          <w:iCs/>
        </w:rPr>
        <w:t xml:space="preserve"> nospriegojumu, atbilda paskaidrojuma raksta 17. punkta prasībai.</w:t>
      </w:r>
    </w:p>
    <w:p w14:paraId="19C5C9FB" w14:textId="77777777" w:rsidR="009C591A" w:rsidRPr="009C7A0A" w:rsidRDefault="009C591A" w:rsidP="009C7A0A">
      <w:pPr>
        <w:spacing w:line="276" w:lineRule="auto"/>
        <w:ind w:firstLine="720"/>
        <w:jc w:val="both"/>
        <w:rPr>
          <w:iCs/>
        </w:rPr>
      </w:pPr>
      <w:r w:rsidRPr="009C7A0A">
        <w:rPr>
          <w:iCs/>
        </w:rPr>
        <w:t>Senāts atzīst, ka apelācijas instances tiesa iegūtās ziņas par faktiem nav vērtējusi kopsakarā ar normatīvajiem tiesību aktiem, kas noteic montāžas darbus.</w:t>
      </w:r>
    </w:p>
    <w:p w14:paraId="293741F0" w14:textId="113D9227" w:rsidR="00087350" w:rsidRPr="009C7A0A" w:rsidRDefault="00087350" w:rsidP="009C7A0A">
      <w:pPr>
        <w:spacing w:line="276" w:lineRule="auto"/>
        <w:ind w:firstLine="720"/>
        <w:jc w:val="both"/>
        <w:rPr>
          <w:rFonts w:eastAsia="Calibri"/>
        </w:rPr>
      </w:pPr>
      <w:r w:rsidRPr="009C7A0A">
        <w:rPr>
          <w:rFonts w:eastAsia="Calibri"/>
        </w:rPr>
        <w:lastRenderedPageBreak/>
        <w:t>E</w:t>
      </w:r>
      <w:r w:rsidR="009C591A" w:rsidRPr="009C7A0A">
        <w:rPr>
          <w:rFonts w:eastAsia="Calibri"/>
        </w:rPr>
        <w:t>kspert</w:t>
      </w:r>
      <w:r w:rsidRPr="009C7A0A">
        <w:rPr>
          <w:rFonts w:eastAsia="Calibri"/>
        </w:rPr>
        <w:t>s</w:t>
      </w:r>
      <w:r w:rsidR="009C591A" w:rsidRPr="009C7A0A">
        <w:rPr>
          <w:rFonts w:eastAsia="Calibri"/>
        </w:rPr>
        <w:t xml:space="preserve"> </w:t>
      </w:r>
      <w:r w:rsidR="0068142F">
        <w:rPr>
          <w:rFonts w:eastAsia="Calibri"/>
        </w:rPr>
        <w:t>[pers. LE]</w:t>
      </w:r>
      <w:r w:rsidR="009C591A" w:rsidRPr="009C7A0A">
        <w:rPr>
          <w:rFonts w:eastAsia="Calibri"/>
        </w:rPr>
        <w:t xml:space="preserve"> liec</w:t>
      </w:r>
      <w:r w:rsidRPr="009C7A0A">
        <w:rPr>
          <w:rFonts w:eastAsia="Calibri"/>
        </w:rPr>
        <w:t>ināja</w:t>
      </w:r>
      <w:r w:rsidR="009C591A" w:rsidRPr="009C7A0A">
        <w:rPr>
          <w:rFonts w:eastAsia="Calibri"/>
        </w:rPr>
        <w:t xml:space="preserve">, ka akceptētā būvprojekta </w:t>
      </w:r>
      <w:proofErr w:type="spellStart"/>
      <w:r w:rsidR="009C591A" w:rsidRPr="009C7A0A">
        <w:rPr>
          <w:rFonts w:eastAsia="Calibri"/>
        </w:rPr>
        <w:t>būvkonstruktīvās</w:t>
      </w:r>
      <w:proofErr w:type="spellEnd"/>
      <w:r w:rsidR="009C591A" w:rsidRPr="009C7A0A">
        <w:rPr>
          <w:rFonts w:eastAsia="Calibri"/>
        </w:rPr>
        <w:t xml:space="preserve"> sadaļas paskaidrojuma raksta 17. punktā norādīts, ka montāža jāveic saskaņā ar </w:t>
      </w:r>
      <w:proofErr w:type="spellStart"/>
      <w:r w:rsidR="009C591A" w:rsidRPr="009C7A0A">
        <w:rPr>
          <w:rFonts w:eastAsia="Calibri"/>
        </w:rPr>
        <w:t>SNiP</w:t>
      </w:r>
      <w:proofErr w:type="spellEnd"/>
      <w:r w:rsidR="009C591A" w:rsidRPr="009C7A0A">
        <w:rPr>
          <w:rFonts w:eastAsia="Calibri"/>
        </w:rPr>
        <w:t xml:space="preserve"> 3.03.01.-87 „Nesošās un norobežojošās konstrukcijas”</w:t>
      </w:r>
      <w:r w:rsidRPr="009C7A0A">
        <w:rPr>
          <w:rFonts w:eastAsia="Calibri"/>
        </w:rPr>
        <w:t xml:space="preserve"> (turpmāk – </w:t>
      </w:r>
      <w:proofErr w:type="spellStart"/>
      <w:r w:rsidRPr="009C7A0A">
        <w:rPr>
          <w:rFonts w:eastAsia="Calibri"/>
        </w:rPr>
        <w:t>SNiP</w:t>
      </w:r>
      <w:proofErr w:type="spellEnd"/>
      <w:r w:rsidRPr="009C7A0A">
        <w:rPr>
          <w:rFonts w:eastAsia="Calibri"/>
        </w:rPr>
        <w:t xml:space="preserve"> 3.03.01.-87)</w:t>
      </w:r>
      <w:r w:rsidR="00DF5C99" w:rsidRPr="009C7A0A">
        <w:rPr>
          <w:rFonts w:eastAsia="Calibri"/>
        </w:rPr>
        <w:t>, kas noteic</w:t>
      </w:r>
      <w:r w:rsidR="00F57406" w:rsidRPr="009C7A0A">
        <w:rPr>
          <w:rFonts w:eastAsia="Calibri"/>
        </w:rPr>
        <w:t>a</w:t>
      </w:r>
      <w:r w:rsidR="00FC6034" w:rsidRPr="009C7A0A">
        <w:rPr>
          <w:rFonts w:eastAsia="Calibri"/>
        </w:rPr>
        <w:t xml:space="preserve"> </w:t>
      </w:r>
      <w:r w:rsidR="009C591A" w:rsidRPr="009C7A0A">
        <w:rPr>
          <w:rFonts w:eastAsia="Calibri"/>
        </w:rPr>
        <w:t>obligāti ievērojamas prasības montāžas darbiem</w:t>
      </w:r>
      <w:r w:rsidR="00FC6034" w:rsidRPr="009C7A0A">
        <w:rPr>
          <w:rFonts w:eastAsia="Calibri"/>
        </w:rPr>
        <w:t>.</w:t>
      </w:r>
      <w:r w:rsidR="009C591A" w:rsidRPr="009C7A0A">
        <w:rPr>
          <w:rFonts w:eastAsia="Calibri"/>
        </w:rPr>
        <w:t xml:space="preserve"> </w:t>
      </w:r>
    </w:p>
    <w:p w14:paraId="5B3A03D0" w14:textId="64FDE666" w:rsidR="00087350" w:rsidRPr="009C7A0A" w:rsidRDefault="00087350" w:rsidP="009C7A0A">
      <w:pPr>
        <w:spacing w:line="276" w:lineRule="auto"/>
        <w:ind w:firstLine="720"/>
        <w:jc w:val="both"/>
        <w:rPr>
          <w:rFonts w:eastAsia="Calibri"/>
        </w:rPr>
      </w:pPr>
      <w:proofErr w:type="spellStart"/>
      <w:r w:rsidRPr="009C7A0A">
        <w:rPr>
          <w:rFonts w:eastAsia="Calibri"/>
        </w:rPr>
        <w:t>SNiP</w:t>
      </w:r>
      <w:proofErr w:type="spellEnd"/>
      <w:r w:rsidRPr="009C7A0A">
        <w:rPr>
          <w:rFonts w:eastAsia="Calibri"/>
        </w:rPr>
        <w:t xml:space="preserve"> 3.03.01.-87 4. nodaļa </w:t>
      </w:r>
      <w:r w:rsidR="00CB7E9B" w:rsidRPr="009C7A0A">
        <w:rPr>
          <w:rFonts w:eastAsia="Calibri"/>
        </w:rPr>
        <w:t>paredzēja</w:t>
      </w:r>
      <w:r w:rsidRPr="009C7A0A">
        <w:rPr>
          <w:rFonts w:eastAsia="Calibri"/>
        </w:rPr>
        <w:t xml:space="preserve"> konstrukciju savienošanas veidus bez bultskrūves kontrolētā </w:t>
      </w:r>
      <w:proofErr w:type="spellStart"/>
      <w:r w:rsidRPr="009C7A0A">
        <w:rPr>
          <w:rFonts w:eastAsia="Calibri"/>
        </w:rPr>
        <w:t>nosprieguma</w:t>
      </w:r>
      <w:proofErr w:type="spellEnd"/>
      <w:r w:rsidRPr="009C7A0A">
        <w:rPr>
          <w:rFonts w:eastAsia="Calibri"/>
        </w:rPr>
        <w:t xml:space="preserve"> un ar to.</w:t>
      </w:r>
      <w:r w:rsidR="00CB7E9B" w:rsidRPr="009C7A0A">
        <w:rPr>
          <w:rFonts w:eastAsia="Calibri"/>
        </w:rPr>
        <w:t xml:space="preserve"> </w:t>
      </w:r>
      <w:r w:rsidR="00F94910" w:rsidRPr="009C7A0A">
        <w:rPr>
          <w:rFonts w:eastAsia="Calibri"/>
        </w:rPr>
        <w:t>Savukārt p</w:t>
      </w:r>
      <w:r w:rsidR="00CB7E9B" w:rsidRPr="009C7A0A">
        <w:rPr>
          <w:rFonts w:eastAsia="Calibri"/>
        </w:rPr>
        <w:t xml:space="preserve">rojekta dokumentācijā nebija norādes, ar kādu </w:t>
      </w:r>
      <w:proofErr w:type="spellStart"/>
      <w:r w:rsidR="00CB7E9B" w:rsidRPr="009C7A0A">
        <w:rPr>
          <w:rFonts w:eastAsia="Calibri"/>
        </w:rPr>
        <w:t>skrūvsavienojumu</w:t>
      </w:r>
      <w:proofErr w:type="spellEnd"/>
      <w:r w:rsidR="00CB7E9B" w:rsidRPr="009C7A0A">
        <w:rPr>
          <w:rFonts w:eastAsia="Calibri"/>
        </w:rPr>
        <w:t xml:space="preserve"> veidu kopnes ir stiprināmas, tāpēc visas veiktās darbības kopnes montāžā </w:t>
      </w:r>
      <w:r w:rsidR="00F94910" w:rsidRPr="009C7A0A">
        <w:rPr>
          <w:rFonts w:eastAsia="Calibri"/>
        </w:rPr>
        <w:t>ir</w:t>
      </w:r>
      <w:r w:rsidR="00CB7E9B" w:rsidRPr="009C7A0A">
        <w:rPr>
          <w:rFonts w:eastAsia="Calibri"/>
        </w:rPr>
        <w:t xml:space="preserve"> patvaļīg</w:t>
      </w:r>
      <w:r w:rsidR="00F94910" w:rsidRPr="009C7A0A">
        <w:rPr>
          <w:rFonts w:eastAsia="Calibri"/>
        </w:rPr>
        <w:t>as</w:t>
      </w:r>
      <w:r w:rsidR="00CB7E9B" w:rsidRPr="009C7A0A">
        <w:rPr>
          <w:rFonts w:eastAsia="Calibri"/>
        </w:rPr>
        <w:t>.</w:t>
      </w:r>
    </w:p>
    <w:p w14:paraId="51D9890E" w14:textId="459DFFDF" w:rsidR="00F94910" w:rsidRPr="009C7A0A" w:rsidRDefault="00F94910" w:rsidP="009C7A0A">
      <w:pPr>
        <w:spacing w:line="276" w:lineRule="auto"/>
        <w:ind w:firstLine="720"/>
        <w:jc w:val="both"/>
        <w:rPr>
          <w:rFonts w:eastAsia="Calibri"/>
        </w:rPr>
      </w:pPr>
      <w:r w:rsidRPr="009C7A0A">
        <w:rPr>
          <w:rFonts w:eastAsia="Calibri"/>
        </w:rPr>
        <w:t xml:space="preserve">Tāpat eksperts norādīja, ka </w:t>
      </w:r>
      <w:r w:rsidR="00822E4A" w:rsidRPr="009C7A0A">
        <w:rPr>
          <w:rFonts w:eastAsia="Calibri"/>
        </w:rPr>
        <w:t>a</w:t>
      </w:r>
      <w:r w:rsidR="009C591A" w:rsidRPr="009C7A0A">
        <w:rPr>
          <w:rFonts w:eastAsia="Calibri"/>
        </w:rPr>
        <w:t xml:space="preserve">tbilstoši </w:t>
      </w:r>
      <w:proofErr w:type="spellStart"/>
      <w:r w:rsidR="00087350" w:rsidRPr="009C7A0A">
        <w:rPr>
          <w:rFonts w:eastAsia="Calibri"/>
        </w:rPr>
        <w:t>SNiP</w:t>
      </w:r>
      <w:proofErr w:type="spellEnd"/>
      <w:r w:rsidR="00087350" w:rsidRPr="009C7A0A">
        <w:rPr>
          <w:rFonts w:eastAsia="Calibri"/>
        </w:rPr>
        <w:t xml:space="preserve"> 3.03.01.-87 </w:t>
      </w:r>
      <w:r w:rsidR="009C591A" w:rsidRPr="009C7A0A">
        <w:rPr>
          <w:rFonts w:eastAsia="Calibri"/>
        </w:rPr>
        <w:t>4.16. un 4.17. punktam uzgrieznis jāskrūvē no skrūves vidus cieši līdz konstrukcijas galam.</w:t>
      </w:r>
      <w:r w:rsidR="009C591A" w:rsidRPr="009C7A0A">
        <w:t xml:space="preserve"> </w:t>
      </w:r>
      <w:r w:rsidR="009C591A" w:rsidRPr="009C7A0A">
        <w:rPr>
          <w:rFonts w:eastAsia="Calibri"/>
        </w:rPr>
        <w:t>Skrūvju galvām un uzgriežņiem, ieskaitot pamatu skrūves, pēc pievilkšanas jābūt cieši saskarē (bez atstarpēm) ar paplāksnes vai konstrukcijas elementu plaknēm, un skrūvju vārpsta izvirzīta no uzgriežņa vismaz par 3 mm.</w:t>
      </w:r>
      <w:r w:rsidRPr="009C7A0A">
        <w:rPr>
          <w:rFonts w:eastAsia="Calibri"/>
        </w:rPr>
        <w:t xml:space="preserve"> </w:t>
      </w:r>
      <w:r w:rsidR="00A31211" w:rsidRPr="009C7A0A">
        <w:rPr>
          <w:rFonts w:eastAsia="Calibri"/>
        </w:rPr>
        <w:t xml:space="preserve">Šādas </w:t>
      </w:r>
      <w:proofErr w:type="spellStart"/>
      <w:r w:rsidR="00A31211" w:rsidRPr="009C7A0A">
        <w:rPr>
          <w:rFonts w:eastAsia="Calibri"/>
        </w:rPr>
        <w:t>SNiP</w:t>
      </w:r>
      <w:proofErr w:type="spellEnd"/>
      <w:r w:rsidR="00A31211" w:rsidRPr="009C7A0A">
        <w:rPr>
          <w:rFonts w:eastAsia="Calibri"/>
        </w:rPr>
        <w:t xml:space="preserve"> 3.03.01.-87 prasības nebija iespējams izpildīt ņemot vērā </w:t>
      </w:r>
      <w:r w:rsidRPr="009C7A0A">
        <w:rPr>
          <w:rFonts w:eastAsia="Calibri"/>
        </w:rPr>
        <w:t>DIN 933 bultskrūves vītnes garuma dēļ.</w:t>
      </w:r>
    </w:p>
    <w:p w14:paraId="68EEFFD8" w14:textId="3B78D36B" w:rsidR="009C591A" w:rsidRPr="009C7A0A" w:rsidRDefault="00F94910" w:rsidP="009C7A0A">
      <w:pPr>
        <w:spacing w:line="276" w:lineRule="auto"/>
        <w:ind w:firstLine="720"/>
        <w:jc w:val="both"/>
        <w:rPr>
          <w:rFonts w:eastAsia="Calibri"/>
        </w:rPr>
      </w:pPr>
      <w:r w:rsidRPr="009C7A0A">
        <w:rPr>
          <w:rFonts w:eastAsia="Calibri"/>
        </w:rPr>
        <w:t xml:space="preserve">Kā arī </w:t>
      </w:r>
      <w:proofErr w:type="spellStart"/>
      <w:r w:rsidR="00087350" w:rsidRPr="009C7A0A">
        <w:rPr>
          <w:rFonts w:eastAsia="Calibri"/>
        </w:rPr>
        <w:t>SNiP</w:t>
      </w:r>
      <w:proofErr w:type="spellEnd"/>
      <w:r w:rsidR="00087350" w:rsidRPr="009C7A0A">
        <w:rPr>
          <w:rFonts w:eastAsia="Calibri"/>
        </w:rPr>
        <w:t xml:space="preserve"> 3.03.01.-87 </w:t>
      </w:r>
      <w:r w:rsidR="009C591A" w:rsidRPr="009C7A0A">
        <w:rPr>
          <w:rFonts w:eastAsia="Calibri"/>
        </w:rPr>
        <w:t>4.18. punkts noteic</w:t>
      </w:r>
      <w:r w:rsidR="00087350" w:rsidRPr="009C7A0A">
        <w:rPr>
          <w:rFonts w:eastAsia="Calibri"/>
        </w:rPr>
        <w:t>a</w:t>
      </w:r>
      <w:r w:rsidR="009C591A" w:rsidRPr="009C7A0A">
        <w:rPr>
          <w:rFonts w:eastAsia="Calibri"/>
        </w:rPr>
        <w:t xml:space="preserve">, ka, lai novērstu uzgriežņu </w:t>
      </w:r>
      <w:proofErr w:type="spellStart"/>
      <w:r w:rsidR="009C591A" w:rsidRPr="009C7A0A">
        <w:rPr>
          <w:rFonts w:eastAsia="Calibri"/>
        </w:rPr>
        <w:t>pašatskrūvēšanos</w:t>
      </w:r>
      <w:proofErr w:type="spellEnd"/>
      <w:r w:rsidR="009C591A" w:rsidRPr="009C7A0A">
        <w:rPr>
          <w:rFonts w:eastAsia="Calibri"/>
        </w:rPr>
        <w:t xml:space="preserve">, atsperu paplāksnes vai </w:t>
      </w:r>
      <w:proofErr w:type="spellStart"/>
      <w:r w:rsidR="009C591A" w:rsidRPr="009C7A0A">
        <w:rPr>
          <w:rFonts w:eastAsia="Calibri"/>
        </w:rPr>
        <w:t>pretuzgriezņa</w:t>
      </w:r>
      <w:proofErr w:type="spellEnd"/>
      <w:r w:rsidR="009C591A" w:rsidRPr="009C7A0A">
        <w:rPr>
          <w:rFonts w:eastAsia="Calibri"/>
        </w:rPr>
        <w:t xml:space="preserve"> uzstādīšana jānorāda darba rasējumos.</w:t>
      </w:r>
      <w:r w:rsidR="00AF6422" w:rsidRPr="009C7A0A">
        <w:rPr>
          <w:rFonts w:eastAsia="Calibri"/>
        </w:rPr>
        <w:t xml:space="preserve"> </w:t>
      </w:r>
      <w:r w:rsidR="009C591A" w:rsidRPr="009C7A0A">
        <w:rPr>
          <w:rFonts w:eastAsia="Calibri"/>
        </w:rPr>
        <w:t>Šāda atzīme projekta dokumentācijā nebija veikta.</w:t>
      </w:r>
    </w:p>
    <w:p w14:paraId="33D9FE60" w14:textId="67AFE171" w:rsidR="009C591A" w:rsidRPr="009C7A0A" w:rsidRDefault="009C591A" w:rsidP="009C7A0A">
      <w:pPr>
        <w:spacing w:line="276" w:lineRule="auto"/>
        <w:ind w:firstLine="720"/>
        <w:jc w:val="both"/>
        <w:rPr>
          <w:rFonts w:eastAsia="Calibri"/>
        </w:rPr>
      </w:pPr>
      <w:r w:rsidRPr="009C7A0A">
        <w:rPr>
          <w:rFonts w:eastAsia="Calibri"/>
        </w:rPr>
        <w:t>T</w:t>
      </w:r>
      <w:r w:rsidR="00D641AE" w:rsidRPr="009C7A0A">
        <w:rPr>
          <w:rFonts w:eastAsia="Calibri"/>
        </w:rPr>
        <w:t>urklāt</w:t>
      </w:r>
      <w:r w:rsidRPr="009C7A0A">
        <w:rPr>
          <w:rFonts w:eastAsia="Calibri"/>
        </w:rPr>
        <w:t xml:space="preserve"> </w:t>
      </w:r>
      <w:r w:rsidR="00F94910" w:rsidRPr="009C7A0A">
        <w:rPr>
          <w:rFonts w:eastAsia="Calibri"/>
        </w:rPr>
        <w:t xml:space="preserve">eksperts </w:t>
      </w:r>
      <w:r w:rsidR="00D641AE" w:rsidRPr="009C7A0A">
        <w:rPr>
          <w:rFonts w:eastAsia="Calibri"/>
        </w:rPr>
        <w:t>liecināja</w:t>
      </w:r>
      <w:r w:rsidR="00F94910" w:rsidRPr="009C7A0A">
        <w:rPr>
          <w:rFonts w:eastAsia="Calibri"/>
        </w:rPr>
        <w:t xml:space="preserve">, ka </w:t>
      </w:r>
      <w:r w:rsidRPr="009C7A0A">
        <w:rPr>
          <w:rFonts w:eastAsia="Calibri"/>
        </w:rPr>
        <w:t xml:space="preserve">kopņu montāža nebija iespējama, jo dokumentos nebija norāžu par piepūlēm. Nav iespējams kopni samontēt atbilstoši drošuma nosacījumiem, ja dokumentācijā nav </w:t>
      </w:r>
      <w:r w:rsidR="00EE72E9" w:rsidRPr="009C7A0A">
        <w:rPr>
          <w:rFonts w:eastAsia="Calibri"/>
        </w:rPr>
        <w:t xml:space="preserve">norādīta </w:t>
      </w:r>
      <w:r w:rsidRPr="009C7A0A">
        <w:rPr>
          <w:rFonts w:eastAsia="Calibri"/>
        </w:rPr>
        <w:t>slodze, kāda jāuzņem kopnei, bet no slodzēm savukārt izriet piepūles, kādas attiecīgi ir šajā joslā</w:t>
      </w:r>
      <w:r w:rsidR="00EE72E9" w:rsidRPr="009C7A0A">
        <w:rPr>
          <w:rFonts w:eastAsia="Calibri"/>
        </w:rPr>
        <w:t>, savukārt</w:t>
      </w:r>
      <w:r w:rsidRPr="009C7A0A">
        <w:rPr>
          <w:rFonts w:eastAsia="Calibri"/>
        </w:rPr>
        <w:t xml:space="preserve"> no piepūlēm izriet nosacījumi, kā veidot </w:t>
      </w:r>
      <w:proofErr w:type="spellStart"/>
      <w:r w:rsidRPr="009C7A0A">
        <w:rPr>
          <w:rFonts w:eastAsia="Calibri"/>
        </w:rPr>
        <w:t>skrūvsavienojumu</w:t>
      </w:r>
      <w:proofErr w:type="spellEnd"/>
      <w:r w:rsidRPr="009C7A0A">
        <w:rPr>
          <w:rFonts w:eastAsia="Calibri"/>
        </w:rPr>
        <w:t xml:space="preserve"> ar kontrolēto </w:t>
      </w:r>
      <w:proofErr w:type="spellStart"/>
      <w:r w:rsidRPr="009C7A0A">
        <w:rPr>
          <w:rFonts w:eastAsia="Calibri"/>
        </w:rPr>
        <w:t>nospriegumu</w:t>
      </w:r>
      <w:proofErr w:type="spellEnd"/>
      <w:r w:rsidRPr="009C7A0A">
        <w:rPr>
          <w:rFonts w:eastAsia="Calibri"/>
        </w:rPr>
        <w:t xml:space="preserve"> vai bez tā.</w:t>
      </w:r>
    </w:p>
    <w:p w14:paraId="50A16D37" w14:textId="010FFE06" w:rsidR="00A13241" w:rsidRPr="009C7A0A" w:rsidRDefault="00A31211" w:rsidP="009C7A0A">
      <w:pPr>
        <w:spacing w:line="276" w:lineRule="auto"/>
        <w:ind w:firstLine="720"/>
        <w:jc w:val="both"/>
        <w:rPr>
          <w:lang w:eastAsia="lv-LV"/>
        </w:rPr>
      </w:pPr>
      <w:r w:rsidRPr="009C7A0A">
        <w:rPr>
          <w:rFonts w:eastAsia="Calibri"/>
        </w:rPr>
        <w:t xml:space="preserve">Ievērojot minēto, </w:t>
      </w:r>
      <w:r w:rsidR="00F94910" w:rsidRPr="009C7A0A">
        <w:rPr>
          <w:rFonts w:eastAsia="Calibri"/>
        </w:rPr>
        <w:t xml:space="preserve">Senāts atzīst, ka </w:t>
      </w:r>
      <w:r w:rsidRPr="009C7A0A">
        <w:rPr>
          <w:rFonts w:eastAsia="Calibri"/>
        </w:rPr>
        <w:t xml:space="preserve">apelācijas instances tiesai bija jāsniedz vērtējums par to, ka </w:t>
      </w:r>
      <w:r w:rsidR="009C591A" w:rsidRPr="009C7A0A">
        <w:rPr>
          <w:rFonts w:eastAsia="Calibri"/>
        </w:rPr>
        <w:t xml:space="preserve">būvniecības procesā iesaistītajām personām vajadzēja pieprasīt no projektētāja attiecīgās norādes un darba rasējumus, no kuriem varētu izdarīt secinājumu par skrūvju stiprinājuma savienojumu bez kontrolētā </w:t>
      </w:r>
      <w:proofErr w:type="spellStart"/>
      <w:r w:rsidR="009C591A" w:rsidRPr="009C7A0A">
        <w:rPr>
          <w:rFonts w:eastAsia="Calibri"/>
        </w:rPr>
        <w:t>nosprieguma</w:t>
      </w:r>
      <w:proofErr w:type="spellEnd"/>
      <w:r w:rsidR="009C591A" w:rsidRPr="009C7A0A">
        <w:rPr>
          <w:rFonts w:eastAsia="Calibri"/>
        </w:rPr>
        <w:t xml:space="preserve"> vai ar to</w:t>
      </w:r>
      <w:r w:rsidR="00832AF1" w:rsidRPr="009C7A0A">
        <w:rPr>
          <w:rFonts w:eastAsia="Calibri"/>
        </w:rPr>
        <w:t xml:space="preserve">. Tādējādi tiesai bija jānoskaidro, vai apsūdzētie </w:t>
      </w:r>
      <w:r w:rsidR="00A31557">
        <w:rPr>
          <w:lang w:eastAsia="lv-LV"/>
        </w:rPr>
        <w:t xml:space="preserve">[pers. BK] </w:t>
      </w:r>
      <w:r w:rsidR="00A31557" w:rsidRPr="009C7A0A">
        <w:rPr>
          <w:lang w:eastAsia="lv-LV"/>
        </w:rPr>
        <w:t xml:space="preserve">un </w:t>
      </w:r>
      <w:r w:rsidR="00A31557">
        <w:rPr>
          <w:lang w:eastAsia="lv-LV"/>
        </w:rPr>
        <w:t xml:space="preserve">[pers. BL] </w:t>
      </w:r>
      <w:r w:rsidR="00832AF1" w:rsidRPr="009C7A0A">
        <w:rPr>
          <w:rFonts w:eastAsia="Calibri"/>
        </w:rPr>
        <w:t xml:space="preserve">ievēroja </w:t>
      </w:r>
      <w:r w:rsidR="00832AF1" w:rsidRPr="009C7A0A">
        <w:rPr>
          <w:lang w:eastAsia="lv-LV"/>
        </w:rPr>
        <w:t>kopņu savienojumu drošuma prasības.</w:t>
      </w:r>
    </w:p>
    <w:p w14:paraId="2675A5BC" w14:textId="77447103" w:rsidR="009C591A" w:rsidRPr="009C7A0A" w:rsidRDefault="009C591A" w:rsidP="009C7A0A">
      <w:pPr>
        <w:spacing w:line="276" w:lineRule="auto"/>
        <w:ind w:firstLine="720"/>
        <w:jc w:val="both"/>
        <w:rPr>
          <w:iCs/>
          <w:lang w:eastAsia="lv-LV"/>
        </w:rPr>
      </w:pPr>
      <w:bookmarkStart w:id="11" w:name="_Hlk183350558"/>
      <w:r w:rsidRPr="009C7A0A">
        <w:rPr>
          <w:iCs/>
          <w:lang w:eastAsia="lv-LV"/>
        </w:rPr>
        <w:t>[</w:t>
      </w:r>
      <w:r w:rsidR="00A8188A" w:rsidRPr="009C7A0A">
        <w:rPr>
          <w:iCs/>
          <w:lang w:eastAsia="lv-LV"/>
        </w:rPr>
        <w:t>17</w:t>
      </w:r>
      <w:r w:rsidRPr="009C7A0A">
        <w:rPr>
          <w:iCs/>
          <w:lang w:eastAsia="lv-LV"/>
        </w:rPr>
        <w:t xml:space="preserve">.3.3] Apelācijas instances tiesa, vērtējot </w:t>
      </w:r>
      <w:r w:rsidR="00EA01F9" w:rsidRPr="009C7A0A">
        <w:rPr>
          <w:iCs/>
          <w:lang w:eastAsia="lv-LV"/>
        </w:rPr>
        <w:t xml:space="preserve">skrūvju savilkumu </w:t>
      </w:r>
      <w:r w:rsidRPr="009C7A0A">
        <w:rPr>
          <w:iCs/>
        </w:rPr>
        <w:t xml:space="preserve">atbilstību </w:t>
      </w:r>
      <w:proofErr w:type="spellStart"/>
      <w:r w:rsidRPr="009C7A0A">
        <w:rPr>
          <w:iCs/>
          <w:lang w:eastAsia="lv-LV"/>
        </w:rPr>
        <w:t>SNiP</w:t>
      </w:r>
      <w:proofErr w:type="spellEnd"/>
      <w:r w:rsidRPr="009C7A0A">
        <w:rPr>
          <w:iCs/>
          <w:lang w:eastAsia="lv-LV"/>
        </w:rPr>
        <w:t xml:space="preserve"> 3.03.01.-87 prasībām, </w:t>
      </w:r>
      <w:r w:rsidR="00EE72E9" w:rsidRPr="009C7A0A">
        <w:rPr>
          <w:iCs/>
          <w:lang w:eastAsia="lv-LV"/>
        </w:rPr>
        <w:t xml:space="preserve">ir </w:t>
      </w:r>
      <w:r w:rsidRPr="009C7A0A">
        <w:rPr>
          <w:iCs/>
          <w:lang w:eastAsia="lv-LV"/>
        </w:rPr>
        <w:t>ņēm</w:t>
      </w:r>
      <w:r w:rsidR="00EE72E9" w:rsidRPr="009C7A0A">
        <w:rPr>
          <w:iCs/>
          <w:lang w:eastAsia="lv-LV"/>
        </w:rPr>
        <w:t>usi</w:t>
      </w:r>
      <w:r w:rsidRPr="009C7A0A">
        <w:rPr>
          <w:iCs/>
          <w:lang w:eastAsia="lv-LV"/>
        </w:rPr>
        <w:t xml:space="preserve"> vērā </w:t>
      </w:r>
      <w:r w:rsidR="00EE72E9" w:rsidRPr="009C7A0A">
        <w:rPr>
          <w:iCs/>
          <w:lang w:eastAsia="lv-LV"/>
        </w:rPr>
        <w:t xml:space="preserve">to </w:t>
      </w:r>
      <w:r w:rsidRPr="009C7A0A">
        <w:rPr>
          <w:iCs/>
          <w:lang w:eastAsia="lv-LV"/>
        </w:rPr>
        <w:t xml:space="preserve">personu liecības, kas piedalījās kopņu montāžā un izpildīto darbu kontrolē, tomēr nav norādījusi motīvus prokurora </w:t>
      </w:r>
      <w:r w:rsidR="006F794B" w:rsidRPr="009C7A0A">
        <w:rPr>
          <w:iCs/>
          <w:lang w:eastAsia="lv-LV"/>
        </w:rPr>
        <w:t xml:space="preserve">iesniegto </w:t>
      </w:r>
      <w:r w:rsidRPr="009C7A0A">
        <w:rPr>
          <w:iCs/>
          <w:lang w:eastAsia="lv-LV"/>
        </w:rPr>
        <w:t>pierādījumu noraidīšanai.</w:t>
      </w:r>
    </w:p>
    <w:p w14:paraId="0A63DB0B" w14:textId="378052DB" w:rsidR="009C591A" w:rsidRPr="009C7A0A" w:rsidRDefault="009C591A" w:rsidP="009C7A0A">
      <w:pPr>
        <w:spacing w:line="276" w:lineRule="auto"/>
        <w:ind w:firstLine="720"/>
        <w:jc w:val="both"/>
        <w:rPr>
          <w:iCs/>
          <w:lang w:eastAsia="lv-LV"/>
        </w:rPr>
      </w:pPr>
      <w:r w:rsidRPr="009C7A0A">
        <w:rPr>
          <w:iCs/>
          <w:lang w:eastAsia="lv-LV"/>
        </w:rPr>
        <w:t xml:space="preserve">Tiesa atzinumu, ka starp </w:t>
      </w:r>
      <w:proofErr w:type="spellStart"/>
      <w:r w:rsidRPr="009C7A0A">
        <w:rPr>
          <w:iCs/>
          <w:lang w:eastAsia="lv-LV"/>
        </w:rPr>
        <w:t>fasonlapām</w:t>
      </w:r>
      <w:proofErr w:type="spellEnd"/>
      <w:r w:rsidR="00EE72E9" w:rsidRPr="009C7A0A">
        <w:rPr>
          <w:iCs/>
          <w:lang w:eastAsia="lv-LV"/>
        </w:rPr>
        <w:t xml:space="preserve"> nav bijušas spraugas</w:t>
      </w:r>
      <w:r w:rsidRPr="009C7A0A">
        <w:rPr>
          <w:iCs/>
          <w:lang w:eastAsia="lv-LV"/>
        </w:rPr>
        <w:t xml:space="preserve">, pamatojusi ar: 1) liecinieku </w:t>
      </w:r>
      <w:r w:rsidR="004F70B3">
        <w:rPr>
          <w:iCs/>
          <w:lang w:eastAsia="lv-LV"/>
        </w:rPr>
        <w:t>[pers. MI]</w:t>
      </w:r>
      <w:r w:rsidRPr="009C7A0A">
        <w:rPr>
          <w:iCs/>
          <w:lang w:eastAsia="lv-LV"/>
        </w:rPr>
        <w:t xml:space="preserve"> un </w:t>
      </w:r>
      <w:r w:rsidR="004F70B3">
        <w:rPr>
          <w:iCs/>
          <w:lang w:eastAsia="lv-LV"/>
        </w:rPr>
        <w:t>[pers. LS]</w:t>
      </w:r>
      <w:r w:rsidRPr="009C7A0A">
        <w:rPr>
          <w:iCs/>
          <w:lang w:eastAsia="lv-LV"/>
        </w:rPr>
        <w:t xml:space="preserve"> liecībām, ka kopņu savienojuma vietās spraugu nebija; 2) lieciniek</w:t>
      </w:r>
      <w:r w:rsidR="00EE72E9" w:rsidRPr="009C7A0A">
        <w:rPr>
          <w:iCs/>
          <w:lang w:eastAsia="lv-LV"/>
        </w:rPr>
        <w:t>u</w:t>
      </w:r>
      <w:r w:rsidRPr="009C7A0A">
        <w:rPr>
          <w:iCs/>
          <w:lang w:eastAsia="lv-LV"/>
        </w:rPr>
        <w:t xml:space="preserve"> </w:t>
      </w:r>
      <w:r w:rsidR="004F70B3">
        <w:rPr>
          <w:iCs/>
          <w:lang w:eastAsia="lv-LV"/>
        </w:rPr>
        <w:t>[pers. MJ]</w:t>
      </w:r>
      <w:r w:rsidRPr="009C7A0A">
        <w:rPr>
          <w:iCs/>
          <w:lang w:eastAsia="lv-LV"/>
        </w:rPr>
        <w:t xml:space="preserve"> un </w:t>
      </w:r>
      <w:r w:rsidR="004F70B3">
        <w:rPr>
          <w:iCs/>
          <w:lang w:eastAsia="lv-LV"/>
        </w:rPr>
        <w:t>[pers. MH]</w:t>
      </w:r>
      <w:r w:rsidRPr="009C7A0A">
        <w:rPr>
          <w:iCs/>
          <w:lang w:eastAsia="lv-LV"/>
        </w:rPr>
        <w:t xml:space="preserve"> liecībām, ka viņi pārbaudīja </w:t>
      </w:r>
      <w:proofErr w:type="spellStart"/>
      <w:r w:rsidRPr="009C7A0A">
        <w:rPr>
          <w:iCs/>
          <w:lang w:eastAsia="lv-LV"/>
        </w:rPr>
        <w:t>metālkonstrukciju</w:t>
      </w:r>
      <w:proofErr w:type="spellEnd"/>
      <w:r w:rsidRPr="009C7A0A">
        <w:rPr>
          <w:iCs/>
          <w:lang w:eastAsia="lv-LV"/>
        </w:rPr>
        <w:t xml:space="preserve"> montāžas kvalitāti – skrūvju savilkumu un spraugas starp kopnēm</w:t>
      </w:r>
      <w:r w:rsidR="00F55295" w:rsidRPr="009C7A0A">
        <w:rPr>
          <w:iCs/>
          <w:lang w:eastAsia="lv-LV"/>
        </w:rPr>
        <w:t>, un ka</w:t>
      </w:r>
      <w:r w:rsidRPr="009C7A0A">
        <w:rPr>
          <w:iCs/>
          <w:lang w:eastAsia="lv-LV"/>
        </w:rPr>
        <w:t xml:space="preserve"> </w:t>
      </w:r>
      <w:r w:rsidR="00A953DE">
        <w:rPr>
          <w:iCs/>
          <w:lang w:eastAsia="lv-LV"/>
        </w:rPr>
        <w:t>[pers. BK]</w:t>
      </w:r>
      <w:r w:rsidRPr="009C7A0A">
        <w:rPr>
          <w:iCs/>
          <w:lang w:eastAsia="lv-LV"/>
        </w:rPr>
        <w:t xml:space="preserve">, </w:t>
      </w:r>
      <w:r w:rsidR="00A953DE">
        <w:rPr>
          <w:iCs/>
          <w:lang w:eastAsia="lv-LV"/>
        </w:rPr>
        <w:t>[pers. BL]</w:t>
      </w:r>
      <w:r w:rsidRPr="009C7A0A">
        <w:rPr>
          <w:iCs/>
          <w:lang w:eastAsia="lv-LV"/>
        </w:rPr>
        <w:t xml:space="preserve"> un </w:t>
      </w:r>
      <w:r w:rsidR="00A953DE">
        <w:rPr>
          <w:iCs/>
          <w:lang w:eastAsia="lv-LV"/>
        </w:rPr>
        <w:t>[pers. A]</w:t>
      </w:r>
      <w:r w:rsidR="00F55295" w:rsidRPr="009C7A0A">
        <w:rPr>
          <w:iCs/>
          <w:lang w:eastAsia="lv-LV"/>
        </w:rPr>
        <w:t xml:space="preserve">, veicot gala pārbaudi, pārkāpumus nekonstatēja; </w:t>
      </w:r>
      <w:r w:rsidRPr="009C7A0A">
        <w:rPr>
          <w:iCs/>
          <w:lang w:eastAsia="lv-LV"/>
        </w:rPr>
        <w:t xml:space="preserve"> 3) apsūdzēto </w:t>
      </w:r>
      <w:r w:rsidR="00A953DE">
        <w:rPr>
          <w:lang w:eastAsia="lv-LV"/>
        </w:rPr>
        <w:t xml:space="preserve">[pers. BK] </w:t>
      </w:r>
      <w:r w:rsidR="00A953DE" w:rsidRPr="009C7A0A">
        <w:rPr>
          <w:lang w:eastAsia="lv-LV"/>
        </w:rPr>
        <w:t xml:space="preserve">un </w:t>
      </w:r>
      <w:r w:rsidR="00A953DE">
        <w:rPr>
          <w:lang w:eastAsia="lv-LV"/>
        </w:rPr>
        <w:t>[pers. BL]</w:t>
      </w:r>
      <w:r w:rsidRPr="009C7A0A">
        <w:rPr>
          <w:iCs/>
          <w:lang w:eastAsia="lv-LV"/>
        </w:rPr>
        <w:t xml:space="preserve"> liecībām, ka </w:t>
      </w:r>
      <w:r w:rsidR="00F55295" w:rsidRPr="009C7A0A">
        <w:rPr>
          <w:iCs/>
          <w:lang w:eastAsia="lv-LV"/>
        </w:rPr>
        <w:t>viņi</w:t>
      </w:r>
      <w:r w:rsidR="008F43A4" w:rsidRPr="009C7A0A">
        <w:rPr>
          <w:iCs/>
          <w:lang w:eastAsia="lv-LV"/>
        </w:rPr>
        <w:t xml:space="preserve">, izmantojot 0,3 mm </w:t>
      </w:r>
      <w:proofErr w:type="spellStart"/>
      <w:r w:rsidR="008F43A4" w:rsidRPr="009C7A0A">
        <w:rPr>
          <w:iCs/>
          <w:lang w:eastAsia="lv-LV"/>
        </w:rPr>
        <w:t>mērtaustu</w:t>
      </w:r>
      <w:proofErr w:type="spellEnd"/>
      <w:r w:rsidR="008F43A4" w:rsidRPr="009C7A0A">
        <w:rPr>
          <w:iCs/>
          <w:lang w:eastAsia="lv-LV"/>
        </w:rPr>
        <w:t>,</w:t>
      </w:r>
      <w:r w:rsidR="00F55295" w:rsidRPr="009C7A0A">
        <w:rPr>
          <w:iCs/>
          <w:lang w:eastAsia="lv-LV"/>
        </w:rPr>
        <w:t xml:space="preserve"> pārbaudīja, vai spraugas metāla kopņu </w:t>
      </w:r>
      <w:proofErr w:type="spellStart"/>
      <w:r w:rsidR="00F55295" w:rsidRPr="009C7A0A">
        <w:rPr>
          <w:iCs/>
          <w:lang w:eastAsia="lv-LV"/>
        </w:rPr>
        <w:t>fasonlapu</w:t>
      </w:r>
      <w:proofErr w:type="spellEnd"/>
      <w:r w:rsidR="00F55295" w:rsidRPr="009C7A0A">
        <w:rPr>
          <w:iCs/>
          <w:lang w:eastAsia="lv-LV"/>
        </w:rPr>
        <w:t xml:space="preserve"> saskares plaknēs atbilst </w:t>
      </w:r>
      <w:proofErr w:type="spellStart"/>
      <w:r w:rsidR="00F55295" w:rsidRPr="009C7A0A">
        <w:rPr>
          <w:iCs/>
          <w:lang w:eastAsia="lv-LV"/>
        </w:rPr>
        <w:t>SNiP</w:t>
      </w:r>
      <w:proofErr w:type="spellEnd"/>
      <w:r w:rsidR="00F55295" w:rsidRPr="009C7A0A">
        <w:rPr>
          <w:iCs/>
          <w:lang w:eastAsia="lv-LV"/>
        </w:rPr>
        <w:t xml:space="preserve"> 3.03.01.-87 prasībām, un secināja, ka neatbilstības normatīviem nav konstatējamas. </w:t>
      </w:r>
    </w:p>
    <w:p w14:paraId="33D6DBE3" w14:textId="72A60701" w:rsidR="009C591A" w:rsidRPr="009C7A0A" w:rsidRDefault="009C591A" w:rsidP="009C7A0A">
      <w:pPr>
        <w:spacing w:line="276" w:lineRule="auto"/>
        <w:ind w:firstLine="720"/>
        <w:jc w:val="both"/>
      </w:pPr>
      <w:r w:rsidRPr="009C7A0A">
        <w:rPr>
          <w:iCs/>
          <w:lang w:eastAsia="lv-LV"/>
        </w:rPr>
        <w:t>Senāts norāda, ka apelācijas instances tiesa nav vērtējusi</w:t>
      </w:r>
      <w:r w:rsidRPr="009C7A0A">
        <w:t xml:space="preserve"> to, ka kompleksās būvniecības ekspertīzes ekspertu atzinums pamatots arī ar ziņām par faktiem, kas iegūtas nobrukušo konstrukciju apsekošanā</w:t>
      </w:r>
      <w:r w:rsidR="006A0339" w:rsidRPr="009C7A0A">
        <w:t>,</w:t>
      </w:r>
      <w:r w:rsidRPr="009C7A0A">
        <w:t xml:space="preserve"> proti, eksperti, apsekojot nogruvušās </w:t>
      </w:r>
      <w:proofErr w:type="spellStart"/>
      <w:r w:rsidRPr="009C7A0A">
        <w:t>puskopnes</w:t>
      </w:r>
      <w:proofErr w:type="spellEnd"/>
      <w:r w:rsidRPr="009C7A0A">
        <w:t>, konstatēja</w:t>
      </w:r>
      <w:r w:rsidR="00DE085E" w:rsidRPr="009C7A0A">
        <w:t xml:space="preserve"> </w:t>
      </w:r>
      <w:r w:rsidRPr="009C7A0A">
        <w:t xml:space="preserve">krāsojumu starp </w:t>
      </w:r>
      <w:proofErr w:type="spellStart"/>
      <w:r w:rsidRPr="009C7A0A">
        <w:t>fasonlapām</w:t>
      </w:r>
      <w:proofErr w:type="spellEnd"/>
      <w:r w:rsidRPr="009C7A0A">
        <w:t xml:space="preserve">, kas liecina par spraugu esību pirms krāsošanas darbu veikšanas. Acīmredzamas spraugas starp </w:t>
      </w:r>
      <w:proofErr w:type="spellStart"/>
      <w:r w:rsidRPr="009C7A0A">
        <w:t>fasonālpām</w:t>
      </w:r>
      <w:proofErr w:type="spellEnd"/>
      <w:r w:rsidRPr="009C7A0A">
        <w:t xml:space="preserve"> tika konstatētas arī nenobrukušajām konstrukcijām. Lai noskaidrotu spraugu lielumu, eksperti pielietoja </w:t>
      </w:r>
      <w:r w:rsidRPr="009C7A0A">
        <w:lastRenderedPageBreak/>
        <w:t xml:space="preserve">paraugu virsmas attēlu </w:t>
      </w:r>
      <w:proofErr w:type="spellStart"/>
      <w:r w:rsidRPr="009C7A0A">
        <w:t>digitalizēto</w:t>
      </w:r>
      <w:proofErr w:type="spellEnd"/>
      <w:r w:rsidRPr="009C7A0A">
        <w:t xml:space="preserve"> apstrādi. Pētījuma rezultātā tika konstatēts, ka vismaz daļai kopņu </w:t>
      </w:r>
      <w:proofErr w:type="spellStart"/>
      <w:r w:rsidRPr="009C7A0A">
        <w:t>apakšjoslu</w:t>
      </w:r>
      <w:proofErr w:type="spellEnd"/>
      <w:r w:rsidRPr="009C7A0A">
        <w:t xml:space="preserve"> mezglu spraugas atvērumi, tai skaitā bultskrūvju zonā, bija 2,5</w:t>
      </w:r>
      <w:r w:rsidR="0045473E" w:rsidRPr="009C7A0A">
        <w:t xml:space="preserve">– </w:t>
      </w:r>
      <w:r w:rsidRPr="009C7A0A">
        <w:t>3,5 mm un vairāk.</w:t>
      </w:r>
      <w:bookmarkEnd w:id="11"/>
    </w:p>
    <w:p w14:paraId="54BE515B" w14:textId="68D38B01" w:rsidR="009C591A" w:rsidRPr="009C7A0A" w:rsidRDefault="009C591A" w:rsidP="009C7A0A">
      <w:pPr>
        <w:spacing w:line="276" w:lineRule="auto"/>
        <w:ind w:firstLine="720"/>
        <w:jc w:val="both"/>
      </w:pPr>
      <w:r w:rsidRPr="009C7A0A">
        <w:t>[</w:t>
      </w:r>
      <w:r w:rsidR="00A8188A" w:rsidRPr="009C7A0A">
        <w:t>17</w:t>
      </w:r>
      <w:r w:rsidRPr="009C7A0A">
        <w:t>.3.4]</w:t>
      </w:r>
      <w:r w:rsidRPr="009C7A0A">
        <w:rPr>
          <w:color w:val="000000" w:themeColor="text1"/>
        </w:rPr>
        <w:t> </w:t>
      </w:r>
      <w:r w:rsidRPr="009C7A0A">
        <w:t xml:space="preserve">Ievērojot minēto, Senāts atzīst, ka apelācijas instances tiesa nav norādījusi motīvus, kāpēc noraidāmi pierādījumi, ar kuriem pamatota apsūdzība, un kāpēc nav ņemami vērā normatīvie tiesību akti, kas noteica apsūdzētā </w:t>
      </w:r>
      <w:r w:rsidR="00AA60FA">
        <w:rPr>
          <w:lang w:eastAsia="lv-LV"/>
        </w:rPr>
        <w:t xml:space="preserve">[pers. BK] </w:t>
      </w:r>
      <w:r w:rsidR="00AA60FA" w:rsidRPr="009C7A0A">
        <w:rPr>
          <w:lang w:eastAsia="lv-LV"/>
        </w:rPr>
        <w:t xml:space="preserve">un </w:t>
      </w:r>
      <w:r w:rsidR="00AA60FA">
        <w:rPr>
          <w:lang w:eastAsia="lv-LV"/>
        </w:rPr>
        <w:t>[pers. BL]</w:t>
      </w:r>
      <w:r w:rsidRPr="009C7A0A">
        <w:rPr>
          <w:lang w:eastAsia="lv-LV"/>
        </w:rPr>
        <w:t xml:space="preserve"> profesionālo pienākumu pildīšanas ietvarus</w:t>
      </w:r>
      <w:r w:rsidRPr="009C7A0A">
        <w:t>. Tādējādi apelācijas instances tiesa pārkāpusi Kriminālprocesa likuma 564. panta ceturtās daļas prasības.</w:t>
      </w:r>
    </w:p>
    <w:p w14:paraId="2443EB40" w14:textId="5CE1CF53" w:rsidR="009C591A" w:rsidRPr="009C7A0A" w:rsidRDefault="009C591A" w:rsidP="009C7A0A">
      <w:pPr>
        <w:pStyle w:val="BodyText2"/>
        <w:spacing w:line="276" w:lineRule="auto"/>
        <w:ind w:firstLine="720"/>
        <w:jc w:val="both"/>
        <w:rPr>
          <w:rFonts w:ascii="Times New Roman" w:hAnsi="Times New Roman"/>
          <w:sz w:val="24"/>
          <w:szCs w:val="24"/>
        </w:rPr>
      </w:pPr>
      <w:r w:rsidRPr="009C7A0A">
        <w:rPr>
          <w:rFonts w:ascii="Times New Roman" w:hAnsi="Times New Roman"/>
          <w:sz w:val="24"/>
          <w:szCs w:val="24"/>
        </w:rPr>
        <w:t>[</w:t>
      </w:r>
      <w:r w:rsidR="00A8188A" w:rsidRPr="009C7A0A">
        <w:rPr>
          <w:rFonts w:ascii="Times New Roman" w:hAnsi="Times New Roman"/>
          <w:sz w:val="24"/>
          <w:szCs w:val="24"/>
        </w:rPr>
        <w:t>17</w:t>
      </w:r>
      <w:r w:rsidRPr="009C7A0A">
        <w:rPr>
          <w:rFonts w:ascii="Times New Roman" w:hAnsi="Times New Roman"/>
          <w:sz w:val="24"/>
          <w:szCs w:val="24"/>
        </w:rPr>
        <w:t>.4] Izvērtēj</w:t>
      </w:r>
      <w:r w:rsidR="006A0339" w:rsidRPr="009C7A0A">
        <w:rPr>
          <w:rFonts w:ascii="Times New Roman" w:hAnsi="Times New Roman"/>
          <w:sz w:val="24"/>
          <w:szCs w:val="24"/>
        </w:rPr>
        <w:t>is</w:t>
      </w:r>
      <w:r w:rsidRPr="009C7A0A">
        <w:rPr>
          <w:rFonts w:ascii="Times New Roman" w:hAnsi="Times New Roman"/>
          <w:sz w:val="24"/>
          <w:szCs w:val="24"/>
        </w:rPr>
        <w:t xml:space="preserve"> prokurora kasācijas protesta argumentus par apsūdzētā </w:t>
      </w:r>
      <w:r w:rsidR="00E2797F">
        <w:rPr>
          <w:rFonts w:ascii="Times New Roman" w:hAnsi="Times New Roman"/>
          <w:sz w:val="24"/>
          <w:szCs w:val="24"/>
        </w:rPr>
        <w:t>[pers. BI]</w:t>
      </w:r>
      <w:r w:rsidRPr="009C7A0A">
        <w:rPr>
          <w:rFonts w:ascii="Times New Roman" w:hAnsi="Times New Roman"/>
          <w:sz w:val="24"/>
          <w:szCs w:val="24"/>
        </w:rPr>
        <w:t xml:space="preserve"> </w:t>
      </w:r>
      <w:r w:rsidR="006A0339" w:rsidRPr="009C7A0A">
        <w:rPr>
          <w:rFonts w:ascii="Times New Roman" w:hAnsi="Times New Roman"/>
          <w:sz w:val="24"/>
          <w:szCs w:val="24"/>
        </w:rPr>
        <w:t xml:space="preserve">nepamatotu </w:t>
      </w:r>
      <w:r w:rsidRPr="009C7A0A">
        <w:rPr>
          <w:rFonts w:ascii="Times New Roman" w:hAnsi="Times New Roman"/>
          <w:sz w:val="24"/>
          <w:szCs w:val="24"/>
        </w:rPr>
        <w:t>atzīšanu par nevainīgu pret viņu celtajā apsūdzībā pēc Krimināllikuma 239. panta otrās daļas (likuma redakcijā, kas stājās spēkā 2013. gada 1. aprīlī)</w:t>
      </w:r>
      <w:r w:rsidR="00B15505" w:rsidRPr="009C7A0A">
        <w:rPr>
          <w:rFonts w:ascii="Times New Roman" w:hAnsi="Times New Roman"/>
          <w:sz w:val="24"/>
          <w:szCs w:val="24"/>
        </w:rPr>
        <w:t>,</w:t>
      </w:r>
      <w:r w:rsidRPr="009C7A0A">
        <w:rPr>
          <w:rFonts w:ascii="Times New Roman" w:hAnsi="Times New Roman"/>
          <w:sz w:val="24"/>
          <w:szCs w:val="24"/>
        </w:rPr>
        <w:t xml:space="preserve">123. panta otrās daļas un attaisnošanu, Senāts norāda, ka šajā daļā kasācijas instances tiesas kompetencē ir sniegt atbildi, vai apelācijas instances tiesa pierādījumu ticamības </w:t>
      </w:r>
      <w:proofErr w:type="spellStart"/>
      <w:r w:rsidRPr="009C7A0A">
        <w:rPr>
          <w:rFonts w:ascii="Times New Roman" w:hAnsi="Times New Roman"/>
          <w:color w:val="000000"/>
          <w:sz w:val="24"/>
          <w:szCs w:val="24"/>
        </w:rPr>
        <w:t>izvērtējumā</w:t>
      </w:r>
      <w:proofErr w:type="spellEnd"/>
      <w:r w:rsidRPr="009C7A0A">
        <w:rPr>
          <w:rFonts w:ascii="Times New Roman" w:hAnsi="Times New Roman"/>
          <w:sz w:val="24"/>
          <w:szCs w:val="24"/>
        </w:rPr>
        <w:t xml:space="preserve"> nav pieļāvusi tādus Kriminālprocesa likuma pārkāpumus, kas noveduši pie nelikumīga nolēmuma.</w:t>
      </w:r>
    </w:p>
    <w:p w14:paraId="5CA4ABE6" w14:textId="0FF58B68" w:rsidR="009C591A" w:rsidRPr="009C7A0A" w:rsidRDefault="009C591A" w:rsidP="009C7A0A">
      <w:pPr>
        <w:spacing w:line="276" w:lineRule="auto"/>
        <w:ind w:firstLine="720"/>
        <w:jc w:val="both"/>
        <w:rPr>
          <w:lang w:eastAsia="lv-LV"/>
        </w:rPr>
      </w:pPr>
      <w:r w:rsidRPr="009C7A0A">
        <w:t xml:space="preserve">Apelācijas instances tiesa konstatējusi </w:t>
      </w:r>
      <w:r w:rsidRPr="009C7A0A">
        <w:rPr>
          <w:lang w:eastAsia="lv-LV"/>
        </w:rPr>
        <w:t>Kriminālprocesa likuma 519. panta 1. punktā norādīto attaisnojoša sprieduma taisīšanas pamatu</w:t>
      </w:r>
      <w:r w:rsidR="00807FB7" w:rsidRPr="009C7A0A">
        <w:rPr>
          <w:lang w:eastAsia="lv-LV"/>
        </w:rPr>
        <w:t xml:space="preserve">, norādot, ka: </w:t>
      </w:r>
      <w:r w:rsidRPr="009C7A0A">
        <w:t>1) </w:t>
      </w:r>
      <w:r w:rsidRPr="009C7A0A">
        <w:rPr>
          <w:lang w:eastAsia="lv-LV"/>
        </w:rPr>
        <w:t>apsūdzībā norādītās likumu normas nenoteic būvniecīb</w:t>
      </w:r>
      <w:r w:rsidR="00807FB7" w:rsidRPr="009C7A0A">
        <w:rPr>
          <w:lang w:eastAsia="lv-LV"/>
        </w:rPr>
        <w:t>ā</w:t>
      </w:r>
      <w:r w:rsidRPr="009C7A0A">
        <w:rPr>
          <w:lang w:eastAsia="lv-LV"/>
        </w:rPr>
        <w:t xml:space="preserve"> iesaistīto personu pienākumus vai rīcības priekšrakstus, tādējādi nevar noteikt, kādus pienākumus ir pārkāpis apsūdzētais </w:t>
      </w:r>
      <w:r w:rsidR="00D722C8">
        <w:rPr>
          <w:lang w:eastAsia="lv-LV"/>
        </w:rPr>
        <w:t>[pers. BI]</w:t>
      </w:r>
      <w:r w:rsidRPr="009C7A0A">
        <w:rPr>
          <w:lang w:eastAsia="lv-LV"/>
        </w:rPr>
        <w:t xml:space="preserve">; 2) izvērtējot lietā iegūtos pierādījumus to kopumā un savstarpējā sakarībā, apsūdzētā </w:t>
      </w:r>
      <w:r w:rsidR="00A37452">
        <w:rPr>
          <w:lang w:eastAsia="lv-LV"/>
        </w:rPr>
        <w:t>[pers. BI]</w:t>
      </w:r>
      <w:r w:rsidRPr="009C7A0A">
        <w:rPr>
          <w:lang w:eastAsia="lv-LV"/>
        </w:rPr>
        <w:t xml:space="preserve"> darbībās nav konstatējami viņam inkriminēto noziedzīgo nodarījumu sastāvi.</w:t>
      </w:r>
    </w:p>
    <w:p w14:paraId="3463727E" w14:textId="11A260A3" w:rsidR="009C591A" w:rsidRPr="009C7A0A" w:rsidRDefault="009C591A" w:rsidP="009C7A0A">
      <w:pPr>
        <w:spacing w:line="276" w:lineRule="auto"/>
        <w:ind w:firstLine="720"/>
        <w:jc w:val="both"/>
      </w:pPr>
      <w:r w:rsidRPr="009C7A0A">
        <w:t>[</w:t>
      </w:r>
      <w:r w:rsidR="00A8188A" w:rsidRPr="009C7A0A">
        <w:t>17</w:t>
      </w:r>
      <w:r w:rsidRPr="009C7A0A">
        <w:t xml:space="preserve">.4.1] Senāts atzīst, ka apelācijas instances tiesa nav pamatojusi secinājumus par to, ka no apsūdzībā norādītajām normatīvo tiesību aktu normām nevar izdarīt secinājumus par </w:t>
      </w:r>
      <w:r w:rsidR="00E57E2F">
        <w:t>[pers. BI]</w:t>
      </w:r>
      <w:r w:rsidRPr="009C7A0A">
        <w:t xml:space="preserve"> kā eksperta veicamajiem pienākumiem.</w:t>
      </w:r>
    </w:p>
    <w:p w14:paraId="662C20BD" w14:textId="77777777" w:rsidR="009C591A" w:rsidRPr="009C7A0A" w:rsidRDefault="009C591A" w:rsidP="009C7A0A">
      <w:pPr>
        <w:spacing w:line="276" w:lineRule="auto"/>
        <w:ind w:firstLine="720"/>
        <w:jc w:val="both"/>
      </w:pPr>
      <w:r w:rsidRPr="009C7A0A">
        <w:t>Apelācijas instances tiesa apsūdzībā norādītās normas vien uzskaitījusi, taču nav sniegusi šo normu tiesiskā sastāva vērtējumu.</w:t>
      </w:r>
    </w:p>
    <w:p w14:paraId="45F0F21D" w14:textId="7E94CB35" w:rsidR="009C591A" w:rsidRPr="009C7A0A" w:rsidRDefault="009C591A" w:rsidP="009C7A0A">
      <w:pPr>
        <w:spacing w:line="276" w:lineRule="auto"/>
        <w:ind w:firstLine="720"/>
        <w:jc w:val="both"/>
      </w:pPr>
      <w:r w:rsidRPr="009C7A0A">
        <w:t>Lai arī apsūdzībā norādītajā laikā nebija normatīvā tiesību akta, kas detalizēti noteiktu būvekspertīzes pārbaudes kārtību un eksperta atzinuma struktūru un saturu, Senāts norāda, ka likumdevējs ir definējis ekspertīzes mērķi un jēgu – veikt profesionālu pārbaudi nolūkā sniegt pamatotu atzinumu par projektējamo konstrukciju atbilstību drošības standartiem, līdz ar to eksperta atzinumam jāsatur uz speciālajām zināšanām pamatoti secinājumi par būvējamās ēkas drošību, izskatāmajā lietā</w:t>
      </w:r>
      <w:r w:rsidR="00807FB7" w:rsidRPr="009C7A0A">
        <w:t xml:space="preserve"> –</w:t>
      </w:r>
      <w:r w:rsidRPr="009C7A0A">
        <w:t xml:space="preserve"> par projektējamās kopnes atbilstību stiprības un stabilitātes pazīmēm.</w:t>
      </w:r>
    </w:p>
    <w:p w14:paraId="47851B40" w14:textId="5B6BA848" w:rsidR="009C591A" w:rsidRPr="009C7A0A" w:rsidRDefault="009C591A" w:rsidP="009C7A0A">
      <w:pPr>
        <w:spacing w:line="276" w:lineRule="auto"/>
        <w:ind w:firstLine="720"/>
        <w:jc w:val="both"/>
      </w:pPr>
      <w:r w:rsidRPr="009C7A0A">
        <w:t>Būvniecības likuma 1. panta 4.punkts noteic</w:t>
      </w:r>
      <w:r w:rsidR="00A41C77" w:rsidRPr="009C7A0A">
        <w:t>a</w:t>
      </w:r>
      <w:r w:rsidRPr="009C7A0A">
        <w:t>, ka būvekspertīze ir profesionāla pārbaude, kuras mērķis ir dot pamatotu atzinumu par būvprojekta, būves tehniskā stāvokļa vai veikto būvdarbu tehnisko risinājumu atbilstību normatīvo aktu un tehnisko noteikumu prasībām.</w:t>
      </w:r>
    </w:p>
    <w:p w14:paraId="5873427C" w14:textId="77777777" w:rsidR="009C591A" w:rsidRPr="009C7A0A" w:rsidRDefault="009C591A" w:rsidP="009C7A0A">
      <w:pPr>
        <w:spacing w:line="276" w:lineRule="auto"/>
        <w:ind w:firstLine="720"/>
        <w:jc w:val="both"/>
      </w:pPr>
      <w:r w:rsidRPr="009C7A0A">
        <w:t>Tādējādi uz ekspertu attiecas arī citas normatīvo tiesību aktu normas, kas noteica būvkonstrukciju drošības prasības.</w:t>
      </w:r>
    </w:p>
    <w:p w14:paraId="58CA7FE3" w14:textId="77777777" w:rsidR="009C591A" w:rsidRPr="009C7A0A" w:rsidRDefault="009C591A" w:rsidP="009C7A0A">
      <w:pPr>
        <w:spacing w:line="276" w:lineRule="auto"/>
        <w:ind w:firstLine="720"/>
        <w:jc w:val="both"/>
      </w:pPr>
      <w:r w:rsidRPr="009C7A0A">
        <w:t>Būvniecības likuma 3. panta trešās daļas 1. punkts noteica, ka būve projektējama un būvējama tā, lai nodrošinātu vides arhitektonisko kvalitāti, vides pieejamību, dabas resursu racionālu izmantošanu, kā arī visas būves un tās atsevišķu daļu stiprību un stabilitāti.</w:t>
      </w:r>
    </w:p>
    <w:p w14:paraId="6B99166E" w14:textId="6E4599F6" w:rsidR="009C591A" w:rsidRPr="009C7A0A" w:rsidRDefault="009C591A" w:rsidP="009C7A0A">
      <w:pPr>
        <w:spacing w:line="276" w:lineRule="auto"/>
        <w:ind w:firstLine="720"/>
        <w:jc w:val="both"/>
      </w:pPr>
      <w:r w:rsidRPr="009C7A0A">
        <w:t xml:space="preserve">Ministru kabineta 1997. gada 1. aprīļa noteikumu Nr. 112 „Vispārīgie būvnoteikumi” 92. punkts </w:t>
      </w:r>
      <w:r w:rsidR="00606F05" w:rsidRPr="009C7A0A">
        <w:t xml:space="preserve">(noteikumi zaudēja spēku 2014. gada 1. oktobrī) </w:t>
      </w:r>
      <w:r w:rsidRPr="009C7A0A">
        <w:t xml:space="preserve">noteica, ka </w:t>
      </w:r>
      <w:r w:rsidRPr="009C7A0A">
        <w:lastRenderedPageBreak/>
        <w:t xml:space="preserve">tehniskā projekta risinājumam jāgarantē būves un tās atsevišķu elementu stiprība, stingrība, noturība, energoefektivitāte, </w:t>
      </w:r>
      <w:proofErr w:type="spellStart"/>
      <w:r w:rsidRPr="009C7A0A">
        <w:t>būvakustiskās</w:t>
      </w:r>
      <w:proofErr w:type="spellEnd"/>
      <w:r w:rsidRPr="009C7A0A">
        <w:t xml:space="preserve"> īpašības un aizsardzība pret sprādzieniem un ugunsdrošība, darba un vides aizsardzība kā būvniecības, tā arī ekspluatācijas laikā.</w:t>
      </w:r>
    </w:p>
    <w:p w14:paraId="6AFE7A89" w14:textId="09079D7B" w:rsidR="009C591A" w:rsidRPr="009C7A0A" w:rsidRDefault="009C591A" w:rsidP="009C7A0A">
      <w:pPr>
        <w:spacing w:line="276" w:lineRule="auto"/>
        <w:ind w:firstLine="720"/>
        <w:jc w:val="both"/>
      </w:pPr>
      <w:r w:rsidRPr="009C7A0A">
        <w:t>[</w:t>
      </w:r>
      <w:r w:rsidR="00A8188A" w:rsidRPr="009C7A0A">
        <w:t>17</w:t>
      </w:r>
      <w:r w:rsidRPr="009C7A0A">
        <w:t>.4.2] </w:t>
      </w:r>
      <w:r w:rsidRPr="009C7A0A">
        <w:rPr>
          <w:lang w:eastAsia="lv-LV"/>
        </w:rPr>
        <w:t>Senāts atzīst, ka apelācijas instances tiesa nav</w:t>
      </w:r>
      <w:r w:rsidR="006F794B" w:rsidRPr="009C7A0A">
        <w:rPr>
          <w:lang w:eastAsia="lv-LV"/>
        </w:rPr>
        <w:t xml:space="preserve"> atbilstoši likuma prasībām</w:t>
      </w:r>
      <w:r w:rsidRPr="009C7A0A">
        <w:rPr>
          <w:lang w:eastAsia="lv-LV"/>
        </w:rPr>
        <w:t xml:space="preserve"> izvērtējusi pierādījumus, ar kuriem pamatota apsūdzība, ka </w:t>
      </w:r>
      <w:r w:rsidR="00DB1493">
        <w:rPr>
          <w:lang w:eastAsia="lv-LV"/>
        </w:rPr>
        <w:t>[pers. BI]</w:t>
      </w:r>
      <w:r w:rsidRPr="009C7A0A">
        <w:t xml:space="preserve"> nevērīgi pildīja savus eksperta pienākumus, nepārbaudīja </w:t>
      </w:r>
      <w:r w:rsidR="004E1470">
        <w:t>[pers. A]</w:t>
      </w:r>
      <w:r w:rsidRPr="009C7A0A">
        <w:t xml:space="preserve"> sniegtās ziņas par būvkonstrukciju slodžu atbilstību</w:t>
      </w:r>
      <w:r w:rsidR="00903AEF" w:rsidRPr="009C7A0A">
        <w:t xml:space="preserve"> un</w:t>
      </w:r>
      <w:r w:rsidRPr="009C7A0A">
        <w:t xml:space="preserve"> aprēķināto slodžu pareizību un sniedza reālai situācijai neatbilstošu, pozitīvu slēdzienu par norādītā būvprojekta turpmāko virzību, nepārliecinoties par to, vai būvkonstrukcijas atbilst drošības prasībām.</w:t>
      </w:r>
    </w:p>
    <w:p w14:paraId="3FAFCE49" w14:textId="0D114DEC" w:rsidR="009C591A" w:rsidRPr="009C7A0A" w:rsidRDefault="009C591A" w:rsidP="009C7A0A">
      <w:pPr>
        <w:spacing w:line="276" w:lineRule="auto"/>
        <w:ind w:firstLine="720"/>
        <w:jc w:val="both"/>
        <w:rPr>
          <w:lang w:eastAsia="lv-LV"/>
        </w:rPr>
      </w:pPr>
      <w:r w:rsidRPr="009C7A0A">
        <w:rPr>
          <w:lang w:eastAsia="lv-LV"/>
        </w:rPr>
        <w:t xml:space="preserve">Izvērtējot </w:t>
      </w:r>
      <w:r w:rsidR="004E1470">
        <w:rPr>
          <w:lang w:eastAsia="lv-LV"/>
        </w:rPr>
        <w:t>[pers. BI]</w:t>
      </w:r>
      <w:r w:rsidRPr="009C7A0A">
        <w:rPr>
          <w:lang w:eastAsia="lv-LV"/>
        </w:rPr>
        <w:t xml:space="preserve"> un </w:t>
      </w:r>
      <w:r w:rsidR="004E1470">
        <w:t>[pers. A]</w:t>
      </w:r>
      <w:r w:rsidRPr="009C7A0A">
        <w:rPr>
          <w:lang w:eastAsia="lv-LV"/>
        </w:rPr>
        <w:t xml:space="preserve"> liecības, apelācijas instances tiesa norādījusi, ka eksperts </w:t>
      </w:r>
      <w:r w:rsidR="005B266C">
        <w:rPr>
          <w:lang w:eastAsia="lv-LV"/>
        </w:rPr>
        <w:t>[pers. BI]</w:t>
      </w:r>
      <w:r w:rsidRPr="009C7A0A">
        <w:rPr>
          <w:lang w:eastAsia="lv-LV"/>
        </w:rPr>
        <w:t xml:space="preserve"> </w:t>
      </w:r>
      <w:r w:rsidR="00903AEF" w:rsidRPr="009C7A0A">
        <w:rPr>
          <w:lang w:eastAsia="lv-LV"/>
        </w:rPr>
        <w:t>sniedza</w:t>
      </w:r>
      <w:r w:rsidRPr="009C7A0A">
        <w:rPr>
          <w:lang w:eastAsia="lv-LV"/>
        </w:rPr>
        <w:t xml:space="preserve"> atzinumu par nedalītās tērauda kopnes MK-1 konstruktīvo risinājumu, nevis par dalīto jumta kopni, kura tika izstrādāta vēlāk un bija par cēloni tirdzniecības centra sabrukšanai. </w:t>
      </w:r>
      <w:r w:rsidR="00A13241" w:rsidRPr="009C7A0A">
        <w:rPr>
          <w:lang w:eastAsia="lv-LV"/>
        </w:rPr>
        <w:t>Pēdējā</w:t>
      </w:r>
      <w:r w:rsidRPr="009C7A0A">
        <w:rPr>
          <w:lang w:eastAsia="lv-LV"/>
        </w:rPr>
        <w:t xml:space="preserve"> no </w:t>
      </w:r>
      <w:r w:rsidR="00A13241" w:rsidRPr="009C7A0A">
        <w:rPr>
          <w:lang w:eastAsia="lv-LV"/>
        </w:rPr>
        <w:t xml:space="preserve">piecām </w:t>
      </w:r>
      <w:r w:rsidRPr="009C7A0A">
        <w:rPr>
          <w:lang w:eastAsia="lv-LV"/>
        </w:rPr>
        <w:t xml:space="preserve">būvprojekta versijām, kura attiecas uz sabrukušās konstrukcijas izgatavošanu un montāžu, ir datēta ar 2010. gada 28. jūniju, tas ir, vairāk nekā pusgadu vēlāk par laiku, kad </w:t>
      </w:r>
      <w:r w:rsidR="00C53083">
        <w:rPr>
          <w:lang w:eastAsia="lv-LV"/>
        </w:rPr>
        <w:t>[pers. BI]</w:t>
      </w:r>
      <w:r w:rsidRPr="009C7A0A">
        <w:rPr>
          <w:lang w:eastAsia="lv-LV"/>
        </w:rPr>
        <w:t xml:space="preserve"> tika iesniegta būvprojekta BK daļas dokumentācija.</w:t>
      </w:r>
    </w:p>
    <w:p w14:paraId="729CC012" w14:textId="587466E2" w:rsidR="006F794B" w:rsidRPr="009C7A0A" w:rsidRDefault="009C591A" w:rsidP="009C7A0A">
      <w:pPr>
        <w:widowControl w:val="0"/>
        <w:tabs>
          <w:tab w:val="left" w:pos="1710"/>
        </w:tabs>
        <w:spacing w:line="276" w:lineRule="auto"/>
        <w:ind w:firstLine="720"/>
        <w:jc w:val="both"/>
      </w:pPr>
      <w:r w:rsidRPr="009C7A0A">
        <w:t xml:space="preserve">Atzinumu par apsūdzētā </w:t>
      </w:r>
      <w:r w:rsidR="00F43E69">
        <w:t>[pers. BI]</w:t>
      </w:r>
      <w:r w:rsidRPr="009C7A0A">
        <w:t xml:space="preserve"> nevainīgumu minētajos noziedzīgajos nodarījumos apelācijas instances tiesa pamatojusi ar šādiem pierādījumiem: 1) apsūdzētā </w:t>
      </w:r>
      <w:r w:rsidR="0042474D">
        <w:t>[pers. A]</w:t>
      </w:r>
      <w:r w:rsidRPr="009C7A0A">
        <w:t xml:space="preserve"> liecībām, ka </w:t>
      </w:r>
      <w:r w:rsidR="00903AEF" w:rsidRPr="009C7A0A">
        <w:t xml:space="preserve">viņš </w:t>
      </w:r>
      <w:r w:rsidR="0042474D">
        <w:t>[pers. BI]</w:t>
      </w:r>
      <w:r w:rsidRPr="009C7A0A">
        <w:t xml:space="preserve"> iesniedza nedalītās kopnes rasējumu</w:t>
      </w:r>
      <w:r w:rsidR="00655A0A" w:rsidRPr="009C7A0A">
        <w:t>, kā arī jumta kopņu plānu ekspertīzes veikšanai</w:t>
      </w:r>
      <w:r w:rsidRPr="009C7A0A">
        <w:t xml:space="preserve"> un pēc tam saņēma pozitīvu atbildi par veiktajiem aprēķiniem</w:t>
      </w:r>
      <w:r w:rsidR="00903AEF" w:rsidRPr="009C7A0A">
        <w:t>, s</w:t>
      </w:r>
      <w:r w:rsidRPr="009C7A0A">
        <w:t xml:space="preserve">avukārt kopnes detalizācijas plānu izstrādāja </w:t>
      </w:r>
      <w:r w:rsidRPr="009C7A0A">
        <w:rPr>
          <w:bCs/>
          <w:color w:val="000000"/>
        </w:rPr>
        <w:t>SIA „</w:t>
      </w:r>
      <w:r w:rsidR="00A55116">
        <w:rPr>
          <w:bCs/>
          <w:color w:val="000000"/>
        </w:rPr>
        <w:t>[Nosaukums F</w:t>
      </w:r>
      <w:r w:rsidR="00C84C75">
        <w:rPr>
          <w:bCs/>
          <w:color w:val="000000"/>
        </w:rPr>
        <w:t>]</w:t>
      </w:r>
      <w:r w:rsidRPr="009C7A0A">
        <w:rPr>
          <w:bCs/>
          <w:color w:val="000000"/>
        </w:rPr>
        <w:t>”</w:t>
      </w:r>
      <w:r w:rsidRPr="009C7A0A">
        <w:t xml:space="preserve">, kura pieņēma lēmumu par kopnes sadalīšanu un saskaņoja to ar būvuzņēmēju; 2) apsūdzētā </w:t>
      </w:r>
      <w:r w:rsidR="00832283">
        <w:t>[pers. BI]</w:t>
      </w:r>
      <w:r w:rsidRPr="009C7A0A">
        <w:t xml:space="preserve"> liecībām, ka ekspertīzi veicis nedalītai jumta kopnei, kas redzams no </w:t>
      </w:r>
      <w:r w:rsidRPr="009C7A0A">
        <w:rPr>
          <w:lang w:eastAsia="lv-LV"/>
        </w:rPr>
        <w:t xml:space="preserve">rasējuma lapas BK-03-03, kuru kopā ar citiem dokumentiem saņēma no </w:t>
      </w:r>
      <w:r w:rsidR="000E138E">
        <w:t>[pers. A]</w:t>
      </w:r>
      <w:r w:rsidRPr="009C7A0A">
        <w:rPr>
          <w:lang w:eastAsia="lv-LV"/>
        </w:rPr>
        <w:t xml:space="preserve">; </w:t>
      </w:r>
      <w:r w:rsidRPr="009C7A0A">
        <w:t>3) </w:t>
      </w:r>
      <w:r w:rsidR="000D76C1">
        <w:t>[pers. BI]</w:t>
      </w:r>
      <w:r w:rsidRPr="009C7A0A">
        <w:t xml:space="preserve"> nopratināšanā izsniegtā jumta kopņu plānu Nr. BK-03-03, kurš datēts ar 2009. gada 4. novembri,</w:t>
      </w:r>
      <w:r w:rsidR="00F57BC2" w:rsidRPr="009C7A0A">
        <w:t xml:space="preserve"> no kura redzams,</w:t>
      </w:r>
      <w:r w:rsidRPr="009C7A0A">
        <w:t xml:space="preserve"> ka ēkas „B” daļā tika paredzētas veselas nedalītas kopnes (</w:t>
      </w:r>
      <w:r w:rsidRPr="009C7A0A">
        <w:rPr>
          <w:i/>
          <w:iCs/>
        </w:rPr>
        <w:t>lietas 25. sējuma 24. lapa</w:t>
      </w:r>
      <w:r w:rsidRPr="009C7A0A">
        <w:t>); 4) SIA „</w:t>
      </w:r>
      <w:r w:rsidR="00861C84">
        <w:rPr>
          <w:color w:val="000000"/>
        </w:rPr>
        <w:t>[Nosaukums B]</w:t>
      </w:r>
      <w:r w:rsidRPr="009C7A0A">
        <w:rPr>
          <w:color w:val="000000"/>
        </w:rPr>
        <w:t>”</w:t>
      </w:r>
      <w:r w:rsidRPr="009C7A0A">
        <w:t xml:space="preserve"> kratīšanā izņemto būvobjekta „Daudzstāvu dzīvojamās ēkas un tirdzniecības centr</w:t>
      </w:r>
      <w:r w:rsidR="00F57BC2" w:rsidRPr="009C7A0A">
        <w:t>s</w:t>
      </w:r>
      <w:r w:rsidRPr="009C7A0A">
        <w:t xml:space="preserve">” </w:t>
      </w:r>
      <w:r w:rsidR="00221EB9">
        <w:t>[adrese]</w:t>
      </w:r>
      <w:r w:rsidRPr="009C7A0A">
        <w:t>, saskaņošanas komplektu,</w:t>
      </w:r>
      <w:r w:rsidR="00F57BC2" w:rsidRPr="009C7A0A">
        <w:t xml:space="preserve"> no kura redzams,</w:t>
      </w:r>
      <w:r w:rsidRPr="009C7A0A">
        <w:t xml:space="preserve"> ka 1. stāva pārseguma plāna „B” daļā Nr. BK-03-06 (datēta ar 2009. gada 4. novembri) ir paredzētas MK-1 kopnes nedalītā, viengabalainā veidā (lietisko pierādījumu un dokumentu saraksta 795. pozīcija).</w:t>
      </w:r>
    </w:p>
    <w:p w14:paraId="75B4DF4D" w14:textId="75C0702F" w:rsidR="009C591A" w:rsidRPr="009C7A0A" w:rsidRDefault="00040D57" w:rsidP="009C7A0A">
      <w:pPr>
        <w:widowControl w:val="0"/>
        <w:tabs>
          <w:tab w:val="left" w:pos="1710"/>
        </w:tabs>
        <w:spacing w:line="276" w:lineRule="auto"/>
        <w:ind w:firstLine="720"/>
        <w:jc w:val="both"/>
      </w:pPr>
      <w:r w:rsidRPr="009C7A0A">
        <w:t xml:space="preserve">Vienlaikus tiesa </w:t>
      </w:r>
      <w:r w:rsidR="009C591A" w:rsidRPr="009C7A0A">
        <w:t>nav izvērtējusi citus pierādījumus, kuriem ir nozīme krimināltiesisko attiecību taisnīgā noregulējumā.</w:t>
      </w:r>
    </w:p>
    <w:p w14:paraId="36E78FB9" w14:textId="02DDE8E4" w:rsidR="009C591A" w:rsidRPr="009C7A0A" w:rsidRDefault="009C591A" w:rsidP="009C7A0A">
      <w:pPr>
        <w:spacing w:line="276" w:lineRule="auto"/>
        <w:ind w:firstLine="720"/>
        <w:jc w:val="both"/>
      </w:pPr>
      <w:bookmarkStart w:id="12" w:name="_CTVK0013b8a11abde6241d68d05b7d1cb53d509"/>
      <w:r w:rsidRPr="009C7A0A">
        <w:t xml:space="preserve">Senāta judikatūrā ir pausta atziņa, ka kriminālprocesā pierādāmo apstākļu esības vai </w:t>
      </w:r>
      <w:proofErr w:type="spellStart"/>
      <w:r w:rsidRPr="009C7A0A">
        <w:t>neesības</w:t>
      </w:r>
      <w:proofErr w:type="spellEnd"/>
      <w:r w:rsidRPr="009C7A0A">
        <w:t xml:space="preserve"> apstiprināšanai var izmantot arī netiešos pierādījumus, kas ar saistīto faktu starpniecību dod pamatu izdarīt secinājumu par pierādāmiem apstākļiem, un nav izšķirošas nozīmes, kādi pierādījumi – tiešie vai netiešie – tiek izmantoti apsūdzētā vainīguma pierādīšanā, bet nozīme ir tam, vai pierādījumu kopums ir pietiekams un ticams, lai varētu izdarīt secinājumu par apsūdzētā vainīgumu (</w:t>
      </w:r>
      <w:r w:rsidRPr="009C7A0A">
        <w:rPr>
          <w:i/>
        </w:rPr>
        <w:t xml:space="preserve">Senāta 2021. gada 13. maija lēmuma lietā Nr. SKK-89/2021, </w:t>
      </w:r>
      <w:hyperlink r:id="rId14" w:history="1">
        <w:r w:rsidRPr="001F0508">
          <w:rPr>
            <w:rStyle w:val="Hyperlink"/>
            <w:i/>
          </w:rPr>
          <w:t>ECLI:LV:AT:2021:0513.11091099518.5.L</w:t>
        </w:r>
      </w:hyperlink>
      <w:r w:rsidRPr="009C7A0A">
        <w:rPr>
          <w:i/>
          <w:color w:val="000000" w:themeColor="text1"/>
        </w:rPr>
        <w:t xml:space="preserve">, </w:t>
      </w:r>
      <w:r w:rsidRPr="009C7A0A">
        <w:rPr>
          <w:i/>
        </w:rPr>
        <w:t>5.1. </w:t>
      </w:r>
      <w:r w:rsidR="00C7165B" w:rsidRPr="009C7A0A">
        <w:rPr>
          <w:i/>
        </w:rPr>
        <w:t>punkts</w:t>
      </w:r>
      <w:r w:rsidRPr="009C7A0A">
        <w:t>).</w:t>
      </w:r>
      <w:bookmarkEnd w:id="12"/>
      <w:r w:rsidRPr="009C7A0A">
        <w:fldChar w:fldCharType="begin"/>
      </w:r>
      <w:r w:rsidRPr="009C7A0A">
        <w:instrText>ADDIN CITAVI.PLACEHOLDER e0d9f8d9-88cf-4242-a048-d9c8ce99710f 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</w:instrText>
      </w:r>
      <w:r w:rsidRPr="009C7A0A">
        <w:fldChar w:fldCharType="separate"/>
      </w:r>
      <w:bookmarkStart w:id="13" w:name="_CTVP001e0d9f8d988cf4242a048d9c8ce99710f"/>
      <w:bookmarkEnd w:id="13"/>
      <w:r w:rsidRPr="009C7A0A">
        <w:fldChar w:fldCharType="end"/>
      </w:r>
    </w:p>
    <w:p w14:paraId="6C8184B2" w14:textId="78DA9CE1" w:rsidR="009C591A" w:rsidRPr="009C7A0A" w:rsidRDefault="009C591A" w:rsidP="009C7A0A">
      <w:pPr>
        <w:widowControl w:val="0"/>
        <w:tabs>
          <w:tab w:val="left" w:pos="1710"/>
        </w:tabs>
        <w:suppressAutoHyphens/>
        <w:spacing w:line="276" w:lineRule="auto"/>
        <w:ind w:firstLine="720"/>
        <w:jc w:val="both"/>
        <w:rPr>
          <w:color w:val="000000"/>
        </w:rPr>
      </w:pPr>
      <w:r w:rsidRPr="009C7A0A">
        <w:rPr>
          <w:color w:val="000000"/>
        </w:rPr>
        <w:t>Pievienojoties prof.</w:t>
      </w:r>
      <w:r w:rsidR="00A27525" w:rsidRPr="009C7A0A">
        <w:rPr>
          <w:color w:val="000000"/>
        </w:rPr>
        <w:t> </w:t>
      </w:r>
      <w:r w:rsidRPr="009C7A0A">
        <w:rPr>
          <w:color w:val="000000"/>
        </w:rPr>
        <w:t xml:space="preserve">Kristīnes </w:t>
      </w:r>
      <w:proofErr w:type="spellStart"/>
      <w:r w:rsidRPr="009C7A0A">
        <w:rPr>
          <w:color w:val="000000"/>
        </w:rPr>
        <w:t>Stradas</w:t>
      </w:r>
      <w:proofErr w:type="spellEnd"/>
      <w:r w:rsidRPr="009C7A0A">
        <w:rPr>
          <w:color w:val="000000"/>
        </w:rPr>
        <w:t xml:space="preserve">-Rozenbergas paustajam viedoklim, judikatūrā nostiprināta atziņa, ka ziņu izvērtēšana kopsakarā nozīmē, ka, lai arī ticamība ir katram individuālam pierādījumam piemītoša pazīme, tomēr to noteikt var, tikai skatot attiecīgo pierādījumu vienotā </w:t>
      </w:r>
      <w:r w:rsidRPr="009C7A0A">
        <w:t xml:space="preserve">sistēmā ar citiem pierādījumiem un vērtējot, kā veidojas to </w:t>
      </w:r>
      <w:r w:rsidRPr="009C7A0A">
        <w:lastRenderedPageBreak/>
        <w:t>savstarpējās sakarības (</w:t>
      </w:r>
      <w:r w:rsidR="009B074B">
        <w:t>sk. </w:t>
      </w:r>
      <w:r w:rsidRPr="009C7A0A">
        <w:rPr>
          <w:i/>
          <w:iCs/>
        </w:rPr>
        <w:t xml:space="preserve">Senāta </w:t>
      </w:r>
      <w:r w:rsidRPr="009C7A0A">
        <w:rPr>
          <w:bCs/>
          <w:i/>
          <w:iCs/>
        </w:rPr>
        <w:t>2022. gada 20. janvāra lēmuma lietā Nr. SKK</w:t>
      </w:r>
      <w:r w:rsidRPr="009C7A0A">
        <w:rPr>
          <w:bCs/>
          <w:i/>
          <w:iCs/>
        </w:rPr>
        <w:noBreakHyphen/>
        <w:t>22/2022,</w:t>
      </w:r>
      <w:r w:rsidRPr="009C7A0A">
        <w:t xml:space="preserve"> </w:t>
      </w:r>
      <w:hyperlink r:id="rId15" w:history="1">
        <w:r w:rsidRPr="009B074B">
          <w:rPr>
            <w:rStyle w:val="Hyperlink"/>
            <w:bCs/>
            <w:i/>
            <w:iCs/>
          </w:rPr>
          <w:t>ECLI:LV:AT:2022:0120.11380033718.4.L</w:t>
        </w:r>
      </w:hyperlink>
      <w:r w:rsidRPr="009C7A0A">
        <w:rPr>
          <w:bCs/>
          <w:i/>
          <w:iCs/>
        </w:rPr>
        <w:t>,</w:t>
      </w:r>
      <w:r w:rsidRPr="009C7A0A">
        <w:rPr>
          <w:rStyle w:val="Hyperlink"/>
          <w:bCs/>
          <w:i/>
          <w:iCs/>
          <w:u w:val="none"/>
        </w:rPr>
        <w:t xml:space="preserve"> </w:t>
      </w:r>
      <w:r w:rsidRPr="009C7A0A">
        <w:rPr>
          <w:rStyle w:val="Hyperlink"/>
          <w:bCs/>
          <w:i/>
          <w:iCs/>
          <w:color w:val="auto"/>
          <w:u w:val="none"/>
        </w:rPr>
        <w:t>6.2. </w:t>
      </w:r>
      <w:r w:rsidR="005707AB" w:rsidRPr="009C7A0A">
        <w:rPr>
          <w:rStyle w:val="Hyperlink"/>
          <w:bCs/>
          <w:i/>
          <w:iCs/>
          <w:color w:val="auto"/>
          <w:u w:val="none"/>
        </w:rPr>
        <w:t>punkt</w:t>
      </w:r>
      <w:r w:rsidR="009B074B">
        <w:rPr>
          <w:rStyle w:val="Hyperlink"/>
          <w:bCs/>
          <w:i/>
          <w:iCs/>
          <w:color w:val="auto"/>
          <w:u w:val="none"/>
        </w:rPr>
        <w:t>u</w:t>
      </w:r>
      <w:r w:rsidRPr="009C7A0A">
        <w:t>)</w:t>
      </w:r>
      <w:r w:rsidRPr="009C7A0A">
        <w:rPr>
          <w:color w:val="000000"/>
        </w:rPr>
        <w:t>.</w:t>
      </w:r>
    </w:p>
    <w:p w14:paraId="3FCC8E5C" w14:textId="37A7E23A" w:rsidR="009C591A" w:rsidRPr="009C7A0A" w:rsidRDefault="009C591A" w:rsidP="009C7A0A">
      <w:pPr>
        <w:widowControl w:val="0"/>
        <w:tabs>
          <w:tab w:val="left" w:pos="1710"/>
        </w:tabs>
        <w:suppressAutoHyphens/>
        <w:spacing w:line="276" w:lineRule="auto"/>
        <w:ind w:firstLine="720"/>
        <w:jc w:val="both"/>
      </w:pPr>
      <w:r w:rsidRPr="009C7A0A">
        <w:rPr>
          <w:color w:val="000000"/>
        </w:rPr>
        <w:t xml:space="preserve">Senāts atzīst, ka apelācijas instances tiesa </w:t>
      </w:r>
      <w:r w:rsidRPr="009C7A0A">
        <w:t>nav sniegusi motivētu atzinumu, kāpēc nav pamatots valsts apsūdzības arguments, ka nedalītas tērauda kopnes rasējums</w:t>
      </w:r>
      <w:r w:rsidR="00040D57" w:rsidRPr="009C7A0A">
        <w:t xml:space="preserve"> tika izgatavots jau pēc nogruvuma</w:t>
      </w:r>
      <w:r w:rsidR="00B8511C" w:rsidRPr="009C7A0A">
        <w:t xml:space="preserve">. Tāpat apelācijas instances tiesa nav sniegusi motivētu atzinumu, </w:t>
      </w:r>
      <w:r w:rsidRPr="009C7A0A">
        <w:t xml:space="preserve">kāpēc noraidāmi šādi pierādījumi: 1) liecinieka </w:t>
      </w:r>
      <w:r w:rsidR="00457E61">
        <w:t>[pers. LA]</w:t>
      </w:r>
      <w:r w:rsidRPr="009C7A0A">
        <w:t xml:space="preserve"> liecības par to, ka no 2009. gada februāra līdz 2010. gada novembrim viņš, strādājot SIA „</w:t>
      </w:r>
      <w:r w:rsidR="00457E61">
        <w:t>[Nosaukums A]</w:t>
      </w:r>
      <w:r w:rsidRPr="009C7A0A">
        <w:t xml:space="preserve">” par tehniķi projektā </w:t>
      </w:r>
      <w:r w:rsidR="00EA5C83">
        <w:t>[adrese]</w:t>
      </w:r>
      <w:r w:rsidRPr="009C7A0A">
        <w:t>, izstrādāja rasējumus gan būvkonstrukcijas daļas saskaņošanas sējumam, gan būvkonstrukciju daļas tehniskajam projektam</w:t>
      </w:r>
      <w:r w:rsidR="00040D57" w:rsidRPr="009C7A0A">
        <w:t xml:space="preserve">, </w:t>
      </w:r>
      <w:r w:rsidR="00AB3DDB" w:rsidRPr="009C7A0A">
        <w:t xml:space="preserve">savukārt </w:t>
      </w:r>
      <w:r w:rsidR="00B8511C" w:rsidRPr="009C7A0A">
        <w:t xml:space="preserve">nedalītu kopni tehniskajā projektā nebija redzējis, </w:t>
      </w:r>
      <w:r w:rsidR="00040D57" w:rsidRPr="009C7A0A">
        <w:t>un</w:t>
      </w:r>
      <w:r w:rsidR="006F794B" w:rsidRPr="009C7A0A">
        <w:t xml:space="preserve"> p</w:t>
      </w:r>
      <w:r w:rsidRPr="009C7A0A">
        <w:t xml:space="preserve">ēc </w:t>
      </w:r>
      <w:r w:rsidR="00A31208">
        <w:t>[pers. A]</w:t>
      </w:r>
      <w:r w:rsidRPr="009C7A0A">
        <w:t xml:space="preserve"> skicēm un mutiskām norādēm izstrādāja kopni ar dalījumu</w:t>
      </w:r>
      <w:r w:rsidR="00040D57" w:rsidRPr="009C7A0A">
        <w:t>,</w:t>
      </w:r>
      <w:r w:rsidRPr="009C7A0A">
        <w:t xml:space="preserve">; </w:t>
      </w:r>
      <w:bookmarkStart w:id="14" w:name="_Hlk156483631"/>
      <w:r w:rsidRPr="009C7A0A">
        <w:t xml:space="preserve">2) apsūdzētā </w:t>
      </w:r>
      <w:r w:rsidR="00A31208">
        <w:t>[pers. BJ]</w:t>
      </w:r>
      <w:r w:rsidRPr="009C7A0A">
        <w:t xml:space="preserve"> liecības par to, ka viņš neatceras, ka būtu saņēmis no </w:t>
      </w:r>
      <w:r w:rsidR="00061D49">
        <w:t>[pers. A]</w:t>
      </w:r>
      <w:r w:rsidRPr="009C7A0A">
        <w:t xml:space="preserve"> rasējumus ar veselu kopni</w:t>
      </w:r>
      <w:r w:rsidR="00B8511C" w:rsidRPr="009C7A0A">
        <w:t>,</w:t>
      </w:r>
      <w:r w:rsidR="00245E9B" w:rsidRPr="009C7A0A">
        <w:t xml:space="preserve"> </w:t>
      </w:r>
      <w:r w:rsidR="00B8511C" w:rsidRPr="009C7A0A">
        <w:t>b</w:t>
      </w:r>
      <w:r w:rsidRPr="009C7A0A">
        <w:t>ūvkonstrukcijas daļas rasējumi bija Nr. BK</w:t>
      </w:r>
      <w:r w:rsidRPr="009C7A0A">
        <w:noBreakHyphen/>
        <w:t>03</w:t>
      </w:r>
      <w:r w:rsidRPr="009C7A0A">
        <w:noBreakHyphen/>
        <w:t>13.0 ar dalītu kopni, pēc tam bija piecas izmaiņas, nemainot kopnes dalījumu, pēdējās ar NR. BK</w:t>
      </w:r>
      <w:r w:rsidRPr="009C7A0A">
        <w:noBreakHyphen/>
        <w:t>03</w:t>
      </w:r>
      <w:r w:rsidRPr="009C7A0A">
        <w:noBreakHyphen/>
        <w:t>13.5. Savukārt Nr. BK</w:t>
      </w:r>
      <w:r w:rsidRPr="009C7A0A">
        <w:noBreakHyphen/>
        <w:t>03</w:t>
      </w:r>
      <w:r w:rsidRPr="009C7A0A">
        <w:noBreakHyphen/>
        <w:t xml:space="preserve">25 bija piešķirts citam rasējumam – „2. stāva pārseguma augšējā stiegrojuma plāns”, kas bija </w:t>
      </w:r>
      <w:r w:rsidR="00040D57" w:rsidRPr="009C7A0A">
        <w:rPr>
          <w:color w:val="000000" w:themeColor="text1"/>
        </w:rPr>
        <w:t>paredzēts</w:t>
      </w:r>
      <w:r w:rsidRPr="009C7A0A">
        <w:rPr>
          <w:color w:val="000000" w:themeColor="text1"/>
        </w:rPr>
        <w:t xml:space="preserve"> 2. kārtai;</w:t>
      </w:r>
      <w:bookmarkEnd w:id="14"/>
      <w:r w:rsidRPr="009C7A0A">
        <w:rPr>
          <w:color w:val="000000" w:themeColor="text1"/>
        </w:rPr>
        <w:t xml:space="preserve"> 3) e</w:t>
      </w:r>
      <w:r w:rsidRPr="009C7A0A">
        <w:noBreakHyphen/>
      </w:r>
      <w:r w:rsidRPr="009C7A0A">
        <w:rPr>
          <w:color w:val="000000" w:themeColor="text1"/>
        </w:rPr>
        <w:t xml:space="preserve">pasta saraksti starp </w:t>
      </w:r>
      <w:r w:rsidR="00121BF8">
        <w:rPr>
          <w:color w:val="000000" w:themeColor="text1"/>
        </w:rPr>
        <w:t>[pers. BJ]</w:t>
      </w:r>
      <w:r w:rsidRPr="009C7A0A">
        <w:rPr>
          <w:color w:val="000000" w:themeColor="text1"/>
        </w:rPr>
        <w:t xml:space="preserve"> un </w:t>
      </w:r>
      <w:r w:rsidR="00121BF8">
        <w:t>[pers. A]</w:t>
      </w:r>
      <w:r w:rsidRPr="009C7A0A">
        <w:rPr>
          <w:color w:val="000000" w:themeColor="text1"/>
        </w:rPr>
        <w:t xml:space="preserve">, no kuras izriet, ka 2009. gada 29. oktobrī </w:t>
      </w:r>
      <w:r w:rsidR="00806F41">
        <w:rPr>
          <w:color w:val="000000" w:themeColor="text1"/>
        </w:rPr>
        <w:t>[pers. BJ]</w:t>
      </w:r>
      <w:r w:rsidRPr="009C7A0A">
        <w:rPr>
          <w:color w:val="000000" w:themeColor="text1"/>
        </w:rPr>
        <w:t xml:space="preserve"> rakstīja un pieprasīja </w:t>
      </w:r>
      <w:r w:rsidR="00781B7D">
        <w:t>[pers. A]</w:t>
      </w:r>
      <w:r w:rsidRPr="009C7A0A">
        <w:rPr>
          <w:color w:val="000000" w:themeColor="text1"/>
        </w:rPr>
        <w:t xml:space="preserve"> 2009. gada 2. novembrī iesniegt BK sadaļas ekspertīzes eksperta slēdzienu, galvenos BK rasējumus un galveno BK rasējumu sarakstu digitālā veidā, lai 2009. gada 4. novembrī dokumentus varētu iesniegt būvvaldē (</w:t>
      </w:r>
      <w:r w:rsidRPr="009C7A0A">
        <w:rPr>
          <w:i/>
          <w:iCs/>
          <w:color w:val="000000" w:themeColor="text1"/>
        </w:rPr>
        <w:t>lietas 48. sējuma 209. lapa</w:t>
      </w:r>
      <w:r w:rsidRPr="009C7A0A">
        <w:rPr>
          <w:color w:val="000000" w:themeColor="text1"/>
        </w:rPr>
        <w:t>); 4) </w:t>
      </w:r>
      <w:bookmarkStart w:id="15" w:name="_Hlk156482451"/>
      <w:r w:rsidRPr="009C7A0A">
        <w:rPr>
          <w:color w:val="000000" w:themeColor="text1"/>
        </w:rPr>
        <w:t xml:space="preserve">liecinieka </w:t>
      </w:r>
      <w:r w:rsidR="004E4743">
        <w:rPr>
          <w:color w:val="000000" w:themeColor="text1"/>
        </w:rPr>
        <w:t>[pers. LB]</w:t>
      </w:r>
      <w:r w:rsidRPr="009C7A0A">
        <w:rPr>
          <w:color w:val="000000" w:themeColor="text1"/>
        </w:rPr>
        <w:t xml:space="preserve"> liecības par to, ka </w:t>
      </w:r>
      <w:bookmarkEnd w:id="15"/>
      <w:r w:rsidRPr="009C7A0A">
        <w:rPr>
          <w:bCs/>
        </w:rPr>
        <w:t xml:space="preserve">2013. gada 25. novembrī </w:t>
      </w:r>
      <w:r w:rsidR="00AE07A0">
        <w:t>[pers. A]</w:t>
      </w:r>
      <w:r w:rsidRPr="009C7A0A">
        <w:rPr>
          <w:bCs/>
        </w:rPr>
        <w:t xml:space="preserve"> nosūtīja</w:t>
      </w:r>
      <w:r w:rsidRPr="009C7A0A">
        <w:t xml:space="preserve"> kopnes rasējumu Nr. BK</w:t>
      </w:r>
      <w:r w:rsidRPr="009C7A0A">
        <w:noBreakHyphen/>
        <w:t>03</w:t>
      </w:r>
      <w:r w:rsidRPr="009C7A0A">
        <w:noBreakHyphen/>
        <w:t xml:space="preserve">25 </w:t>
      </w:r>
      <w:r w:rsidRPr="009C7A0A">
        <w:rPr>
          <w:bCs/>
        </w:rPr>
        <w:t>ar lūgumu pārbaudīt slodzes</w:t>
      </w:r>
      <w:r w:rsidR="00F41398" w:rsidRPr="009C7A0A">
        <w:rPr>
          <w:bCs/>
        </w:rPr>
        <w:t xml:space="preserve">, norādot, ka </w:t>
      </w:r>
      <w:r w:rsidR="00F41398" w:rsidRPr="009C7A0A">
        <w:t xml:space="preserve"> š</w:t>
      </w:r>
      <w:r w:rsidRPr="009C7A0A">
        <w:t>ajā rasējumā ir redzama nedalīta kopne MK</w:t>
      </w:r>
      <w:r w:rsidRPr="009C7A0A">
        <w:noBreakHyphen/>
        <w:t xml:space="preserve">1, kopnes numurs nesakrīt ar rasējumu, kuru </w:t>
      </w:r>
      <w:r w:rsidR="00AC6E3F">
        <w:t>[pers. BI]</w:t>
      </w:r>
      <w:r w:rsidRPr="009C7A0A">
        <w:t xml:space="preserve"> izmantoja ekspertīzē</w:t>
      </w:r>
      <w:r w:rsidR="00F41398" w:rsidRPr="009C7A0A">
        <w:t>,</w:t>
      </w:r>
      <w:r w:rsidR="00AB3DDB" w:rsidRPr="009C7A0A">
        <w:t xml:space="preserve"> savukārt</w:t>
      </w:r>
      <w:r w:rsidR="00F41398" w:rsidRPr="009C7A0A">
        <w:t xml:space="preserve"> d</w:t>
      </w:r>
      <w:r w:rsidRPr="009C7A0A">
        <w:t>aži mērrādītāji uz rasējuma, tai skaitā sadale pa vidu, pierāda to, ka norādītie parametri attiecas uz dalīto, nevis nedalīto kopni</w:t>
      </w:r>
      <w:r w:rsidR="00F41398" w:rsidRPr="009C7A0A">
        <w:t>, t</w:t>
      </w:r>
      <w:r w:rsidRPr="009C7A0A">
        <w:t>urklāt rasējum</w:t>
      </w:r>
      <w:r w:rsidR="001E133B" w:rsidRPr="009C7A0A">
        <w:t>a</w:t>
      </w:r>
      <w:r w:rsidRPr="009C7A0A">
        <w:t xml:space="preserve"> Nr. BK</w:t>
      </w:r>
      <w:r w:rsidRPr="009C7A0A">
        <w:noBreakHyphen/>
        <w:t>03</w:t>
      </w:r>
      <w:r w:rsidRPr="009C7A0A">
        <w:noBreakHyphen/>
        <w:t>13.2, proti, kopņu rasējuma 2. versijas</w:t>
      </w:r>
      <w:r w:rsidR="001E133B" w:rsidRPr="009C7A0A">
        <w:t>,</w:t>
      </w:r>
      <w:r w:rsidRPr="009C7A0A">
        <w:t xml:space="preserve"> daži mērrādītāji pilnībā sakrīt ar mērrādītājiem rasējumā  Nr. BK</w:t>
      </w:r>
      <w:r w:rsidRPr="009C7A0A">
        <w:noBreakHyphen/>
        <w:t>03</w:t>
      </w:r>
      <w:r w:rsidRPr="009C7A0A">
        <w:noBreakHyphen/>
        <w:t>25.</w:t>
      </w:r>
    </w:p>
    <w:p w14:paraId="257E3644" w14:textId="7B5D3554" w:rsidR="009C591A" w:rsidRPr="009C7A0A" w:rsidRDefault="009C591A" w:rsidP="009C7A0A">
      <w:pPr>
        <w:widowControl w:val="0"/>
        <w:spacing w:line="276" w:lineRule="auto"/>
        <w:ind w:firstLine="720"/>
        <w:jc w:val="both"/>
        <w:rPr>
          <w:rFonts w:eastAsiaTheme="minorHAnsi"/>
        </w:rPr>
      </w:pPr>
      <w:r w:rsidRPr="009C7A0A">
        <w:rPr>
          <w:rFonts w:eastAsiaTheme="minorHAnsi"/>
        </w:rPr>
        <w:t>[</w:t>
      </w:r>
      <w:r w:rsidR="00A8188A" w:rsidRPr="009C7A0A">
        <w:rPr>
          <w:rFonts w:eastAsiaTheme="minorHAnsi"/>
        </w:rPr>
        <w:t>17</w:t>
      </w:r>
      <w:r w:rsidRPr="009C7A0A">
        <w:rPr>
          <w:rFonts w:eastAsiaTheme="minorHAnsi"/>
        </w:rPr>
        <w:t xml:space="preserve">.4.3] Apelācijas instances tiesa, neizvērtējot faktus kopumā un savstarpējā sakarībā, kā arī nesniedzot motīvus, kāpēc </w:t>
      </w:r>
      <w:r w:rsidR="001316EC" w:rsidRPr="009C7A0A">
        <w:rPr>
          <w:rFonts w:eastAsiaTheme="minorHAnsi"/>
        </w:rPr>
        <w:t xml:space="preserve">tā </w:t>
      </w:r>
      <w:r w:rsidRPr="009C7A0A">
        <w:rPr>
          <w:rFonts w:eastAsiaTheme="minorHAnsi"/>
        </w:rPr>
        <w:t xml:space="preserve">noraida minētos pierādījumus, pieļāvusi Kriminālprocesa likuma 128. panta otrās daļas, 564. panta ceturtās daļas pārkāpumus, kas atzīstami par Kriminālprocesa likuma būtiskiem pārkāpumiem šā likuma 575. panta trešās daļas izpratnē un noveduši pie nelikumīga sprieduma daļā par </w:t>
      </w:r>
      <w:r w:rsidR="006261FA">
        <w:rPr>
          <w:rFonts w:eastAsiaTheme="minorHAnsi"/>
        </w:rPr>
        <w:t>[pers. BI]</w:t>
      </w:r>
      <w:r w:rsidRPr="009C7A0A">
        <w:t xml:space="preserve"> atzīšanu par nevainīgu pret viņu celtajā apsūdzībā pēc Krimināllikuma 239. panta otrās daļas (likuma redakcijā, kas stājās spēkā 2013. gada 1. aprīlī)</w:t>
      </w:r>
      <w:r w:rsidR="00763A0B" w:rsidRPr="009C7A0A">
        <w:t xml:space="preserve">, </w:t>
      </w:r>
      <w:r w:rsidRPr="009C7A0A">
        <w:t>123. panta otrās daļas un attaisnošanu</w:t>
      </w:r>
      <w:r w:rsidRPr="009C7A0A">
        <w:rPr>
          <w:rFonts w:eastAsiaTheme="minorHAnsi"/>
        </w:rPr>
        <w:t>.</w:t>
      </w:r>
    </w:p>
    <w:p w14:paraId="75F4962F" w14:textId="7E3012FA" w:rsidR="009C591A" w:rsidRPr="009C7A0A" w:rsidRDefault="009C591A" w:rsidP="009C7A0A">
      <w:pPr>
        <w:widowControl w:val="0"/>
        <w:spacing w:line="276" w:lineRule="auto"/>
        <w:ind w:firstLine="720"/>
        <w:jc w:val="both"/>
        <w:rPr>
          <w:rFonts w:eastAsiaTheme="minorHAnsi"/>
        </w:rPr>
      </w:pPr>
      <w:r w:rsidRPr="009C7A0A">
        <w:t xml:space="preserve">Senāts norāda, ka atkārtoti izskatot </w:t>
      </w:r>
      <w:r w:rsidR="00795015">
        <w:t>[pers. BI]</w:t>
      </w:r>
      <w:r w:rsidRPr="009C7A0A">
        <w:t xml:space="preserve"> celtās apsūdzības pamatotību, apelācijas instances tiesai jākonstatē, kādi konkrēti dokumenti tika nodoti </w:t>
      </w:r>
      <w:r w:rsidR="00411279">
        <w:t>[pers. BI]</w:t>
      </w:r>
      <w:r w:rsidRPr="009C7A0A">
        <w:t xml:space="preserve"> rīcībā būvkonstrukcijas ekspertīzes veikšanai, tai skaitā, vai bijis kopnes MK</w:t>
      </w:r>
      <w:r w:rsidRPr="009C7A0A">
        <w:noBreakHyphen/>
        <w:t>1 konstruktīvais risinājums (rasējums Nr. BK-03-13).</w:t>
      </w:r>
    </w:p>
    <w:p w14:paraId="43326DDA" w14:textId="2C069600" w:rsidR="009C591A" w:rsidRPr="009C7A0A" w:rsidRDefault="009C591A" w:rsidP="009C7A0A">
      <w:pPr>
        <w:widowControl w:val="0"/>
        <w:tabs>
          <w:tab w:val="left" w:pos="1710"/>
        </w:tabs>
        <w:spacing w:line="276" w:lineRule="auto"/>
        <w:ind w:firstLine="720"/>
        <w:jc w:val="both"/>
      </w:pPr>
      <w:r w:rsidRPr="009C7A0A">
        <w:t xml:space="preserve">Noskaidrojot, kādi dokumenti bijuši </w:t>
      </w:r>
      <w:r w:rsidR="00B44F1E">
        <w:t>[pers. BI]</w:t>
      </w:r>
      <w:r w:rsidRPr="009C7A0A">
        <w:t xml:space="preserve"> rīcībā, ir jāsniedz motivēts atzinums, vai </w:t>
      </w:r>
      <w:r w:rsidR="00B95A85">
        <w:t>[pers. BI]</w:t>
      </w:r>
      <w:r w:rsidRPr="009C7A0A">
        <w:t xml:space="preserve">, sniedzot pozitīvu atzinumu par tehniskā projekta risinājuma stiprību un noturību, </w:t>
      </w:r>
      <w:r w:rsidR="001316EC" w:rsidRPr="009C7A0A">
        <w:t xml:space="preserve">ir </w:t>
      </w:r>
      <w:r w:rsidRPr="009C7A0A">
        <w:t xml:space="preserve">veicis nepieciešamos pasākumus pilnīgai un objektīvai ekspertīzes </w:t>
      </w:r>
      <w:r w:rsidR="00AD2AFD" w:rsidRPr="009C7A0A">
        <w:t>izdarīšanai</w:t>
      </w:r>
      <w:r w:rsidRPr="009C7A0A">
        <w:t xml:space="preserve"> </w:t>
      </w:r>
      <w:r w:rsidR="00763A0B" w:rsidRPr="009C7A0A">
        <w:t xml:space="preserve">un </w:t>
      </w:r>
      <w:r w:rsidRPr="009C7A0A">
        <w:t>vai viņa rīcībā bija visas nepieciešamās ziņas par būvkonstrukcijas tehnisko risinājumu un noslodzi, lai varētu pārbaudīt konstrukciju aprēķinu un izdarīt objektīvu ekspertīzi.</w:t>
      </w:r>
    </w:p>
    <w:p w14:paraId="00AD29E1" w14:textId="085B27AA" w:rsidR="009C591A" w:rsidRPr="009C7A0A" w:rsidRDefault="009C591A" w:rsidP="009C7A0A">
      <w:pPr>
        <w:widowControl w:val="0"/>
        <w:tabs>
          <w:tab w:val="left" w:pos="1710"/>
        </w:tabs>
        <w:spacing w:line="276" w:lineRule="auto"/>
        <w:ind w:firstLine="720"/>
        <w:jc w:val="both"/>
      </w:pPr>
      <w:r w:rsidRPr="009C7A0A">
        <w:t>[</w:t>
      </w:r>
      <w:r w:rsidR="00A8188A" w:rsidRPr="009C7A0A">
        <w:t>17</w:t>
      </w:r>
      <w:r w:rsidRPr="009C7A0A">
        <w:t xml:space="preserve">.5] Apelācijas instances tiesa apsūdzēto </w:t>
      </w:r>
      <w:r w:rsidR="00D434EB">
        <w:t>[pers. BN]</w:t>
      </w:r>
      <w:r w:rsidRPr="009C7A0A">
        <w:t xml:space="preserve"> atzinusi par nevainīgu</w:t>
      </w:r>
      <w:r w:rsidR="00BF610B" w:rsidRPr="009C7A0A">
        <w:t xml:space="preserve"> pret viņu celtajā apsūdzībā pēc</w:t>
      </w:r>
      <w:r w:rsidRPr="009C7A0A">
        <w:t xml:space="preserve"> Krimināllikuma 319. panta treš</w:t>
      </w:r>
      <w:r w:rsidR="00BF610B" w:rsidRPr="009C7A0A">
        <w:t>ās</w:t>
      </w:r>
      <w:r w:rsidRPr="009C7A0A">
        <w:t xml:space="preserve"> daļ</w:t>
      </w:r>
      <w:r w:rsidR="00BF610B" w:rsidRPr="009C7A0A">
        <w:t>as</w:t>
      </w:r>
      <w:r w:rsidRPr="009C7A0A">
        <w:t xml:space="preserve"> un attaisnojusi.</w:t>
      </w:r>
    </w:p>
    <w:p w14:paraId="0E2C3C83" w14:textId="453DC33B" w:rsidR="009C591A" w:rsidRPr="009C7A0A" w:rsidRDefault="009C591A" w:rsidP="009C7A0A">
      <w:pPr>
        <w:widowControl w:val="0"/>
        <w:tabs>
          <w:tab w:val="left" w:pos="1710"/>
        </w:tabs>
        <w:spacing w:line="276" w:lineRule="auto"/>
        <w:ind w:firstLine="720"/>
        <w:jc w:val="both"/>
      </w:pPr>
      <w:r w:rsidRPr="009C7A0A">
        <w:lastRenderedPageBreak/>
        <w:t>[</w:t>
      </w:r>
      <w:r w:rsidR="00A8188A" w:rsidRPr="009C7A0A">
        <w:t>17</w:t>
      </w:r>
      <w:r w:rsidRPr="009C7A0A">
        <w:t>.5.1] </w:t>
      </w:r>
      <w:r w:rsidR="007A6250">
        <w:t>[Pers. BN]</w:t>
      </w:r>
      <w:r w:rsidRPr="009C7A0A">
        <w:t xml:space="preserve"> </w:t>
      </w:r>
      <w:r w:rsidR="00BF610B" w:rsidRPr="009C7A0A">
        <w:t xml:space="preserve">celta </w:t>
      </w:r>
      <w:r w:rsidRPr="009C7A0A">
        <w:t xml:space="preserve">apsūdzība par to, ka viņš, pārbaudot būvniecības dokumentāciju, nav novērtējis būves gatavību ekspluatācijai, pamatojoties uz būvvaldē iesniegtajiem dokumentiem, kā arī </w:t>
      </w:r>
      <w:r w:rsidR="00BF610B" w:rsidRPr="009C7A0A">
        <w:t xml:space="preserve">tās </w:t>
      </w:r>
      <w:r w:rsidRPr="009C7A0A">
        <w:t>atbilstību normatīvo tiesību aktu prasībām būvniecības jomā.</w:t>
      </w:r>
    </w:p>
    <w:p w14:paraId="521A21AA" w14:textId="465C6917" w:rsidR="009C591A" w:rsidRPr="009C7A0A" w:rsidRDefault="00BF610B" w:rsidP="009C7A0A">
      <w:pPr>
        <w:widowControl w:val="0"/>
        <w:tabs>
          <w:tab w:val="left" w:pos="1710"/>
        </w:tabs>
        <w:spacing w:line="276" w:lineRule="auto"/>
        <w:ind w:firstLine="720"/>
        <w:jc w:val="both"/>
      </w:pPr>
      <w:r w:rsidRPr="009C7A0A">
        <w:t xml:space="preserve">Atbilstoši celtajai apsūdzībai </w:t>
      </w:r>
      <w:r w:rsidR="00D649F9">
        <w:t>[pers. BN]</w:t>
      </w:r>
      <w:r w:rsidR="009C591A" w:rsidRPr="009C7A0A">
        <w:t xml:space="preserve"> parakstīja aktu par būves gatavību ekspluatācijai, lai arī dokumentos</w:t>
      </w:r>
      <w:r w:rsidR="00D70ECC" w:rsidRPr="009C7A0A">
        <w:t>:</w:t>
      </w:r>
      <w:r w:rsidR="00AD2AFD" w:rsidRPr="009C7A0A">
        <w:t xml:space="preserve"> </w:t>
      </w:r>
      <w:r w:rsidR="009C591A" w:rsidRPr="009C7A0A">
        <w:t>1) </w:t>
      </w:r>
      <w:r w:rsidR="00D70ECC" w:rsidRPr="009C7A0A">
        <w:t xml:space="preserve">nebija </w:t>
      </w:r>
      <w:r w:rsidR="009C591A" w:rsidRPr="009C7A0A">
        <w:t>iebūvēto būvizstrādājumu atbilstības apliecinājuma, būvizstrādājumu tehniskās pases, instrukcijas vai cita veida rakstisk</w:t>
      </w:r>
      <w:r w:rsidR="00D70ECC" w:rsidRPr="009C7A0A">
        <w:t>a</w:t>
      </w:r>
      <w:r w:rsidR="009C591A" w:rsidRPr="009C7A0A">
        <w:t>s informācijas, kurā būtu norādīts attiecīgā būvizstrādājuma izgatavošanas un piegādes datums; 2) </w:t>
      </w:r>
      <w:r w:rsidR="00D70ECC" w:rsidRPr="009C7A0A">
        <w:t xml:space="preserve">nebija </w:t>
      </w:r>
      <w:r w:rsidR="00E47664" w:rsidRPr="009C7A0A">
        <w:t>norādītas izstrādājumu</w:t>
      </w:r>
      <w:r w:rsidR="009C591A" w:rsidRPr="009C7A0A">
        <w:t xml:space="preserve"> tehniskās un fizikālās īpašības; 3) </w:t>
      </w:r>
      <w:r w:rsidR="00D70ECC" w:rsidRPr="009C7A0A">
        <w:t xml:space="preserve">nebija </w:t>
      </w:r>
      <w:r w:rsidR="009C591A" w:rsidRPr="009C7A0A">
        <w:t>atbilstību apliecinošu dokumentu saskaņā ar likumu „Par atbildības novērtēšanu”, ja būvizstrādājums pakļauts reglamentētās sfēras prasībām.</w:t>
      </w:r>
    </w:p>
    <w:p w14:paraId="4F8A6550" w14:textId="721E8D67" w:rsidR="009C591A" w:rsidRPr="009C7A0A" w:rsidRDefault="009C591A" w:rsidP="009C7A0A">
      <w:pPr>
        <w:widowControl w:val="0"/>
        <w:tabs>
          <w:tab w:val="left" w:pos="1710"/>
        </w:tabs>
        <w:spacing w:line="276" w:lineRule="auto"/>
        <w:ind w:firstLine="720"/>
        <w:jc w:val="both"/>
      </w:pPr>
      <w:r w:rsidRPr="009C7A0A">
        <w:t xml:space="preserve">Tādējādi </w:t>
      </w:r>
      <w:r w:rsidR="008B110A">
        <w:t>[pers. BN]</w:t>
      </w:r>
      <w:r w:rsidRPr="009C7A0A">
        <w:t xml:space="preserve"> nekonstatēja, ka pārbaudāmajā objektā skrūves un uzgriežņi, kas izmantoti tērauda nesošo konstrukciju savienojumos, nav piemēroti iebūvēšanai nesošajās konstrukcijās.</w:t>
      </w:r>
    </w:p>
    <w:p w14:paraId="0B5D9B76" w14:textId="7E7723CA" w:rsidR="009C591A" w:rsidRPr="009C7A0A" w:rsidRDefault="009C591A" w:rsidP="009C7A0A">
      <w:pPr>
        <w:widowControl w:val="0"/>
        <w:tabs>
          <w:tab w:val="left" w:pos="1710"/>
        </w:tabs>
        <w:spacing w:line="276" w:lineRule="auto"/>
        <w:ind w:firstLine="720"/>
        <w:jc w:val="both"/>
      </w:pPr>
      <w:r w:rsidRPr="009C7A0A">
        <w:t xml:space="preserve">Vienlaikus </w:t>
      </w:r>
      <w:r w:rsidR="00720D13">
        <w:t>[pers. BN]</w:t>
      </w:r>
      <w:r w:rsidRPr="009C7A0A">
        <w:t xml:space="preserve"> nevērīgi pildīja savus pienākumus, pārbaudot tērauda būvkonstrukciju ražotāja tehnisko pasi, </w:t>
      </w:r>
      <w:r w:rsidR="00D70ECC" w:rsidRPr="009C7A0A">
        <w:t xml:space="preserve">jo </w:t>
      </w:r>
      <w:r w:rsidRPr="009C7A0A">
        <w:t>nekonstatēja tajā norādītos būtiskos trūkumus.</w:t>
      </w:r>
    </w:p>
    <w:p w14:paraId="2121B8D7" w14:textId="1743D317" w:rsidR="009C591A" w:rsidRPr="009C7A0A" w:rsidRDefault="00D70ECC" w:rsidP="009C7A0A">
      <w:pPr>
        <w:widowControl w:val="0"/>
        <w:tabs>
          <w:tab w:val="left" w:pos="1710"/>
        </w:tabs>
        <w:spacing w:line="276" w:lineRule="auto"/>
        <w:ind w:firstLine="720"/>
        <w:jc w:val="both"/>
      </w:pPr>
      <w:r w:rsidRPr="009C7A0A">
        <w:t>Turklāt</w:t>
      </w:r>
      <w:r w:rsidR="009C591A" w:rsidRPr="009C7A0A">
        <w:t xml:space="preserve"> </w:t>
      </w:r>
      <w:r w:rsidR="00154990">
        <w:t>[pers. BN]</w:t>
      </w:r>
      <w:r w:rsidR="009C591A" w:rsidRPr="009C7A0A">
        <w:t xml:space="preserve"> nepieprasīja atbilstošu dokumentāciju un neveica padziļinātu būvobjekta novērtēšanas pārbaudi, un rezultātā nekonstatēja </w:t>
      </w:r>
      <w:proofErr w:type="spellStart"/>
      <w:r w:rsidR="009C591A" w:rsidRPr="009C7A0A">
        <w:t>skrūvsavienojumu</w:t>
      </w:r>
      <w:proofErr w:type="spellEnd"/>
      <w:r w:rsidR="009C591A" w:rsidRPr="009C7A0A">
        <w:t xml:space="preserve"> neatbilstību iebūvēšanai nesošā konstrukcijā, izpildīto darbu neatbilstību akceptētajam būvprojektam</w:t>
      </w:r>
      <w:r w:rsidR="001316EC" w:rsidRPr="009C7A0A">
        <w:t xml:space="preserve"> un</w:t>
      </w:r>
      <w:r w:rsidR="009C591A" w:rsidRPr="009C7A0A">
        <w:t xml:space="preserve"> nepieļaujam</w:t>
      </w:r>
      <w:r w:rsidRPr="009C7A0A">
        <w:t>u</w:t>
      </w:r>
      <w:r w:rsidR="009C591A" w:rsidRPr="009C7A0A">
        <w:t xml:space="preserve"> jumta kopņu </w:t>
      </w:r>
      <w:proofErr w:type="spellStart"/>
      <w:r w:rsidR="009C591A" w:rsidRPr="009C7A0A">
        <w:t>fasonlapu</w:t>
      </w:r>
      <w:proofErr w:type="spellEnd"/>
      <w:r w:rsidR="009C591A" w:rsidRPr="009C7A0A">
        <w:t xml:space="preserve"> atvērumu.</w:t>
      </w:r>
    </w:p>
    <w:p w14:paraId="25BCC1B6" w14:textId="1823337B" w:rsidR="009C591A" w:rsidRPr="009C7A0A" w:rsidRDefault="009C591A" w:rsidP="009C7A0A">
      <w:pPr>
        <w:widowControl w:val="0"/>
        <w:tabs>
          <w:tab w:val="left" w:pos="1710"/>
        </w:tabs>
        <w:spacing w:line="276" w:lineRule="auto"/>
        <w:ind w:firstLine="720"/>
        <w:jc w:val="both"/>
      </w:pPr>
      <w:r w:rsidRPr="009C7A0A">
        <w:t xml:space="preserve">Turklāt </w:t>
      </w:r>
      <w:r w:rsidR="007656E2">
        <w:t>[pers. BN]</w:t>
      </w:r>
      <w:r w:rsidRPr="009C7A0A">
        <w:t>, nolaidīgi izpildot savus kā objekta pieņemšanas ekspluatācijā komisijas priekšsēdētāja pienākumus, ignorējot savus amat</w:t>
      </w:r>
      <w:r w:rsidR="00AD2AFD" w:rsidRPr="009C7A0A">
        <w:t>a</w:t>
      </w:r>
      <w:r w:rsidRPr="009C7A0A">
        <w:t xml:space="preserve"> aprakstā noteiktos pienākumus un normatīvo tiesību aktu prasības, 2011. gada 21. oktobrī sastādīja un parakstīja aktu Nr. 11 01880 0010095 par objekta </w:t>
      </w:r>
      <w:r w:rsidR="00DE0500">
        <w:t>[adrese]</w:t>
      </w:r>
      <w:r w:rsidRPr="009C7A0A">
        <w:t xml:space="preserve">, pieņemšanu ekspluatācijā, vienlaikus pieļaujot tajā kļūdas gan par kopējo platību, kurā veikti darbi, gan par ēkas </w:t>
      </w:r>
      <w:proofErr w:type="spellStart"/>
      <w:r w:rsidRPr="009C7A0A">
        <w:t>būvtilpumu</w:t>
      </w:r>
      <w:proofErr w:type="spellEnd"/>
      <w:r w:rsidRPr="009C7A0A">
        <w:t xml:space="preserve">, gan </w:t>
      </w:r>
      <w:r w:rsidR="001316EC" w:rsidRPr="009C7A0A">
        <w:t>arī</w:t>
      </w:r>
      <w:r w:rsidRPr="009C7A0A">
        <w:t xml:space="preserve"> ēkas funkciju raksturojošo datu – daudzuma – aprēķinos.</w:t>
      </w:r>
    </w:p>
    <w:p w14:paraId="55602008" w14:textId="714DB19E" w:rsidR="009C591A" w:rsidRPr="009C7A0A" w:rsidRDefault="009C591A" w:rsidP="009C7A0A">
      <w:pPr>
        <w:widowControl w:val="0"/>
        <w:tabs>
          <w:tab w:val="left" w:pos="1710"/>
        </w:tabs>
        <w:spacing w:line="276" w:lineRule="auto"/>
        <w:ind w:firstLine="720"/>
        <w:jc w:val="both"/>
      </w:pPr>
      <w:r w:rsidRPr="009C7A0A">
        <w:t xml:space="preserve">Tādējādi </w:t>
      </w:r>
      <w:r w:rsidR="007E29D8">
        <w:t>[pers. BN]</w:t>
      </w:r>
      <w:r w:rsidRPr="009C7A0A">
        <w:t>, nepienācīgi pildot savus amata pienākumus, pieņēma ekspluatācijā objektu, kas neatbilda drošuma prasībām, un nenovērsa ēkas jumta nobrukumu.</w:t>
      </w:r>
    </w:p>
    <w:p w14:paraId="63B9C698" w14:textId="63C4CE97" w:rsidR="009C591A" w:rsidRPr="009C7A0A" w:rsidRDefault="009C591A" w:rsidP="009C7A0A">
      <w:pPr>
        <w:widowControl w:val="0"/>
        <w:spacing w:line="276" w:lineRule="auto"/>
        <w:ind w:firstLine="720"/>
        <w:jc w:val="both"/>
      </w:pPr>
      <w:r w:rsidRPr="009C7A0A">
        <w:t xml:space="preserve">Apelācijas instances tiesa konstatējusi, ka apsūdzētais </w:t>
      </w:r>
      <w:r w:rsidR="00424BC0">
        <w:t>[pers. BN]</w:t>
      </w:r>
      <w:r w:rsidRPr="009C7A0A">
        <w:t xml:space="preserve"> </w:t>
      </w:r>
      <w:r w:rsidR="001316EC" w:rsidRPr="009C7A0A">
        <w:t xml:space="preserve">ir </w:t>
      </w:r>
      <w:r w:rsidRPr="009C7A0A">
        <w:t xml:space="preserve">pienācīgi izpildījis savus kā objekta pieņemšanas ekspluatācijā komisijas priekšsēdētāja </w:t>
      </w:r>
      <w:r w:rsidR="00AD2AFD" w:rsidRPr="009C7A0A">
        <w:t>pienākumus,</w:t>
      </w:r>
      <w:r w:rsidR="00AD2AFD" w:rsidRPr="009C7A0A">
        <w:rPr>
          <w:rStyle w:val="CommentReference"/>
          <w:sz w:val="24"/>
          <w:szCs w:val="24"/>
        </w:rPr>
        <w:t xml:space="preserve"> </w:t>
      </w:r>
      <w:r w:rsidR="00AD2AFD" w:rsidRPr="009C7A0A">
        <w:t>proti</w:t>
      </w:r>
      <w:r w:rsidRPr="009C7A0A">
        <w:t xml:space="preserve">, komisijai bija iesniegti visi normatīvajos tiesību aktos paredzētie dokumenti, ar kuriem </w:t>
      </w:r>
      <w:r w:rsidR="00A235AD">
        <w:t>[pers. BN]</w:t>
      </w:r>
      <w:r w:rsidRPr="009C7A0A">
        <w:t xml:space="preserve"> iepazinās, objektā nebija konstatējami acīmredzami pārkāpumi kopņu savienošanā, bet aktā pieļautās kļūdas par objekta kopējo platību, ēkas </w:t>
      </w:r>
      <w:proofErr w:type="spellStart"/>
      <w:r w:rsidRPr="009C7A0A">
        <w:t>būvtilpumu</w:t>
      </w:r>
      <w:proofErr w:type="spellEnd"/>
      <w:r w:rsidRPr="009C7A0A">
        <w:t xml:space="preserve">, gan </w:t>
      </w:r>
      <w:r w:rsidR="001316EC" w:rsidRPr="009C7A0A">
        <w:t>arī kļūdas</w:t>
      </w:r>
      <w:r w:rsidRPr="009C7A0A">
        <w:t xml:space="preserve"> ēkas funkciju raksturojošos datos atzīstamas par pārrakstīšanās kļūdām.</w:t>
      </w:r>
    </w:p>
    <w:p w14:paraId="6904A070" w14:textId="23A3377A" w:rsidR="009C591A" w:rsidRPr="009C7A0A" w:rsidRDefault="009C591A" w:rsidP="009C7A0A">
      <w:pPr>
        <w:widowControl w:val="0"/>
        <w:spacing w:line="276" w:lineRule="auto"/>
        <w:ind w:firstLine="720"/>
        <w:jc w:val="both"/>
      </w:pPr>
      <w:r w:rsidRPr="009C7A0A">
        <w:t xml:space="preserve">Tiesa atzinusi, ka apsūdzētais </w:t>
      </w:r>
      <w:r w:rsidR="002C4879">
        <w:t>[pers. BN]</w:t>
      </w:r>
      <w:r w:rsidRPr="009C7A0A">
        <w:t xml:space="preserve"> nevarēja konstatēt būves nedrošuma pazīmes objekta pieņemšanas ekspluatācijā laikā, tādējādi </w:t>
      </w:r>
      <w:r w:rsidR="002C4879">
        <w:t>[pers. BN]</w:t>
      </w:r>
      <w:r w:rsidRPr="009C7A0A">
        <w:t xml:space="preserve"> izdarītajā nodarījumā nav noziedzīgā nodarījuma sastāva.</w:t>
      </w:r>
    </w:p>
    <w:p w14:paraId="718BE61D" w14:textId="55380FC1" w:rsidR="009C591A" w:rsidRPr="009C7A0A" w:rsidRDefault="009C591A" w:rsidP="009C7A0A">
      <w:pPr>
        <w:widowControl w:val="0"/>
        <w:tabs>
          <w:tab w:val="left" w:pos="1710"/>
        </w:tabs>
        <w:spacing w:line="276" w:lineRule="auto"/>
        <w:ind w:firstLine="720"/>
        <w:jc w:val="both"/>
      </w:pPr>
      <w:r w:rsidRPr="009C7A0A">
        <w:t>[</w:t>
      </w:r>
      <w:r w:rsidR="00A8188A" w:rsidRPr="009C7A0A">
        <w:t>17</w:t>
      </w:r>
      <w:r w:rsidRPr="009C7A0A">
        <w:t>.5.2] Ievērojot minēto, Senātam jāatbild, vai apelācijas instances tiesa atbilstoši Kriminālprocesa likuma 564. panta ceturtajai daļai ir vērtējusi pierādījumus, ar kuriem pamatota apsūdzība</w:t>
      </w:r>
      <w:r w:rsidR="00757E13" w:rsidRPr="009C7A0A">
        <w:t>,</w:t>
      </w:r>
      <w:r w:rsidRPr="009C7A0A">
        <w:t xml:space="preserve"> par to, vai </w:t>
      </w:r>
      <w:r w:rsidR="000870F8">
        <w:t>[pers. BN]</w:t>
      </w:r>
      <w:r w:rsidRPr="009C7A0A">
        <w:t xml:space="preserve"> kā būvinspektors, pieņemot ekspluatācijā nododamās būves, </w:t>
      </w:r>
      <w:r w:rsidR="00757E13" w:rsidRPr="009C7A0A">
        <w:t xml:space="preserve">ir </w:t>
      </w:r>
      <w:r w:rsidRPr="009C7A0A">
        <w:t>pienācīgi pildījis savus pienākumus.</w:t>
      </w:r>
    </w:p>
    <w:p w14:paraId="1F07E94A" w14:textId="2CFEE179" w:rsidR="009C591A" w:rsidRPr="009C7A0A" w:rsidRDefault="00757E13" w:rsidP="009C7A0A">
      <w:pPr>
        <w:spacing w:line="276" w:lineRule="auto"/>
        <w:ind w:firstLine="720"/>
        <w:jc w:val="both"/>
        <w:rPr>
          <w:rFonts w:eastAsia="Calibri"/>
        </w:rPr>
      </w:pPr>
      <w:r w:rsidRPr="009C7A0A">
        <w:rPr>
          <w:rFonts w:eastAsia="Calibri"/>
        </w:rPr>
        <w:t>P</w:t>
      </w:r>
      <w:r w:rsidR="009C591A" w:rsidRPr="009C7A0A">
        <w:rPr>
          <w:rFonts w:eastAsia="Calibri"/>
        </w:rPr>
        <w:t xml:space="preserve">ārbaudot apelācijas instances tiesas sprieduma pamatotību šajā daļā, </w:t>
      </w:r>
      <w:r w:rsidRPr="009C7A0A">
        <w:rPr>
          <w:rFonts w:eastAsia="Calibri"/>
        </w:rPr>
        <w:t xml:space="preserve">Senāts sniegs vērtējumu par juridiski nozīmīgiem apstākļiem, </w:t>
      </w:r>
      <w:r w:rsidR="009C591A" w:rsidRPr="009C7A0A">
        <w:rPr>
          <w:rFonts w:eastAsia="Calibri"/>
        </w:rPr>
        <w:t>proti</w:t>
      </w:r>
      <w:r w:rsidRPr="009C7A0A">
        <w:rPr>
          <w:rFonts w:eastAsia="Calibri"/>
        </w:rPr>
        <w:t>:</w:t>
      </w:r>
      <w:r w:rsidR="00AD2AFD" w:rsidRPr="009C7A0A">
        <w:rPr>
          <w:rFonts w:eastAsia="Calibri"/>
        </w:rPr>
        <w:t xml:space="preserve"> </w:t>
      </w:r>
      <w:r w:rsidR="009C591A" w:rsidRPr="009C7A0A">
        <w:rPr>
          <w:rFonts w:eastAsia="Calibri"/>
        </w:rPr>
        <w:t xml:space="preserve">1) kāda bija apsūdzētā </w:t>
      </w:r>
      <w:r w:rsidR="00430241">
        <w:rPr>
          <w:rFonts w:eastAsia="Calibri"/>
        </w:rPr>
        <w:t>[pers. BN]</w:t>
      </w:r>
      <w:r w:rsidR="009C591A" w:rsidRPr="009C7A0A">
        <w:rPr>
          <w:rFonts w:eastAsia="Calibri"/>
        </w:rPr>
        <w:t xml:space="preserve"> kompetence, </w:t>
      </w:r>
      <w:r w:rsidR="009C591A" w:rsidRPr="009C7A0A">
        <w:t xml:space="preserve">pārbaudot būvniecības dokumentāciju un sniedzot atzinumu par </w:t>
      </w:r>
      <w:r w:rsidR="009C591A" w:rsidRPr="009C7A0A">
        <w:lastRenderedPageBreak/>
        <w:t>objekta gatavību ekspluatācijai</w:t>
      </w:r>
      <w:r w:rsidRPr="009C7A0A">
        <w:t>;</w:t>
      </w:r>
      <w:r w:rsidR="00AD2AFD" w:rsidRPr="009C7A0A">
        <w:t xml:space="preserve"> </w:t>
      </w:r>
      <w:r w:rsidR="009C591A" w:rsidRPr="009C7A0A">
        <w:rPr>
          <w:rFonts w:eastAsia="Calibri"/>
        </w:rPr>
        <w:t xml:space="preserve">2) vai </w:t>
      </w:r>
      <w:r w:rsidR="007C4DC7">
        <w:rPr>
          <w:rFonts w:eastAsia="Calibri"/>
        </w:rPr>
        <w:t>[pers. BN]</w:t>
      </w:r>
      <w:r w:rsidR="009C591A" w:rsidRPr="009C7A0A">
        <w:rPr>
          <w:rFonts w:eastAsia="Calibri"/>
        </w:rPr>
        <w:t xml:space="preserve"> pienācīgi pildīj</w:t>
      </w:r>
      <w:r w:rsidRPr="009C7A0A">
        <w:rPr>
          <w:rFonts w:eastAsia="Calibri"/>
        </w:rPr>
        <w:t>a</w:t>
      </w:r>
      <w:r w:rsidR="009C591A" w:rsidRPr="009C7A0A">
        <w:rPr>
          <w:rFonts w:eastAsia="Calibri"/>
        </w:rPr>
        <w:t xml:space="preserve"> savus pienākumus, pārbaudot, kādas</w:t>
      </w:r>
      <w:r w:rsidR="009C591A" w:rsidRPr="009C7A0A">
        <w:t xml:space="preserve"> stiprības skrūves bija izmantotas kopņu savienošanai</w:t>
      </w:r>
      <w:r w:rsidR="0076326C" w:rsidRPr="009C7A0A">
        <w:t>,</w:t>
      </w:r>
      <w:r w:rsidR="009C591A" w:rsidRPr="009C7A0A">
        <w:t xml:space="preserve"> un vai to izmantošana atbilst normatīvajiem aktiem būvniecības jomā.</w:t>
      </w:r>
    </w:p>
    <w:p w14:paraId="0D8D6E03" w14:textId="14D46344" w:rsidR="009C591A" w:rsidRPr="009C7A0A" w:rsidRDefault="009C591A" w:rsidP="009C7A0A">
      <w:pPr>
        <w:widowControl w:val="0"/>
        <w:tabs>
          <w:tab w:val="left" w:pos="1710"/>
        </w:tabs>
        <w:spacing w:line="276" w:lineRule="auto"/>
        <w:ind w:firstLine="720"/>
        <w:jc w:val="both"/>
        <w:rPr>
          <w:rFonts w:eastAsia="Calibri"/>
        </w:rPr>
      </w:pPr>
      <w:r w:rsidRPr="009C7A0A">
        <w:rPr>
          <w:rFonts w:eastAsia="Calibri"/>
        </w:rPr>
        <w:t xml:space="preserve">Apelācijas instances tiesa atzinusi, ka būvinspektoram, pieņemot aktu par objekta gatavību ekspluatācijai, nav pienākuma vērtēt dokumentos esošās ziņas, </w:t>
      </w:r>
      <w:r w:rsidR="00757E13" w:rsidRPr="009C7A0A">
        <w:rPr>
          <w:rFonts w:eastAsia="Calibri"/>
        </w:rPr>
        <w:t>bet</w:t>
      </w:r>
      <w:r w:rsidRPr="009C7A0A">
        <w:rPr>
          <w:rFonts w:eastAsia="Calibri"/>
        </w:rPr>
        <w:t xml:space="preserve"> objekta kvalitātes kontrole notiek, pārbaudot kvalitāti apliecinošu dokumentu esību, segto darbu un nozīmīgo konstrukciju pieņemšanas aktus.</w:t>
      </w:r>
      <w:r w:rsidR="00AD2AFD" w:rsidRPr="009C7A0A">
        <w:rPr>
          <w:rFonts w:eastAsia="Calibri"/>
        </w:rPr>
        <w:t xml:space="preserve"> </w:t>
      </w:r>
    </w:p>
    <w:p w14:paraId="05C2306D" w14:textId="77777777" w:rsidR="009C591A" w:rsidRPr="009C7A0A" w:rsidRDefault="009C591A" w:rsidP="009C7A0A">
      <w:pPr>
        <w:widowControl w:val="0"/>
        <w:tabs>
          <w:tab w:val="left" w:pos="1710"/>
        </w:tabs>
        <w:spacing w:line="276" w:lineRule="auto"/>
        <w:ind w:firstLine="720"/>
        <w:jc w:val="both"/>
        <w:rPr>
          <w:rFonts w:eastAsia="Calibri"/>
        </w:rPr>
      </w:pPr>
      <w:r w:rsidRPr="009C7A0A">
        <w:rPr>
          <w:rFonts w:eastAsia="Calibri"/>
        </w:rPr>
        <w:t>Senāts norāda, ka apelācijas instances tiesa savu atziņu pamatojusi ar procesā iesaistīto personu viedokļiem, bet nav ņēmusi vērā normatīvajos tiesību aktos noteikto būvinspektora kompetenci būvdarbu kontrolē.</w:t>
      </w:r>
    </w:p>
    <w:p w14:paraId="05C87615" w14:textId="501101C9" w:rsidR="009C591A" w:rsidRPr="009C7A0A" w:rsidRDefault="009C591A" w:rsidP="009C7A0A">
      <w:pPr>
        <w:widowControl w:val="0"/>
        <w:tabs>
          <w:tab w:val="left" w:pos="1710"/>
        </w:tabs>
        <w:spacing w:line="276" w:lineRule="auto"/>
        <w:ind w:firstLine="720"/>
        <w:jc w:val="both"/>
        <w:rPr>
          <w:rFonts w:eastAsia="Calibri"/>
        </w:rPr>
      </w:pPr>
      <w:r w:rsidRPr="009C7A0A">
        <w:rPr>
          <w:rFonts w:eastAsia="Calibri"/>
          <w:shd w:val="clear" w:color="auto" w:fill="FFFFFF"/>
        </w:rPr>
        <w:t xml:space="preserve">Atbilstoši </w:t>
      </w:r>
      <w:r w:rsidRPr="009C7A0A">
        <w:rPr>
          <w:rFonts w:eastAsia="Calibri"/>
        </w:rPr>
        <w:t>Ministru kabineta 2004. gada 13. aprīļa noteikumu Nr. 299 „</w:t>
      </w:r>
      <w:r w:rsidRPr="009C7A0A">
        <w:rPr>
          <w:rFonts w:eastAsia="Calibri"/>
          <w:bCs/>
          <w:shd w:val="clear" w:color="auto" w:fill="FFFFFF"/>
        </w:rPr>
        <w:t>Noteikumi par būvju pieņemšanu ekspluatācijā”</w:t>
      </w:r>
      <w:r w:rsidR="00AD2AFD" w:rsidRPr="009C7A0A">
        <w:rPr>
          <w:rFonts w:eastAsia="Calibri"/>
          <w:bCs/>
          <w:shd w:val="clear" w:color="auto" w:fill="FFFFFF"/>
        </w:rPr>
        <w:t xml:space="preserve"> (tiesību akts zaudējis spēku 2014.</w:t>
      </w:r>
      <w:r w:rsidR="00B8725F" w:rsidRPr="009C7A0A">
        <w:rPr>
          <w:rFonts w:eastAsia="Calibri"/>
          <w:bCs/>
          <w:shd w:val="clear" w:color="auto" w:fill="FFFFFF"/>
        </w:rPr>
        <w:t> </w:t>
      </w:r>
      <w:r w:rsidR="00AD2AFD" w:rsidRPr="009C7A0A">
        <w:rPr>
          <w:rFonts w:eastAsia="Calibri"/>
          <w:bCs/>
          <w:shd w:val="clear" w:color="auto" w:fill="FFFFFF"/>
        </w:rPr>
        <w:t>gada 1.</w:t>
      </w:r>
      <w:r w:rsidR="00B8725F" w:rsidRPr="009C7A0A">
        <w:rPr>
          <w:rFonts w:eastAsia="Calibri"/>
          <w:bCs/>
          <w:shd w:val="clear" w:color="auto" w:fill="FFFFFF"/>
        </w:rPr>
        <w:t> </w:t>
      </w:r>
      <w:r w:rsidR="00AD2AFD" w:rsidRPr="009C7A0A">
        <w:rPr>
          <w:rFonts w:eastAsia="Calibri"/>
          <w:bCs/>
          <w:shd w:val="clear" w:color="auto" w:fill="FFFFFF"/>
        </w:rPr>
        <w:t>oktobrī)</w:t>
      </w:r>
      <w:r w:rsidRPr="009C7A0A">
        <w:rPr>
          <w:rFonts w:eastAsia="Calibri"/>
          <w:bCs/>
          <w:shd w:val="clear" w:color="auto" w:fill="FFFFFF"/>
        </w:rPr>
        <w:t xml:space="preserve"> 11</w:t>
      </w:r>
      <w:r w:rsidRPr="009C7A0A">
        <w:rPr>
          <w:rFonts w:eastAsia="Calibri"/>
        </w:rPr>
        <w:t xml:space="preserve">. punktam komisijas uzdevums ir novērtēt būves gatavību ekspluatācijai, pamatojoties uz būvvaldē iesniegtajiem šo noteikumu </w:t>
      </w:r>
      <w:r w:rsidRPr="009C7A0A">
        <w:rPr>
          <w:rFonts w:eastAsia="SimSun"/>
        </w:rPr>
        <w:t>5</w:t>
      </w:r>
      <w:r w:rsidRPr="009C7A0A">
        <w:rPr>
          <w:rFonts w:eastAsia="Calibri"/>
        </w:rPr>
        <w:t>. punktā minētajiem dokumentiem, kā arī atbilstību normatīvajiem aktiem būvniecības jomā.</w:t>
      </w:r>
    </w:p>
    <w:p w14:paraId="7666A4BF" w14:textId="77777777" w:rsidR="009C591A" w:rsidRPr="009C7A0A" w:rsidRDefault="009C591A" w:rsidP="009C7A0A">
      <w:pPr>
        <w:widowControl w:val="0"/>
        <w:tabs>
          <w:tab w:val="left" w:pos="1710"/>
        </w:tabs>
        <w:spacing w:line="276" w:lineRule="auto"/>
        <w:ind w:firstLine="720"/>
        <w:jc w:val="both"/>
      </w:pPr>
      <w:r w:rsidRPr="009C7A0A">
        <w:t>1995. gada 10. augustā pieņemtā Būvniecības likuma 1. panta 10. punkts paredzēja, ka būvinspektors ir pašvaldības amatpersona, kurai piešķirtas būvdarbu kontroles tiesības. No minētā likuma 3. panta trešās daļas 1. un 3. punkta secināms, ka būve projektējama un būvējama tā, lai nodrošinātu tās stiprību, stabilitāti un drošumu lietošanā.</w:t>
      </w:r>
    </w:p>
    <w:p w14:paraId="5ACB182A" w14:textId="77777777" w:rsidR="009C591A" w:rsidRPr="009C7A0A" w:rsidRDefault="009C591A" w:rsidP="009C7A0A">
      <w:pPr>
        <w:widowControl w:val="0"/>
        <w:tabs>
          <w:tab w:val="left" w:pos="1710"/>
        </w:tabs>
        <w:spacing w:line="276" w:lineRule="auto"/>
        <w:ind w:firstLine="720"/>
        <w:jc w:val="both"/>
      </w:pPr>
      <w:r w:rsidRPr="009C7A0A">
        <w:t>Būvniecības likuma 30. pants noteica būvinspektora tiesības, veicot būvniecības kontroli. Minētā panta pirmā daļa paredzēja, ka būvinspektoram ir tiesības apskatīt un pārbaudīt būves, ieiet tajās, apsekot tās, pieprasīt paskaidrojumus un Vispārīgajos būvnoteikumos paredzētos dokumentus, kā arī lūgt uz būvuzņēmēja vai būvētāja rēķina atbrīvot telpas, padarot tās pieejamas, un atsegt būvju daļas, lai varētu pārbaudīt uzbūvēto konstrukciju, ja konstatētas nedrošuma pazīmes.</w:t>
      </w:r>
    </w:p>
    <w:p w14:paraId="3C6AE8F0" w14:textId="55553DA7" w:rsidR="009C591A" w:rsidRPr="009C7A0A" w:rsidRDefault="009C591A" w:rsidP="009C7A0A">
      <w:pPr>
        <w:widowControl w:val="0"/>
        <w:tabs>
          <w:tab w:val="left" w:pos="1710"/>
        </w:tabs>
        <w:spacing w:line="276" w:lineRule="auto"/>
        <w:ind w:firstLine="720"/>
        <w:jc w:val="both"/>
      </w:pPr>
      <w:r w:rsidRPr="009C7A0A">
        <w:t>Judikatūrā jau iepriekš nostiprināta atziņa, ka, pieņemot lēmumu par būves pieņemšanu ekspluatācijā, netiek pārbaudīts iepriekš izdotās būvatļaujas tiesiskums, bet gan tikai būves drošums un tehniskā gatavība ekspluatācijai, pamatojoties uz būvdarbu izpildes dokumentāciju un atbilstību akceptētajam būvprojektam un normatīvajiem aktiem (</w:t>
      </w:r>
      <w:r w:rsidR="00CC4233">
        <w:t>sk. </w:t>
      </w:r>
      <w:r w:rsidRPr="009C7A0A">
        <w:rPr>
          <w:i/>
          <w:iCs/>
        </w:rPr>
        <w:t xml:space="preserve">Senāta 2019. gada 12. jūlija sprieduma lietā Nr. SKA-9/2019, </w:t>
      </w:r>
      <w:hyperlink r:id="rId16" w:history="1">
        <w:r w:rsidRPr="00CC4233">
          <w:rPr>
            <w:rStyle w:val="Hyperlink"/>
            <w:i/>
            <w:iCs/>
          </w:rPr>
          <w:t>ECLI:LV:AT:2019:0712.A420291913.2.S</w:t>
        </w:r>
      </w:hyperlink>
      <w:r w:rsidRPr="009C7A0A">
        <w:rPr>
          <w:rStyle w:val="Hyperlink"/>
          <w:i/>
          <w:iCs/>
          <w:color w:val="auto"/>
          <w:u w:val="none"/>
        </w:rPr>
        <w:t>, 8. punkt</w:t>
      </w:r>
      <w:r w:rsidR="00CC4233">
        <w:rPr>
          <w:rStyle w:val="Hyperlink"/>
          <w:i/>
          <w:iCs/>
          <w:color w:val="auto"/>
          <w:u w:val="none"/>
        </w:rPr>
        <w:t>u</w:t>
      </w:r>
      <w:r w:rsidRPr="009C7A0A">
        <w:rPr>
          <w:rStyle w:val="Hyperlink"/>
          <w:color w:val="auto"/>
          <w:u w:val="none"/>
        </w:rPr>
        <w:t>).</w:t>
      </w:r>
    </w:p>
    <w:p w14:paraId="6C770551" w14:textId="6A8ACA25" w:rsidR="009C591A" w:rsidRPr="009C7A0A" w:rsidRDefault="009C591A" w:rsidP="009C7A0A">
      <w:pPr>
        <w:widowControl w:val="0"/>
        <w:tabs>
          <w:tab w:val="left" w:pos="1710"/>
        </w:tabs>
        <w:spacing w:line="276" w:lineRule="auto"/>
        <w:ind w:firstLine="720"/>
        <w:jc w:val="both"/>
      </w:pPr>
      <w:r w:rsidRPr="009C7A0A">
        <w:t xml:space="preserve">Ņemot vērā minētās normatīvo tiesību aktu normas un judikatūrā pausto, Senāts atzīst, ka būvinspektoram, pieņemot būves ekspluatācijā un pārbaudot iesniegto dokumentāciju, ir jāgūst pārliecība par nododamās būves </w:t>
      </w:r>
      <w:r w:rsidR="00AD2AFD" w:rsidRPr="009C7A0A">
        <w:t>drošumu, proti</w:t>
      </w:r>
      <w:r w:rsidRPr="009C7A0A">
        <w:t xml:space="preserve">, dokumentu pārbaudei jābūt efektīvai. Dokumentu pārbaude nevar būt formāla un </w:t>
      </w:r>
      <w:r w:rsidR="00757E13" w:rsidRPr="009C7A0A">
        <w:t xml:space="preserve">tā nevar </w:t>
      </w:r>
      <w:r w:rsidRPr="009C7A0A">
        <w:t>aprobežoties vienīgi ar nepieciešamo dokumentu esības konstatēšanu, jo būvinspektoram jāpārliecinās, vai būvdarbu izpildes dokumentācijā norādītās ziņas atbilst akceptētajam būvprojektam un normatīvo tiesību aktu prasībām būvniecības jomā.</w:t>
      </w:r>
    </w:p>
    <w:p w14:paraId="2D13F53B" w14:textId="77777777" w:rsidR="009C591A" w:rsidRPr="009C7A0A" w:rsidRDefault="009C591A" w:rsidP="009C7A0A">
      <w:pPr>
        <w:widowControl w:val="0"/>
        <w:tabs>
          <w:tab w:val="left" w:pos="1710"/>
        </w:tabs>
        <w:spacing w:line="276" w:lineRule="auto"/>
        <w:ind w:firstLine="720"/>
        <w:jc w:val="both"/>
      </w:pPr>
      <w:r w:rsidRPr="009C7A0A">
        <w:t>Gadījumā, ja būvdarbu izpildes dokumentācijā ir konstatētas ziņas, kas liecina par būves nedrošumu, būvinspektoram ir pienākums pieprasīt paskaidrojumus un veikt uzbūvētās konstrukcijas pārbaudi.</w:t>
      </w:r>
    </w:p>
    <w:p w14:paraId="71B39533" w14:textId="73049653" w:rsidR="009C591A" w:rsidRPr="009C7A0A" w:rsidRDefault="009C591A" w:rsidP="009C7A0A">
      <w:pPr>
        <w:spacing w:line="276" w:lineRule="auto"/>
        <w:ind w:firstLine="720"/>
        <w:jc w:val="both"/>
      </w:pPr>
      <w:r w:rsidRPr="009C7A0A">
        <w:t xml:space="preserve">Senāts konstatē, ka apelācijas instances tiesa, izvērtējot </w:t>
      </w:r>
      <w:r w:rsidR="00973CEB">
        <w:t>[pers. BN]</w:t>
      </w:r>
      <w:r w:rsidRPr="009C7A0A">
        <w:t xml:space="preserve"> celtās apsūdzības pamatotību un atzīstot </w:t>
      </w:r>
      <w:r w:rsidR="0011516D">
        <w:t>[pers. BN]</w:t>
      </w:r>
      <w:r w:rsidRPr="009C7A0A">
        <w:t xml:space="preserve"> par nevainīgu pret viņu celtajā apsūdzībā pēc Krimināllikuma 319. panta trešās daļas, nav norādījusi motīvus, kāpēc noraidīti pierādījumi, ar kuriem pamatota apsūdzība par to, ka </w:t>
      </w:r>
      <w:r w:rsidR="009A6927">
        <w:t>[pers. BN]</w:t>
      </w:r>
      <w:r w:rsidRPr="009C7A0A">
        <w:t xml:space="preserve">, pārbaudot </w:t>
      </w:r>
      <w:r w:rsidRPr="009C7A0A">
        <w:lastRenderedPageBreak/>
        <w:t xml:space="preserve">dokumentāciju, nepārliecinājās par to, </w:t>
      </w:r>
      <w:r w:rsidRPr="009C7A0A">
        <w:rPr>
          <w:rFonts w:eastAsia="Calibri"/>
        </w:rPr>
        <w:t>kādas</w:t>
      </w:r>
      <w:r w:rsidRPr="009C7A0A">
        <w:t xml:space="preserve"> stiprības skrūves bija izmantotas kopņu savienošanai un vai šo skrūvju izmantošana atbilst normatīvajiem tiesību aktiem būvniecības jomā.</w:t>
      </w:r>
    </w:p>
    <w:p w14:paraId="116FAB48" w14:textId="10668F7A" w:rsidR="009C591A" w:rsidRPr="009C7A0A" w:rsidRDefault="009C591A" w:rsidP="009C7A0A">
      <w:pPr>
        <w:spacing w:line="276" w:lineRule="auto"/>
        <w:ind w:firstLine="720"/>
        <w:jc w:val="both"/>
        <w:rPr>
          <w:rFonts w:eastAsia="Calibri"/>
        </w:rPr>
      </w:pPr>
      <w:r w:rsidRPr="009C7A0A">
        <w:rPr>
          <w:rFonts w:eastAsia="Calibri"/>
        </w:rPr>
        <w:t xml:space="preserve">Apelācijas instances tiesa nav sniegusi vērtējumu tam, ka būvinspektoram, pieņemot būvobjektu ekspluatācijā, vajadzēja pārbaudīt, vai nozīmīgo konstrukciju pieņemšanas aktam Nr. 9-2 pievienotajā dokumentācijā norādītās ziņas par kopņu savienošanā izmantotajām skrūvēm atbilst būvprojektam un nesošo metāla konstrukciju </w:t>
      </w:r>
      <w:proofErr w:type="spellStart"/>
      <w:r w:rsidRPr="009C7A0A">
        <w:rPr>
          <w:rFonts w:eastAsia="Calibri"/>
        </w:rPr>
        <w:t>skrūvsavienojumu</w:t>
      </w:r>
      <w:proofErr w:type="spellEnd"/>
      <w:r w:rsidRPr="009C7A0A">
        <w:rPr>
          <w:rFonts w:eastAsia="Calibri"/>
        </w:rPr>
        <w:t xml:space="preserve"> standartam</w:t>
      </w:r>
      <w:r w:rsidR="00D025C8" w:rsidRPr="009C7A0A">
        <w:rPr>
          <w:rFonts w:eastAsia="Calibri"/>
        </w:rPr>
        <w:t xml:space="preserve">. </w:t>
      </w:r>
    </w:p>
    <w:p w14:paraId="040AB669" w14:textId="1B9DBDE2" w:rsidR="009C591A" w:rsidRPr="009C7A0A" w:rsidRDefault="00D025C8" w:rsidP="009C7A0A">
      <w:pPr>
        <w:spacing w:line="276" w:lineRule="auto"/>
        <w:ind w:firstLine="720"/>
        <w:jc w:val="both"/>
        <w:rPr>
          <w:rFonts w:eastAsia="Calibri"/>
        </w:rPr>
      </w:pPr>
      <w:r w:rsidRPr="009C7A0A">
        <w:rPr>
          <w:iCs/>
        </w:rPr>
        <w:t>Tāpat a</w:t>
      </w:r>
      <w:r w:rsidR="009C591A" w:rsidRPr="009C7A0A">
        <w:rPr>
          <w:iCs/>
        </w:rPr>
        <w:t>pelācijas instances tiesa nav sniegusi motivētu atzinumu,</w:t>
      </w:r>
      <w:r w:rsidR="009C591A" w:rsidRPr="009C7A0A">
        <w:rPr>
          <w:shd w:val="clear" w:color="auto" w:fill="FFFFFF"/>
        </w:rPr>
        <w:t xml:space="preserve"> </w:t>
      </w:r>
      <w:r w:rsidR="009C591A" w:rsidRPr="009C7A0A">
        <w:rPr>
          <w:iCs/>
        </w:rPr>
        <w:t xml:space="preserve">kāpēc nesošo konstrukciju savienošanā, lai arī metāla kopne nebija atzīstama par reglamentētas sfēras būvizstrādājumu, nav jāievēro bultskrūvju </w:t>
      </w:r>
      <w:r w:rsidR="009C591A" w:rsidRPr="009C7A0A">
        <w:rPr>
          <w:rFonts w:eastAsia="Calibri"/>
        </w:rPr>
        <w:t>standarti.</w:t>
      </w:r>
    </w:p>
    <w:p w14:paraId="2A049809" w14:textId="7FD6B3C5" w:rsidR="009C591A" w:rsidRPr="009C7A0A" w:rsidRDefault="009C591A" w:rsidP="009C7A0A">
      <w:pPr>
        <w:spacing w:line="276" w:lineRule="auto"/>
        <w:ind w:firstLine="720"/>
        <w:jc w:val="both"/>
        <w:rPr>
          <w:rFonts w:eastAsia="Calibri"/>
        </w:rPr>
      </w:pPr>
      <w:r w:rsidRPr="009C7A0A">
        <w:rPr>
          <w:rFonts w:eastAsia="Calibri"/>
        </w:rPr>
        <w:t>Patērētāju tiesību aizsardzības centra atzinumā norādīts, ka dokumentos norādītajām bultskrūvēm ir marķējums „TBF” un stiprības klase „8.8.”, uzgriežņiem marķējums – „S” un „8”, bet nav attiecīgā marķējuma „SB” vai „HV”, vai „HR”</w:t>
      </w:r>
      <w:r w:rsidR="00EF491E" w:rsidRPr="009C7A0A">
        <w:rPr>
          <w:rFonts w:eastAsia="Calibri"/>
        </w:rPr>
        <w:t>,</w:t>
      </w:r>
      <w:r w:rsidRPr="009C7A0A">
        <w:rPr>
          <w:rFonts w:eastAsia="Calibri"/>
        </w:rPr>
        <w:t xml:space="preserve"> kā noteikts standartā EN 15048-1 vai EN 14399-1, kas norādītu, ka bultskrūves var pielietot slodzi nesošajās konstrukcijās.</w:t>
      </w:r>
    </w:p>
    <w:p w14:paraId="73A34D3B" w14:textId="1554EF07" w:rsidR="00465292" w:rsidRPr="009C7A0A" w:rsidRDefault="004E5EEE" w:rsidP="009C7A0A">
      <w:pPr>
        <w:spacing w:line="276" w:lineRule="auto"/>
        <w:ind w:firstLine="720"/>
        <w:jc w:val="both"/>
      </w:pPr>
      <w:r w:rsidRPr="009C7A0A">
        <w:t xml:space="preserve">Tādējādi </w:t>
      </w:r>
      <w:r w:rsidR="009C591A" w:rsidRPr="009C7A0A">
        <w:t>Senāts atzīst, ka apelācijas instances tiesa nav motivēti atspēkojusi apelācijas protesta argumentus, kuriem ir nozīme krimināltiesisko attiecību taisnīgā noregulējumā, un tādējādi pārkāpusi Kriminālprocesa likuma 564. panta ceturtās daļas prasības.</w:t>
      </w:r>
    </w:p>
    <w:p w14:paraId="28DEC8E5" w14:textId="795FE9F6" w:rsidR="004E5EEE" w:rsidRPr="009C7A0A" w:rsidRDefault="009C591A" w:rsidP="009C7A0A">
      <w:pPr>
        <w:widowControl w:val="0"/>
        <w:tabs>
          <w:tab w:val="left" w:pos="1710"/>
        </w:tabs>
        <w:spacing w:line="276" w:lineRule="auto"/>
        <w:ind w:firstLine="720"/>
        <w:jc w:val="both"/>
        <w:rPr>
          <w:b/>
          <w:bCs/>
        </w:rPr>
      </w:pPr>
      <w:r w:rsidRPr="009C7A0A">
        <w:t>[</w:t>
      </w:r>
      <w:r w:rsidR="00A8188A" w:rsidRPr="009C7A0A">
        <w:t>17</w:t>
      </w:r>
      <w:r w:rsidRPr="009C7A0A">
        <w:t>.6]</w:t>
      </w:r>
      <w:r w:rsidR="00465292" w:rsidRPr="009C7A0A">
        <w:t xml:space="preserve"> </w:t>
      </w:r>
      <w:r w:rsidR="004E5EEE" w:rsidRPr="009C7A0A">
        <w:t xml:space="preserve">Ievērojot minēto, </w:t>
      </w:r>
      <w:r w:rsidR="00465292" w:rsidRPr="009C7A0A">
        <w:t xml:space="preserve">Senāts atzīst, ka </w:t>
      </w:r>
      <w:r w:rsidR="00C672CF" w:rsidRPr="009C7A0A">
        <w:t xml:space="preserve">apelācijas instances tiesa, iztiesājot lietu šajā daļā, nav vērtējusi pierādījumus, </w:t>
      </w:r>
      <w:r w:rsidR="00C91616" w:rsidRPr="009C7A0A">
        <w:t>ar</w:t>
      </w:r>
      <w:r w:rsidR="00C672CF" w:rsidRPr="009C7A0A">
        <w:t xml:space="preserve"> kuriem pamatota apsūdzība, </w:t>
      </w:r>
      <w:r w:rsidR="00C91616" w:rsidRPr="009C7A0A">
        <w:t xml:space="preserve">un </w:t>
      </w:r>
      <w:r w:rsidR="00C672CF" w:rsidRPr="009C7A0A">
        <w:t xml:space="preserve">tādējādi </w:t>
      </w:r>
      <w:r w:rsidR="00465292" w:rsidRPr="009C7A0A">
        <w:t xml:space="preserve">pieļāvusi </w:t>
      </w:r>
      <w:r w:rsidRPr="009C7A0A">
        <w:rPr>
          <w:rFonts w:eastAsiaTheme="minorHAnsi"/>
        </w:rPr>
        <w:t>Kriminālprocesa likuma 128. panta otrās daļas, 564. panta ceturtās daļas pārkāpumus, kas atzīstami par Kriminālprocesa likuma būtiskiem pārkāpumiem šā likuma 575. panta trešās daļas izpratnē un noveduši pie nelikumīga nolēmuma šajā daļā.</w:t>
      </w:r>
    </w:p>
    <w:p w14:paraId="2F64C3E4" w14:textId="3385E825" w:rsidR="009C591A" w:rsidRPr="009C7A0A" w:rsidRDefault="00C672CF" w:rsidP="009C7A0A">
      <w:pPr>
        <w:widowControl w:val="0"/>
        <w:tabs>
          <w:tab w:val="left" w:pos="1710"/>
        </w:tabs>
        <w:spacing w:line="276" w:lineRule="auto"/>
        <w:ind w:firstLine="720"/>
        <w:jc w:val="both"/>
      </w:pPr>
      <w:r w:rsidRPr="009C7A0A">
        <w:t>Ņemot vērā</w:t>
      </w:r>
      <w:r w:rsidR="009C591A" w:rsidRPr="009C7A0A">
        <w:t xml:space="preserve">, ka </w:t>
      </w:r>
      <w:r w:rsidR="009C591A" w:rsidRPr="009C7A0A">
        <w:rPr>
          <w:rFonts w:eastAsiaTheme="minorHAnsi"/>
        </w:rPr>
        <w:t xml:space="preserve">jautājums par piespiedu ietekmēšanas līdzekļa piemērošanu juridiskajai personai tiek risināts kriminālprocesā par fizisko personu, kura noziedzīgo nodarījumu izdarījusi juridiskās personas interesēs, tās labā, vai nav veikusi pienācīgu pārraudzību vai kontroli pār juridiskās personas darbību, </w:t>
      </w:r>
      <w:r w:rsidR="009C591A" w:rsidRPr="009C7A0A">
        <w:t xml:space="preserve">apelācijas instances tiesas spriedums </w:t>
      </w:r>
      <w:r w:rsidR="009C591A" w:rsidRPr="009C7A0A">
        <w:rPr>
          <w:rFonts w:eastAsiaTheme="minorHAnsi"/>
        </w:rPr>
        <w:t xml:space="preserve">ir </w:t>
      </w:r>
      <w:r w:rsidR="009C591A" w:rsidRPr="009C7A0A">
        <w:t xml:space="preserve">atceļams arī </w:t>
      </w:r>
      <w:r w:rsidR="009C591A" w:rsidRPr="009C7A0A">
        <w:rPr>
          <w:lang w:eastAsia="lv-LV"/>
        </w:rPr>
        <w:t xml:space="preserve">daļā par kriminālprocesa izbeigšanu par piespiedu ietekmēšanas līdzekļa piemērošanu juridiskām personām </w:t>
      </w:r>
      <w:r w:rsidR="009C591A" w:rsidRPr="009C7A0A">
        <w:rPr>
          <w:color w:val="000000"/>
        </w:rPr>
        <w:t>SIA „</w:t>
      </w:r>
      <w:r w:rsidR="00D2596A">
        <w:rPr>
          <w:color w:val="000000"/>
        </w:rPr>
        <w:t>[Nosaukums C]</w:t>
      </w:r>
      <w:r w:rsidR="009C591A" w:rsidRPr="009C7A0A">
        <w:rPr>
          <w:color w:val="000000"/>
        </w:rPr>
        <w:t>”</w:t>
      </w:r>
      <w:r w:rsidR="009C591A" w:rsidRPr="009C7A0A">
        <w:t xml:space="preserve"> un SIA „</w:t>
      </w:r>
      <w:r w:rsidR="00D2596A">
        <w:t>[Nosaukums D]</w:t>
      </w:r>
      <w:r w:rsidR="009C591A" w:rsidRPr="009C7A0A">
        <w:t xml:space="preserve">”, jo būvniecības procesā </w:t>
      </w:r>
      <w:r w:rsidR="00D2596A">
        <w:t>[pers. BK]</w:t>
      </w:r>
      <w:r w:rsidR="009C591A" w:rsidRPr="009C7A0A">
        <w:t xml:space="preserve"> pārstāvēja </w:t>
      </w:r>
      <w:r w:rsidR="009C591A" w:rsidRPr="009C7A0A">
        <w:rPr>
          <w:color w:val="000000"/>
        </w:rPr>
        <w:t>SIA „</w:t>
      </w:r>
      <w:r w:rsidR="00D2596A">
        <w:rPr>
          <w:color w:val="000000"/>
        </w:rPr>
        <w:t>[Nosaukums C]</w:t>
      </w:r>
      <w:r w:rsidR="009C591A" w:rsidRPr="009C7A0A">
        <w:rPr>
          <w:color w:val="000000"/>
        </w:rPr>
        <w:t>”</w:t>
      </w:r>
      <w:r w:rsidR="009C591A" w:rsidRPr="009C7A0A">
        <w:t xml:space="preserve">, bet </w:t>
      </w:r>
      <w:r w:rsidR="00D2596A">
        <w:t>[pers. BL]</w:t>
      </w:r>
      <w:r w:rsidR="001649F9" w:rsidRPr="009C7A0A">
        <w:t> </w:t>
      </w:r>
      <w:r w:rsidR="009C591A" w:rsidRPr="009C7A0A">
        <w:t>– SIA „</w:t>
      </w:r>
      <w:r w:rsidR="00D2596A">
        <w:t>[Nosaukums D]</w:t>
      </w:r>
      <w:r w:rsidR="009C591A" w:rsidRPr="009C7A0A">
        <w:t>”.</w:t>
      </w:r>
    </w:p>
    <w:p w14:paraId="451809B2" w14:textId="0F7EEF54" w:rsidR="00F0254C" w:rsidRPr="009C7A0A" w:rsidRDefault="00F0254C" w:rsidP="009C7A0A">
      <w:pPr>
        <w:widowControl w:val="0"/>
        <w:tabs>
          <w:tab w:val="left" w:pos="1710"/>
        </w:tabs>
        <w:spacing w:line="276" w:lineRule="auto"/>
        <w:ind w:firstLine="720"/>
        <w:jc w:val="both"/>
      </w:pPr>
      <w:r w:rsidRPr="009C7A0A">
        <w:t xml:space="preserve">Tāpat atceļams apelācijas instances tiesas spriedums daļā par kaitējuma kompensācijām, par aresta atcelšanu </w:t>
      </w:r>
      <w:r w:rsidR="00D26E95">
        <w:t>[pers. BI]</w:t>
      </w:r>
      <w:r w:rsidRPr="009C7A0A">
        <w:t xml:space="preserve">, </w:t>
      </w:r>
      <w:r w:rsidR="00D26E95">
        <w:t>[pers. BL]</w:t>
      </w:r>
      <w:r w:rsidRPr="009C7A0A">
        <w:t xml:space="preserve"> un </w:t>
      </w:r>
      <w:r w:rsidR="00D26E95">
        <w:t>[pers. BK]</w:t>
      </w:r>
      <w:r w:rsidRPr="009C7A0A">
        <w:t xml:space="preserve"> mantai un par procesuālo izdevumu segšanu no valsts līdzekļiem par apsūdzētā </w:t>
      </w:r>
      <w:r w:rsidR="00AC34E8">
        <w:t>[pers. BN]</w:t>
      </w:r>
      <w:r w:rsidRPr="009C7A0A">
        <w:t xml:space="preserve"> nodrošināto juridisko palīdzību kriminālprocesā.</w:t>
      </w:r>
    </w:p>
    <w:p w14:paraId="4638D698" w14:textId="6CF21E8A" w:rsidR="00F0254C" w:rsidRPr="009C7A0A" w:rsidRDefault="00F0254C" w:rsidP="009C7A0A">
      <w:pPr>
        <w:widowControl w:val="0"/>
        <w:tabs>
          <w:tab w:val="left" w:pos="1710"/>
        </w:tabs>
        <w:spacing w:line="276" w:lineRule="auto"/>
        <w:ind w:firstLine="720"/>
        <w:jc w:val="both"/>
      </w:pPr>
      <w:r w:rsidRPr="009C7A0A">
        <w:t xml:space="preserve">Apelācijas instances tiesā piedalījās zvērināta advokāte Aina Bērziņa, kura veica apsūdzētā </w:t>
      </w:r>
      <w:r w:rsidR="00997CBF">
        <w:t>[pers. BN]</w:t>
      </w:r>
      <w:r w:rsidRPr="009C7A0A">
        <w:t xml:space="preserve"> aizstāvību saskaņā ar Ministru kabineta 2009. gada 22. decembra noteikumiem Nr.1493 “Noteikumi par valsts nodrošinātās juridiskās palīdzības apjomu, samaksas apmēru, atlīdzināmajiem izdevumiem un to izmaksas kārtību”, un kurai no valsts līdzekļiem ir izmaksājami 4980 </w:t>
      </w:r>
      <w:proofErr w:type="spellStart"/>
      <w:r w:rsidRPr="009C7A0A">
        <w:rPr>
          <w:i/>
          <w:iCs/>
        </w:rPr>
        <w:t>euro</w:t>
      </w:r>
      <w:proofErr w:type="spellEnd"/>
      <w:r w:rsidRPr="009C7A0A">
        <w:t xml:space="preserve">. Ņemot vērā to, ka attiecībā pret </w:t>
      </w:r>
      <w:r w:rsidR="00B11056">
        <w:t>[pers. BN]</w:t>
      </w:r>
      <w:r w:rsidRPr="009C7A0A">
        <w:t xml:space="preserve"> lietā taisīts attaisnojošs spriedums, saskaņā ar Kriminālprocesa likuma 368.panta trešo daļu minētie procesuāli izdevumi segti no valsts līdzekļiem.</w:t>
      </w:r>
    </w:p>
    <w:p w14:paraId="6BF6789B" w14:textId="55C16E40" w:rsidR="009132CD" w:rsidRPr="009C7A0A" w:rsidRDefault="00F0254C" w:rsidP="009C7A0A">
      <w:pPr>
        <w:widowControl w:val="0"/>
        <w:tabs>
          <w:tab w:val="left" w:pos="1710"/>
        </w:tabs>
        <w:spacing w:line="276" w:lineRule="auto"/>
        <w:ind w:firstLine="720"/>
        <w:jc w:val="both"/>
      </w:pPr>
      <w:r w:rsidRPr="009C7A0A">
        <w:t xml:space="preserve">Turklāt </w:t>
      </w:r>
      <w:r w:rsidRPr="009C7A0A">
        <w:rPr>
          <w:rFonts w:eastAsia="Calibri"/>
          <w:color w:val="000000"/>
        </w:rPr>
        <w:t xml:space="preserve">atbilstoši Kriminālprocesa likuma 366. panta pirmās daļas 1.punktam ar pirmās instances tiesas spriedumu, kuru apelācijas instances tiesa </w:t>
      </w:r>
      <w:r w:rsidR="009132CD" w:rsidRPr="009C7A0A">
        <w:rPr>
          <w:rFonts w:eastAsia="Calibri"/>
          <w:color w:val="000000"/>
        </w:rPr>
        <w:t xml:space="preserve">šajā daļā </w:t>
      </w:r>
      <w:r w:rsidRPr="009C7A0A">
        <w:rPr>
          <w:rFonts w:eastAsia="Calibri"/>
          <w:color w:val="000000"/>
        </w:rPr>
        <w:t xml:space="preserve">atstāja </w:t>
      </w:r>
      <w:r w:rsidRPr="009C7A0A">
        <w:rPr>
          <w:rFonts w:eastAsia="Calibri"/>
          <w:color w:val="000000"/>
        </w:rPr>
        <w:lastRenderedPageBreak/>
        <w:t xml:space="preserve">negrozītu, atcelts </w:t>
      </w:r>
      <w:r w:rsidRPr="009C7A0A">
        <w:t>arests</w:t>
      </w:r>
      <w:r w:rsidR="009132CD" w:rsidRPr="009C7A0A">
        <w:t>:</w:t>
      </w:r>
    </w:p>
    <w:p w14:paraId="17CDDBF3" w14:textId="2181D643" w:rsidR="009132CD" w:rsidRPr="009C7A0A" w:rsidRDefault="009132CD" w:rsidP="009C7A0A">
      <w:pPr>
        <w:widowControl w:val="0"/>
        <w:tabs>
          <w:tab w:val="left" w:pos="1710"/>
        </w:tabs>
        <w:spacing w:line="276" w:lineRule="auto"/>
        <w:ind w:firstLine="720"/>
        <w:jc w:val="both"/>
      </w:pPr>
      <w:r w:rsidRPr="009C7A0A">
        <w:t>1)</w:t>
      </w:r>
      <w:r w:rsidR="00F0254C" w:rsidRPr="009C7A0A">
        <w:t xml:space="preserve"> </w:t>
      </w:r>
      <w:r w:rsidR="00040BA3">
        <w:t>[pers. BI]</w:t>
      </w:r>
      <w:r w:rsidR="00F0254C" w:rsidRPr="009C7A0A">
        <w:t xml:space="preserve"> mantai – SIA „</w:t>
      </w:r>
      <w:r w:rsidR="004D3F9B">
        <w:t>[Nosaukums H]</w:t>
      </w:r>
      <w:r w:rsidR="00F0254C" w:rsidRPr="009C7A0A">
        <w:t>” 120 kapitāldaļām</w:t>
      </w:r>
      <w:r w:rsidRPr="009C7A0A">
        <w:t>;</w:t>
      </w:r>
    </w:p>
    <w:p w14:paraId="4DC1E6A2" w14:textId="6F0180C8" w:rsidR="009132CD" w:rsidRPr="009C7A0A" w:rsidRDefault="009132CD" w:rsidP="009C7A0A">
      <w:pPr>
        <w:widowControl w:val="0"/>
        <w:tabs>
          <w:tab w:val="left" w:pos="1710"/>
        </w:tabs>
        <w:spacing w:line="276" w:lineRule="auto"/>
        <w:ind w:firstLine="720"/>
        <w:jc w:val="both"/>
      </w:pPr>
      <w:r w:rsidRPr="009C7A0A">
        <w:t>2) </w:t>
      </w:r>
      <w:r w:rsidR="009A77F6">
        <w:t>[pers. BK]</w:t>
      </w:r>
      <w:r w:rsidR="00F0254C" w:rsidRPr="009C7A0A">
        <w:t xml:space="preserve"> mantai – nekustamam īpašumam (neapdzīvojamā telpa Nr.</w:t>
      </w:r>
      <w:r w:rsidR="00CC4233">
        <w:t> </w:t>
      </w:r>
      <w:r w:rsidR="00F0254C" w:rsidRPr="009C7A0A">
        <w:t xml:space="preserve">1b) </w:t>
      </w:r>
      <w:r w:rsidR="009A77F6">
        <w:t>[adrese 2]</w:t>
      </w:r>
      <w:r w:rsidR="00F0254C" w:rsidRPr="009C7A0A">
        <w:t>, 1/12 domājamām daļām</w:t>
      </w:r>
      <w:r w:rsidRPr="009C7A0A">
        <w:t>;</w:t>
      </w:r>
    </w:p>
    <w:p w14:paraId="0D8D5266" w14:textId="6B09C74B" w:rsidR="00F0254C" w:rsidRPr="009C7A0A" w:rsidRDefault="009132CD" w:rsidP="009C7A0A">
      <w:pPr>
        <w:widowControl w:val="0"/>
        <w:tabs>
          <w:tab w:val="left" w:pos="1710"/>
        </w:tabs>
        <w:spacing w:line="276" w:lineRule="auto"/>
        <w:ind w:firstLine="720"/>
        <w:jc w:val="both"/>
      </w:pPr>
      <w:r w:rsidRPr="009C7A0A">
        <w:t>3) </w:t>
      </w:r>
      <w:r w:rsidR="007C3948">
        <w:t>[pers. BL]</w:t>
      </w:r>
      <w:r w:rsidR="00F0254C" w:rsidRPr="009C7A0A">
        <w:t xml:space="preserve"> mantai –  </w:t>
      </w:r>
      <w:r w:rsidR="00F0254C" w:rsidRPr="009C7A0A">
        <w:rPr>
          <w:rFonts w:eastAsia="Calibri"/>
          <w:color w:val="000000"/>
        </w:rPr>
        <w:t xml:space="preserve">mopēdam </w:t>
      </w:r>
      <w:proofErr w:type="spellStart"/>
      <w:r w:rsidR="00F0254C" w:rsidRPr="009C7A0A">
        <w:rPr>
          <w:rFonts w:eastAsia="Calibri"/>
          <w:color w:val="000000"/>
        </w:rPr>
        <w:t>Motowel</w:t>
      </w:r>
      <w:proofErr w:type="spellEnd"/>
      <w:r w:rsidR="00F0254C" w:rsidRPr="009C7A0A">
        <w:rPr>
          <w:rFonts w:eastAsia="Calibri"/>
          <w:color w:val="000000"/>
        </w:rPr>
        <w:t xml:space="preserve"> Magnet RS, valsts reģistrācijas numurs </w:t>
      </w:r>
      <w:r w:rsidR="00440CAE">
        <w:rPr>
          <w:rFonts w:eastAsia="Calibri"/>
          <w:color w:val="000000"/>
        </w:rPr>
        <w:t>[..]</w:t>
      </w:r>
      <w:r w:rsidR="00F0254C" w:rsidRPr="009C7A0A">
        <w:rPr>
          <w:rFonts w:eastAsia="Calibri"/>
          <w:color w:val="000000"/>
        </w:rPr>
        <w:t xml:space="preserve">, vieglajai pasažieru TOYOTA AVENSIS, valsts reģistrācijas numurs </w:t>
      </w:r>
      <w:r w:rsidR="005073BD">
        <w:rPr>
          <w:rFonts w:eastAsia="Calibri"/>
          <w:color w:val="000000"/>
        </w:rPr>
        <w:t>[..]</w:t>
      </w:r>
      <w:r w:rsidR="00F0254C" w:rsidRPr="009C7A0A">
        <w:rPr>
          <w:rFonts w:eastAsia="Calibri"/>
          <w:color w:val="000000"/>
        </w:rPr>
        <w:t xml:space="preserve">, vieglajai </w:t>
      </w:r>
      <w:proofErr w:type="spellStart"/>
      <w:r w:rsidR="00F0254C" w:rsidRPr="009C7A0A">
        <w:rPr>
          <w:rFonts w:eastAsia="Calibri"/>
          <w:color w:val="000000"/>
        </w:rPr>
        <w:t>plašlietojuma</w:t>
      </w:r>
      <w:proofErr w:type="spellEnd"/>
      <w:r w:rsidR="00F0254C" w:rsidRPr="009C7A0A">
        <w:rPr>
          <w:rFonts w:eastAsia="Calibri"/>
          <w:color w:val="000000"/>
        </w:rPr>
        <w:t xml:space="preserve"> HYNDAI SANTAFE, valsts reģistrācijas numurs </w:t>
      </w:r>
      <w:r w:rsidR="005073BD">
        <w:rPr>
          <w:rFonts w:eastAsia="Calibri"/>
          <w:color w:val="000000"/>
        </w:rPr>
        <w:t>[..]</w:t>
      </w:r>
      <w:r w:rsidRPr="009C7A0A">
        <w:rPr>
          <w:rFonts w:eastAsia="Calibri"/>
          <w:color w:val="000000"/>
        </w:rPr>
        <w:t xml:space="preserve"> un</w:t>
      </w:r>
      <w:r w:rsidR="00F0254C" w:rsidRPr="009C7A0A">
        <w:rPr>
          <w:rFonts w:eastAsia="Calibri"/>
          <w:color w:val="000000"/>
        </w:rPr>
        <w:t xml:space="preserve"> nekustamajam īpašumam </w:t>
      </w:r>
      <w:r w:rsidR="005073BD">
        <w:rPr>
          <w:rFonts w:eastAsia="Calibri"/>
          <w:color w:val="000000"/>
        </w:rPr>
        <w:t>[adrese 3]</w:t>
      </w:r>
      <w:r w:rsidRPr="009C7A0A">
        <w:rPr>
          <w:rFonts w:eastAsia="Calibri"/>
          <w:color w:val="000000"/>
        </w:rPr>
        <w:t>.</w:t>
      </w:r>
    </w:p>
    <w:p w14:paraId="019EC9FB" w14:textId="3D0BC088" w:rsidR="00F0254C" w:rsidRPr="009C7A0A" w:rsidRDefault="00F0254C" w:rsidP="009C7A0A">
      <w:pPr>
        <w:widowControl w:val="0"/>
        <w:tabs>
          <w:tab w:val="left" w:pos="1710"/>
        </w:tabs>
        <w:spacing w:line="276" w:lineRule="auto"/>
        <w:ind w:firstLine="720"/>
        <w:jc w:val="both"/>
      </w:pPr>
      <w:r w:rsidRPr="009C7A0A">
        <w:t>Atbilstoši Kriminālprocesa likuma 352. panta pirmās daļas 2. punktam tiesa kompensācijas apmēru nosaka, izvērtējot cietušā pieteikumu un ņemot vērā noziedzīgā nodarījuma smagumu un izdarīšanas raksturu, bet atbilstoši Kriminālprocesa likuma 361.</w:t>
      </w:r>
      <w:r w:rsidR="009132CD" w:rsidRPr="009C7A0A">
        <w:t> </w:t>
      </w:r>
      <w:r w:rsidRPr="009C7A0A">
        <w:t xml:space="preserve">panta pirmajai daļai arests mantai </w:t>
      </w:r>
      <w:r w:rsidR="009132CD" w:rsidRPr="009C7A0A">
        <w:t>uzliekams</w:t>
      </w:r>
      <w:r w:rsidRPr="009C7A0A">
        <w:t xml:space="preserve">, lai nodrošinātu mantisko jautājumu risinājumu, tai skaitā cietušajiem nodarītā kaitējuma kompensācijas piedziņu. Tādējādi kaitējuma kompensācijas apmēra noteikšana un rīcība ar arestēto mantu ir cieši saistīta ar to, vai tiesa, izlemjot pret personu celto apsūdzību pamatotību, attaisno nevainīgās personas vai arī atzīst personas par vainīgām noziedzīgo nodarījumu izdarīšanā. </w:t>
      </w:r>
    </w:p>
    <w:p w14:paraId="43B75B21" w14:textId="77777777" w:rsidR="00F0254C" w:rsidRPr="009C7A0A" w:rsidRDefault="00F0254C" w:rsidP="009C7A0A">
      <w:pPr>
        <w:widowControl w:val="0"/>
        <w:tabs>
          <w:tab w:val="left" w:pos="1710"/>
        </w:tabs>
        <w:spacing w:line="276" w:lineRule="auto"/>
        <w:ind w:firstLine="720"/>
        <w:jc w:val="both"/>
      </w:pPr>
      <w:r w:rsidRPr="009C7A0A">
        <w:t xml:space="preserve">Saskaņā ar Kriminālprocesa likuma 368. pantā noteikto arī procesuālo izdevumu piedziņa ir pakārtota apsūdzētā nevainīguma vai vainīguma konstatēšanai.  </w:t>
      </w:r>
    </w:p>
    <w:p w14:paraId="429ABB81" w14:textId="528BC5A6" w:rsidR="00F0254C" w:rsidRPr="009C7A0A" w:rsidRDefault="00F0254C" w:rsidP="009C7A0A">
      <w:pPr>
        <w:widowControl w:val="0"/>
        <w:tabs>
          <w:tab w:val="left" w:pos="1710"/>
        </w:tabs>
        <w:spacing w:line="276" w:lineRule="auto"/>
        <w:ind w:firstLine="720"/>
        <w:jc w:val="both"/>
      </w:pPr>
      <w:r w:rsidRPr="009C7A0A">
        <w:t xml:space="preserve">Ievērojot minēto, jautājumi par kaitējuma kompensāciju noteikšanu vai kaitējuma kompensācijas pieteikumu noraidīšanu un </w:t>
      </w:r>
      <w:r w:rsidR="009132CD" w:rsidRPr="009C7A0A">
        <w:t xml:space="preserve">rīcību ar arestēto mantu </w:t>
      </w:r>
      <w:r w:rsidRPr="009C7A0A">
        <w:t>izlemjami, atkārtoti izskatot lietu apelācijas instances tiesā.</w:t>
      </w:r>
    </w:p>
    <w:p w14:paraId="51F4C0FD" w14:textId="46816E4E" w:rsidR="00465292" w:rsidRPr="009C7A0A" w:rsidRDefault="00465292" w:rsidP="009C7A0A">
      <w:pPr>
        <w:spacing w:line="276" w:lineRule="auto"/>
        <w:ind w:firstLine="720"/>
        <w:jc w:val="both"/>
      </w:pPr>
      <w:r w:rsidRPr="009C7A0A">
        <w:t>Atbilstoši Kriminālprocesa likuma 368. panta pirmajai daļai notiesājoša sprieduma taisīšanas gadījumā tiesai jālemj par šo izdevumu piedziņu no vainīgā.</w:t>
      </w:r>
    </w:p>
    <w:p w14:paraId="1535623F" w14:textId="07D3432F" w:rsidR="009C591A" w:rsidRPr="009C7A0A" w:rsidRDefault="009C591A" w:rsidP="009C7A0A">
      <w:pPr>
        <w:spacing w:line="276" w:lineRule="auto"/>
        <w:ind w:firstLine="720"/>
        <w:jc w:val="both"/>
      </w:pPr>
      <w:bookmarkStart w:id="16" w:name="_Hlk160190965"/>
      <w:r w:rsidRPr="009C7A0A">
        <w:t>Senāts norāda, ka gadījumā, ja apelācijas instances tiesa atzīs, ka kaitīgās sekas iestājās vairāku apsūdzēto noziedzīgo nodarījumu rezultātā, ir ņemama vērā judikatūrā paustā atziņa – ja vairāki apsūdzētie ir izdarījuši noziedzīgus nodarījumus, kuru rezultātā ir iestājušās kaitīgās sekas, un nav saprātīga pamata nodarītā kaitējuma noteiktu daļu attiecināt vienīgi uz kādu no apsūdzētajiem, tiesa kaitējuma kompensāciju piedzen solidāri no visiem apsūdzētajiem</w:t>
      </w:r>
      <w:bookmarkEnd w:id="16"/>
      <w:r w:rsidRPr="009C7A0A">
        <w:t xml:space="preserve"> (</w:t>
      </w:r>
      <w:r w:rsidRPr="009C7A0A">
        <w:rPr>
          <w:i/>
          <w:iCs/>
        </w:rPr>
        <w:t>Senāta</w:t>
      </w:r>
      <w:r w:rsidRPr="009C7A0A">
        <w:t xml:space="preserve"> </w:t>
      </w:r>
      <w:r w:rsidRPr="009C7A0A">
        <w:rPr>
          <w:bCs/>
          <w:i/>
          <w:iCs/>
          <w:color w:val="000000" w:themeColor="text1"/>
        </w:rPr>
        <w:t>2023. gada lēmuma lieta Nr. </w:t>
      </w:r>
      <w:hyperlink r:id="rId17" w:history="1">
        <w:r w:rsidRPr="00DC680B">
          <w:rPr>
            <w:rStyle w:val="Hyperlink"/>
            <w:bCs/>
            <w:i/>
            <w:iCs/>
          </w:rPr>
          <w:t>SKK</w:t>
        </w:r>
        <w:r w:rsidRPr="00DC680B">
          <w:rPr>
            <w:rStyle w:val="Hyperlink"/>
          </w:rPr>
          <w:noBreakHyphen/>
        </w:r>
        <w:r w:rsidRPr="00DC680B">
          <w:rPr>
            <w:rStyle w:val="Hyperlink"/>
            <w:bCs/>
            <w:i/>
            <w:iCs/>
          </w:rPr>
          <w:t>[P]/2023</w:t>
        </w:r>
      </w:hyperlink>
      <w:r w:rsidRPr="009C7A0A">
        <w:rPr>
          <w:bCs/>
          <w:i/>
          <w:iCs/>
          <w:color w:val="000000"/>
          <w:shd w:val="clear" w:color="auto" w:fill="FFFFFF"/>
        </w:rPr>
        <w:t>, 9. punkt</w:t>
      </w:r>
      <w:r w:rsidR="00DC680B">
        <w:rPr>
          <w:bCs/>
          <w:i/>
          <w:iCs/>
          <w:color w:val="000000"/>
          <w:shd w:val="clear" w:color="auto" w:fill="FFFFFF"/>
        </w:rPr>
        <w:t>s, pieejams Augstākās tiesas tīmekļvietnē</w:t>
      </w:r>
      <w:r w:rsidRPr="009C7A0A">
        <w:rPr>
          <w:bCs/>
          <w:color w:val="000000"/>
          <w:shd w:val="clear" w:color="auto" w:fill="FFFFFF"/>
        </w:rPr>
        <w:t>)</w:t>
      </w:r>
      <w:r w:rsidRPr="009C7A0A">
        <w:t>.</w:t>
      </w:r>
    </w:p>
    <w:p w14:paraId="4FB800E6" w14:textId="77777777" w:rsidR="00465292" w:rsidRPr="009C7A0A" w:rsidRDefault="00465292" w:rsidP="009C7A0A">
      <w:pPr>
        <w:spacing w:line="276" w:lineRule="auto"/>
        <w:ind w:firstLine="720"/>
        <w:jc w:val="both"/>
      </w:pPr>
    </w:p>
    <w:p w14:paraId="6A1DC351" w14:textId="35344DC7" w:rsidR="009C591A" w:rsidRPr="009C7A0A" w:rsidRDefault="009C591A" w:rsidP="009C7A0A">
      <w:pPr>
        <w:pStyle w:val="NoSpacing"/>
        <w:widowControl w:val="0"/>
        <w:spacing w:line="276" w:lineRule="auto"/>
        <w:ind w:firstLine="720"/>
        <w:jc w:val="both"/>
        <w:rPr>
          <w:rFonts w:ascii="Times New Roman" w:hAnsi="Times New Roman" w:cs="Times New Roman"/>
          <w:sz w:val="24"/>
          <w:szCs w:val="24"/>
        </w:rPr>
      </w:pPr>
      <w:r w:rsidRPr="009C7A0A">
        <w:rPr>
          <w:rFonts w:ascii="Times New Roman" w:hAnsi="Times New Roman" w:cs="Times New Roman"/>
          <w:sz w:val="24"/>
          <w:szCs w:val="24"/>
        </w:rPr>
        <w:t>[</w:t>
      </w:r>
      <w:r w:rsidR="00A8188A" w:rsidRPr="009C7A0A">
        <w:rPr>
          <w:rFonts w:ascii="Times New Roman" w:hAnsi="Times New Roman" w:cs="Times New Roman"/>
          <w:sz w:val="24"/>
          <w:szCs w:val="24"/>
        </w:rPr>
        <w:t>18</w:t>
      </w:r>
      <w:r w:rsidRPr="009C7A0A">
        <w:rPr>
          <w:rFonts w:ascii="Times New Roman" w:hAnsi="Times New Roman" w:cs="Times New Roman"/>
          <w:sz w:val="24"/>
          <w:szCs w:val="24"/>
        </w:rPr>
        <w:t xml:space="preserve">] Senāts atzīst, ka apelācijas instances tiesa, nosakot apsūdzētajam </w:t>
      </w:r>
      <w:r w:rsidR="00EB79EA">
        <w:rPr>
          <w:rFonts w:ascii="Times New Roman" w:hAnsi="Times New Roman" w:cs="Times New Roman"/>
          <w:sz w:val="24"/>
          <w:szCs w:val="24"/>
        </w:rPr>
        <w:t>[pers. A]</w:t>
      </w:r>
      <w:r w:rsidRPr="009C7A0A">
        <w:rPr>
          <w:rFonts w:ascii="Times New Roman" w:hAnsi="Times New Roman" w:cs="Times New Roman"/>
          <w:sz w:val="24"/>
          <w:szCs w:val="24"/>
        </w:rPr>
        <w:t xml:space="preserve"> sodu, nepareizi piemērojusi Krimināllikuma 35. panta otro daļu un 46. panta pirmo daļu.</w:t>
      </w:r>
    </w:p>
    <w:p w14:paraId="12DAE966" w14:textId="77777777" w:rsidR="009C591A" w:rsidRPr="009C7A0A" w:rsidRDefault="009C591A" w:rsidP="009C7A0A">
      <w:pPr>
        <w:pStyle w:val="NoSpacing"/>
        <w:widowControl w:val="0"/>
        <w:spacing w:line="276" w:lineRule="auto"/>
        <w:ind w:firstLine="720"/>
        <w:jc w:val="both"/>
        <w:rPr>
          <w:rFonts w:ascii="Times New Roman" w:hAnsi="Times New Roman" w:cs="Times New Roman"/>
          <w:sz w:val="24"/>
          <w:szCs w:val="24"/>
        </w:rPr>
      </w:pPr>
      <w:r w:rsidRPr="009C7A0A">
        <w:rPr>
          <w:rFonts w:ascii="Times New Roman" w:hAnsi="Times New Roman" w:cs="Times New Roman"/>
          <w:sz w:val="24"/>
          <w:szCs w:val="24"/>
        </w:rPr>
        <w:t>Senāts norāda, ka piespriestā soda taisnīgums ir viens no būtiskajiem lietas taisnīgas izskatīšanas elementiem. Par taisnīgu nevar atzīt sodu, kas neatbilst tiesību normām vai nav pamatots atbilstoši likuma prasībām.</w:t>
      </w:r>
    </w:p>
    <w:p w14:paraId="7338A1E7" w14:textId="77777777" w:rsidR="009C591A" w:rsidRPr="009C7A0A" w:rsidRDefault="009C591A" w:rsidP="009C7A0A">
      <w:pPr>
        <w:pStyle w:val="NoSpacing"/>
        <w:widowControl w:val="0"/>
        <w:spacing w:line="276" w:lineRule="auto"/>
        <w:ind w:firstLine="720"/>
        <w:jc w:val="both"/>
        <w:rPr>
          <w:rFonts w:ascii="Times New Roman" w:hAnsi="Times New Roman" w:cs="Times New Roman"/>
          <w:sz w:val="24"/>
          <w:szCs w:val="24"/>
        </w:rPr>
      </w:pPr>
      <w:r w:rsidRPr="009C7A0A">
        <w:rPr>
          <w:rFonts w:ascii="Times New Roman" w:hAnsi="Times New Roman" w:cs="Times New Roman"/>
          <w:sz w:val="24"/>
          <w:szCs w:val="24"/>
        </w:rPr>
        <w:t>Krimināllikuma 46. pantā reglamentēti soda noteikšanas vispārīgie principi jeb pamatprasības, kas obligāti ņemamas vērā, nosakot sodu katrā konkrētā gadījumā, neatkarīgi no izskatāmās krimināllietas specifikas un īpatnībām.</w:t>
      </w:r>
    </w:p>
    <w:p w14:paraId="5EA80F6E" w14:textId="1EC3A631" w:rsidR="009C591A" w:rsidRPr="009C7A0A" w:rsidRDefault="009C591A" w:rsidP="009C7A0A">
      <w:pPr>
        <w:pStyle w:val="NoSpacing"/>
        <w:widowControl w:val="0"/>
        <w:spacing w:line="276" w:lineRule="auto"/>
        <w:ind w:firstLine="720"/>
        <w:jc w:val="both"/>
        <w:rPr>
          <w:rFonts w:ascii="Times New Roman" w:hAnsi="Times New Roman" w:cs="Times New Roman"/>
          <w:sz w:val="24"/>
          <w:szCs w:val="24"/>
        </w:rPr>
      </w:pPr>
      <w:r w:rsidRPr="009C7A0A">
        <w:rPr>
          <w:rFonts w:ascii="Times New Roman" w:hAnsi="Times New Roman" w:cs="Times New Roman"/>
          <w:sz w:val="24"/>
          <w:szCs w:val="24"/>
        </w:rPr>
        <w:t xml:space="preserve">Saskaņā ar šā panta pirmo daļu sodu nosaka tādā apmērā, kādu par izdarīto noziedzīgo nodarījumu paredz Krimināllikuma Sevišķās daļas attiecīgā panta sankcija. Vienlaikus, nosakot sodu, visos gadījumos jāievēro šā likuma </w:t>
      </w:r>
      <w:r w:rsidR="00D70ECC" w:rsidRPr="009C7A0A">
        <w:rPr>
          <w:rFonts w:ascii="Times New Roman" w:hAnsi="Times New Roman" w:cs="Times New Roman"/>
          <w:sz w:val="24"/>
          <w:szCs w:val="24"/>
        </w:rPr>
        <w:t>V</w:t>
      </w:r>
      <w:r w:rsidRPr="009C7A0A">
        <w:rPr>
          <w:rFonts w:ascii="Times New Roman" w:hAnsi="Times New Roman" w:cs="Times New Roman"/>
          <w:sz w:val="24"/>
          <w:szCs w:val="24"/>
        </w:rPr>
        <w:t>ispārīgās daļas noteikumi.</w:t>
      </w:r>
    </w:p>
    <w:p w14:paraId="7064DA2E" w14:textId="4047F29F" w:rsidR="009C591A" w:rsidRPr="009C7A0A" w:rsidRDefault="009C591A" w:rsidP="009C7A0A">
      <w:pPr>
        <w:tabs>
          <w:tab w:val="left" w:pos="1710"/>
        </w:tabs>
        <w:spacing w:line="276" w:lineRule="auto"/>
        <w:ind w:firstLine="720"/>
        <w:jc w:val="both"/>
        <w:rPr>
          <w:bCs/>
        </w:rPr>
      </w:pPr>
      <w:r w:rsidRPr="009C7A0A">
        <w:rPr>
          <w:bCs/>
        </w:rPr>
        <w:t xml:space="preserve">Apelācijas instances tiesa nav pamatojusi </w:t>
      </w:r>
      <w:r w:rsidR="00603C68" w:rsidRPr="009C7A0A">
        <w:rPr>
          <w:bCs/>
        </w:rPr>
        <w:t xml:space="preserve">apsūdzētajam </w:t>
      </w:r>
      <w:r w:rsidR="00EB79EA">
        <w:t>[pers. A]</w:t>
      </w:r>
      <w:r w:rsidRPr="009C7A0A">
        <w:rPr>
          <w:bCs/>
        </w:rPr>
        <w:t xml:space="preserve"> noteiktā soda atbilstību Krimināllikuma 35. pantā norādītajam soda mērķim, aprobežojoties ar vispārīgu un nemotivētu apgalvojumu, ka Krimināllikuma 35. pantā norādītais soda mērķis ir sasniedzams, nosakot apsūdzētajiem sodu brīvības atņemšanas veidā. Savukārt </w:t>
      </w:r>
      <w:r w:rsidRPr="009C7A0A">
        <w:rPr>
          <w:bCs/>
        </w:rPr>
        <w:lastRenderedPageBreak/>
        <w:t>nosakot soda mēru, tiesa ņēm</w:t>
      </w:r>
      <w:r w:rsidR="00D70ECC" w:rsidRPr="009C7A0A">
        <w:rPr>
          <w:bCs/>
        </w:rPr>
        <w:t>usi</w:t>
      </w:r>
      <w:r w:rsidRPr="009C7A0A">
        <w:rPr>
          <w:bCs/>
        </w:rPr>
        <w:t xml:space="preserve"> vērā to, ka nav konstatēti apsūdzētā </w:t>
      </w:r>
      <w:r w:rsidR="00593402">
        <w:t>[pers. A]</w:t>
      </w:r>
      <w:r w:rsidRPr="009C7A0A">
        <w:rPr>
          <w:bCs/>
        </w:rPr>
        <w:t xml:space="preserve"> atbildību mīkstinoši un pastiprinoši apstākļi, un</w:t>
      </w:r>
      <w:r w:rsidR="00D70ECC" w:rsidRPr="009C7A0A">
        <w:rPr>
          <w:bCs/>
        </w:rPr>
        <w:t xml:space="preserve"> atzinusi, ka</w:t>
      </w:r>
      <w:r w:rsidRPr="009C7A0A">
        <w:rPr>
          <w:bCs/>
        </w:rPr>
        <w:t xml:space="preserve"> </w:t>
      </w:r>
      <w:r w:rsidR="00D70ECC" w:rsidRPr="009C7A0A">
        <w:rPr>
          <w:bCs/>
        </w:rPr>
        <w:t xml:space="preserve">apsūdzētajam nosakāms tāds </w:t>
      </w:r>
      <w:r w:rsidRPr="009C7A0A">
        <w:rPr>
          <w:bCs/>
        </w:rPr>
        <w:t>soda mērs</w:t>
      </w:r>
      <w:r w:rsidR="00D70ECC" w:rsidRPr="009C7A0A">
        <w:rPr>
          <w:bCs/>
        </w:rPr>
        <w:t xml:space="preserve">, </w:t>
      </w:r>
      <w:r w:rsidR="00943DAF" w:rsidRPr="009C7A0A">
        <w:rPr>
          <w:bCs/>
        </w:rPr>
        <w:t>kas pietuvināts</w:t>
      </w:r>
      <w:r w:rsidRPr="009C7A0A">
        <w:rPr>
          <w:bCs/>
        </w:rPr>
        <w:t xml:space="preserve"> pantu sankcijās paredzētajai maksimālajai robežai.</w:t>
      </w:r>
    </w:p>
    <w:p w14:paraId="68131424" w14:textId="77777777" w:rsidR="009C591A" w:rsidRPr="009C7A0A" w:rsidRDefault="009C591A" w:rsidP="009C7A0A">
      <w:pPr>
        <w:tabs>
          <w:tab w:val="left" w:pos="1710"/>
        </w:tabs>
        <w:spacing w:line="276" w:lineRule="auto"/>
        <w:ind w:firstLine="720"/>
        <w:jc w:val="both"/>
      </w:pPr>
      <w:r w:rsidRPr="009C7A0A">
        <w:t>Soda mērķis formulēts Krimināllikuma 35. panta otrajā daļā, kas noteic, ka soda mērķis ir: 1) aizsargāt sabiedrības drošību; 2) atjaunot taisnīgumu; 3) sodīt vainīgo personu par izdarīto noziedzīgo nodarījumu; 4) </w:t>
      </w:r>
      <w:proofErr w:type="spellStart"/>
      <w:r w:rsidRPr="009C7A0A">
        <w:t>resocializēt</w:t>
      </w:r>
      <w:proofErr w:type="spellEnd"/>
      <w:r w:rsidRPr="009C7A0A">
        <w:t xml:space="preserve"> sodīto personu; 5) panākt, lai notiesātais un citas personas pildītu likumus un atturētos no noziedzīgu nodarījumu izdarīšanas.</w:t>
      </w:r>
    </w:p>
    <w:p w14:paraId="3EF8859D" w14:textId="767EC106" w:rsidR="009C591A" w:rsidRPr="009C7A0A" w:rsidRDefault="009C591A" w:rsidP="009C7A0A">
      <w:pPr>
        <w:tabs>
          <w:tab w:val="left" w:pos="1710"/>
        </w:tabs>
        <w:spacing w:line="276" w:lineRule="auto"/>
        <w:ind w:firstLine="720"/>
        <w:jc w:val="both"/>
      </w:pPr>
      <w:r w:rsidRPr="009C7A0A">
        <w:t xml:space="preserve">Tādējādi minētie pasākumi ir vērsti, lai nodrošinātu speciālo </w:t>
      </w:r>
      <w:proofErr w:type="spellStart"/>
      <w:r w:rsidRPr="009C7A0A">
        <w:t>prevenci</w:t>
      </w:r>
      <w:r w:rsidR="00943DAF" w:rsidRPr="009C7A0A">
        <w:t>ju</w:t>
      </w:r>
      <w:proofErr w:type="spellEnd"/>
      <w:r w:rsidR="00D70ECC" w:rsidRPr="009C7A0A">
        <w:t>, proti,</w:t>
      </w:r>
      <w:r w:rsidR="00E873A8" w:rsidRPr="009C7A0A">
        <w:t xml:space="preserve"> panākt</w:t>
      </w:r>
      <w:r w:rsidR="00943DAF" w:rsidRPr="009C7A0A">
        <w:t>,</w:t>
      </w:r>
      <w:r w:rsidR="00D70ECC" w:rsidRPr="009C7A0A">
        <w:t xml:space="preserve"> </w:t>
      </w:r>
      <w:r w:rsidR="00943DAF" w:rsidRPr="009C7A0A">
        <w:t>lai notiesātais</w:t>
      </w:r>
      <w:r w:rsidRPr="009C7A0A">
        <w:t xml:space="preserve"> </w:t>
      </w:r>
      <w:r w:rsidR="00D70ECC" w:rsidRPr="009C7A0A">
        <w:t xml:space="preserve">tiktu </w:t>
      </w:r>
      <w:r w:rsidRPr="009C7A0A">
        <w:t>pakļauts soda piespiedu ietekmei un ar to saistītajiem ierobežojumiem</w:t>
      </w:r>
      <w:r w:rsidR="00E873A8" w:rsidRPr="009C7A0A">
        <w:t xml:space="preserve"> tādā apmērā, kas</w:t>
      </w:r>
      <w:r w:rsidR="00943DAF" w:rsidRPr="009C7A0A">
        <w:t xml:space="preserve"> </w:t>
      </w:r>
      <w:r w:rsidRPr="009C7A0A">
        <w:t>atturēt</w:t>
      </w:r>
      <w:r w:rsidR="00D70ECC" w:rsidRPr="009C7A0A">
        <w:t>u</w:t>
      </w:r>
      <w:r w:rsidRPr="009C7A0A">
        <w:t xml:space="preserve"> </w:t>
      </w:r>
      <w:r w:rsidR="00DC01EF" w:rsidRPr="009C7A0A">
        <w:t>notiesāto</w:t>
      </w:r>
      <w:r w:rsidRPr="009C7A0A">
        <w:t xml:space="preserve"> no turpmāku likumpārkāpumu izdarīšanas, kā arī vispārējo </w:t>
      </w:r>
      <w:proofErr w:type="spellStart"/>
      <w:r w:rsidRPr="009C7A0A">
        <w:t>prevenci</w:t>
      </w:r>
      <w:r w:rsidR="00943DAF" w:rsidRPr="009C7A0A">
        <w:t>ju</w:t>
      </w:r>
      <w:proofErr w:type="spellEnd"/>
      <w:r w:rsidR="00DC01EF" w:rsidRPr="009C7A0A">
        <w:t>, proti,</w:t>
      </w:r>
      <w:r w:rsidRPr="009C7A0A">
        <w:t xml:space="preserve"> panākt, lai citas personas pildītu likumus un atturētos no noziedzīgu nodarījumu izdarīšanas.</w:t>
      </w:r>
    </w:p>
    <w:p w14:paraId="5F2ABE63" w14:textId="77777777" w:rsidR="009C591A" w:rsidRPr="009C7A0A" w:rsidRDefault="009C591A" w:rsidP="009C7A0A">
      <w:pPr>
        <w:widowControl w:val="0"/>
        <w:tabs>
          <w:tab w:val="left" w:pos="1710"/>
        </w:tabs>
        <w:spacing w:line="276" w:lineRule="auto"/>
        <w:ind w:firstLine="720"/>
        <w:jc w:val="both"/>
      </w:pPr>
      <w:r w:rsidRPr="009C7A0A">
        <w:t>Augstākās tiesas Senāta Krimināllietu departamenta un Krimināllietu tiesu palātas tiesnešu kopsapulces 2008. gada 1. jūlija lēmuma „</w:t>
      </w:r>
      <w:hyperlink r:id="rId18" w:history="1">
        <w:r w:rsidRPr="009C7A0A">
          <w:rPr>
            <w:rStyle w:val="Hyperlink"/>
            <w:color w:val="auto"/>
            <w:u w:val="none"/>
          </w:rPr>
          <w:t>Par vienveidīgu tiesību normu piemērošanu soda noteikšanā</w:t>
        </w:r>
      </w:hyperlink>
      <w:r w:rsidRPr="009C7A0A">
        <w:t xml:space="preserve">” rekomendāciju 1. punktā norādīts, ka tiesai jāizvēlas tāds soda veids un mērs, kas maksimāli sekmētu kriminālsoda mērķu sasniegšanu. Tiesām jāizvērtē, kā konkrētās krimināltiesiskās represijas piemērošana sekmēs taisnīguma atjaunošanu, noziedzīgu nodarījumu recidīvu novēršanu, aizsargās sabiedrisko drošību, atturēs citu personu no noziedzīgu nodarījumu izdarīšanas, sekmēs notiesāto personu </w:t>
      </w:r>
      <w:proofErr w:type="spellStart"/>
      <w:r w:rsidRPr="009C7A0A">
        <w:t>resocializāciju</w:t>
      </w:r>
      <w:proofErr w:type="spellEnd"/>
      <w:r w:rsidRPr="009C7A0A">
        <w:t>.</w:t>
      </w:r>
    </w:p>
    <w:p w14:paraId="05D6BA74" w14:textId="5512A0A2" w:rsidR="009C591A" w:rsidRPr="009C7A0A" w:rsidRDefault="009C591A" w:rsidP="009C7A0A">
      <w:pPr>
        <w:widowControl w:val="0"/>
        <w:tabs>
          <w:tab w:val="left" w:pos="1710"/>
        </w:tabs>
        <w:spacing w:line="276" w:lineRule="auto"/>
        <w:ind w:firstLine="720"/>
        <w:jc w:val="both"/>
      </w:pPr>
      <w:r w:rsidRPr="009C7A0A">
        <w:t>Senāts uztur šo rekomendāciju, no kuras secināms, ka soda mērķa komponentes ir attiecinām</w:t>
      </w:r>
      <w:r w:rsidR="00BF14DF" w:rsidRPr="009C7A0A">
        <w:t>a</w:t>
      </w:r>
      <w:r w:rsidRPr="009C7A0A">
        <w:t>s gan uz soda veidu, gan uz mēru un soda mērķis sasniedzams, nosakot apsūdzētajam taisnīgu sodu.</w:t>
      </w:r>
    </w:p>
    <w:p w14:paraId="19BBA97E" w14:textId="189A676F" w:rsidR="009C591A" w:rsidRPr="009C7A0A" w:rsidRDefault="009C591A" w:rsidP="009C7A0A">
      <w:pPr>
        <w:widowControl w:val="0"/>
        <w:tabs>
          <w:tab w:val="left" w:pos="1710"/>
        </w:tabs>
        <w:spacing w:line="276" w:lineRule="auto"/>
        <w:ind w:firstLine="720"/>
        <w:jc w:val="both"/>
      </w:pPr>
      <w:r w:rsidRPr="009C7A0A">
        <w:t>No Satversmes 92. panta satura izriet, ka viens no</w:t>
      </w:r>
      <w:r w:rsidR="00DC01EF" w:rsidRPr="009C7A0A">
        <w:t xml:space="preserve"> krimināltiesisko</w:t>
      </w:r>
      <w:r w:rsidRPr="009C7A0A">
        <w:t xml:space="preserve"> attiecību </w:t>
      </w:r>
      <w:r w:rsidR="00DC01EF" w:rsidRPr="009C7A0A">
        <w:t xml:space="preserve">taisnīga </w:t>
      </w:r>
      <w:r w:rsidRPr="009C7A0A">
        <w:t>noregulējuma elementiem ir samērīguma princips, kas cieši saistāms ar Krimināllikuma 46. pantā nostiprināto soda individualizācijas principu.</w:t>
      </w:r>
    </w:p>
    <w:p w14:paraId="4F6206D6" w14:textId="77777777" w:rsidR="009C591A" w:rsidRPr="009C7A0A" w:rsidRDefault="009C591A" w:rsidP="009C7A0A">
      <w:pPr>
        <w:widowControl w:val="0"/>
        <w:tabs>
          <w:tab w:val="left" w:pos="1710"/>
        </w:tabs>
        <w:spacing w:line="276" w:lineRule="auto"/>
        <w:ind w:firstLine="720"/>
        <w:jc w:val="both"/>
      </w:pPr>
      <w:r w:rsidRPr="009C7A0A">
        <w:t>Tādējādi sodam par katru izdarīto noziedzīgo nodarījumu jābūt individualizētam un atbilstošam izdarītā noziedzīgā nodarījuma raksturam un radītam kaitējumam, kā arī apsūdzētā personībai. Tas nozīmē, ka samērīgam jābūt ne tikai soda veidam, bet arī soda mēram.</w:t>
      </w:r>
      <w:r w:rsidRPr="009C7A0A">
        <w:fldChar w:fldCharType="begin"/>
      </w:r>
      <w:r w:rsidRPr="009C7A0A">
        <w:instrText>ADDIN CITAVI.PLACEHOLDER 712dd047-e6da-4d96-a246-6c2480ee0255 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</w:instrText>
      </w:r>
      <w:r w:rsidRPr="009C7A0A">
        <w:fldChar w:fldCharType="separate"/>
      </w:r>
      <w:bookmarkStart w:id="17" w:name="_CTVP001712dd047e6da4d96a2466c2480ee0255"/>
      <w:bookmarkEnd w:id="17"/>
      <w:r w:rsidRPr="009C7A0A">
        <w:fldChar w:fldCharType="end"/>
      </w:r>
    </w:p>
    <w:p w14:paraId="7EAD2531" w14:textId="005E262B" w:rsidR="009C591A" w:rsidRPr="009C7A0A" w:rsidRDefault="009C591A" w:rsidP="009C7A0A">
      <w:pPr>
        <w:widowControl w:val="0"/>
        <w:tabs>
          <w:tab w:val="left" w:pos="1710"/>
        </w:tabs>
        <w:spacing w:line="276" w:lineRule="auto"/>
        <w:ind w:firstLine="720"/>
        <w:jc w:val="both"/>
      </w:pPr>
      <w:r w:rsidRPr="009C7A0A">
        <w:t xml:space="preserve">Senāts piekrīt kasācijas protestā ietvertajai norādei, ka apelācijas instances tiesa nav izvērtējusi, vai </w:t>
      </w:r>
      <w:r w:rsidR="003E7C07">
        <w:t>[pers. A]</w:t>
      </w:r>
      <w:r w:rsidRPr="009C7A0A">
        <w:t xml:space="preserve"> noteiktais soda mērs sasniegs soda represīvo mērķi, proti, vai ar piespriesto soda mēru apsūdzētais tiks pakļauts soda piespiedu ietekmei un ar to saistītajiem ierobežojumiem tādā apmērā, kas atbilst izdarītā noziedzīgā nodarījuma raksturam un radītajam kaitējumam. Tāpat tiesa nav izvērtējusi, vai ar to tiks sasniegts soda vispārējās </w:t>
      </w:r>
      <w:proofErr w:type="spellStart"/>
      <w:r w:rsidRPr="009C7A0A">
        <w:t>prevencijas</w:t>
      </w:r>
      <w:proofErr w:type="spellEnd"/>
      <w:r w:rsidRPr="009C7A0A">
        <w:t xml:space="preserve"> mērķis – panākt, lai citas personas pildītu likumus un atturētos no noziedzīgu nodarījumu izdarīšanas.</w:t>
      </w:r>
    </w:p>
    <w:p w14:paraId="5378C6C1" w14:textId="0892376E" w:rsidR="009C591A" w:rsidRPr="009C7A0A" w:rsidRDefault="009C591A" w:rsidP="009C7A0A">
      <w:pPr>
        <w:widowControl w:val="0"/>
        <w:tabs>
          <w:tab w:val="left" w:pos="1710"/>
        </w:tabs>
        <w:spacing w:line="276" w:lineRule="auto"/>
        <w:ind w:firstLine="720"/>
        <w:jc w:val="both"/>
        <w:rPr>
          <w:color w:val="000000"/>
        </w:rPr>
      </w:pPr>
      <w:r w:rsidRPr="009C7A0A">
        <w:t xml:space="preserve">Apelācijas instances tiesa, nosakot apsūdzētajam </w:t>
      </w:r>
      <w:r w:rsidR="00660E5C">
        <w:t>[pers. A]</w:t>
      </w:r>
      <w:r w:rsidRPr="009C7A0A">
        <w:t xml:space="preserve"> soda mēru, nav vērtējusi to, ka</w:t>
      </w:r>
      <w:r w:rsidRPr="009C7A0A">
        <w:rPr>
          <w:rFonts w:eastAsia="Calibri"/>
          <w:color w:val="000000"/>
        </w:rPr>
        <w:t xml:space="preserve"> izdarīto noziedzīgo nodarījumu rezultātā </w:t>
      </w:r>
      <w:r w:rsidRPr="009C7A0A">
        <w:rPr>
          <w:color w:val="000000"/>
        </w:rPr>
        <w:t xml:space="preserve">tika </w:t>
      </w:r>
      <w:r w:rsidR="003D1BDE" w:rsidRPr="009C7A0A">
        <w:rPr>
          <w:color w:val="000000"/>
        </w:rPr>
        <w:t xml:space="preserve">īpaši </w:t>
      </w:r>
      <w:r w:rsidRPr="009C7A0A">
        <w:rPr>
          <w:color w:val="000000"/>
        </w:rPr>
        <w:t>apdraudētas drošības</w:t>
      </w:r>
      <w:r w:rsidR="00DC01EF" w:rsidRPr="009C7A0A">
        <w:rPr>
          <w:color w:val="000000"/>
        </w:rPr>
        <w:t xml:space="preserve"> intereses</w:t>
      </w:r>
      <w:r w:rsidR="001B7EA7" w:rsidRPr="009C7A0A">
        <w:rPr>
          <w:color w:val="000000"/>
        </w:rPr>
        <w:t xml:space="preserve"> būvniecības jomā</w:t>
      </w:r>
      <w:r w:rsidRPr="009C7A0A">
        <w:rPr>
          <w:color w:val="000000"/>
        </w:rPr>
        <w:t>,</w:t>
      </w:r>
      <w:r w:rsidR="003D1BDE" w:rsidRPr="009C7A0A">
        <w:rPr>
          <w:color w:val="474747"/>
          <w:shd w:val="clear" w:color="auto" w:fill="FFFFFF"/>
        </w:rPr>
        <w:t xml:space="preserve"> </w:t>
      </w:r>
      <w:r w:rsidR="003D1BDE" w:rsidRPr="009C7A0A">
        <w:rPr>
          <w:color w:val="000000"/>
        </w:rPr>
        <w:t xml:space="preserve">jo ekspluatācijā tika nodota drošuma prasībām neatbilstoša publiskā ēka, kurā </w:t>
      </w:r>
      <w:r w:rsidR="00C672CF" w:rsidRPr="009C7A0A">
        <w:rPr>
          <w:color w:val="000000"/>
        </w:rPr>
        <w:t xml:space="preserve">bija </w:t>
      </w:r>
      <w:r w:rsidR="003D1BDE" w:rsidRPr="009C7A0A">
        <w:rPr>
          <w:color w:val="000000"/>
        </w:rPr>
        <w:t>paredzēts vienlaikus uzturēties vairāki desmiti cilvēku.</w:t>
      </w:r>
      <w:r w:rsidRPr="009C7A0A">
        <w:rPr>
          <w:color w:val="000000"/>
        </w:rPr>
        <w:t xml:space="preserve"> </w:t>
      </w:r>
      <w:bookmarkStart w:id="18" w:name="_Hlk156472881"/>
      <w:r w:rsidRPr="009C7A0A">
        <w:rPr>
          <w:rFonts w:eastAsia="Calibri"/>
          <w:color w:val="000000"/>
        </w:rPr>
        <w:t>Nodarītais kaitējums aiz neuzmanības izpaudās tādējādi, ka vairāk nekā piecdesmit cilvēki gājuši bojā, savukārt vairāk nekā četrdesmit cietušajiem tika nodarīti dažāda smaguma miesas bojājumi.</w:t>
      </w:r>
    </w:p>
    <w:p w14:paraId="5B6DC0FD" w14:textId="42F6A10E" w:rsidR="009C591A" w:rsidRPr="009C7A0A" w:rsidRDefault="009C591A" w:rsidP="009C7A0A">
      <w:pPr>
        <w:autoSpaceDE w:val="0"/>
        <w:autoSpaceDN w:val="0"/>
        <w:adjustRightInd w:val="0"/>
        <w:spacing w:line="276" w:lineRule="auto"/>
        <w:ind w:right="-2" w:firstLine="720"/>
        <w:jc w:val="both"/>
      </w:pPr>
      <w:bookmarkStart w:id="19" w:name="_Hlk156473072"/>
      <w:bookmarkEnd w:id="18"/>
      <w:r w:rsidRPr="009C7A0A">
        <w:lastRenderedPageBreak/>
        <w:t xml:space="preserve">Minētie apstākļi, </w:t>
      </w:r>
      <w:r w:rsidR="000A7510" w:rsidRPr="009C7A0A">
        <w:t xml:space="preserve">tai </w:t>
      </w:r>
      <w:r w:rsidRPr="009C7A0A">
        <w:t xml:space="preserve">skaitā tas, ka </w:t>
      </w:r>
      <w:r w:rsidR="001464CB">
        <w:t>[pers. A]</w:t>
      </w:r>
      <w:r w:rsidRPr="009C7A0A">
        <w:t xml:space="preserve"> noziedzīgo darbību rezultātā cietušajiem nodarīts mantiskais zaudējums, kas </w:t>
      </w:r>
      <w:r w:rsidR="00F351FB" w:rsidRPr="009C7A0A">
        <w:t>daudzkārt</w:t>
      </w:r>
      <w:r w:rsidRPr="009C7A0A">
        <w:t xml:space="preserve"> pārsniedz </w:t>
      </w:r>
      <w:r w:rsidR="009E0C48" w:rsidRPr="009C7A0A">
        <w:t xml:space="preserve">50 </w:t>
      </w:r>
      <w:r w:rsidRPr="009C7A0A">
        <w:t>tai laikā Latvijas Republikā noteikto minimālo mēnešalgu kopsummu, norāda uz noziedzīgo nodarījumu īpašo kaitīgumu. Ievērojot to, ka noziedzīgiem nodarījumiem piemīt īpašs kaitīgums, piespriežams arī atbilstošs soda mērs.</w:t>
      </w:r>
      <w:bookmarkEnd w:id="19"/>
    </w:p>
    <w:p w14:paraId="766D3CDF" w14:textId="77777777" w:rsidR="000202B2" w:rsidRPr="009C7A0A" w:rsidRDefault="000202B2" w:rsidP="009C7A0A">
      <w:pPr>
        <w:autoSpaceDE w:val="0"/>
        <w:autoSpaceDN w:val="0"/>
        <w:adjustRightInd w:val="0"/>
        <w:spacing w:line="276" w:lineRule="auto"/>
        <w:ind w:right="-2" w:firstLine="720"/>
        <w:jc w:val="both"/>
      </w:pPr>
    </w:p>
    <w:p w14:paraId="55FBB117" w14:textId="3A1473CE" w:rsidR="000202B2" w:rsidRPr="009C7A0A" w:rsidRDefault="000202B2" w:rsidP="009C7A0A">
      <w:pPr>
        <w:widowControl w:val="0"/>
        <w:spacing w:line="276" w:lineRule="auto"/>
        <w:ind w:firstLine="720"/>
        <w:contextualSpacing/>
        <w:jc w:val="both"/>
      </w:pPr>
      <w:r w:rsidRPr="009C7A0A">
        <w:t>[1</w:t>
      </w:r>
      <w:r w:rsidR="008418B4" w:rsidRPr="009C7A0A">
        <w:t>9</w:t>
      </w:r>
      <w:r w:rsidRPr="009C7A0A">
        <w:t>] </w:t>
      </w:r>
      <w:bookmarkStart w:id="20" w:name="_Hlk153296191"/>
      <w:r w:rsidRPr="009C7A0A">
        <w:t xml:space="preserve">Senāts konstatē, ka </w:t>
      </w:r>
      <w:bookmarkEnd w:id="20"/>
      <w:r w:rsidRPr="009C7A0A">
        <w:t>pārējā daļā kasācijas protesta un kasācijas sūdzību argumenti nerada šaubas par pārsūdzētā sprieduma tiesiskumu.</w:t>
      </w:r>
    </w:p>
    <w:p w14:paraId="33C59826" w14:textId="4CF8ADC0" w:rsidR="000202B2" w:rsidRPr="009C7A0A" w:rsidRDefault="000202B2" w:rsidP="009C7A0A">
      <w:pPr>
        <w:widowControl w:val="0"/>
        <w:spacing w:line="276" w:lineRule="auto"/>
        <w:ind w:firstLine="720"/>
        <w:contextualSpacing/>
        <w:jc w:val="both"/>
      </w:pPr>
      <w:r w:rsidRPr="009C7A0A">
        <w:t xml:space="preserve">Saskaņā ar Kriminālprocesa likuma 569. panta trešo daļu kasācijas instances tiesa pierādījumus lietā no jauna neizvērtē. Vienlaikus tās kompetencē ir pārbaudīt, vai apelācijas instances tiesa ir ievērojusi Kriminālprocesa likuma prasības pierādījumu vērtēšanā, vai pareizi piemērojusi Krimināllikumu, kvalificējot noziedzīgo nodarījumu. Kasācijas instances tiesas kompetencē ir pārbaudīt, vai apelācijas instances tiesa ir vērtējusi pierādījumu </w:t>
      </w:r>
      <w:proofErr w:type="spellStart"/>
      <w:r w:rsidRPr="009C7A0A">
        <w:t>attiecināmību</w:t>
      </w:r>
      <w:proofErr w:type="spellEnd"/>
      <w:r w:rsidRPr="009C7A0A">
        <w:t>, pieļaujamību, ticamību, pietiekamību un vai šis vērtējums atbilst Kriminālprocesa likumā izvirzītajām prasībām, vai noskaidrotie apstākļi un secinājumi atbilst novērtētajiem pierādījumiem (</w:t>
      </w:r>
      <w:r w:rsidRPr="009C7A0A">
        <w:rPr>
          <w:i/>
          <w:iCs/>
        </w:rPr>
        <w:t>sk.</w:t>
      </w:r>
      <w:r w:rsidRPr="009C7A0A">
        <w:t> </w:t>
      </w:r>
      <w:r w:rsidRPr="009C7A0A">
        <w:rPr>
          <w:i/>
        </w:rPr>
        <w:t>Senāta 2006. gada 12. oktobra lēmumu lietā Nr. </w:t>
      </w:r>
      <w:hyperlink r:id="rId19" w:history="1">
        <w:r w:rsidRPr="002B0825">
          <w:rPr>
            <w:rStyle w:val="Hyperlink"/>
            <w:i/>
          </w:rPr>
          <w:t>SKK-579/2006</w:t>
        </w:r>
      </w:hyperlink>
      <w:r w:rsidRPr="009C7A0A">
        <w:rPr>
          <w:i/>
        </w:rPr>
        <w:t>, 11511003104</w:t>
      </w:r>
      <w:r w:rsidRPr="009C7A0A">
        <w:t>).</w:t>
      </w:r>
    </w:p>
    <w:p w14:paraId="3E6AA6A6" w14:textId="0C54F83B" w:rsidR="000202B2" w:rsidRPr="009C7A0A" w:rsidRDefault="000202B2" w:rsidP="009C7A0A">
      <w:pPr>
        <w:widowControl w:val="0"/>
        <w:spacing w:line="276" w:lineRule="auto"/>
        <w:ind w:firstLine="720"/>
        <w:contextualSpacing/>
        <w:jc w:val="both"/>
      </w:pPr>
      <w:r w:rsidRPr="009C7A0A">
        <w:t xml:space="preserve">Senāts iepriekš ir norādījis, ka pierādījumu ticamības jēdziens un novērtēšanas prasības ir noteiktas Kriminālprocesa likuma 128. pantā, taču izvēle, kuriem pierādījumiem ticēt, bet kuriem nē, ir tās tiesas kompetencē, kas izspriež lietu pēc būtības. Arī jautājums par to, vai lietā esošie pierādījumi ir vai nav pietiekami apsūdzētā vainīguma konstatēšanai, ir būtības jautājums, kas kasācijas kārtībā nav pārbaudāms. Pierādījumu pietiekamības kritērijs ir saprātīgu šaubu esība vai </w:t>
      </w:r>
      <w:proofErr w:type="spellStart"/>
      <w:r w:rsidRPr="009C7A0A">
        <w:t>neesība</w:t>
      </w:r>
      <w:proofErr w:type="spellEnd"/>
      <w:r w:rsidRPr="009C7A0A">
        <w:t xml:space="preserve"> par apsūdzētā vainīgumu, kura izvērtēšana tāpat ir tās tiesas kompetencē, kas izskata lietu pēc būtības (sk. </w:t>
      </w:r>
      <w:r w:rsidRPr="009C7A0A">
        <w:rPr>
          <w:i/>
          <w:iCs/>
        </w:rPr>
        <w:t>Senāta 2013. gada 3. jūlija lēmumu lietā Nr</w:t>
      </w:r>
      <w:r w:rsidRPr="00961BED">
        <w:rPr>
          <w:i/>
          <w:iCs/>
        </w:rPr>
        <w:t>. </w:t>
      </w:r>
      <w:hyperlink r:id="rId20" w:history="1">
        <w:r w:rsidRPr="00005CA8">
          <w:rPr>
            <w:rStyle w:val="Hyperlink"/>
            <w:i/>
            <w:iCs/>
          </w:rPr>
          <w:t>SKK</w:t>
        </w:r>
        <w:r w:rsidRPr="00005CA8">
          <w:rPr>
            <w:rStyle w:val="Hyperlink"/>
            <w:i/>
            <w:iCs/>
          </w:rPr>
          <w:noBreakHyphen/>
          <w:t>333/2013</w:t>
        </w:r>
      </w:hyperlink>
      <w:r w:rsidRPr="00961BED">
        <w:rPr>
          <w:i/>
          <w:iCs/>
        </w:rPr>
        <w:t>,</w:t>
      </w:r>
      <w:r w:rsidRPr="009C7A0A">
        <w:rPr>
          <w:i/>
          <w:iCs/>
        </w:rPr>
        <w:t xml:space="preserve"> 15890002407</w:t>
      </w:r>
      <w:r w:rsidRPr="009C7A0A">
        <w:t>).</w:t>
      </w:r>
    </w:p>
    <w:p w14:paraId="1C87F4AA" w14:textId="77777777" w:rsidR="000202B2" w:rsidRPr="009C7A0A" w:rsidRDefault="000202B2" w:rsidP="009C7A0A">
      <w:pPr>
        <w:widowControl w:val="0"/>
        <w:spacing w:line="276" w:lineRule="auto"/>
        <w:ind w:firstLine="720"/>
        <w:contextualSpacing/>
        <w:jc w:val="both"/>
      </w:pPr>
    </w:p>
    <w:p w14:paraId="26C1E6BD" w14:textId="7D466947" w:rsidR="000202B2" w:rsidRPr="009C7A0A" w:rsidRDefault="000202B2" w:rsidP="009C7A0A">
      <w:pPr>
        <w:widowControl w:val="0"/>
        <w:spacing w:line="276" w:lineRule="auto"/>
        <w:ind w:firstLine="720"/>
        <w:contextualSpacing/>
        <w:jc w:val="both"/>
        <w:rPr>
          <w:iCs/>
        </w:rPr>
      </w:pPr>
      <w:r w:rsidRPr="009C7A0A">
        <w:t>[</w:t>
      </w:r>
      <w:r w:rsidR="008418B4" w:rsidRPr="009C7A0A">
        <w:t>20</w:t>
      </w:r>
      <w:r w:rsidRPr="009C7A0A">
        <w:t xml:space="preserve">] Apelācijas instances tiesa atzinusi, ka </w:t>
      </w:r>
      <w:r w:rsidR="001774BB">
        <w:t>[pers. BJ]</w:t>
      </w:r>
      <w:r w:rsidRPr="009C7A0A">
        <w:t xml:space="preserve"> atzīstams par nevainīgu pret viņu celtajā apsūdzībā pēc Krimināllikuma 239. panta otrās daļas (likuma redakcijā, kas stājās spēkā 2013. gada 1. aprīlī) un 123. panta otrās daļas un attaisnojams.</w:t>
      </w:r>
    </w:p>
    <w:p w14:paraId="77BDB759" w14:textId="3A1B76D9" w:rsidR="000202B2" w:rsidRPr="009C7A0A" w:rsidRDefault="000202B2" w:rsidP="009C7A0A">
      <w:pPr>
        <w:widowControl w:val="0"/>
        <w:spacing w:line="276" w:lineRule="auto"/>
        <w:ind w:firstLine="720"/>
        <w:contextualSpacing/>
        <w:jc w:val="both"/>
      </w:pPr>
      <w:r w:rsidRPr="009C7A0A">
        <w:t xml:space="preserve">Tiesa atbilstoši Kriminālprocesa likuma 519. panta 1. punktam norādījusi, ka apsūdzētā </w:t>
      </w:r>
      <w:r w:rsidR="00826B80">
        <w:t>[pers. BJ]</w:t>
      </w:r>
      <w:r w:rsidRPr="009C7A0A">
        <w:t xml:space="preserve"> nodarījumos nav noziedzīgā nodarījuma sastāva.</w:t>
      </w:r>
    </w:p>
    <w:p w14:paraId="442FD79B" w14:textId="2B6A9785" w:rsidR="000202B2" w:rsidRPr="009C7A0A" w:rsidRDefault="000202B2" w:rsidP="009C7A0A">
      <w:pPr>
        <w:widowControl w:val="0"/>
        <w:spacing w:line="276" w:lineRule="auto"/>
        <w:ind w:firstLine="720"/>
        <w:contextualSpacing/>
        <w:jc w:val="both"/>
      </w:pPr>
      <w:r w:rsidRPr="009C7A0A">
        <w:t xml:space="preserve">Pretēji kasācijas protestā un cietušo kasācijas sūdzībās norādītajam apelācijas instances tiesa ir izlēmusi pret </w:t>
      </w:r>
      <w:r w:rsidR="00DC4843">
        <w:t>[pers. BJ]</w:t>
      </w:r>
      <w:r w:rsidRPr="009C7A0A">
        <w:t xml:space="preserve"> celtās apsūdzības pamatotību un motivēti atzinusi, ka apsūdzētais nav veicis darbības vai pieļāvis bezdarbību, kas ietekmēja jumta nogruvumu.</w:t>
      </w:r>
    </w:p>
    <w:p w14:paraId="7A6F1BF6" w14:textId="1783422C" w:rsidR="000202B2" w:rsidRPr="009C7A0A" w:rsidRDefault="000202B2" w:rsidP="009C7A0A">
      <w:pPr>
        <w:widowControl w:val="0"/>
        <w:spacing w:line="276" w:lineRule="auto"/>
        <w:ind w:firstLine="720"/>
        <w:contextualSpacing/>
        <w:jc w:val="both"/>
      </w:pPr>
      <w:r w:rsidRPr="009C7A0A">
        <w:t xml:space="preserve">No inkriminētās apsūdzības secināms, ka </w:t>
      </w:r>
      <w:r w:rsidR="006A19C8">
        <w:t>[pers. BJ]</w:t>
      </w:r>
      <w:r w:rsidRPr="009C7A0A">
        <w:t xml:space="preserve"> nolaidība izpaudās tādējādi, ka viņš: 1) iesniedza </w:t>
      </w:r>
      <w:bookmarkStart w:id="21" w:name="_Hlk182476770"/>
      <w:r w:rsidRPr="009C7A0A">
        <w:t>tehniskā projekta paskaidrojuma rakstu Būvkonstrukcijas daļas būves konstruktīvajā shēmā, neizvērtējot izstrādāto risinājumu</w:t>
      </w:r>
      <w:bookmarkEnd w:id="21"/>
      <w:r w:rsidRPr="009C7A0A">
        <w:t>; 2) parakstīja segto darbu pieņemšanas aktu Nr. 11-2, nepārbaudot kopņu mezglus un kopņu sametinājumu; 3) pēc ugunsgrēka nepārliecinājās par kopņu drošumu; 4) parakstīja apliecinājumu par būves gatavību ekspluatācijai, tādējādi apliecinot, ka ir ņemtas vērā LBN 006-00 „Būtiskas prasības būvēm”.</w:t>
      </w:r>
    </w:p>
    <w:p w14:paraId="1390B796" w14:textId="77777777" w:rsidR="000202B2" w:rsidRPr="009C7A0A" w:rsidRDefault="000202B2" w:rsidP="009C7A0A">
      <w:pPr>
        <w:widowControl w:val="0"/>
        <w:spacing w:line="276" w:lineRule="auto"/>
        <w:ind w:firstLine="720"/>
        <w:contextualSpacing/>
        <w:jc w:val="both"/>
      </w:pPr>
      <w:r w:rsidRPr="009C7A0A">
        <w:t xml:space="preserve">Senāts norāda, ka, lai noskaidrotu cēloņsakarības esību vai </w:t>
      </w:r>
      <w:proofErr w:type="spellStart"/>
      <w:r w:rsidRPr="009C7A0A">
        <w:t>neesību</w:t>
      </w:r>
      <w:proofErr w:type="spellEnd"/>
      <w:r w:rsidRPr="009C7A0A">
        <w:t>, vispirms jākonstatē, vai segto darbu pieņemšana un kopņu drošuma nepārbaudīšana pēc ugunsgrēka varēja izraisīt tādu apdraudējuma risku kā jumta nogruvums.</w:t>
      </w:r>
    </w:p>
    <w:p w14:paraId="31DFBBDA" w14:textId="77777777" w:rsidR="000202B2" w:rsidRPr="009C7A0A" w:rsidRDefault="000202B2" w:rsidP="009C7A0A">
      <w:pPr>
        <w:widowControl w:val="0"/>
        <w:spacing w:line="276" w:lineRule="auto"/>
        <w:ind w:firstLine="720"/>
        <w:contextualSpacing/>
        <w:jc w:val="both"/>
        <w:rPr>
          <w:u w:val="single"/>
        </w:rPr>
      </w:pPr>
      <w:r w:rsidRPr="009C7A0A">
        <w:rPr>
          <w:iCs/>
        </w:rPr>
        <w:t xml:space="preserve">Lēmumā jau iepriekš norādīts, ka ne visi neatļauti nodarījumi veido cēloņsakarību </w:t>
      </w:r>
      <w:r w:rsidRPr="009C7A0A">
        <w:rPr>
          <w:iCs/>
        </w:rPr>
        <w:lastRenderedPageBreak/>
        <w:t>ar sekām, kas iestājušās. Lai noskaidrotu</w:t>
      </w:r>
      <w:r w:rsidRPr="009C7A0A">
        <w:t xml:space="preserve"> cēloņsakarību, ir jāņem vērā inkriminētā noziedzīgā nodarījuma objektīvās pazīmes, kuras raksturo konkrēto noziedzīgā nodarījuma sastāvu, tai skaitā nodarījuma faktiskās darbības, un jāpārliecinās, vai konkrētās sekas ir personas radītā neatļautā apdraudējuma rezultāts. Cēloņsakarība nav konstatējama gadījumā, ja persona rīkojās nevērīgi vai pieļāva bezdarbību un radīja apdraudējuma risku, kas neizraisīja inkriminētā noziedzīgā nodarījuma kaitīgās sekas.</w:t>
      </w:r>
    </w:p>
    <w:p w14:paraId="6F36632C" w14:textId="5A22E754" w:rsidR="000202B2" w:rsidRPr="009C7A0A" w:rsidRDefault="000202B2" w:rsidP="009C7A0A">
      <w:pPr>
        <w:widowControl w:val="0"/>
        <w:spacing w:line="276" w:lineRule="auto"/>
        <w:ind w:firstLine="720"/>
        <w:contextualSpacing/>
        <w:jc w:val="both"/>
        <w:rPr>
          <w:iCs/>
        </w:rPr>
      </w:pPr>
      <w:r w:rsidRPr="009C7A0A">
        <w:t xml:space="preserve">No segto darbu pieņemšanas akta Nr. 11-2 secināms, ka komisija – </w:t>
      </w:r>
      <w:r w:rsidR="001F43BC">
        <w:t>[pers. BJ]</w:t>
      </w:r>
      <w:r w:rsidRPr="009C7A0A">
        <w:t xml:space="preserve">, </w:t>
      </w:r>
      <w:r w:rsidR="001020E4">
        <w:t>[pers. BK]</w:t>
      </w:r>
      <w:r w:rsidRPr="009C7A0A">
        <w:t xml:space="preserve">, </w:t>
      </w:r>
      <w:r w:rsidR="001020E4">
        <w:t>[pers. BL]</w:t>
      </w:r>
      <w:r w:rsidRPr="009C7A0A">
        <w:t xml:space="preserve"> un </w:t>
      </w:r>
      <w:r w:rsidR="00036A4E">
        <w:t>[pers. MI]</w:t>
      </w:r>
      <w:r w:rsidRPr="009C7A0A">
        <w:t xml:space="preserve"> – pārbaudīja metāla konstrukciju pārklājumu ar ugunsdrošu krāsu</w:t>
      </w:r>
      <w:r w:rsidRPr="009C7A0A">
        <w:rPr>
          <w:iCs/>
        </w:rPr>
        <w:t xml:space="preserve"> </w:t>
      </w:r>
      <w:r w:rsidRPr="009C7A0A">
        <w:t>(</w:t>
      </w:r>
      <w:r w:rsidRPr="009C7A0A">
        <w:rPr>
          <w:i/>
          <w:iCs/>
        </w:rPr>
        <w:t>lietas</w:t>
      </w:r>
      <w:r w:rsidRPr="009C7A0A">
        <w:t xml:space="preserve"> </w:t>
      </w:r>
      <w:r w:rsidRPr="009C7A0A">
        <w:rPr>
          <w:i/>
          <w:iCs/>
        </w:rPr>
        <w:t>25. sējuma 221. lapa</w:t>
      </w:r>
      <w:r w:rsidRPr="009C7A0A">
        <w:t>). Pārbaudes laikā konstatēts, ka darbi tika izpildīti atbilstoši noslēgtajam līgumam.</w:t>
      </w:r>
    </w:p>
    <w:p w14:paraId="14878C0B" w14:textId="77777777" w:rsidR="000202B2" w:rsidRPr="009C7A0A" w:rsidRDefault="000202B2" w:rsidP="009C7A0A">
      <w:pPr>
        <w:widowControl w:val="0"/>
        <w:spacing w:line="276" w:lineRule="auto"/>
        <w:ind w:firstLine="720"/>
        <w:contextualSpacing/>
        <w:jc w:val="both"/>
      </w:pPr>
      <w:r w:rsidRPr="009C7A0A">
        <w:t>Tādējādi secināms, ka komisijas locekļiem bija jāpārbauda, vai jumta konstrukcijas ir pārklātas ar ugunsdrošu krāsu, un šis pārklājums bija nepieciešams, lai ugunsgrēka gadījumā metāla kopnes būtu aizsargātas no temperatūras ietekmes, nevis no nogruvuma riska.</w:t>
      </w:r>
    </w:p>
    <w:p w14:paraId="2F143B9E" w14:textId="0D0B0971" w:rsidR="000202B2" w:rsidRPr="009C7A0A" w:rsidRDefault="000202B2" w:rsidP="009C7A0A">
      <w:pPr>
        <w:widowControl w:val="0"/>
        <w:spacing w:line="276" w:lineRule="auto"/>
        <w:ind w:firstLine="720"/>
        <w:contextualSpacing/>
        <w:jc w:val="both"/>
        <w:rPr>
          <w:iCs/>
        </w:rPr>
      </w:pPr>
      <w:r w:rsidRPr="009C7A0A">
        <w:rPr>
          <w:iCs/>
        </w:rPr>
        <w:t>Ievērojot minēto, Senāts atzīst, ka apsūdzētajiem</w:t>
      </w:r>
      <w:r w:rsidRPr="009C7A0A">
        <w:t xml:space="preserve"> </w:t>
      </w:r>
      <w:r w:rsidR="008639E9">
        <w:t>[pers. BJ]</w:t>
      </w:r>
      <w:r w:rsidRPr="009C7A0A">
        <w:t xml:space="preserve">, </w:t>
      </w:r>
      <w:r w:rsidR="008639E9">
        <w:t>[pers. BK]</w:t>
      </w:r>
      <w:r w:rsidRPr="009C7A0A">
        <w:t xml:space="preserve"> un </w:t>
      </w:r>
      <w:r w:rsidR="008639E9">
        <w:t>[pers. BL]</w:t>
      </w:r>
      <w:r w:rsidRPr="009C7A0A">
        <w:t xml:space="preserve"> </w:t>
      </w:r>
      <w:r w:rsidRPr="009C7A0A">
        <w:rPr>
          <w:iCs/>
        </w:rPr>
        <w:t>inkriminētā nolaidība nav radījusi tādu apdraudējumu, kas izraisīja apsūdzībā norādītās sekas.</w:t>
      </w:r>
    </w:p>
    <w:p w14:paraId="363FEA06" w14:textId="6C36E9F4" w:rsidR="000202B2" w:rsidRPr="009C7A0A" w:rsidRDefault="000202B2" w:rsidP="009C7A0A">
      <w:pPr>
        <w:widowControl w:val="0"/>
        <w:spacing w:line="276" w:lineRule="auto"/>
        <w:ind w:firstLine="720"/>
        <w:contextualSpacing/>
        <w:jc w:val="both"/>
      </w:pPr>
      <w:r w:rsidRPr="009C7A0A">
        <w:t xml:space="preserve">Lēmuma </w:t>
      </w:r>
      <w:r w:rsidR="008418B4" w:rsidRPr="009C7A0A">
        <w:t>1</w:t>
      </w:r>
      <w:r w:rsidRPr="009C7A0A">
        <w:t>6.</w:t>
      </w:r>
      <w:r w:rsidR="008418B4" w:rsidRPr="009C7A0A">
        <w:t>1</w:t>
      </w:r>
      <w:r w:rsidRPr="009C7A0A">
        <w:t> punktā jau ir atzīts, ka ugunsgrēks uz jumta ir bojājis tā pārsegumu, bet nav ietekmējis jumta nesošās konstrukcijas un nav veicinājis jumta nogruvumu.</w:t>
      </w:r>
    </w:p>
    <w:p w14:paraId="4D01C8E9" w14:textId="6E962013" w:rsidR="000202B2" w:rsidRPr="009C7A0A" w:rsidRDefault="000202B2" w:rsidP="00181FC1">
      <w:pPr>
        <w:widowControl w:val="0"/>
        <w:spacing w:line="276" w:lineRule="auto"/>
        <w:ind w:firstLine="720"/>
        <w:contextualSpacing/>
        <w:jc w:val="both"/>
      </w:pPr>
      <w:r w:rsidRPr="009C7A0A">
        <w:t xml:space="preserve">Senāts konstatē, ka apelācijas instances tiesa ir izvērtējusi, vai konkrētajos apstākļos bija nepieciešams veikt padziļinātu kopņu nestspējas pārbaudi, ja kopnes drošumu ugunsgrēks nav ietekmējis. Tiesa norādījusi, ka no liecinieku </w:t>
      </w:r>
      <w:r w:rsidR="00181FC1">
        <w:t>[pers. MF]</w:t>
      </w:r>
      <w:r w:rsidRPr="009C7A0A">
        <w:t xml:space="preserve">, </w:t>
      </w:r>
      <w:r w:rsidR="00181FC1">
        <w:t>[pers. MG]</w:t>
      </w:r>
      <w:r w:rsidRPr="009C7A0A">
        <w:t xml:space="preserve"> un </w:t>
      </w:r>
      <w:r w:rsidR="00181FC1">
        <w:t>[pers. MH]</w:t>
      </w:r>
      <w:r w:rsidRPr="009C7A0A">
        <w:t xml:space="preserve">, kā arī apsūdzēto </w:t>
      </w:r>
      <w:r w:rsidR="00181FC1">
        <w:t>[pers. BK]</w:t>
      </w:r>
      <w:r w:rsidRPr="009C7A0A">
        <w:t xml:space="preserve"> un </w:t>
      </w:r>
      <w:r w:rsidR="00181FC1">
        <w:t>[pers. BL]</w:t>
      </w:r>
      <w:r w:rsidRPr="009C7A0A">
        <w:t xml:space="preserve"> liecībām secināms, ka pēc ugunsgrēka tika veikta radīto seku pārbaude un novērtēšana. Pārbaudot ugunsgrēka radītās sekas, tika konstatēts, ka bija bojāts jumta hidroizolācijas un siltumizolācijas segums, alumīnija kasešu apšuvums un betona virsmas stūris, kā arī siena starp apakšējo un augšējo jumta daļu. </w:t>
      </w:r>
      <w:proofErr w:type="spellStart"/>
      <w:r w:rsidRPr="009C7A0A">
        <w:t>Virsbetona</w:t>
      </w:r>
      <w:proofErr w:type="spellEnd"/>
      <w:r w:rsidRPr="009C7A0A">
        <w:t xml:space="preserve"> slāņa un kopņu drošums netika ietekmēts.</w:t>
      </w:r>
    </w:p>
    <w:p w14:paraId="58857F97" w14:textId="25DD5755" w:rsidR="000202B2" w:rsidRPr="009C7A0A" w:rsidRDefault="000202B2" w:rsidP="009C7A0A">
      <w:pPr>
        <w:widowControl w:val="0"/>
        <w:spacing w:line="276" w:lineRule="auto"/>
        <w:ind w:firstLine="720"/>
        <w:contextualSpacing/>
        <w:jc w:val="both"/>
      </w:pPr>
      <w:r w:rsidRPr="009C7A0A">
        <w:t xml:space="preserve">Pretēji kasācijas protestā norādītajam apelācijas instances tiesa nav vadījusies tikai no procesā iesaistīto personu viedokļa, bet ir izvērtējusi normatīvos tiesību aktus, kas noteic </w:t>
      </w:r>
      <w:r w:rsidR="00D32BCF">
        <w:t>[pers. BJ]</w:t>
      </w:r>
      <w:r w:rsidRPr="009C7A0A">
        <w:t xml:space="preserve"> kompetenci, arī iesniedzot tehniskā projekta paskaidrojuma rakstu Būvkonstrukcijas daļas būves konstruktīvajā risinājumā, un pamatoti secinājusi, ka par katru būvprojekta daļu un tās risinājumiem atbild būvprojekta daļu vadītāji. Šāds nosacījums attiecināms arī uz būvniecības autoruzraudzību.</w:t>
      </w:r>
    </w:p>
    <w:p w14:paraId="147CA1BE" w14:textId="77777777" w:rsidR="000202B2" w:rsidRPr="009C7A0A" w:rsidRDefault="000202B2" w:rsidP="009C7A0A">
      <w:pPr>
        <w:widowControl w:val="0"/>
        <w:spacing w:line="276" w:lineRule="auto"/>
        <w:ind w:firstLine="720"/>
        <w:contextualSpacing/>
        <w:jc w:val="both"/>
      </w:pPr>
      <w:r w:rsidRPr="009C7A0A">
        <w:t>Apelācijas instances tiesa motivēti atspēkojusi prokurora</w:t>
      </w:r>
      <w:r w:rsidRPr="009C7A0A">
        <w:rPr>
          <w:b/>
          <w:bCs/>
        </w:rPr>
        <w:t xml:space="preserve"> </w:t>
      </w:r>
      <w:r w:rsidRPr="009C7A0A">
        <w:t>viedokli, ka</w:t>
      </w:r>
      <w:r w:rsidRPr="009C7A0A">
        <w:rPr>
          <w:b/>
          <w:bCs/>
        </w:rPr>
        <w:t xml:space="preserve"> </w:t>
      </w:r>
      <w:r w:rsidRPr="009C7A0A">
        <w:t xml:space="preserve">Ministru kabineta 1997. gada 1. aprīļa noteikumu Nr. 112 „Vispārīgie būvnoteikumi” (turpmāk – </w:t>
      </w:r>
      <w:bookmarkStart w:id="22" w:name="_Hlk185322716"/>
      <w:r w:rsidRPr="009C7A0A">
        <w:t>Vispārīgie būvnoteikumi</w:t>
      </w:r>
      <w:bookmarkEnd w:id="22"/>
      <w:r w:rsidRPr="009C7A0A">
        <w:t>) 69. punkts interpretējams tādējādi, ka būvprojekta vadītājs atbild par visām projekta daļām.</w:t>
      </w:r>
    </w:p>
    <w:p w14:paraId="0C55C05B" w14:textId="77777777" w:rsidR="000202B2" w:rsidRPr="009C7A0A" w:rsidRDefault="000202B2" w:rsidP="009C7A0A">
      <w:pPr>
        <w:widowControl w:val="0"/>
        <w:spacing w:line="276" w:lineRule="auto"/>
        <w:ind w:firstLine="720"/>
        <w:contextualSpacing/>
        <w:jc w:val="both"/>
      </w:pPr>
      <w:r w:rsidRPr="009C7A0A">
        <w:t>Minēta norma paredzēja, ka būvprojekta vadītājs ir atbildīgs par projektēšanas darbu koordinēšanu, atsevišķo projekta daļu savstarpējo atbilstību un būvprojekta saturu kopumā.</w:t>
      </w:r>
    </w:p>
    <w:p w14:paraId="50C11DBA" w14:textId="77777777" w:rsidR="000202B2" w:rsidRPr="009C7A0A" w:rsidRDefault="000202B2" w:rsidP="009C7A0A">
      <w:pPr>
        <w:widowControl w:val="0"/>
        <w:spacing w:line="276" w:lineRule="auto"/>
        <w:ind w:firstLine="720"/>
        <w:contextualSpacing/>
        <w:jc w:val="both"/>
      </w:pPr>
      <w:r w:rsidRPr="009C7A0A">
        <w:t>Pamatojot savu atzinumu, tiesa atsaukusies uz Vispārīgo būvnoteikumu 70. un 89. punkta prasībām.</w:t>
      </w:r>
    </w:p>
    <w:p w14:paraId="1B9E4B07" w14:textId="77777777" w:rsidR="000202B2" w:rsidRPr="009C7A0A" w:rsidRDefault="000202B2" w:rsidP="009C7A0A">
      <w:pPr>
        <w:widowControl w:val="0"/>
        <w:spacing w:line="276" w:lineRule="auto"/>
        <w:ind w:firstLine="720"/>
        <w:contextualSpacing/>
        <w:jc w:val="both"/>
      </w:pPr>
      <w:r w:rsidRPr="009C7A0A">
        <w:t>Vispārīgo būvnoteikumu 70. punkts noteic, ka par būvprojekta sastāvā ietilpstošu būvprojekta daļu atbild attiecīgajā darba veidā sertificēts būvprojekta daļas vadītājs.</w:t>
      </w:r>
    </w:p>
    <w:p w14:paraId="22B118F2" w14:textId="77777777" w:rsidR="000202B2" w:rsidRPr="009C7A0A" w:rsidRDefault="000202B2" w:rsidP="009C7A0A">
      <w:pPr>
        <w:widowControl w:val="0"/>
        <w:spacing w:line="276" w:lineRule="auto"/>
        <w:ind w:firstLine="720"/>
        <w:contextualSpacing/>
        <w:jc w:val="both"/>
      </w:pPr>
      <w:r w:rsidRPr="009C7A0A">
        <w:t xml:space="preserve">Atbilstoši Vispārīgo būvnoteikumu 89. punktam tehniskais projekts ietver šādas </w:t>
      </w:r>
      <w:r w:rsidRPr="009C7A0A">
        <w:lastRenderedPageBreak/>
        <w:t xml:space="preserve">daļas: vispārīga, arhitektūras, </w:t>
      </w:r>
      <w:proofErr w:type="spellStart"/>
      <w:r w:rsidRPr="009C7A0A">
        <w:t>inženierrisinājumu</w:t>
      </w:r>
      <w:proofErr w:type="spellEnd"/>
      <w:r w:rsidRPr="009C7A0A">
        <w:t>, tehnoloģiskā (ražošanas ēku un būvju projektiem), ekonomikas (valsts un pašvaldību finansētiem objektiem), būvdarbu organizācijas, ugunsdrošības pasākumu pārskata (sabiedriski nozīmīgām būvēm) daļa, kā arī energoefektivitātes aprēķins, ja to nosaka Ēku energoefektivitātes likums.</w:t>
      </w:r>
    </w:p>
    <w:p w14:paraId="7F16C7BD" w14:textId="77777777" w:rsidR="000202B2" w:rsidRPr="009C7A0A" w:rsidRDefault="000202B2" w:rsidP="009C7A0A">
      <w:pPr>
        <w:widowControl w:val="0"/>
        <w:spacing w:line="276" w:lineRule="auto"/>
        <w:ind w:firstLine="720"/>
        <w:contextualSpacing/>
        <w:jc w:val="both"/>
      </w:pPr>
      <w:r w:rsidRPr="009C7A0A">
        <w:t>Tiesa norādījusi, ka Latvijas būvnormatīva LBN 006-00 „Būtiskas prasības būvēm” 4. punktā ietverta prasība būves projektēt un būvēt tā, lai, tās ekspluatējot pilnā aprēķina slodzē, neizraisītu visas būves vai tās atsevišķu daļu sabrukumu, tiek nodrošināta ar būvprojekta daļu risinājumiem, par kuriem atbild attiecīgo būvprojekta daļu vadītāji.</w:t>
      </w:r>
    </w:p>
    <w:p w14:paraId="27F996F9" w14:textId="77777777" w:rsidR="000202B2" w:rsidRPr="009C7A0A" w:rsidRDefault="000202B2" w:rsidP="009C7A0A">
      <w:pPr>
        <w:widowControl w:val="0"/>
        <w:spacing w:line="276" w:lineRule="auto"/>
        <w:ind w:firstLine="720"/>
        <w:contextualSpacing/>
        <w:jc w:val="both"/>
      </w:pPr>
      <w:r w:rsidRPr="009C7A0A">
        <w:t xml:space="preserve">Ievērojot minēto, tiesa atzinusi, ka katram būvprojekta vai būvniecības dalībniekam konkrētā būvniecības posmā piemīt sava individuāla kompetence jeb individuāls subjektīvo tiesību un pienākumu kopums, kuru imperatīvi paredz tiesību norma. Tādējādi sertificēta arhitekta profesionālā atbildība ir personīga un attiecināma tikai un vienīgi uz pakalpojuma daļu, kura ir izstrādāta, pamatojoties uz profesionālo kompetenci sertificētā jomā atbilstoši pakalpojuma līgumā, normatīvajos tiesību aktos, labās prakses un ētikas standartos noteiktajiem pienākumiem. Savukārt būvniecības </w:t>
      </w:r>
      <w:proofErr w:type="spellStart"/>
      <w:r w:rsidRPr="009C7A0A">
        <w:t>autoruzraugs</w:t>
      </w:r>
      <w:proofErr w:type="spellEnd"/>
      <w:r w:rsidRPr="009C7A0A">
        <w:t xml:space="preserve"> ir atbildīgs par to daļu, kuru tas ir izstrādājis. Arhitektam, veicot autoruzraudzību, nav un nevar būt pienākums pārbaudīt būvkonstrukciju savienojumus, pārliecināties par būvkonstrukciju metinājumu un savienojumu kvalitāti, pareizību un atbilstību standartiem.</w:t>
      </w:r>
    </w:p>
    <w:p w14:paraId="2D2184EE" w14:textId="1276EBCC" w:rsidR="000202B2" w:rsidRPr="009C7A0A" w:rsidRDefault="000202B2" w:rsidP="009C7A0A">
      <w:pPr>
        <w:widowControl w:val="0"/>
        <w:spacing w:line="276" w:lineRule="auto"/>
        <w:ind w:firstLine="720"/>
        <w:contextualSpacing/>
        <w:jc w:val="both"/>
      </w:pPr>
      <w:r w:rsidRPr="009C7A0A">
        <w:t xml:space="preserve">Senātam nav pamata apšaubīt ar likumu pamatotus apelācijas instances tiesas secinājumus, kas balstīti uz lietā konstatētajiem faktiskajiem apstākļiem. Prokurora argumenti par </w:t>
      </w:r>
      <w:r w:rsidR="00667FCF">
        <w:t>[pers. BJ]</w:t>
      </w:r>
      <w:r w:rsidRPr="009C7A0A">
        <w:t xml:space="preserve"> atbildību būvniecības procesā ir saistīti ar protesta iesniedzēja atšķirīgo viedokli par tiesību normas interpretāciju un vērsti uz to, lai panāktu apelācijas instances tiesas nolēmuma atcelšanu nevis juridisku, bet faktisku iemeslu dēļ, kas ir pretrunā ar Kriminālprocesa likuma 569. panta pirmo daļu.</w:t>
      </w:r>
    </w:p>
    <w:p w14:paraId="79F57A52" w14:textId="77777777" w:rsidR="000202B2" w:rsidRPr="009C7A0A" w:rsidRDefault="000202B2" w:rsidP="009C7A0A">
      <w:pPr>
        <w:widowControl w:val="0"/>
        <w:spacing w:line="276" w:lineRule="auto"/>
        <w:ind w:firstLine="720"/>
        <w:contextualSpacing/>
        <w:jc w:val="both"/>
      </w:pPr>
    </w:p>
    <w:p w14:paraId="59629027" w14:textId="0B799FFE" w:rsidR="000202B2" w:rsidRPr="009C7A0A" w:rsidRDefault="000202B2" w:rsidP="009C7A0A">
      <w:pPr>
        <w:widowControl w:val="0"/>
        <w:spacing w:line="276" w:lineRule="auto"/>
        <w:ind w:firstLine="720"/>
        <w:contextualSpacing/>
        <w:jc w:val="both"/>
      </w:pPr>
      <w:r w:rsidRPr="009C7A0A">
        <w:t>[2</w:t>
      </w:r>
      <w:r w:rsidR="008418B4" w:rsidRPr="009C7A0A">
        <w:t>1</w:t>
      </w:r>
      <w:r w:rsidRPr="009C7A0A">
        <w:t xml:space="preserve">] Senāts atzīst, ka apelācijas instances tiesa atbilstoši Kriminālprocesa likuma 128. pantam izvērtējusi lietā iegūtos pierādījumus to kopumā un savstarpējā sakarībā un pamatoti atzinusi, ka apsūdzētās </w:t>
      </w:r>
      <w:r w:rsidR="007509D6">
        <w:t>[pers. BM]</w:t>
      </w:r>
      <w:r w:rsidRPr="009C7A0A">
        <w:t xml:space="preserve"> nav Krimināllikuma 319. panta trešajā daļā paredzētā noziedzīgā nodarījuma sastāva.</w:t>
      </w:r>
    </w:p>
    <w:p w14:paraId="35410574" w14:textId="2DE3B58E" w:rsidR="000202B2" w:rsidRPr="009C7A0A" w:rsidRDefault="000202B2" w:rsidP="009C7A0A">
      <w:pPr>
        <w:widowControl w:val="0"/>
        <w:spacing w:line="276" w:lineRule="auto"/>
        <w:ind w:firstLine="720"/>
        <w:contextualSpacing/>
        <w:jc w:val="both"/>
      </w:pPr>
      <w:r w:rsidRPr="009C7A0A">
        <w:t xml:space="preserve">No </w:t>
      </w:r>
      <w:r w:rsidR="00E73599">
        <w:t>[pers. BM]</w:t>
      </w:r>
      <w:r w:rsidRPr="009C7A0A">
        <w:t xml:space="preserve"> celtās apsūdzības secināms, ka viņa, būdama </w:t>
      </w:r>
      <w:r w:rsidRPr="00210849">
        <w:t>Rīgas pilsētas būvvaldes Rīgas pilsētas būvinspekcijas Daugavas kreisā krasta būvinspektoru nodaļas vadītāja, bet 2011. gada 24. oktobrī – arī Rīgas pilsētas būvinspekcijas priekšnieka pienākumu izpildītāja –, nolaidīgi pildīja amata pienākumus, prot</w:t>
      </w:r>
      <w:r w:rsidRPr="009C7A0A">
        <w:t>i: 1) neveica un nenodrošināja nevienu plānoto Objekta pārbaudi; 2) nesavlaicīgi, nekvalitatīvi un neatbilstoši veica neplānoto Objekta pārbaudi; 3) pildot Rīgas pilsētas būvvaldes Rīgas pilsētas būvinspekcijas priekšnieka pienākumus tā prombūtnes laikā, nepārliecinājās par pakļautībā esošā darbinieka darbību atbilstību spēkā esošajām tiesību normām un iekšējiem normatīvajiem tiesību aktiem, kā arī par sastādītajā un iesniegtajā aktā par Objekta pieņemšanu ekspluatācijā norādīto ziņu atbilstību faktiskajiem apstākļiem, apstiprināja aktu par Objekta 1. kārtas pieņemšanu ekspluatācijā.</w:t>
      </w:r>
    </w:p>
    <w:p w14:paraId="1A7B1274" w14:textId="77777777" w:rsidR="000202B2" w:rsidRPr="009C7A0A" w:rsidRDefault="000202B2" w:rsidP="009C7A0A">
      <w:pPr>
        <w:widowControl w:val="0"/>
        <w:spacing w:line="276" w:lineRule="auto"/>
        <w:ind w:firstLine="720"/>
        <w:contextualSpacing/>
        <w:jc w:val="both"/>
      </w:pPr>
      <w:r w:rsidRPr="009C7A0A">
        <w:t>Senāts konstatē, ka apelācijas instances tiesa motivēti atspēkojusi apelācijas protesta argumentus, uz kuriem prokurors atkārtoti atsaucies kasācijas protestā.</w:t>
      </w:r>
    </w:p>
    <w:p w14:paraId="7E7FA169" w14:textId="77777777" w:rsidR="000202B2" w:rsidRPr="009C7A0A" w:rsidRDefault="000202B2" w:rsidP="009C7A0A">
      <w:pPr>
        <w:widowControl w:val="0"/>
        <w:spacing w:line="276" w:lineRule="auto"/>
        <w:ind w:firstLine="720"/>
        <w:contextualSpacing/>
        <w:jc w:val="both"/>
        <w:rPr>
          <w:b/>
        </w:rPr>
      </w:pPr>
      <w:r w:rsidRPr="009C7A0A">
        <w:t xml:space="preserve">Apelācijas instances tiesa norādījusi, ka no 1995. gada 10. augusta likuma „Būvniecības likums” 30. panta un Ministru kabineta 1997. gada 1. aprīļa noteikumu </w:t>
      </w:r>
      <w:r w:rsidRPr="009C7A0A">
        <w:lastRenderedPageBreak/>
        <w:t>Nr. 112 „Vispārīgie būvnoteikumi” 162. punkta secināms, ka</w:t>
      </w:r>
      <w:r w:rsidRPr="009C7A0A">
        <w:rPr>
          <w:b/>
        </w:rPr>
        <w:t xml:space="preserve"> </w:t>
      </w:r>
      <w:r w:rsidRPr="009C7A0A">
        <w:t>būvinspektoram ir tiesības, nevis pienākums, veikt pārbaudes būvniecības laikā. Būvniecības process vairākās kārtās tiek uztverts kā vienots veselums, kā viens būvobjekts, tādējādi būvniecības dokumentācija ir pārbaudāma, pieņemot ēku ekspluatācijā.</w:t>
      </w:r>
    </w:p>
    <w:p w14:paraId="01603EF8" w14:textId="77777777" w:rsidR="000202B2" w:rsidRPr="009C7A0A" w:rsidRDefault="000202B2" w:rsidP="009C7A0A">
      <w:pPr>
        <w:widowControl w:val="0"/>
        <w:spacing w:line="276" w:lineRule="auto"/>
        <w:ind w:firstLine="720"/>
        <w:contextualSpacing/>
        <w:jc w:val="both"/>
      </w:pPr>
      <w:r w:rsidRPr="009C7A0A">
        <w:t>Senāts konstatē, ka prokurors kasācijas protestā norādījis, ka nav izšķirošas nozīmes tam, vai normatīvajā tiesību aktā tiek lietots termins „pienākums” vai „tiesības”, bet gan tas, vai konkrētajā situācijā ir pienākums rīkoties. Atsevišķos gadījumos normatīvajos tiesību aktos piešķirtās tiesības rada pienākumu veikt konkrētas darbības tiesību un likumīgo interešu aizsardzībai, ja pastāv nosacījumi šo tiesību izmantošanai.</w:t>
      </w:r>
    </w:p>
    <w:p w14:paraId="645C7374" w14:textId="77777777" w:rsidR="000202B2" w:rsidRPr="009C7A0A" w:rsidRDefault="000202B2" w:rsidP="009C7A0A">
      <w:pPr>
        <w:widowControl w:val="0"/>
        <w:spacing w:line="276" w:lineRule="auto"/>
        <w:ind w:firstLine="720"/>
        <w:contextualSpacing/>
        <w:jc w:val="both"/>
      </w:pPr>
      <w:r w:rsidRPr="009C7A0A">
        <w:t>Vienlaikus prokurors nav pamatojis, kāda bīstama situācija, kura būvvaldes darbiniekiem bija zināma, pastāvēja konkrētajā gadījumā, lai amatpersona izmantotu tiesības, kuras tai piešķirtas normatīvajos tiesību aktos.</w:t>
      </w:r>
    </w:p>
    <w:p w14:paraId="49C60E4B" w14:textId="77777777" w:rsidR="000202B2" w:rsidRPr="009C7A0A" w:rsidRDefault="000202B2" w:rsidP="009C7A0A">
      <w:pPr>
        <w:widowControl w:val="0"/>
        <w:spacing w:line="276" w:lineRule="auto"/>
        <w:ind w:firstLine="720"/>
        <w:contextualSpacing/>
        <w:jc w:val="both"/>
      </w:pPr>
      <w:r w:rsidRPr="009C7A0A">
        <w:t>Pretēji prokurora protestā norādītajam Senāts atzīst, ka apelācijas instances tiesa ir vērtējusi, vai būvvaldes darbiniekiem bija zināms par ugunsgrēku, kas noticis uz jumta.</w:t>
      </w:r>
    </w:p>
    <w:p w14:paraId="4E1F40CA" w14:textId="224172C3" w:rsidR="000202B2" w:rsidRPr="009C7A0A" w:rsidRDefault="000202B2" w:rsidP="00E76527">
      <w:pPr>
        <w:widowControl w:val="0"/>
        <w:spacing w:line="276" w:lineRule="auto"/>
        <w:ind w:firstLine="720"/>
        <w:contextualSpacing/>
        <w:jc w:val="both"/>
      </w:pPr>
      <w:r w:rsidRPr="009C7A0A">
        <w:t xml:space="preserve">Apelācijas instances tiesa apsūdzētās </w:t>
      </w:r>
      <w:r w:rsidR="00E76527">
        <w:t>[pers. BM]</w:t>
      </w:r>
      <w:r w:rsidRPr="009C7A0A">
        <w:t xml:space="preserve"> liecību par to, ka viņas rīcībā nebija informācijas par to, ka uz Objekta jumta 2011. gada naktī no 1. augusta uz 2. augustu notika ugunsgrēks, ticamību ir izvērtējusi kopsakarā ar: 1) Rīgas pilsētas būvvaldes Dokumentu aprites nodaļā kratīšanā iegūtajām ziņām par faktiem; 2) liecinieku </w:t>
      </w:r>
      <w:r w:rsidR="00E76527">
        <w:t>[pers. MK]</w:t>
      </w:r>
      <w:r w:rsidRPr="009C7A0A">
        <w:t xml:space="preserve">, </w:t>
      </w:r>
      <w:r w:rsidR="00E76527">
        <w:t>[pers. ML]</w:t>
      </w:r>
      <w:r w:rsidRPr="009C7A0A">
        <w:t xml:space="preserve">, </w:t>
      </w:r>
      <w:r w:rsidR="00E76527">
        <w:t>[pers. MM]</w:t>
      </w:r>
      <w:r w:rsidRPr="009C7A0A">
        <w:t xml:space="preserve">, </w:t>
      </w:r>
      <w:r w:rsidR="00E76527">
        <w:t>[pers. MN]</w:t>
      </w:r>
      <w:r w:rsidRPr="009C7A0A">
        <w:t xml:space="preserve"> un apsūdzētā </w:t>
      </w:r>
      <w:r w:rsidR="00E76527">
        <w:t>[pers. BN]</w:t>
      </w:r>
      <w:r w:rsidRPr="009C7A0A">
        <w:t xml:space="preserve"> liecībām, ka būvvaldē nebija informācijas par ugunsgrēku.</w:t>
      </w:r>
    </w:p>
    <w:p w14:paraId="200574A7" w14:textId="1BF49E70" w:rsidR="000202B2" w:rsidRPr="009C7A0A" w:rsidRDefault="000202B2" w:rsidP="009C7A0A">
      <w:pPr>
        <w:widowControl w:val="0"/>
        <w:spacing w:line="276" w:lineRule="auto"/>
        <w:ind w:firstLine="720"/>
        <w:contextualSpacing/>
        <w:jc w:val="both"/>
      </w:pPr>
      <w:r w:rsidRPr="009C7A0A">
        <w:t xml:space="preserve">Tāpat apelācijas instances tiesa ir ņēmusi vērā, ka ugunsgrēka likvidācijas sekas tika novērstas 3–4 dienu laikā, tāpēc </w:t>
      </w:r>
      <w:r w:rsidR="00F816EA">
        <w:t>[pers. BM]</w:t>
      </w:r>
      <w:r w:rsidRPr="009C7A0A">
        <w:t>, apsekojot Objektu saistībā ar būvatļaujas pagarinājuma izsniegšanu, tās objektīvi nebija redzamas.</w:t>
      </w:r>
    </w:p>
    <w:p w14:paraId="0C58FA65" w14:textId="44823663" w:rsidR="000202B2" w:rsidRPr="009C7A0A" w:rsidRDefault="000202B2" w:rsidP="009C7A0A">
      <w:pPr>
        <w:widowControl w:val="0"/>
        <w:spacing w:line="276" w:lineRule="auto"/>
        <w:ind w:firstLine="720"/>
        <w:contextualSpacing/>
        <w:jc w:val="both"/>
      </w:pPr>
      <w:r w:rsidRPr="009C7A0A">
        <w:t>Senāts atzīst, ka apelācijas instances tiesa pamatoti norādījusi, ka</w:t>
      </w:r>
      <w:r w:rsidRPr="009C7A0A">
        <w:rPr>
          <w:b/>
          <w:bCs/>
        </w:rPr>
        <w:t xml:space="preserve"> </w:t>
      </w:r>
      <w:r w:rsidRPr="009C7A0A">
        <w:t xml:space="preserve">iesniegums par būvatļaujas derīguma termiņa pagarināšanu kopā ar </w:t>
      </w:r>
      <w:r w:rsidR="001D0318">
        <w:t>[pers. BM]</w:t>
      </w:r>
      <w:r w:rsidRPr="009C7A0A">
        <w:t xml:space="preserve"> atzīmi „atkāpes būvniecības procesā nav konstatētas” un pievienotajām fotogrāfijām satur visu nepieciešamo informāciju, kas norādīta Rīgas pilsētas būvvaldes 2011. gada 13. maija Iekšējo noteikumu Nr. BV-11-13 22. punktā (turpmāk – Iekšējie noteikumi) un Ministru kabineta 2010. gada 26. oktobra noteikumu Nr. 1009 „Noteikumi par būvinspektoriem” 2. pielikumā.</w:t>
      </w:r>
    </w:p>
    <w:p w14:paraId="4C8AB25B" w14:textId="1802EAC5" w:rsidR="000202B2" w:rsidRPr="009C7A0A" w:rsidRDefault="000202B2" w:rsidP="009C7A0A">
      <w:pPr>
        <w:widowControl w:val="0"/>
        <w:spacing w:line="276" w:lineRule="auto"/>
        <w:ind w:firstLine="720"/>
        <w:contextualSpacing/>
        <w:jc w:val="both"/>
      </w:pPr>
      <w:r w:rsidRPr="009C7A0A">
        <w:t xml:space="preserve">Pretēji prokurora norādei apelācijas instances tiesa ir ne tikai ņēmusi vērā apsūdzētās </w:t>
      </w:r>
      <w:r w:rsidR="00BA1F57">
        <w:t>[pers. BM]</w:t>
      </w:r>
      <w:r w:rsidRPr="009C7A0A">
        <w:t xml:space="preserve"> liecības, bet arī normatīvā tiesību akta prasības, kas noteic objekta apsekošanas apjomu.</w:t>
      </w:r>
    </w:p>
    <w:p w14:paraId="7FE939B3" w14:textId="0F198196" w:rsidR="000202B2" w:rsidRPr="009C7A0A" w:rsidRDefault="000202B2" w:rsidP="009C7A0A">
      <w:pPr>
        <w:widowControl w:val="0"/>
        <w:spacing w:line="276" w:lineRule="auto"/>
        <w:ind w:firstLine="720"/>
        <w:contextualSpacing/>
        <w:jc w:val="both"/>
      </w:pPr>
      <w:r w:rsidRPr="009C7A0A">
        <w:t xml:space="preserve">Apsūdzētā </w:t>
      </w:r>
      <w:r w:rsidR="00F652BC">
        <w:t>[pers. BM]</w:t>
      </w:r>
      <w:r w:rsidRPr="009C7A0A">
        <w:t xml:space="preserve"> ir liecinājusi, ka iesniegumā par būvatļaujas derīguma termiņa pagarināšanu bija norādīts – „nepabeigta ārējā un iekšējā apdare, un teritorijas labiekārtojums”. Apsekojot Objektu, viņa konstatēja, ka būvdarbi nav pabeigti. Pirms objekta apsekošanas viņa iepazinusies ar arhitektūras sējumu, kurā identificējusi, kādai ir jāizskatās pabeigtai fasādei un labiekārtojumam. Objektā esošā faktiskā situācija tikusi fiksēta, veicot fotografēšanu.</w:t>
      </w:r>
    </w:p>
    <w:p w14:paraId="315796C4" w14:textId="14936B62" w:rsidR="000202B2" w:rsidRPr="009C7A0A" w:rsidRDefault="000202B2" w:rsidP="009C7A0A">
      <w:pPr>
        <w:widowControl w:val="0"/>
        <w:spacing w:line="276" w:lineRule="auto"/>
        <w:ind w:firstLine="720"/>
        <w:contextualSpacing/>
        <w:jc w:val="both"/>
      </w:pPr>
      <w:r w:rsidRPr="009C7A0A">
        <w:t xml:space="preserve">Apelācijas instances tiesa atzinusi, ka apsūdzētā </w:t>
      </w:r>
      <w:r w:rsidR="00DC59B7">
        <w:t>[pers. BM]</w:t>
      </w:r>
      <w:r w:rsidRPr="009C7A0A">
        <w:t xml:space="preserve"> pienākumus ir veikusi atbilstoši Iekšējo noteikumu prasībām.</w:t>
      </w:r>
    </w:p>
    <w:p w14:paraId="083FB818" w14:textId="77777777" w:rsidR="000202B2" w:rsidRPr="009C7A0A" w:rsidRDefault="000202B2" w:rsidP="009C7A0A">
      <w:pPr>
        <w:widowControl w:val="0"/>
        <w:spacing w:line="276" w:lineRule="auto"/>
        <w:ind w:firstLine="720"/>
        <w:contextualSpacing/>
        <w:jc w:val="both"/>
      </w:pPr>
      <w:r w:rsidRPr="009C7A0A">
        <w:t>Saskaņā ar Iekšējo noteikumu 17.2. punktu būvinspektors būvatļauju pārreģistrēšanas un derīguma termiņa pagarināšanas gadījumā veic konstatāciju par situāciju būvobjektā (konstatējot, vai būvdarbi ir/ nav uzsākti, vizuāli apsekojot būvobjektu, ir konstatētas atkāpes no akceptētā būvprojekta).</w:t>
      </w:r>
    </w:p>
    <w:p w14:paraId="0F8630DC" w14:textId="4CC7BC3A" w:rsidR="000202B2" w:rsidRPr="009C7A0A" w:rsidRDefault="000202B2" w:rsidP="009C7A0A">
      <w:pPr>
        <w:widowControl w:val="0"/>
        <w:spacing w:line="276" w:lineRule="auto"/>
        <w:ind w:firstLine="720"/>
        <w:contextualSpacing/>
        <w:jc w:val="both"/>
      </w:pPr>
      <w:r w:rsidRPr="009C7A0A">
        <w:t xml:space="preserve">Apelācijas instances tiesa norādījusi, ka no iesnieguma par būvatļaujas derīguma </w:t>
      </w:r>
      <w:r w:rsidRPr="009C7A0A">
        <w:lastRenderedPageBreak/>
        <w:t xml:space="preserve">termiņa pagarināšanu redzams, ka </w:t>
      </w:r>
      <w:r w:rsidR="00831753">
        <w:t>[pers. BM]</w:t>
      </w:r>
      <w:r w:rsidRPr="009C7A0A">
        <w:t>, veicot Objekta vizuālu apsekošanu, nav konstatējusi atkāpes būvniecības procesā, bet no pievienotajām fotogrāfijām ir redzams, ka ēkas fasāde un labiekārtojums nav pabeigti.</w:t>
      </w:r>
    </w:p>
    <w:p w14:paraId="2A0D2DFB" w14:textId="77777777" w:rsidR="000202B2" w:rsidRPr="009C7A0A" w:rsidRDefault="000202B2" w:rsidP="009C7A0A">
      <w:pPr>
        <w:widowControl w:val="0"/>
        <w:spacing w:line="276" w:lineRule="auto"/>
        <w:ind w:firstLine="720"/>
        <w:contextualSpacing/>
        <w:jc w:val="both"/>
      </w:pPr>
      <w:r w:rsidRPr="009C7A0A">
        <w:t>Tādējādi pats par sevi fakts, ka atzinums nav sniegts atsevišķa dokumenta veidā, nevar būt par pamatu, lai atzītu, ka pārbaude nav veikta, un tas neliedz izdarīt secinājumu par pārbaudes pilnīgumu.</w:t>
      </w:r>
    </w:p>
    <w:p w14:paraId="56A9C9A7" w14:textId="7053E23D" w:rsidR="000202B2" w:rsidRPr="009C7A0A" w:rsidRDefault="000202B2" w:rsidP="009C7A0A">
      <w:pPr>
        <w:widowControl w:val="0"/>
        <w:spacing w:line="276" w:lineRule="auto"/>
        <w:ind w:firstLine="720"/>
        <w:contextualSpacing/>
        <w:jc w:val="both"/>
      </w:pPr>
      <w:r w:rsidRPr="009C7A0A">
        <w:t xml:space="preserve">Apelācijas instances tiesa motivēti noraidījusi prokurora argumentus par to, ka </w:t>
      </w:r>
      <w:r w:rsidR="006E2343">
        <w:t>[pers. BM]</w:t>
      </w:r>
      <w:r w:rsidRPr="009C7A0A">
        <w:t xml:space="preserve">, pildot </w:t>
      </w:r>
      <w:r w:rsidRPr="0088417A">
        <w:t>Rīgas pilsētas būvvaldes Rīgas pilsētas būvinspekcijas priekšnieka pienākumus, apstiprināja</w:t>
      </w:r>
      <w:r w:rsidRPr="009C7A0A">
        <w:t xml:space="preserve"> aktu par Objekta 1. kārtas pieņemšanu ekspluatācijā, nepārliecinoties par pakļautībā esošā darbinieka darbību atbilstību spēkā esošajām tiesību normām un iekšējiem normatīvajiem tiesību aktiem, kā arī pa aktā par Objekta pieņemšanu ekspluatācijā norādīto ziņu atbilstību faktiskajiem apstākļiem.</w:t>
      </w:r>
    </w:p>
    <w:p w14:paraId="4AA9F2D8" w14:textId="77777777" w:rsidR="000202B2" w:rsidRPr="009C7A0A" w:rsidRDefault="000202B2" w:rsidP="009C7A0A">
      <w:pPr>
        <w:widowControl w:val="0"/>
        <w:spacing w:line="276" w:lineRule="auto"/>
        <w:ind w:firstLine="720"/>
        <w:contextualSpacing/>
        <w:jc w:val="both"/>
      </w:pPr>
      <w:r w:rsidRPr="009C7A0A">
        <w:t>Pamatojot savu atzinumu, apelācijas instances tiesa ņēmusi vērā Ministru kabineta 2004. gada 13. aprīļa noteikumu Nr. 299 „Noteikumi par būvju pieņemšanu ekspluatācijā” 20. punktā noteikto, ka komisijas parakstīto aktu piecu darbdienu laikā apstiprina pašvaldības atbildīgā amatpersona. Būve ir uzskatāma par pieņemtu ekspluatācijā ar akta apstiprināšanas dienu. Turklāt minēto noteikumu 21. punkts noteic, ka komisijas locekļi atbilstoši kompetencei ir atbildīgi par pieņemto lēmumu.</w:t>
      </w:r>
    </w:p>
    <w:p w14:paraId="74D626E0" w14:textId="77777777" w:rsidR="000202B2" w:rsidRPr="009C7A0A" w:rsidRDefault="000202B2" w:rsidP="009C7A0A">
      <w:pPr>
        <w:widowControl w:val="0"/>
        <w:spacing w:line="276" w:lineRule="auto"/>
        <w:ind w:firstLine="720"/>
        <w:contextualSpacing/>
        <w:jc w:val="both"/>
      </w:pPr>
      <w:r w:rsidRPr="009C7A0A">
        <w:t>Apelācijas instances tiesa secinājusi, ka akta par būves pieņemšanu ekspluatācijā apstiprināšana neparedz akta apstiprinātāja došanos uz objektu, atkārtotu pasūtītājam nodoto dokumentu pārbaudi vai paša objekta atkārtotu vizuālo pārbaudi, proti, to darbību, kuras jau ir veikusi ekspluatācijā pieņemšanas komisija, atkārtošanu.</w:t>
      </w:r>
    </w:p>
    <w:p w14:paraId="569E5A7B" w14:textId="61F65C3A" w:rsidR="000202B2" w:rsidRPr="009C7A0A" w:rsidRDefault="000202B2" w:rsidP="009C7A0A">
      <w:pPr>
        <w:widowControl w:val="0"/>
        <w:spacing w:line="276" w:lineRule="auto"/>
        <w:ind w:firstLine="720"/>
        <w:contextualSpacing/>
        <w:jc w:val="both"/>
      </w:pPr>
      <w:r w:rsidRPr="009C7A0A">
        <w:t xml:space="preserve">Tiesa norādījusi, ka apsūdzētā </w:t>
      </w:r>
      <w:r w:rsidR="006236B1">
        <w:t>[pers. BM]</w:t>
      </w:r>
      <w:r w:rsidRPr="009C7A0A">
        <w:t>, lemjot, vai akts par Objekta pieņemšanu ekspluatācijā ir apstiprināms, ir iepazinusies ar viņas rīcībā esošo dokumentāciju, proti, ar apliecinājumu par būves gatavību ekspluatācijai, lēmumu par ekspluatācijā pieņemšanas komisijas sastāva noteikšanu, kā arī komisijas sastādīto aktu par Objekta pieņemšanu ekspluatācijā.</w:t>
      </w:r>
    </w:p>
    <w:p w14:paraId="14020B4F" w14:textId="77777777" w:rsidR="000202B2" w:rsidRPr="009C7A0A" w:rsidRDefault="000202B2" w:rsidP="009C7A0A">
      <w:pPr>
        <w:widowControl w:val="0"/>
        <w:spacing w:line="276" w:lineRule="auto"/>
        <w:ind w:firstLine="720"/>
        <w:contextualSpacing/>
        <w:jc w:val="both"/>
      </w:pPr>
      <w:r w:rsidRPr="009C7A0A">
        <w:t>Apsūdzētā ir pārbaudījusi iepriekš minēto dokumentu satura savstarpējo atbilstību, proti, vai apliecinājumā par būves gatavību ekspluatācijai norādītie dati atbilst aktā par Objekta pieņemšanu ekspluatācijā norādītajiem, kā arī to, vai aktu par Objekta pieņemšanu ekspluatācijā ir parakstījušas lēmumā, ar kuru tiek noteikts ekspluatācijā pieņemšanas komisijas sastāvs, minētās personas.</w:t>
      </w:r>
    </w:p>
    <w:p w14:paraId="2D789B62" w14:textId="77777777" w:rsidR="000202B2" w:rsidRPr="009C7A0A" w:rsidRDefault="000202B2" w:rsidP="009C7A0A">
      <w:pPr>
        <w:widowControl w:val="0"/>
        <w:spacing w:line="276" w:lineRule="auto"/>
        <w:ind w:firstLine="720"/>
        <w:contextualSpacing/>
        <w:jc w:val="both"/>
      </w:pPr>
      <w:r w:rsidRPr="009C7A0A">
        <w:t>Tādējādi būvinspektora pienākumi, pieņemot objektu ekspluatācijā, atšķiras no Būvvaldes vadītāja pienākumiem, lemjot jautājumu par ēkas pieņemšanu ekspluatācijā.</w:t>
      </w:r>
    </w:p>
    <w:p w14:paraId="06EDD599" w14:textId="577BDD95" w:rsidR="000202B2" w:rsidRPr="009C7A0A" w:rsidRDefault="000202B2" w:rsidP="009C7A0A">
      <w:pPr>
        <w:widowControl w:val="0"/>
        <w:spacing w:line="276" w:lineRule="auto"/>
        <w:ind w:firstLine="720"/>
        <w:contextualSpacing/>
        <w:jc w:val="both"/>
      </w:pPr>
      <w:r w:rsidRPr="009C7A0A">
        <w:t xml:space="preserve">Senāts norāda, ka prokurors kasācijas protestā nav pamatojis, kāpēc apsūdzētajai </w:t>
      </w:r>
      <w:r w:rsidR="00BA7DB5">
        <w:t>[pers. BM]</w:t>
      </w:r>
      <w:r w:rsidRPr="009C7A0A">
        <w:t xml:space="preserve"> bija pamats apšaubīt komisijas lēmumu un pienākums rīkoties atbilstoši Būvniecības likuma 30. pantam – proti, apskatīt un pārbaudīt būves, pieprasīt paskaidrojumus un Vispārīgajos būvnoteikumos paredzētos dokumentus, kā arī lūgt uz būvuzņēmēja vai būvētāja rēķina atbrīvot telpas, padarot tās pieejamas, un atsegt būvju daļas, lai varētu pārbaudīt uzbūvēto konstrukciju.</w:t>
      </w:r>
    </w:p>
    <w:p w14:paraId="6D27FDA2" w14:textId="77777777" w:rsidR="000202B2" w:rsidRPr="009C7A0A" w:rsidRDefault="000202B2" w:rsidP="009C7A0A">
      <w:pPr>
        <w:widowControl w:val="0"/>
        <w:spacing w:line="276" w:lineRule="auto"/>
        <w:ind w:firstLine="720"/>
        <w:contextualSpacing/>
        <w:jc w:val="both"/>
      </w:pPr>
      <w:r w:rsidRPr="009C7A0A">
        <w:t>Ievērojot minēto, Senāts atzīst, ka apelācijas instances tiesa spriedumu šajā daļā pamatojusi atbilstoši Kriminālprocesa likuma 564. panta ceturtās daļas prasībām.</w:t>
      </w:r>
    </w:p>
    <w:p w14:paraId="323A32C1" w14:textId="77777777" w:rsidR="000202B2" w:rsidRPr="009C7A0A" w:rsidRDefault="000202B2" w:rsidP="009C7A0A">
      <w:pPr>
        <w:widowControl w:val="0"/>
        <w:spacing w:line="276" w:lineRule="auto"/>
        <w:ind w:firstLine="720"/>
        <w:contextualSpacing/>
        <w:jc w:val="both"/>
      </w:pPr>
    </w:p>
    <w:p w14:paraId="7DB9D62C" w14:textId="4AF8CF54" w:rsidR="000202B2" w:rsidRPr="009C7A0A" w:rsidRDefault="000202B2" w:rsidP="009C7A0A">
      <w:pPr>
        <w:widowControl w:val="0"/>
        <w:spacing w:line="276" w:lineRule="auto"/>
        <w:ind w:firstLine="720"/>
        <w:contextualSpacing/>
        <w:jc w:val="both"/>
      </w:pPr>
      <w:r w:rsidRPr="009C7A0A">
        <w:t>[2</w:t>
      </w:r>
      <w:r w:rsidR="008418B4" w:rsidRPr="009C7A0A">
        <w:t>2</w:t>
      </w:r>
      <w:r w:rsidRPr="009C7A0A">
        <w:t xml:space="preserve">] Apelācijas instances tiesa atzinusi, ka apsūdzētā </w:t>
      </w:r>
      <w:r w:rsidR="00AC2AE3">
        <w:t>[pers. BO]</w:t>
      </w:r>
      <w:r w:rsidRPr="009C7A0A">
        <w:t xml:space="preserve"> atzīstama par nevainīgu pret viņu celtajā apsūdzībā pēc Krimināllikuma 146. panta otrās daļas un attaisnojama.</w:t>
      </w:r>
    </w:p>
    <w:p w14:paraId="5D5A61CD" w14:textId="6C1AE7B8" w:rsidR="000202B2" w:rsidRPr="009C7A0A" w:rsidRDefault="000202B2" w:rsidP="009C7A0A">
      <w:pPr>
        <w:widowControl w:val="0"/>
        <w:spacing w:line="276" w:lineRule="auto"/>
        <w:ind w:firstLine="720"/>
        <w:contextualSpacing/>
        <w:jc w:val="both"/>
      </w:pPr>
      <w:r w:rsidRPr="009C7A0A">
        <w:lastRenderedPageBreak/>
        <w:t xml:space="preserve">Tiesa atbilstoši Kriminālprocesa likuma 519. panta 1. punktam atzinusi, ka apsūdzētās </w:t>
      </w:r>
      <w:r w:rsidR="0044656E">
        <w:t>[pers. BO]</w:t>
      </w:r>
      <w:r w:rsidRPr="009C7A0A">
        <w:t xml:space="preserve"> darbībās nav konstatēta Krimināllikuma 146. panta otrajā daļā paredzētā noziedzīgā nodarījuma objektīvā puse, proti, nav konstatēts, ka </w:t>
      </w:r>
      <w:r w:rsidR="000702BA">
        <w:t>[pers. BO]</w:t>
      </w:r>
      <w:r w:rsidRPr="009C7A0A">
        <w:t xml:space="preserve"> pieļāvusi darba aizsardzību reglamentējošo normatīvo aktu prasību pārkāpumu, kas ir cēloniskā sakarā ar sekām.</w:t>
      </w:r>
    </w:p>
    <w:p w14:paraId="6F66CD36" w14:textId="4DEDB67F" w:rsidR="000202B2" w:rsidRPr="009C7A0A" w:rsidRDefault="007D7167" w:rsidP="009C7A0A">
      <w:pPr>
        <w:widowControl w:val="0"/>
        <w:spacing w:line="276" w:lineRule="auto"/>
        <w:ind w:firstLine="720"/>
        <w:contextualSpacing/>
        <w:jc w:val="both"/>
      </w:pPr>
      <w:r>
        <w:t>[Pers. BO]</w:t>
      </w:r>
      <w:r w:rsidR="000202B2" w:rsidRPr="009C7A0A">
        <w:t xml:space="preserve"> apsūdzēta par to, ka viņa, būdama persona, kas SIA „</w:t>
      </w:r>
      <w:r>
        <w:t>[Nosaukums E]</w:t>
      </w:r>
      <w:r w:rsidR="000202B2" w:rsidRPr="009C7A0A">
        <w:t>” uzņēmumā atbildīga par darba aizsardzību reglamentējošo normatīvo tiesību aktu prasību ievērošanu, pārkāpa šo normatīvo tiesību aktu prasības, kas izraisīja miesas bojājumus ar veselības traucējumu, smagus miesas bojājumus un cilvēku nāvi.</w:t>
      </w:r>
    </w:p>
    <w:p w14:paraId="55DB855B" w14:textId="25FCD844" w:rsidR="000202B2" w:rsidRPr="009C7A0A" w:rsidRDefault="006F2016" w:rsidP="009C7A0A">
      <w:pPr>
        <w:widowControl w:val="0"/>
        <w:spacing w:line="276" w:lineRule="auto"/>
        <w:ind w:firstLine="720"/>
        <w:contextualSpacing/>
        <w:jc w:val="both"/>
      </w:pPr>
      <w:r>
        <w:t>[Pers. BO]</w:t>
      </w:r>
      <w:r w:rsidR="000202B2" w:rsidRPr="009C7A0A">
        <w:t xml:space="preserve"> bija pienākums izstrādāt un pilnveidot darba aizsardzības un ugunsdrošības prasību ievērošanai nepieciešamos dokumentus, kā arī veikt darba riska faktoru apzināšanu, pēc to apzināšanas un bīstamības novērtēšanas izstrādāt pasākumu plānu darba vides riska faktoru mazināšanai un bīstamības novēršanai, kā arī kontrolēt atbildīgo personu darbību par darba aizsardzību organizācijā.</w:t>
      </w:r>
    </w:p>
    <w:p w14:paraId="6197CDE5" w14:textId="6D2688AD" w:rsidR="000202B2" w:rsidRPr="009C7A0A" w:rsidRDefault="006F2016" w:rsidP="009C7A0A">
      <w:pPr>
        <w:widowControl w:val="0"/>
        <w:spacing w:line="276" w:lineRule="auto"/>
        <w:ind w:firstLine="720"/>
        <w:contextualSpacing/>
        <w:jc w:val="both"/>
      </w:pPr>
      <w:r>
        <w:t>[Pers. BO]</w:t>
      </w:r>
      <w:r w:rsidR="000202B2" w:rsidRPr="009C7A0A">
        <w:t xml:space="preserve"> nevērīga pienākumu pildīšana izpaudās tādējādi, ka lielveikala </w:t>
      </w:r>
      <w:r w:rsidR="000202B2" w:rsidRPr="00292AE4">
        <w:t>„MAXIMA XX”</w:t>
      </w:r>
      <w:r w:rsidR="000202B2" w:rsidRPr="009C7A0A">
        <w:t xml:space="preserve"> </w:t>
      </w:r>
      <w:r w:rsidR="00B367C8">
        <w:t>[adrese]</w:t>
      </w:r>
      <w:r w:rsidR="000202B2" w:rsidRPr="009C7A0A">
        <w:t>, darbinieki: 1) nebija informēti par darba vietā esošajiem riska faktoriem saistībā ar to, ka kopš 2013. gada 6. septembra aktīvi noritēja būvdarbi uz veikala ēkas jumta; 2) nebija iepazīstināti ar drošības zīmju – akustiskais signāls un vārdiska saziņā – nozīmi, lietošanu un rīcību minēto drošības zīmju darbības laikā, kā rezultātā darbinieki, skanot automātiskajai ugunsgrēku atklāšanas un trauksmes izziņošanas signalizācijai, neatstāja savas darba vietas un turpināja strādāt ārkārtējās situācijas laikā.</w:t>
      </w:r>
    </w:p>
    <w:p w14:paraId="17C2C23B" w14:textId="5AB5B4A0" w:rsidR="000202B2" w:rsidRPr="009C7A0A" w:rsidRDefault="000202B2" w:rsidP="009C7A0A">
      <w:pPr>
        <w:widowControl w:val="0"/>
        <w:spacing w:line="276" w:lineRule="auto"/>
        <w:ind w:firstLine="720"/>
        <w:contextualSpacing/>
        <w:jc w:val="both"/>
      </w:pPr>
      <w:r w:rsidRPr="009C7A0A">
        <w:t xml:space="preserve">No minētās apsūdzības secināms, ka </w:t>
      </w:r>
      <w:r w:rsidR="00216D27">
        <w:t>[pers. BO]</w:t>
      </w:r>
      <w:r w:rsidRPr="009C7A0A">
        <w:t xml:space="preserve"> inkriminēts, ka viņa pārkāpa darba aizsardzību reglamentējošo normatīvo tiesību aktu prasības ar bezdarbību. Senāts norāda, ka cēloņsakarības esību bezdarbības gadījumos var vērtēt tikai tad, ja personai bijis uzlikts īpašs pienākums veikt kādu darbību, bet viņa šo pienākumu nav izpildījusi.</w:t>
      </w:r>
    </w:p>
    <w:p w14:paraId="25A20476" w14:textId="29F0EDC4" w:rsidR="000202B2" w:rsidRPr="009C7A0A" w:rsidRDefault="000202B2" w:rsidP="009C7A0A">
      <w:pPr>
        <w:widowControl w:val="0"/>
        <w:spacing w:line="276" w:lineRule="auto"/>
        <w:ind w:firstLine="720"/>
        <w:contextualSpacing/>
        <w:jc w:val="both"/>
      </w:pPr>
      <w:r w:rsidRPr="009C7A0A">
        <w:t xml:space="preserve">Krimināllikuma 146. panta dispozīcija ir </w:t>
      </w:r>
      <w:proofErr w:type="spellStart"/>
      <w:r w:rsidRPr="009C7A0A">
        <w:t>blanketa</w:t>
      </w:r>
      <w:proofErr w:type="spellEnd"/>
      <w:r w:rsidRPr="009C7A0A">
        <w:t>, jo tajā paredzēta atbildība par darba aizsardzību vai tehnisko drošību reglamentējošo normatīvo aktu prasību pārkāpšanu. Lai inkriminētu Krimināllikuma 146. pantā paredzēto noziegumu, jākonstatē, kādu tieši normatīvo aktu prasības ir pārkāptas (sk. </w:t>
      </w:r>
      <w:r w:rsidRPr="009C7A0A">
        <w:rPr>
          <w:i/>
          <w:iCs/>
        </w:rPr>
        <w:t>Senāta 2010. gada 14. jūnija lēmumu lietā Nr. </w:t>
      </w:r>
      <w:hyperlink r:id="rId21" w:history="1">
        <w:r w:rsidRPr="00B25895">
          <w:rPr>
            <w:rStyle w:val="Hyperlink"/>
            <w:i/>
            <w:iCs/>
          </w:rPr>
          <w:t>SKK-265/2010</w:t>
        </w:r>
      </w:hyperlink>
      <w:r w:rsidRPr="009C7A0A">
        <w:rPr>
          <w:i/>
          <w:iCs/>
        </w:rPr>
        <w:t>, 11220029605</w:t>
      </w:r>
      <w:r w:rsidRPr="009C7A0A">
        <w:t>).</w:t>
      </w:r>
    </w:p>
    <w:p w14:paraId="5391F117" w14:textId="77777777" w:rsidR="000202B2" w:rsidRPr="009C7A0A" w:rsidRDefault="000202B2" w:rsidP="009C7A0A">
      <w:pPr>
        <w:widowControl w:val="0"/>
        <w:spacing w:line="276" w:lineRule="auto"/>
        <w:ind w:firstLine="720"/>
        <w:contextualSpacing/>
        <w:jc w:val="both"/>
      </w:pPr>
      <w:r w:rsidRPr="009C7A0A">
        <w:t>Turklāt Krimināllikuma 146. pantā paredzētais noziedzīgā nodarījuma sastāvs ir materiāls, kriminālatbildība iestājas tikai tad, ja minētais pārkāpums izraisīja kaitīgas sekas, tai skaitā miesas bojājumus ar veselības traucējumu, smagus miesas bojājumus un cilvēku nāvi.</w:t>
      </w:r>
    </w:p>
    <w:p w14:paraId="20DAF179" w14:textId="77777777" w:rsidR="000202B2" w:rsidRPr="009C7A0A" w:rsidRDefault="000202B2" w:rsidP="009C7A0A">
      <w:pPr>
        <w:widowControl w:val="0"/>
        <w:spacing w:line="276" w:lineRule="auto"/>
        <w:ind w:firstLine="720"/>
        <w:contextualSpacing/>
        <w:jc w:val="both"/>
      </w:pPr>
      <w:r w:rsidRPr="009C7A0A">
        <w:t>Tādējādi noskaidrojot minētā noziedzīgā nodarījuma objektīvās puses esību, ir jākonstatē, vai persona ir pieļāvusi kādu apdraudējumu un vai tas bija cēloņsakarībā ar kaitējuma nodarīšanu cietušajiem.</w:t>
      </w:r>
    </w:p>
    <w:p w14:paraId="0A6E7AF0" w14:textId="77777777" w:rsidR="000202B2" w:rsidRPr="009C7A0A" w:rsidRDefault="000202B2" w:rsidP="009C7A0A">
      <w:pPr>
        <w:widowControl w:val="0"/>
        <w:spacing w:line="276" w:lineRule="auto"/>
        <w:ind w:firstLine="720"/>
        <w:contextualSpacing/>
        <w:jc w:val="both"/>
      </w:pPr>
      <w:r w:rsidRPr="009C7A0A">
        <w:t xml:space="preserve">Apelācijas instances tiesa atzinusi, ka uz darba riska faktoru apzināšanu nav attiecināms </w:t>
      </w:r>
      <w:proofErr w:type="spellStart"/>
      <w:r w:rsidRPr="009C7A0A">
        <w:t>tehnogēnas</w:t>
      </w:r>
      <w:proofErr w:type="spellEnd"/>
      <w:r w:rsidRPr="009C7A0A">
        <w:t xml:space="preserve"> katastrofas risku </w:t>
      </w:r>
      <w:proofErr w:type="spellStart"/>
      <w:r w:rsidRPr="009C7A0A">
        <w:t>izvērtējums</w:t>
      </w:r>
      <w:proofErr w:type="spellEnd"/>
      <w:r w:rsidRPr="009C7A0A">
        <w:t>.</w:t>
      </w:r>
    </w:p>
    <w:p w14:paraId="4B6F03B5" w14:textId="77777777" w:rsidR="000202B2" w:rsidRPr="009C7A0A" w:rsidRDefault="000202B2" w:rsidP="009C7A0A">
      <w:pPr>
        <w:widowControl w:val="0"/>
        <w:spacing w:line="276" w:lineRule="auto"/>
        <w:ind w:firstLine="720"/>
        <w:contextualSpacing/>
        <w:jc w:val="both"/>
        <w:rPr>
          <w:b/>
          <w:bCs/>
          <w:u w:val="single"/>
        </w:rPr>
      </w:pPr>
      <w:r w:rsidRPr="009C7A0A">
        <w:t>Pamatojot savu atzinumu, apelācijas instances tiesa atsaukusies uz Civilās aizsardzības likumu, Būvniecības likumu, Ministru kabineta 2007. gada 2. oktobra noteikumiem Nr. 660 „Darba vides iekšējās uzraudzības veikšanas kārtība”, Ministru kabineta 2009. gada 28. aprīļa noteikumiem Nr. 359 „Darba aizsardzības prasības darba vietās”.</w:t>
      </w:r>
    </w:p>
    <w:p w14:paraId="7CEE0B45" w14:textId="77777777" w:rsidR="000202B2" w:rsidRPr="009C7A0A" w:rsidRDefault="000202B2" w:rsidP="009C7A0A">
      <w:pPr>
        <w:widowControl w:val="0"/>
        <w:spacing w:line="276" w:lineRule="auto"/>
        <w:ind w:firstLine="720"/>
        <w:contextualSpacing/>
        <w:jc w:val="both"/>
      </w:pPr>
      <w:r w:rsidRPr="009C7A0A">
        <w:t xml:space="preserve">Senāts konstatē, ka apelācijas instances tiesa ar tiesību aktiem ir pamatojusi, ka </w:t>
      </w:r>
      <w:r w:rsidRPr="009C7A0A">
        <w:lastRenderedPageBreak/>
        <w:t xml:space="preserve">ārkārtēju notikumu, proti, </w:t>
      </w:r>
      <w:proofErr w:type="spellStart"/>
      <w:r w:rsidRPr="009C7A0A">
        <w:t>tehnogēnu</w:t>
      </w:r>
      <w:proofErr w:type="spellEnd"/>
      <w:r w:rsidRPr="009C7A0A">
        <w:t xml:space="preserve"> katastrofu nav iespējams apzināt.</w:t>
      </w:r>
    </w:p>
    <w:p w14:paraId="53335212" w14:textId="77777777" w:rsidR="000202B2" w:rsidRPr="009C7A0A" w:rsidRDefault="000202B2" w:rsidP="009C7A0A">
      <w:pPr>
        <w:widowControl w:val="0"/>
        <w:spacing w:line="276" w:lineRule="auto"/>
        <w:ind w:firstLine="720"/>
        <w:contextualSpacing/>
        <w:jc w:val="both"/>
      </w:pPr>
      <w:r w:rsidRPr="009C7A0A">
        <w:t>Prokurora kasācijas protesta argumenti, ka uzņēmumam bija zināms par būvniecības darbiem, kas norisinājās uz veikala jumta, tādējādi uzņēmuma atbildīgajai personai bija jāizvērtē visi riski, kas var apdraudēt darbiniekus, ir pretrunā ar Ministru kabineta 2007. gada 2. oktobra noteikumu Nr. 660 „Darba vides iekšējās uzraudzības veikšanas kārtība” 3. punktam, kas noteic, ka noteikumi neattiecas uz tām darbībām ārkārtējās situācijās, kuras veic atbilstoši Civilās aizsardzības likumam un ir nenovēršamā pretrunā ar šo noteikumu prasībām.</w:t>
      </w:r>
    </w:p>
    <w:p w14:paraId="72E06E0D" w14:textId="4F33081B" w:rsidR="000202B2" w:rsidRPr="009C7A0A" w:rsidRDefault="000202B2" w:rsidP="009C7A0A">
      <w:pPr>
        <w:widowControl w:val="0"/>
        <w:spacing w:line="276" w:lineRule="auto"/>
        <w:ind w:firstLine="720"/>
        <w:contextualSpacing/>
        <w:jc w:val="both"/>
        <w:rPr>
          <w:b/>
          <w:bCs/>
        </w:rPr>
      </w:pPr>
      <w:r w:rsidRPr="009C7A0A">
        <w:t>Senāts jau iepriekš ir norādījis, ka darba aizsardzības noteikumu pārkāpšanas vērtējumā ir ņemams vērā arī Eiropas Savienības tiesiskais regulējums un Eiropas Savienības Tiesas judikatūra</w:t>
      </w:r>
      <w:r w:rsidRPr="009C7A0A">
        <w:rPr>
          <w:i/>
          <w:iCs/>
        </w:rPr>
        <w:t xml:space="preserve"> </w:t>
      </w:r>
      <w:r w:rsidRPr="009C7A0A">
        <w:t>(</w:t>
      </w:r>
      <w:r w:rsidRPr="009C7A0A">
        <w:rPr>
          <w:i/>
          <w:iCs/>
        </w:rPr>
        <w:t>Senāta 2019. gada 16. maija lēmuma lietā Nr. SKK</w:t>
      </w:r>
      <w:r w:rsidRPr="009C7A0A">
        <w:noBreakHyphen/>
      </w:r>
      <w:r w:rsidRPr="009C7A0A">
        <w:rPr>
          <w:i/>
          <w:iCs/>
        </w:rPr>
        <w:t xml:space="preserve">3/2019 </w:t>
      </w:r>
      <w:hyperlink r:id="rId22" w:history="1">
        <w:r w:rsidRPr="001667F6">
          <w:rPr>
            <w:rStyle w:val="Hyperlink"/>
            <w:i/>
            <w:iCs/>
          </w:rPr>
          <w:t>ECLI:LV:AT:2019:0516.11087124114.4.L</w:t>
        </w:r>
      </w:hyperlink>
      <w:r w:rsidRPr="009C7A0A">
        <w:rPr>
          <w:i/>
          <w:iCs/>
        </w:rPr>
        <w:t>, 15. punkt</w:t>
      </w:r>
      <w:r w:rsidR="001667F6">
        <w:rPr>
          <w:i/>
          <w:iCs/>
        </w:rPr>
        <w:t>s</w:t>
      </w:r>
      <w:r w:rsidRPr="009C7A0A">
        <w:t>).</w:t>
      </w:r>
    </w:p>
    <w:p w14:paraId="26EAF00C" w14:textId="017C916F" w:rsidR="000202B2" w:rsidRPr="009C7A0A" w:rsidRDefault="000202B2" w:rsidP="009C7A0A">
      <w:pPr>
        <w:widowControl w:val="0"/>
        <w:spacing w:line="276" w:lineRule="auto"/>
        <w:ind w:firstLine="720"/>
        <w:contextualSpacing/>
        <w:jc w:val="both"/>
      </w:pPr>
      <w:r w:rsidRPr="009C7A0A">
        <w:t>Eiropas Padomes direktīvas (1989. gada 12. jūnijs)</w:t>
      </w:r>
      <w:r w:rsidRPr="009C7A0A">
        <w:rPr>
          <w:b/>
          <w:bCs/>
        </w:rPr>
        <w:t xml:space="preserve"> </w:t>
      </w:r>
      <w:r w:rsidRPr="009C7A0A">
        <w:t xml:space="preserve">par pasākumiem, kas ieviešami, lai uzlabotu darba ņēmēju drošību un veselības aizsardzību darbā (89/391/EEK) (turpmāk arī – Direktīva 89/391/EEK), 5. panta 4. punkta pirmajā daļā dalībvalstīm ir paredzēta iespēja ierobežot darba devēju atbildību, „ja nelaimes gadījumi notiek neparastu un neprognozējamu apstākļu dēļ, kas nav darba devēju varā vai ārkārtēju notikumu dēļ, no kuru sekām nevar izvairīties, kaut arī pielikti visi pūliņi”. No šīs daļas redakcijas izriet, ka tā ir paredzēta, lai skaidrotu noteiktu Direktīvas 89/391/EKK noteikumu piemērošanas jomu, precizējot dalībvalstu rīcības iespēju, transponējot šos noteikumus valsts tiesībās. Savukārt no Direktīvas 89/391/EKK noteikumiem nevar secināt, pamatojoties uz interpretāciju </w:t>
      </w:r>
      <w:r w:rsidRPr="009C7A0A">
        <w:rPr>
          <w:i/>
          <w:iCs/>
        </w:rPr>
        <w:t xml:space="preserve">a </w:t>
      </w:r>
      <w:proofErr w:type="spellStart"/>
      <w:r w:rsidRPr="009C7A0A">
        <w:rPr>
          <w:i/>
          <w:iCs/>
        </w:rPr>
        <w:t>contrario</w:t>
      </w:r>
      <w:proofErr w:type="spellEnd"/>
      <w:r w:rsidRPr="009C7A0A">
        <w:t>, Kopienu likumdevēja nodomu noteikt dalībvalstīm pienākumu paredzēt darba devēju atbildības bez vainas regulējumu (sk. </w:t>
      </w:r>
      <w:r w:rsidRPr="009C7A0A">
        <w:rPr>
          <w:i/>
          <w:iCs/>
        </w:rPr>
        <w:t xml:space="preserve">Eiropas Savienības Tiesas 2007. gada 14. jūnija sprieduma lietā „Komisija/Apvienotā Karaliste”, C-127/05, </w:t>
      </w:r>
      <w:hyperlink r:id="rId23" w:history="1">
        <w:r w:rsidRPr="00E941EA">
          <w:rPr>
            <w:rStyle w:val="Hyperlink"/>
            <w:i/>
            <w:iCs/>
          </w:rPr>
          <w:t>ECLI:EU:C:2007:338</w:t>
        </w:r>
      </w:hyperlink>
      <w:r w:rsidRPr="009C7A0A">
        <w:rPr>
          <w:i/>
          <w:iCs/>
        </w:rPr>
        <w:t>, 48.</w:t>
      </w:r>
      <w:r w:rsidRPr="009C7A0A">
        <w:t>–</w:t>
      </w:r>
      <w:r w:rsidRPr="009C7A0A">
        <w:rPr>
          <w:i/>
          <w:iCs/>
        </w:rPr>
        <w:t>49. punktu</w:t>
      </w:r>
      <w:r w:rsidRPr="009C7A0A">
        <w:t>).</w:t>
      </w:r>
    </w:p>
    <w:p w14:paraId="1E07B1A3" w14:textId="1B4F15FE" w:rsidR="000202B2" w:rsidRPr="009C7A0A" w:rsidRDefault="000202B2" w:rsidP="009C7A0A">
      <w:pPr>
        <w:widowControl w:val="0"/>
        <w:spacing w:line="276" w:lineRule="auto"/>
        <w:ind w:firstLine="720"/>
        <w:contextualSpacing/>
        <w:jc w:val="both"/>
      </w:pPr>
      <w:r w:rsidRPr="009C7A0A">
        <w:t>Attiecībā uz darba devēju atbildību Eiropas Savienības Tiesa ir atzinusi, ka lietā ir jābūt faktiem vai pierādījumiem, kas dod pamatu secinājumam, ka konkrētās darba vietas radīto risku novērtējums nav veikts atbilstoši Direktīvā noteiktajām prasībām un ka tādēļ iestājušās konkrētas sekas. Savukārt darba devējam ir jāpierāda, ka minētais risku novērtējums ir veikts atbilstoši šīs tiesību normas prasībām un tādēļ nav pieļauts pārkāpums (sk. </w:t>
      </w:r>
      <w:r w:rsidRPr="009C7A0A">
        <w:rPr>
          <w:i/>
          <w:iCs/>
        </w:rPr>
        <w:t>Eiropas Savienības Tiesas 2017. gada 19. oktobra sprieduma lietā „</w:t>
      </w:r>
      <w:proofErr w:type="spellStart"/>
      <w:r w:rsidRPr="009C7A0A">
        <w:rPr>
          <w:i/>
          <w:iCs/>
        </w:rPr>
        <w:t>Otero</w:t>
      </w:r>
      <w:proofErr w:type="spellEnd"/>
      <w:r w:rsidRPr="009C7A0A">
        <w:rPr>
          <w:i/>
          <w:iCs/>
        </w:rPr>
        <w:t xml:space="preserve"> </w:t>
      </w:r>
      <w:proofErr w:type="spellStart"/>
      <w:r w:rsidRPr="009C7A0A">
        <w:rPr>
          <w:i/>
          <w:iCs/>
        </w:rPr>
        <w:t>Ramos</w:t>
      </w:r>
      <w:proofErr w:type="spellEnd"/>
      <w:r w:rsidRPr="009C7A0A">
        <w:rPr>
          <w:i/>
          <w:iCs/>
        </w:rPr>
        <w:t xml:space="preserve">”, C-531/15, </w:t>
      </w:r>
      <w:hyperlink r:id="rId24" w:history="1">
        <w:r w:rsidRPr="00C061ED">
          <w:rPr>
            <w:rStyle w:val="Hyperlink"/>
            <w:i/>
            <w:iCs/>
          </w:rPr>
          <w:t>ECLI:EU:C:2017:789</w:t>
        </w:r>
      </w:hyperlink>
      <w:r w:rsidRPr="009C7A0A">
        <w:rPr>
          <w:i/>
          <w:iCs/>
        </w:rPr>
        <w:t>, 69., 76. punktu</w:t>
      </w:r>
      <w:r w:rsidRPr="009C7A0A">
        <w:t>).</w:t>
      </w:r>
    </w:p>
    <w:p w14:paraId="28367350" w14:textId="14AEBCD7" w:rsidR="000202B2" w:rsidRPr="009C7A0A" w:rsidRDefault="000202B2" w:rsidP="009C7A0A">
      <w:pPr>
        <w:widowControl w:val="0"/>
        <w:spacing w:line="276" w:lineRule="auto"/>
        <w:ind w:firstLine="720"/>
        <w:contextualSpacing/>
        <w:jc w:val="both"/>
      </w:pPr>
      <w:r w:rsidRPr="009C7A0A">
        <w:t xml:space="preserve">Senāts atzīst, ka prokurora piemērs par darba instrumenta nokrišanas riska apzināšanu ir nevietā, jo tas neraksturo konkrētu situāciju – </w:t>
      </w:r>
      <w:r w:rsidR="002A5A0C">
        <w:t>[pers. BO]</w:t>
      </w:r>
      <w:r w:rsidRPr="009C7A0A">
        <w:t xml:space="preserve"> inkriminēts, ka netika apzināts ēkas nobrukšanas risks, nevis nelaimes gadījumi būvniecībā.</w:t>
      </w:r>
    </w:p>
    <w:p w14:paraId="4BF28746" w14:textId="77777777" w:rsidR="000202B2" w:rsidRPr="009C7A0A" w:rsidRDefault="000202B2" w:rsidP="009C7A0A">
      <w:pPr>
        <w:widowControl w:val="0"/>
        <w:spacing w:line="276" w:lineRule="auto"/>
        <w:ind w:firstLine="720"/>
        <w:contextualSpacing/>
        <w:jc w:val="both"/>
      </w:pPr>
      <w:r w:rsidRPr="009C7A0A">
        <w:t>Tāpat apelācijas instances tiesa ir izvērtējusi un motivēti atspēkojusi apelācijas protesta argumentu par veikalā ierīkotās signalizācijas uzdevumu un to, vai konkrētajos apstākļos, atskanot signalizācijai, vajadzēja veikt evakuācijas pasākumus.</w:t>
      </w:r>
    </w:p>
    <w:p w14:paraId="323C5FA6" w14:textId="098A980B" w:rsidR="000202B2" w:rsidRPr="009C7A0A" w:rsidRDefault="000202B2" w:rsidP="009C7A0A">
      <w:pPr>
        <w:widowControl w:val="0"/>
        <w:spacing w:line="276" w:lineRule="auto"/>
        <w:ind w:firstLine="720"/>
        <w:contextualSpacing/>
        <w:jc w:val="both"/>
      </w:pPr>
      <w:r w:rsidRPr="009C7A0A">
        <w:t xml:space="preserve">Apelācijas instances tiesa atzinusi, ka veikalā uzstādītās trauksmes sistēmas pielietojuma mērķis bija novērst ugunsgrēku, un savu atzinumu pamatojusi ar konkrētiem lietā iegūtiem pierādījumiem, tai skaitā ar Vācijas uzņēmuma speciālistu tehniskās trauksmes sistēmu ekspertīzes slēdzienu, ka konkrētajā objektā uzstādītos dūmu detektorus neietekmē ēkas konstrukciju kustības, tāpēc tie nevar brīdināt par ēkas sabrukšanu. Ugunsgrēka trauksmes sistēmas uzdevumi ir identificēt ugunsgrēku, brīdināt personālu un sākt ugunsdzēšanas procesu. Tāpat ekspertīzes secinājumos norādīts, ka jumta sabrukšana un ugunsgrēka trauksmes aktivēšanās nav nekādā veidā saistīti </w:t>
      </w:r>
      <w:r w:rsidRPr="009C7A0A">
        <w:lastRenderedPageBreak/>
        <w:t xml:space="preserve">notikumi. Jumta un/ vai ēkas konstrukciju kustības vai sabrukšana nebija cēlonis ugunsgrēkam vai ūdens noplūdēm objektā. Ugunsgrēka trauksmes sistēma nevarēja reaģēt uz ēkas konstrukciju kustībām vai deformācijām. Tā bija sakritība, ka ugunsgrēka trauksmes sistēma aktivējās notikuma dienā. Ugunsgrēka trauksmes aktivēšanās cēlonis bija </w:t>
      </w:r>
      <w:proofErr w:type="spellStart"/>
      <w:r w:rsidRPr="009C7A0A">
        <w:t>sprinkleru</w:t>
      </w:r>
      <w:proofErr w:type="spellEnd"/>
      <w:r w:rsidRPr="009C7A0A">
        <w:t xml:space="preserve"> sistēmas darbības traucējumi un / vai pagrabā esošās ugunsdzēšanas šļūteņu sistēmas neatbilstoša lietošana (</w:t>
      </w:r>
      <w:r w:rsidRPr="009C7A0A">
        <w:rPr>
          <w:i/>
          <w:iCs/>
        </w:rPr>
        <w:t>lietas</w:t>
      </w:r>
      <w:r w:rsidRPr="009C7A0A">
        <w:t xml:space="preserve"> </w:t>
      </w:r>
      <w:r w:rsidRPr="009C7A0A">
        <w:rPr>
          <w:i/>
          <w:iCs/>
        </w:rPr>
        <w:t>107. sējuma 123.–235. lapa</w:t>
      </w:r>
      <w:r w:rsidRPr="009C7A0A">
        <w:t xml:space="preserve">). Tāpat tiesa ir atsaukusies uz liecinieka </w:t>
      </w:r>
      <w:r w:rsidR="0012112C">
        <w:t>[pers. MO]</w:t>
      </w:r>
      <w:r w:rsidRPr="009C7A0A">
        <w:t xml:space="preserve"> liecībām, ka ugunsdrošības sistēma, kas tika uzstādīta </w:t>
      </w:r>
      <w:r w:rsidR="001577AF">
        <w:t>[adrese]</w:t>
      </w:r>
      <w:r w:rsidRPr="009C7A0A">
        <w:t xml:space="preserve">, nav varējusi brīdināt par ēkas sabrukšanu. Ēkas konstrukcijas un to kustības nekādā veidā nevarēja ietekmēt signalizācijas darbību. Traģēdijas dienā netika saņemti signāli no trešās un ceturtās līnijas cauruļvadiem, kas bijuši piestiprināti pie ēkas jumta. Signāls saņemts no sestās līnijas, kas bija ugunsdzēšanas caurule un atradās pagrabstāvā, šī līnija nav bijusi piemontēta pie jumta un šai līnijai nav bijusi sasaiste ar jumta konstrukcijām. Jānošķir signāli, ugunsdzēsības signalizācija un traucējums. Traucējums ir signāls, kas tiek parādīts centrāles panelī un informē, ka ir radusies kļūda. Ugunsdzēsības signalizācija savukārt tiek iedarbināta, ja rodas ugunsgrēks, vai arī tad, kad kāds </w:t>
      </w:r>
      <w:proofErr w:type="spellStart"/>
      <w:r w:rsidRPr="009C7A0A">
        <w:t>sprinklera</w:t>
      </w:r>
      <w:proofErr w:type="spellEnd"/>
      <w:r w:rsidRPr="009C7A0A">
        <w:t xml:space="preserve"> ventilis ir atvērts, kā tas bijis šajā gadījumā. Šim procesam seko automātiska mutiska izziņošana, brīdināšana.</w:t>
      </w:r>
    </w:p>
    <w:p w14:paraId="512E2744" w14:textId="77777777" w:rsidR="000202B2" w:rsidRPr="009C7A0A" w:rsidRDefault="000202B2" w:rsidP="009C7A0A">
      <w:pPr>
        <w:widowControl w:val="0"/>
        <w:spacing w:line="276" w:lineRule="auto"/>
        <w:ind w:firstLine="720"/>
        <w:contextualSpacing/>
        <w:jc w:val="both"/>
      </w:pPr>
      <w:r w:rsidRPr="009C7A0A">
        <w:t>Savukārt, pamatojot to, ka, skanot automātiskajai ugunsgrēku trauksmes sistēmai, darbinieki bija jāevakuē tikai ugunsgrēka gadījumā, apelācijas instances tiesa atsaukusies uz Latvijas valsts standarta LVS CEN/TS 54-14:2005 „Ugunsgrēka atklāšanas un ugunsgrēka trauksmes sistēmas” B pielikuma B.8. „</w:t>
      </w:r>
      <w:proofErr w:type="spellStart"/>
      <w:r w:rsidRPr="009C7A0A">
        <w:t>Pirmspārbaudes</w:t>
      </w:r>
      <w:proofErr w:type="spellEnd"/>
      <w:r w:rsidRPr="009C7A0A">
        <w:t xml:space="preserve"> brīdinājums” skaidrojumu, ka ugunsgrēka trauksmes signalizācijas atskanēšanas gadījumā vispirms ir jānoskaidro, vai ugunsgrēka trauksmes signalizācija aktivējās ugunsgrēka dēļ. Ja ugunsbīstamība netiek konstatēta, ir jāsazinās ar tehniskā dienesta speciālistu, kuram ir pienākums pārtraukt viltus trauksmes signāla pienākšanu uz centrālo vadības paneli un atjaunot ugunsgrēka trauksmes sistēmu normālā darba kārtībā.</w:t>
      </w:r>
    </w:p>
    <w:p w14:paraId="72A52BE0" w14:textId="77777777" w:rsidR="000202B2" w:rsidRPr="009C7A0A" w:rsidRDefault="000202B2" w:rsidP="009C7A0A">
      <w:pPr>
        <w:widowControl w:val="0"/>
        <w:spacing w:line="276" w:lineRule="auto"/>
        <w:ind w:firstLine="720"/>
        <w:contextualSpacing/>
        <w:jc w:val="both"/>
      </w:pPr>
      <w:r w:rsidRPr="009C7A0A">
        <w:t>Senātam nav pamata apšaubīt apelācijas instances tiesas motivētu atzinumu, ka ugunsgrēka signalizācijas sistēmas traucējumi nebija iemesls evakuācijas uzsākšanai, savukārt citi riski netika identificēti.</w:t>
      </w:r>
    </w:p>
    <w:p w14:paraId="459117DA" w14:textId="77777777" w:rsidR="000202B2" w:rsidRPr="009C7A0A" w:rsidRDefault="000202B2" w:rsidP="009C7A0A">
      <w:pPr>
        <w:widowControl w:val="0"/>
        <w:spacing w:line="276" w:lineRule="auto"/>
        <w:ind w:firstLine="720"/>
        <w:contextualSpacing/>
        <w:jc w:val="both"/>
      </w:pPr>
    </w:p>
    <w:p w14:paraId="6A4CDA30" w14:textId="0E4DA590" w:rsidR="000202B2" w:rsidRPr="009C7A0A" w:rsidRDefault="000202B2" w:rsidP="009C7A0A">
      <w:pPr>
        <w:widowControl w:val="0"/>
        <w:spacing w:line="276" w:lineRule="auto"/>
        <w:ind w:firstLine="720"/>
        <w:contextualSpacing/>
        <w:jc w:val="both"/>
      </w:pPr>
      <w:r w:rsidRPr="009C7A0A">
        <w:t>[2</w:t>
      </w:r>
      <w:r w:rsidR="008418B4" w:rsidRPr="009C7A0A">
        <w:t>3</w:t>
      </w:r>
      <w:r w:rsidRPr="009C7A0A">
        <w:t xml:space="preserve">] Senāts atzīst, ka apsūdzētā </w:t>
      </w:r>
      <w:r w:rsidR="0067125B">
        <w:t>[pers. A]</w:t>
      </w:r>
      <w:r w:rsidRPr="009C7A0A">
        <w:t xml:space="preserve"> un viņa aizstāvja A. Zvejsalnieka kasācijas sūdzības ir noraidāmas.</w:t>
      </w:r>
    </w:p>
    <w:p w14:paraId="215B5508" w14:textId="2D8F8D01" w:rsidR="000202B2" w:rsidRPr="009C7A0A" w:rsidRDefault="000202B2" w:rsidP="009C7A0A">
      <w:pPr>
        <w:widowControl w:val="0"/>
        <w:spacing w:line="276" w:lineRule="auto"/>
        <w:ind w:firstLine="720"/>
        <w:contextualSpacing/>
        <w:jc w:val="both"/>
      </w:pPr>
      <w:r w:rsidRPr="009C7A0A">
        <w:t xml:space="preserve">Senāts sniegs atbildes uz tiem jautājumiem, kuriem ir nozīme lietas taisnīgā izskatīšanā, proti: 1) vai nogruvušās ēkas būvniecībā bija piemērojamas PSRS būvniecības normas; 2) vai apelācijas instances tiesa atbilstoši Kriminālprocesa likuma 128. panta otrās daļas prasībām ir izvērtējusi ziņas par faktiem: a) noskaidrojot </w:t>
      </w:r>
      <w:r w:rsidR="00E92F17">
        <w:t>[pers. A]</w:t>
      </w:r>
      <w:r w:rsidRPr="009C7A0A">
        <w:t xml:space="preserve"> veicamos pienākumus; b) noskaidrojot citu būvniecības dalībnieku nodarījumu ietekmi un jumta konstrukciju nogruvumu; 3) vai </w:t>
      </w:r>
      <w:r w:rsidR="00A659F7">
        <w:t>[pers. A]</w:t>
      </w:r>
      <w:r w:rsidRPr="009C7A0A">
        <w:t xml:space="preserve"> nodarījums veido noziedzīgu nodarījumu ideālo kopību.</w:t>
      </w:r>
    </w:p>
    <w:p w14:paraId="47D9D578" w14:textId="40AC2481" w:rsidR="000202B2" w:rsidRPr="009C7A0A" w:rsidRDefault="000202B2" w:rsidP="009C7A0A">
      <w:pPr>
        <w:widowControl w:val="0"/>
        <w:spacing w:line="276" w:lineRule="auto"/>
        <w:ind w:firstLine="720"/>
        <w:contextualSpacing/>
        <w:jc w:val="both"/>
      </w:pPr>
      <w:r w:rsidRPr="009C7A0A">
        <w:t>[2</w:t>
      </w:r>
      <w:r w:rsidR="008418B4" w:rsidRPr="009C7A0A">
        <w:t>3</w:t>
      </w:r>
      <w:r w:rsidRPr="009C7A0A">
        <w:t>.1] Apelācijas instances tiesa argumentēti atzinusi, ka nodarījuma izdarīšanas laikā būvniecības nozarē bija piemērojamas PSRS celtniecības normas un noteikumi (</w:t>
      </w:r>
      <w:proofErr w:type="spellStart"/>
      <w:r w:rsidRPr="009C7A0A">
        <w:t>SNiP</w:t>
      </w:r>
      <w:proofErr w:type="spellEnd"/>
      <w:r w:rsidRPr="009C7A0A">
        <w:t>).</w:t>
      </w:r>
    </w:p>
    <w:p w14:paraId="0ADF33F7" w14:textId="3D48FBAF" w:rsidR="000202B2" w:rsidRPr="009C7A0A" w:rsidRDefault="000202B2" w:rsidP="009C7A0A">
      <w:pPr>
        <w:widowControl w:val="0"/>
        <w:spacing w:line="276" w:lineRule="auto"/>
        <w:ind w:firstLine="720"/>
        <w:contextualSpacing/>
        <w:jc w:val="both"/>
      </w:pPr>
      <w:r w:rsidRPr="009C7A0A">
        <w:t xml:space="preserve">Tiesa ņēmusi vērā Ministru kabineta 1997. gada 23. decembra noteikumu Nr. 451 „Noteikumi par Latvijas būvnormatīvu LBN 203-97 „Betona un dzelzsbetona konstrukciju projektēšanas normas”” (turpmāk – noteikumi Nr. 451) un Ministru kabineta 1998. gada 21. aprīļa noteikumu Nr. 139 „Noteikumi par Latvijas būvnormatīvu LBN </w:t>
      </w:r>
      <w:r w:rsidRPr="009C7A0A">
        <w:lastRenderedPageBreak/>
        <w:t xml:space="preserve">205-97 „Mūra un stiegrota mūra konstrukciju projektēšanas normas”” (turpmāk – noteikumi Nr. 139) prasības, kā arī judikatūrā pausto atziņu, ka Latvijas valstiskās neatkarības atjaunošanas būvniecības nozarē pārejas periodā no PSRS būvnormatīvu sistēmas uz Latvijas būvnormatīvu (LBN) sistēmu bija piemērojami </w:t>
      </w:r>
      <w:proofErr w:type="spellStart"/>
      <w:r w:rsidRPr="009C7A0A">
        <w:t>SNiP</w:t>
      </w:r>
      <w:proofErr w:type="spellEnd"/>
      <w:r w:rsidRPr="009C7A0A">
        <w:t xml:space="preserve"> II-23-81 un </w:t>
      </w:r>
      <w:proofErr w:type="spellStart"/>
      <w:r w:rsidRPr="009C7A0A">
        <w:t>SNiP</w:t>
      </w:r>
      <w:proofErr w:type="spellEnd"/>
      <w:r w:rsidRPr="009C7A0A">
        <w:t xml:space="preserve"> 2.01.07-85 noteikumi (sk. </w:t>
      </w:r>
      <w:r w:rsidRPr="009C7A0A">
        <w:rPr>
          <w:i/>
          <w:iCs/>
        </w:rPr>
        <w:t>Senāta 2017. gada 21. decembra sprieduma lietā Nr. SKA</w:t>
      </w:r>
      <w:r w:rsidRPr="009C7A0A">
        <w:noBreakHyphen/>
      </w:r>
      <w:r w:rsidRPr="009C7A0A">
        <w:rPr>
          <w:i/>
          <w:iCs/>
        </w:rPr>
        <w:t xml:space="preserve">1104/2017, </w:t>
      </w:r>
      <w:hyperlink r:id="rId25" w:history="1">
        <w:r w:rsidRPr="00075A27">
          <w:rPr>
            <w:rStyle w:val="Hyperlink"/>
            <w:i/>
            <w:iCs/>
          </w:rPr>
          <w:t>ECLI:LV:AT:2017:1221.A420305714.2.S</w:t>
        </w:r>
      </w:hyperlink>
      <w:r w:rsidRPr="009C7A0A">
        <w:rPr>
          <w:i/>
          <w:iCs/>
        </w:rPr>
        <w:t>, 7. punktu</w:t>
      </w:r>
      <w:r w:rsidRPr="009C7A0A">
        <w:t>).</w:t>
      </w:r>
    </w:p>
    <w:p w14:paraId="2FD93644" w14:textId="77777777" w:rsidR="000202B2" w:rsidRPr="009C7A0A" w:rsidRDefault="000202B2" w:rsidP="009C7A0A">
      <w:pPr>
        <w:widowControl w:val="0"/>
        <w:spacing w:line="276" w:lineRule="auto"/>
        <w:ind w:firstLine="720"/>
        <w:contextualSpacing/>
        <w:jc w:val="both"/>
      </w:pPr>
      <w:r w:rsidRPr="009C7A0A">
        <w:rPr>
          <w:bCs/>
        </w:rPr>
        <w:t xml:space="preserve">Senāts minētajā spriedumā norādījis, ka saskaņā ar noteikumu Nr. 451 1. un 2. punktu ir apstiprināts </w:t>
      </w:r>
      <w:r w:rsidRPr="009C7A0A">
        <w:t xml:space="preserve">Latvijas būvnormatīvs LBN 203-97 „Betona un dzelzsbetona konstrukciju projektēšanas normas” un noteikts, ka ar 1998. gada 1. maiju Latvijas teritorijā netiek piemērotas bijušās PSRS celtniecības normas un noteikumi </w:t>
      </w:r>
      <w:proofErr w:type="spellStart"/>
      <w:r w:rsidRPr="009C7A0A">
        <w:t>SNiP</w:t>
      </w:r>
      <w:proofErr w:type="spellEnd"/>
      <w:r w:rsidRPr="009C7A0A">
        <w:t xml:space="preserve"> 2.03.01-84 „Betona un dzelzsbetona konstrukcijas. Projektēšanas normas”. Savukārt noteikumu </w:t>
      </w:r>
      <w:r w:rsidRPr="009C7A0A">
        <w:rPr>
          <w:bCs/>
        </w:rPr>
        <w:t xml:space="preserve">Nr. 451 </w:t>
      </w:r>
      <w:r w:rsidRPr="009C7A0A">
        <w:t xml:space="preserve">5. punktā noteikts, ka līdz Latvijas būvnormatīva LBN 004 „Slodzes un iedarbes. Projektēšanas pamatprincipi” apstiprināšanai slodžu un iedarbību lielumus, drošuma un slodžu kombināciju koeficientus nosaka saskaņā ar </w:t>
      </w:r>
      <w:proofErr w:type="spellStart"/>
      <w:r w:rsidRPr="009C7A0A">
        <w:t>SNiP</w:t>
      </w:r>
      <w:proofErr w:type="spellEnd"/>
      <w:r w:rsidRPr="009C7A0A">
        <w:t xml:space="preserve"> 2.01.07-85 prasībām.</w:t>
      </w:r>
    </w:p>
    <w:p w14:paraId="3B0396A3" w14:textId="48628268" w:rsidR="000202B2" w:rsidRPr="009C7A0A" w:rsidRDefault="000202B2" w:rsidP="009C7A0A">
      <w:pPr>
        <w:widowControl w:val="0"/>
        <w:spacing w:line="276" w:lineRule="auto"/>
        <w:ind w:firstLine="720"/>
        <w:contextualSpacing/>
        <w:jc w:val="both"/>
      </w:pPr>
      <w:r w:rsidRPr="009C7A0A">
        <w:t>No minētā izriet, ka Ministru kabinets ir noregulējis jautājumu par piemērojamiem noteikumiem attiecībā uz slodzēm laikā, kamēr Latvijas būvnormatīvi vēl nebija pieņemti (sk. </w:t>
      </w:r>
      <w:r w:rsidRPr="009C7A0A">
        <w:rPr>
          <w:i/>
          <w:iCs/>
        </w:rPr>
        <w:t>Senāta 2017. gada 21. decembra sprieduma lietā Nr. SKA</w:t>
      </w:r>
      <w:r w:rsidRPr="009C7A0A">
        <w:noBreakHyphen/>
      </w:r>
      <w:r w:rsidRPr="009C7A0A">
        <w:rPr>
          <w:i/>
          <w:iCs/>
        </w:rPr>
        <w:t>1104/2017</w:t>
      </w:r>
      <w:r w:rsidRPr="003C080E">
        <w:rPr>
          <w:i/>
          <w:iCs/>
        </w:rPr>
        <w:t xml:space="preserve">, </w:t>
      </w:r>
      <w:hyperlink r:id="rId26" w:history="1">
        <w:r w:rsidRPr="00075A27">
          <w:rPr>
            <w:rStyle w:val="Hyperlink"/>
            <w:i/>
            <w:iCs/>
          </w:rPr>
          <w:t>ECLI:LV:AT:2017:1221.A420305714.2.S</w:t>
        </w:r>
      </w:hyperlink>
      <w:r w:rsidRPr="009C7A0A">
        <w:rPr>
          <w:i/>
          <w:iCs/>
        </w:rPr>
        <w:t>, 7. punktu</w:t>
      </w:r>
      <w:r w:rsidRPr="009C7A0A">
        <w:t>).</w:t>
      </w:r>
    </w:p>
    <w:p w14:paraId="13B6AD14" w14:textId="65BE5589" w:rsidR="000202B2" w:rsidRPr="009C7A0A" w:rsidRDefault="000202B2" w:rsidP="009C7A0A">
      <w:pPr>
        <w:widowControl w:val="0"/>
        <w:spacing w:line="276" w:lineRule="auto"/>
        <w:ind w:firstLine="720"/>
        <w:contextualSpacing/>
        <w:jc w:val="both"/>
      </w:pPr>
      <w:r w:rsidRPr="009C7A0A">
        <w:t xml:space="preserve">Tāpat Senāts norādījis, ka minētā tiesību norma nav aplūkojama šauri. Proti, tā vispārīgi noteic piemērojamos noteikumus attiecībā uz slodžu aprēķinu laikā, kamēr nav apstiprināti attiecīgi Latvijas būvnormatīvi. Arī citos noteikumos ir ietverta šāda norma, norādot uz minēto </w:t>
      </w:r>
      <w:proofErr w:type="spellStart"/>
      <w:r w:rsidRPr="009C7A0A">
        <w:t>SNiP</w:t>
      </w:r>
      <w:proofErr w:type="spellEnd"/>
      <w:r w:rsidRPr="009C7A0A">
        <w:t xml:space="preserve"> piemērojamību (noteikumu Nr. 139 4. punkts, 1999. gada 13. aprīļa noteikumu Nr. 140, ar kuriem apstiprināti Latvijas būvnormatīvi </w:t>
      </w:r>
      <w:r w:rsidRPr="009C7A0A">
        <w:rPr>
          <w:bCs/>
        </w:rPr>
        <w:t xml:space="preserve">LBN 206-99 </w:t>
      </w:r>
      <w:r w:rsidRPr="009C7A0A">
        <w:t>„</w:t>
      </w:r>
      <w:r w:rsidRPr="009C7A0A">
        <w:rPr>
          <w:bCs/>
        </w:rPr>
        <w:t>Koka konstrukciju projektēšanas normas”, 4. punkts</w:t>
      </w:r>
      <w:r w:rsidRPr="009C7A0A">
        <w:t xml:space="preserve">). Minēto Ministru kabineta noteikumu spēkā esības laikā (zaudēja spēku 2015. gada 1. jūnijā) Latvijas būvnormatīvs par slodzēm netika apstiprināts. Līdz ar to šajā laikā bija piemērojami </w:t>
      </w:r>
      <w:proofErr w:type="spellStart"/>
      <w:r w:rsidRPr="009C7A0A">
        <w:t>SNiP</w:t>
      </w:r>
      <w:proofErr w:type="spellEnd"/>
      <w:r w:rsidRPr="009C7A0A">
        <w:t xml:space="preserve"> 2.01.07-85</w:t>
      </w:r>
      <w:r w:rsidR="00EF3312">
        <w:t>.</w:t>
      </w:r>
    </w:p>
    <w:p w14:paraId="621AA524" w14:textId="77777777" w:rsidR="000202B2" w:rsidRPr="009C7A0A" w:rsidRDefault="000202B2" w:rsidP="009C7A0A">
      <w:pPr>
        <w:widowControl w:val="0"/>
        <w:spacing w:line="276" w:lineRule="auto"/>
        <w:ind w:firstLine="720"/>
        <w:contextualSpacing/>
        <w:jc w:val="both"/>
      </w:pPr>
      <w:r w:rsidRPr="009C7A0A">
        <w:rPr>
          <w:bCs/>
        </w:rPr>
        <w:t xml:space="preserve">Saskaņā ar </w:t>
      </w:r>
      <w:r w:rsidRPr="009C7A0A">
        <w:t>noteikumu Nr. 139</w:t>
      </w:r>
      <w:r w:rsidRPr="009C7A0A">
        <w:rPr>
          <w:bCs/>
        </w:rPr>
        <w:t xml:space="preserve"> 1. un 2. punktu </w:t>
      </w:r>
      <w:r w:rsidRPr="009C7A0A">
        <w:t xml:space="preserve">apstiprināts Latvijas būvnormatīvs LBN 205-97 „Mūra un stiegrota mūra konstrukciju projektēšanas normas” un noteikts, ka ar 1998. gada 1. maiju Latvijas Republikas teritorijā netiek piemērotas bijušās PSRS celtniecības normas un noteikumi </w:t>
      </w:r>
      <w:proofErr w:type="spellStart"/>
      <w:r w:rsidRPr="009C7A0A">
        <w:t>SNiP</w:t>
      </w:r>
      <w:proofErr w:type="spellEnd"/>
      <w:r w:rsidRPr="009C7A0A">
        <w:t xml:space="preserve"> II-22-81 „Mūra un stiegrota mūra konstrukcijas. Projektēšanas normas”. Savukārt 5. punktā paredzēts, ka līdz Latvijas būvnormatīva LBN 204 „Tērauda konstrukciju projektēšanas normas” apstiprināšanai metāla ieliekamo detaļu aprēķini jāveic saskaņā ar </w:t>
      </w:r>
      <w:proofErr w:type="spellStart"/>
      <w:r w:rsidRPr="009C7A0A">
        <w:t>SNiP</w:t>
      </w:r>
      <w:proofErr w:type="spellEnd"/>
      <w:r w:rsidRPr="009C7A0A">
        <w:t xml:space="preserve"> II-23-81 „Tērauda konstrukcijas. Projektēšanas normas”.</w:t>
      </w:r>
    </w:p>
    <w:p w14:paraId="333E3DDB" w14:textId="3D0FEA04" w:rsidR="000202B2" w:rsidRPr="009C7A0A" w:rsidRDefault="000202B2" w:rsidP="009C7A0A">
      <w:pPr>
        <w:widowControl w:val="0"/>
        <w:spacing w:line="276" w:lineRule="auto"/>
        <w:ind w:firstLine="720"/>
        <w:contextualSpacing/>
        <w:jc w:val="both"/>
      </w:pPr>
      <w:r w:rsidRPr="009C7A0A">
        <w:t xml:space="preserve">Turklāt Senāts norādījis, ka normā ietvertā norāde uz metāla ieliekamo detaļu ir attiecināma arī uz metāla konstrukcijām, tai skaitā kopnēm. Normā ietvertā norāde ir paskaidrojoša, normai norādot, kuru jautājumu noskaidrošanai minēto noteikumu sakarā ir būtiska konkrēto </w:t>
      </w:r>
      <w:proofErr w:type="spellStart"/>
      <w:r w:rsidRPr="009C7A0A">
        <w:t>SNiP</w:t>
      </w:r>
      <w:proofErr w:type="spellEnd"/>
      <w:r w:rsidRPr="009C7A0A">
        <w:t xml:space="preserve"> piemērošana</w:t>
      </w:r>
      <w:r w:rsidR="00EB12E4">
        <w:t>.</w:t>
      </w:r>
    </w:p>
    <w:p w14:paraId="75D7C3FC" w14:textId="77777777" w:rsidR="000202B2" w:rsidRPr="009C7A0A" w:rsidRDefault="000202B2" w:rsidP="009C7A0A">
      <w:pPr>
        <w:widowControl w:val="0"/>
        <w:spacing w:line="276" w:lineRule="auto"/>
        <w:ind w:firstLine="720"/>
        <w:contextualSpacing/>
        <w:jc w:val="both"/>
      </w:pPr>
      <w:r w:rsidRPr="009C7A0A">
        <w:t>Tādējādi kasācijas sūdzības iesniedzēji ir pauduši subjektīvo viedokli par iepriekš minēto noteikumu piemērošanu, kas ir pretrunā ar tiesību normās noteikto un Senāta judikatūrā sniegto skaidrojumu par PSRS būvnormatīvu sistēmas piemērošanu.</w:t>
      </w:r>
    </w:p>
    <w:p w14:paraId="71869B0C" w14:textId="77777777" w:rsidR="000202B2" w:rsidRPr="009C7A0A" w:rsidRDefault="000202B2" w:rsidP="009C7A0A">
      <w:pPr>
        <w:widowControl w:val="0"/>
        <w:spacing w:line="276" w:lineRule="auto"/>
        <w:ind w:firstLine="720"/>
        <w:contextualSpacing/>
        <w:jc w:val="both"/>
      </w:pPr>
      <w:r w:rsidRPr="009C7A0A">
        <w:t xml:space="preserve">Senāts atzīst, ka </w:t>
      </w:r>
      <w:proofErr w:type="spellStart"/>
      <w:r w:rsidRPr="009C7A0A">
        <w:t>SNiP</w:t>
      </w:r>
      <w:proofErr w:type="spellEnd"/>
      <w:r w:rsidRPr="009C7A0A">
        <w:t xml:space="preserve"> publiskā nepieejamība latviešu valodā nevar būt par šķērsli personai pienācīgi veikt savus profesionālos pienākumus.</w:t>
      </w:r>
    </w:p>
    <w:p w14:paraId="53F708FB" w14:textId="2A98E9F2" w:rsidR="000202B2" w:rsidRPr="009C7A0A" w:rsidRDefault="000202B2" w:rsidP="009C7A0A">
      <w:pPr>
        <w:widowControl w:val="0"/>
        <w:spacing w:line="276" w:lineRule="auto"/>
        <w:ind w:firstLine="720"/>
        <w:contextualSpacing/>
        <w:jc w:val="both"/>
      </w:pPr>
      <w:r w:rsidRPr="009C7A0A">
        <w:t xml:space="preserve">Būvprojekta paskaidrojuma rakstā </w:t>
      </w:r>
      <w:r w:rsidR="004B2CD5">
        <w:t>[pers. A]</w:t>
      </w:r>
      <w:r w:rsidRPr="009C7A0A">
        <w:t xml:space="preserve"> atsaucās uz </w:t>
      </w:r>
      <w:proofErr w:type="spellStart"/>
      <w:r w:rsidRPr="009C7A0A">
        <w:t>SNiP</w:t>
      </w:r>
      <w:proofErr w:type="spellEnd"/>
      <w:r w:rsidRPr="009C7A0A">
        <w:t xml:space="preserve">. Tas liecina par to, ka minētie noteikumi ir bijuši apsūdzētā </w:t>
      </w:r>
      <w:r w:rsidR="0027250D">
        <w:t>[pers. A]</w:t>
      </w:r>
      <w:r w:rsidRPr="009C7A0A">
        <w:t xml:space="preserve"> rīcībā un viņam bija zināms to saturs.</w:t>
      </w:r>
    </w:p>
    <w:p w14:paraId="47205522" w14:textId="060F4AAC" w:rsidR="000202B2" w:rsidRPr="009C7A0A" w:rsidRDefault="000202B2" w:rsidP="009C7A0A">
      <w:pPr>
        <w:widowControl w:val="0"/>
        <w:spacing w:line="276" w:lineRule="auto"/>
        <w:ind w:firstLine="720"/>
        <w:contextualSpacing/>
        <w:jc w:val="both"/>
      </w:pPr>
      <w:r w:rsidRPr="009C7A0A">
        <w:t>[2</w:t>
      </w:r>
      <w:r w:rsidR="008418B4" w:rsidRPr="009C7A0A">
        <w:t>3</w:t>
      </w:r>
      <w:r w:rsidRPr="009C7A0A">
        <w:t xml:space="preserve">.2] Senāts konstatē, ka apsūdzētais </w:t>
      </w:r>
      <w:r w:rsidR="00EC4C48">
        <w:t>[pers. A]</w:t>
      </w:r>
      <w:r w:rsidRPr="009C7A0A">
        <w:t xml:space="preserve"> un viņa aizstāvis kasācijas </w:t>
      </w:r>
      <w:r w:rsidRPr="009C7A0A">
        <w:lastRenderedPageBreak/>
        <w:t>sūdzībās ir atkārtojuši apelācijas sūdzību argumentus, kurus apelācijas instances tiesa ir izvērtējusi un motivēti noraidījusi. Apelācijas instances tiesa atzinusi, ka nodarījumā ir konstatējamas visas Krimināllikuma 239. panta otrajā daļā (likuma redakcijā, kas stājās spēkā 2013. gada 1. aprīlī) un 123. panta otrajā daļā paredzētā noziedzīgā nodarījuma sastāva pazīmes, un apsūdzētā vainīgums izdarītajā noziedzīgajā nodarījumā ir pierādīts ārpus saprātīgām šaubām.</w:t>
      </w:r>
    </w:p>
    <w:p w14:paraId="3E6ECBEC" w14:textId="73B7D4B9" w:rsidR="000202B2" w:rsidRPr="009C7A0A" w:rsidRDefault="000202B2" w:rsidP="009C7A0A">
      <w:pPr>
        <w:widowControl w:val="0"/>
        <w:spacing w:line="276" w:lineRule="auto"/>
        <w:ind w:firstLine="720"/>
        <w:contextualSpacing/>
        <w:jc w:val="both"/>
      </w:pPr>
      <w:r w:rsidRPr="009C7A0A">
        <w:t>Senāts jau iepriekš piekritis tiesību zinātnieku paustajai atziņai, ka ziņu izvērtēšana kopsakarā nozīmē, ka, lai arī ticamība ir katram individuālam pierādījumam piemītoša pazīme, tomēr to noteikt var, tikai skatot attiecīgo pierādījumu vienotā sistēmā ar citiem pierādījumiem un vērtējot, kā veidojas to savstarpējās sakarības (sk. </w:t>
      </w:r>
      <w:r w:rsidRPr="009C7A0A">
        <w:rPr>
          <w:i/>
          <w:iCs/>
        </w:rPr>
        <w:t xml:space="preserve">Senāta </w:t>
      </w:r>
      <w:r w:rsidRPr="009C7A0A">
        <w:rPr>
          <w:bCs/>
          <w:i/>
          <w:iCs/>
        </w:rPr>
        <w:t>2022. gada 20. janvāra lēmuma lietā Nr. SKK</w:t>
      </w:r>
      <w:r w:rsidRPr="009C7A0A">
        <w:rPr>
          <w:bCs/>
          <w:i/>
          <w:iCs/>
        </w:rPr>
        <w:noBreakHyphen/>
        <w:t>22/2022,</w:t>
      </w:r>
      <w:r w:rsidRPr="009C7A0A">
        <w:t xml:space="preserve"> </w:t>
      </w:r>
      <w:hyperlink r:id="rId27" w:history="1">
        <w:r w:rsidRPr="00D033BD">
          <w:rPr>
            <w:rStyle w:val="Hyperlink"/>
            <w:bCs/>
            <w:i/>
            <w:iCs/>
          </w:rPr>
          <w:t>ECLI:LV:AT:2022:0120.11380033718.4.L</w:t>
        </w:r>
      </w:hyperlink>
      <w:r w:rsidRPr="009C7A0A">
        <w:rPr>
          <w:i/>
          <w:iCs/>
        </w:rPr>
        <w:t>, 6.2. punktu</w:t>
      </w:r>
      <w:r w:rsidRPr="009C7A0A">
        <w:t>).</w:t>
      </w:r>
    </w:p>
    <w:p w14:paraId="3B91FD05" w14:textId="4A9CF05E" w:rsidR="000202B2" w:rsidRPr="009C7A0A" w:rsidRDefault="000202B2" w:rsidP="009C7A0A">
      <w:pPr>
        <w:widowControl w:val="0"/>
        <w:spacing w:line="276" w:lineRule="auto"/>
        <w:ind w:firstLine="720"/>
        <w:contextualSpacing/>
        <w:jc w:val="both"/>
      </w:pPr>
      <w:r w:rsidRPr="009C7A0A">
        <w:t xml:space="preserve">Senāts atzīst, ka apsūdzētā </w:t>
      </w:r>
      <w:r w:rsidR="00493E81">
        <w:t>[pers. A]</w:t>
      </w:r>
      <w:r w:rsidRPr="009C7A0A">
        <w:t xml:space="preserve"> kasācijas sūdzības argumenti faktiski pauž sūdzības iesniedzēja neapmierinātību ar tiem secinājumiem, kādus izdarījusi apelācijas instances tiesa, izvērtējot lietā iegūtos pierādījumus, un vērsti uz to, lai panāktu apelācijas instances tiesas nolēmuma atcelšanu nevis juridisku, bet faktisku iemeslu dēļ, kas ir pretrunā ar Kriminālprocesa likuma 569. panta pirmo daļu.</w:t>
      </w:r>
    </w:p>
    <w:p w14:paraId="6AA46BF3" w14:textId="6A1D7179" w:rsidR="000202B2" w:rsidRPr="009C7A0A" w:rsidRDefault="000202B2" w:rsidP="009C7A0A">
      <w:pPr>
        <w:widowControl w:val="0"/>
        <w:spacing w:line="276" w:lineRule="auto"/>
        <w:ind w:firstLine="720"/>
        <w:contextualSpacing/>
        <w:jc w:val="both"/>
      </w:pPr>
      <w:r w:rsidRPr="009C7A0A">
        <w:t>Apelācijas instances tiesa, noskaidrojot būvkonstrukciju daļas autora pienākumus, ņēmusi vērā starp SIA „</w:t>
      </w:r>
      <w:r w:rsidR="00EC0420">
        <w:t>[Nosaukums B]</w:t>
      </w:r>
      <w:r w:rsidRPr="009C7A0A">
        <w:t>” un SIA „</w:t>
      </w:r>
      <w:r w:rsidR="000B4389">
        <w:t>[Nosaukums A]</w:t>
      </w:r>
      <w:r w:rsidRPr="009C7A0A">
        <w:t xml:space="preserve">” noslēgto līgumu, ar kuru </w:t>
      </w:r>
      <w:r w:rsidR="00B06F55">
        <w:t>[pers. A]</w:t>
      </w:r>
      <w:r w:rsidRPr="009C7A0A">
        <w:t xml:space="preserve"> apņēmās veikt darbu būvkonstrukciju daļu projekta dokumentācijas izstrādē un normatīvajos aktos noteikto, proti, Vispārīgo būvnoteikumu 79. punkta un Būvniecības likuma 26. panta otrās daļas prasības.</w:t>
      </w:r>
    </w:p>
    <w:p w14:paraId="40CE3FE4" w14:textId="3C0F84E0" w:rsidR="000202B2" w:rsidRPr="009C7A0A" w:rsidRDefault="000202B2" w:rsidP="009C7A0A">
      <w:pPr>
        <w:widowControl w:val="0"/>
        <w:spacing w:line="276" w:lineRule="auto"/>
        <w:ind w:firstLine="720"/>
        <w:contextualSpacing/>
        <w:jc w:val="both"/>
      </w:pPr>
      <w:r w:rsidRPr="009C7A0A">
        <w:t xml:space="preserve">Lai arī apsūdzētais </w:t>
      </w:r>
      <w:r w:rsidR="006C444F">
        <w:t>[pers. A]</w:t>
      </w:r>
      <w:r w:rsidRPr="009C7A0A">
        <w:t xml:space="preserve"> neizstrādāja tehniskā projekta detalizāciju, bet to veica </w:t>
      </w:r>
      <w:r w:rsidRPr="009C7A0A">
        <w:rPr>
          <w:bCs/>
        </w:rPr>
        <w:t>SIA „</w:t>
      </w:r>
      <w:r w:rsidR="003E74DF">
        <w:rPr>
          <w:bCs/>
        </w:rPr>
        <w:t>[Nosaukums F]</w:t>
      </w:r>
      <w:r w:rsidRPr="009C7A0A">
        <w:rPr>
          <w:bCs/>
        </w:rPr>
        <w:t>”,</w:t>
      </w:r>
      <w:r w:rsidRPr="009C7A0A">
        <w:t xml:space="preserve"> apelācijas instances tiesa norādījusi, ka atbilstoši Vispārīgo būvnoteikumu 79. punkta prasībām, ja detalizētie rasējumi izstrādāti būvdarbu gaitā, tie saskaņojami ar būvprojekta autoru. Pienākums saskaņot izmaiņas būvprojektā ar tā autoru izriet arī no Būvniecības likuma 26. panta otrās daļas.</w:t>
      </w:r>
    </w:p>
    <w:p w14:paraId="4375D5E9" w14:textId="75BCC290" w:rsidR="000202B2" w:rsidRPr="009C7A0A" w:rsidRDefault="000202B2" w:rsidP="009C7A0A">
      <w:pPr>
        <w:widowControl w:val="0"/>
        <w:spacing w:line="276" w:lineRule="auto"/>
        <w:ind w:firstLine="720"/>
        <w:contextualSpacing/>
        <w:jc w:val="both"/>
      </w:pPr>
      <w:r w:rsidRPr="009C7A0A">
        <w:t xml:space="preserve">Apelācijas instances tiesa atzinusi, ka </w:t>
      </w:r>
      <w:r w:rsidR="000F5657">
        <w:t>[pers. A]</w:t>
      </w:r>
      <w:r w:rsidRPr="009C7A0A">
        <w:t xml:space="preserve"> parakstīja </w:t>
      </w:r>
      <w:r w:rsidRPr="009C7A0A">
        <w:rPr>
          <w:bCs/>
        </w:rPr>
        <w:t>SIA „</w:t>
      </w:r>
      <w:r w:rsidR="000F5657">
        <w:rPr>
          <w:bCs/>
        </w:rPr>
        <w:t>[Nosaukums F]</w:t>
      </w:r>
      <w:r w:rsidRPr="009C7A0A">
        <w:rPr>
          <w:bCs/>
        </w:rPr>
        <w:t>”</w:t>
      </w:r>
      <w:r w:rsidRPr="009C7A0A">
        <w:t xml:space="preserve"> izstrādātos kopņu detalizācijas rasējumus, tādējādi piekrītot izstrādātajai kopņu detalizācijai un akceptējot konstrukciju izgatavošanu un montāžu atbilstoši detalizācijai.</w:t>
      </w:r>
    </w:p>
    <w:p w14:paraId="1A9C1B72" w14:textId="7E732EAC" w:rsidR="000202B2" w:rsidRPr="009C7A0A" w:rsidRDefault="000202B2" w:rsidP="009C7A0A">
      <w:pPr>
        <w:widowControl w:val="0"/>
        <w:spacing w:line="276" w:lineRule="auto"/>
        <w:ind w:firstLine="720"/>
        <w:contextualSpacing/>
        <w:jc w:val="both"/>
      </w:pPr>
      <w:r w:rsidRPr="009C7A0A">
        <w:rPr>
          <w:bCs/>
        </w:rPr>
        <w:t xml:space="preserve">Atspēkojot apsūdzētā </w:t>
      </w:r>
      <w:r w:rsidR="001B134C">
        <w:t>[pers. A]</w:t>
      </w:r>
      <w:r w:rsidRPr="009C7A0A">
        <w:rPr>
          <w:bCs/>
        </w:rPr>
        <w:t xml:space="preserve"> argumentu, ka ar viņu projekta detalizācija nav saskaņota, tiesa atbilstoši Kriminālprocesa likuma 128. panta otrās daļas prasībām vērtējusi: 1) rokraksta ekspertīzes eksperta atzinumu, no kura izriet, ka ierakstus „Saskaņoja </w:t>
      </w:r>
      <w:r w:rsidR="00AB0A92">
        <w:t>[pers. A]</w:t>
      </w:r>
      <w:r w:rsidRPr="009C7A0A">
        <w:rPr>
          <w:bCs/>
        </w:rPr>
        <w:t>” KMD stadijas SIA „</w:t>
      </w:r>
      <w:r w:rsidR="008048E3">
        <w:rPr>
          <w:bCs/>
        </w:rPr>
        <w:t>[Nosaukums F]</w:t>
      </w:r>
      <w:r w:rsidRPr="009C7A0A">
        <w:rPr>
          <w:bCs/>
        </w:rPr>
        <w:t xml:space="preserve">” būvprojekta tehniskā projekta titullapā un „Saskaņots </w:t>
      </w:r>
      <w:r w:rsidR="00AA27B3">
        <w:t>[pers. A]</w:t>
      </w:r>
      <w:r w:rsidRPr="009C7A0A">
        <w:rPr>
          <w:bCs/>
        </w:rPr>
        <w:t xml:space="preserve"> 22.08.2011” KMD stadijas SIA „</w:t>
      </w:r>
      <w:r w:rsidR="003911EE">
        <w:rPr>
          <w:bCs/>
        </w:rPr>
        <w:t>[Nosaukums F]</w:t>
      </w:r>
      <w:r w:rsidRPr="009C7A0A">
        <w:rPr>
          <w:bCs/>
        </w:rPr>
        <w:t>” būvprojekta tehniskā projekta titullapā</w:t>
      </w:r>
      <w:r w:rsidRPr="009C7A0A">
        <w:rPr>
          <w:iCs/>
        </w:rPr>
        <w:t xml:space="preserve"> ir izpildījis </w:t>
      </w:r>
      <w:r w:rsidR="009126C4">
        <w:t>[pers. A]</w:t>
      </w:r>
      <w:r w:rsidRPr="009C7A0A">
        <w:rPr>
          <w:bCs/>
        </w:rPr>
        <w:t>; 2)</w:t>
      </w:r>
      <w:r w:rsidRPr="009C7A0A">
        <w:t xml:space="preserve"> liecinieces </w:t>
      </w:r>
      <w:r w:rsidR="00632456">
        <w:t>[pers. MP]</w:t>
      </w:r>
      <w:r w:rsidRPr="009C7A0A">
        <w:t xml:space="preserve"> liecības, ka jautājumus par kopņu detalizāciju un skrūvju stiprību saskaņojusi ar </w:t>
      </w:r>
      <w:r w:rsidR="00632456">
        <w:t>[pers. A]</w:t>
      </w:r>
      <w:r w:rsidRPr="009C7A0A">
        <w:t>.</w:t>
      </w:r>
    </w:p>
    <w:p w14:paraId="71D5A90C" w14:textId="5555BEAB" w:rsidR="000202B2" w:rsidRPr="009C7A0A" w:rsidRDefault="000202B2" w:rsidP="009C7A0A">
      <w:pPr>
        <w:widowControl w:val="0"/>
        <w:spacing w:line="276" w:lineRule="auto"/>
        <w:ind w:firstLine="720"/>
        <w:contextualSpacing/>
        <w:jc w:val="both"/>
        <w:rPr>
          <w:b/>
          <w:bCs/>
        </w:rPr>
      </w:pPr>
      <w:r w:rsidRPr="009C7A0A">
        <w:t>Senāts atzīst par nepamatotu kasācijas sūdzības argumentu, ka būvniecības dalībnieku tiesības un pienākumus noteica vienīgi starp SIA „</w:t>
      </w:r>
      <w:r w:rsidR="00614200">
        <w:t>[Nosaukums B]</w:t>
      </w:r>
      <w:r w:rsidRPr="009C7A0A">
        <w:t>” un SIA „</w:t>
      </w:r>
      <w:r w:rsidR="00811580">
        <w:t>[Nosaukums A]</w:t>
      </w:r>
      <w:r w:rsidRPr="009C7A0A">
        <w:t>” noslēgtais līgums (turpmāk – līgums). Šāds apgalvojums ir pretrunā ar Būvniecības likuma 2. pantu.</w:t>
      </w:r>
      <w:r w:rsidRPr="009C7A0A">
        <w:rPr>
          <w:b/>
          <w:bCs/>
        </w:rPr>
        <w:t xml:space="preserve"> </w:t>
      </w:r>
      <w:r w:rsidRPr="009C7A0A">
        <w:t>Atbilstoši minētā panta pirmajai daļai šis likums nosaka būvniecības dalībnieku savstarpējās attiecības, kā arī viņu tiesības un pienākumus būvniecības procesā un atbildību par būvniecības rezultātā tapušās būves atbilstību tās uzdevumam [..].</w:t>
      </w:r>
      <w:r w:rsidRPr="009C7A0A">
        <w:rPr>
          <w:b/>
          <w:bCs/>
        </w:rPr>
        <w:t xml:space="preserve"> </w:t>
      </w:r>
      <w:r w:rsidRPr="009C7A0A">
        <w:t>Savukārt panta trešā daļa noteic, ka būvniecību regulē šis likums, Civillikums, citi likumi un normatīvie akti, kā arī Latvijai saistoši starptautiskie līgumi.</w:t>
      </w:r>
    </w:p>
    <w:p w14:paraId="2CC319E3" w14:textId="2F418615" w:rsidR="000202B2" w:rsidRPr="009C7A0A" w:rsidRDefault="000202B2" w:rsidP="009C7A0A">
      <w:pPr>
        <w:widowControl w:val="0"/>
        <w:spacing w:line="276" w:lineRule="auto"/>
        <w:ind w:firstLine="720"/>
        <w:contextualSpacing/>
        <w:jc w:val="both"/>
      </w:pPr>
      <w:r w:rsidRPr="009C7A0A">
        <w:lastRenderedPageBreak/>
        <w:t xml:space="preserve">Tādējādi apsūdzētajam </w:t>
      </w:r>
      <w:r w:rsidR="007F493C">
        <w:t>[pers. A]</w:t>
      </w:r>
      <w:r w:rsidRPr="009C7A0A">
        <w:t>, apņemoties veikt būvkonstrukciju daļas autora pienākumus, vienlaikus vajadzēja ievērot normatīvo tiesību aktu prasības, kas noteic viņa pienākumus būvniecības procesā.</w:t>
      </w:r>
    </w:p>
    <w:p w14:paraId="53C4DBED" w14:textId="01B78449" w:rsidR="000202B2" w:rsidRPr="009C7A0A" w:rsidRDefault="000202B2" w:rsidP="009C7A0A">
      <w:pPr>
        <w:widowControl w:val="0"/>
        <w:spacing w:line="276" w:lineRule="auto"/>
        <w:ind w:firstLine="720"/>
        <w:contextualSpacing/>
        <w:jc w:val="both"/>
      </w:pPr>
      <w:r w:rsidRPr="009C7A0A">
        <w:t xml:space="preserve">Apelācijas instances tiesa norādījusi, ka atbilstoši līguma 3.1. punktam </w:t>
      </w:r>
      <w:r w:rsidR="00B00216">
        <w:t>[pers. A]</w:t>
      </w:r>
      <w:r w:rsidRPr="009C7A0A">
        <w:t xml:space="preserve"> bija pienākums celtniecības procesā veikt būvkonstrukciju daļu autoruzraudzību saskaņā ar Latvijas būvnormatīvu LBN 304-03 „Būvdarbu autoruzraudzības noteikumi”. Minētā būvnormatīva 3. punkts noteic, ka autoruzraudzības mērķis ir nodrošināt būvprojekta autora tiesības īstenot būvprojekta autentisku realizāciju dabā, nepieļaujot būvniecības dalībnieku patvaļīgas atkāpes no akceptētā būvprojekta, kā arī saistošo normatīvo aktu un standartu pārkāpumus būvdarbu gaitā.</w:t>
      </w:r>
    </w:p>
    <w:p w14:paraId="4235F15C" w14:textId="7E62DD58" w:rsidR="000202B2" w:rsidRPr="009C7A0A" w:rsidRDefault="000202B2" w:rsidP="009C7A0A">
      <w:pPr>
        <w:widowControl w:val="0"/>
        <w:spacing w:line="276" w:lineRule="auto"/>
        <w:ind w:firstLine="720"/>
        <w:contextualSpacing/>
        <w:jc w:val="both"/>
      </w:pPr>
      <w:r w:rsidRPr="009C7A0A">
        <w:t xml:space="preserve">Tāpat tiesa norādījusi, ka no 2011. gada 28. februāra nozīmīgo konstrukciju pieņemšanas akta Nr. 9-2, kuru </w:t>
      </w:r>
      <w:r w:rsidR="00AF108B">
        <w:t>[pers. A]</w:t>
      </w:r>
      <w:r w:rsidRPr="009C7A0A">
        <w:t xml:space="preserve"> parakstījis kā </w:t>
      </w:r>
      <w:proofErr w:type="spellStart"/>
      <w:r w:rsidRPr="009C7A0A">
        <w:t>autoruzraugs</w:t>
      </w:r>
      <w:proofErr w:type="spellEnd"/>
      <w:r w:rsidRPr="009C7A0A">
        <w:t xml:space="preserve"> un apliecinājis, ka darbi veikti atbilstoši būvprojektam, būvnormatīviem un standartiem, kā arī no liecinieku </w:t>
      </w:r>
      <w:r w:rsidR="008E33D5">
        <w:t>[pers. LP</w:t>
      </w:r>
      <w:r w:rsidR="008E33D5" w:rsidRPr="005C1879">
        <w:t>]</w:t>
      </w:r>
      <w:r w:rsidRPr="005C1879">
        <w:t xml:space="preserve">, </w:t>
      </w:r>
      <w:r w:rsidR="00F82682" w:rsidRPr="005C1879">
        <w:t>[pers. LR]</w:t>
      </w:r>
      <w:r w:rsidRPr="009C7A0A">
        <w:t xml:space="preserve"> liecībām izriet, ka </w:t>
      </w:r>
      <w:r w:rsidR="008E33D5">
        <w:t xml:space="preserve">[pers. A] </w:t>
      </w:r>
      <w:r w:rsidRPr="009C7A0A">
        <w:t>līdz pat ēkas nobrukšanai veicis būvkonstrukciju autoruzraudzību.</w:t>
      </w:r>
    </w:p>
    <w:p w14:paraId="2A791D3B" w14:textId="11485BFE" w:rsidR="000202B2" w:rsidRPr="009C7A0A" w:rsidRDefault="000202B2" w:rsidP="009C7A0A">
      <w:pPr>
        <w:widowControl w:val="0"/>
        <w:spacing w:line="276" w:lineRule="auto"/>
        <w:ind w:firstLine="720"/>
        <w:contextualSpacing/>
        <w:jc w:val="both"/>
      </w:pPr>
      <w:r w:rsidRPr="009C7A0A">
        <w:t xml:space="preserve">Apelācijas instances tiesa ar pierādījumiem pamatojusi atzinumu, ka </w:t>
      </w:r>
      <w:r w:rsidR="00735FA2">
        <w:t>[pers. A]</w:t>
      </w:r>
      <w:r w:rsidRPr="009C7A0A">
        <w:t xml:space="preserve"> nepienācīgi pildīja savus pienākumus gan konstrukciju projektēšanas stadijā, gan veicot būvkonstrukciju būvniecības procesa autoruzraudzību.</w:t>
      </w:r>
    </w:p>
    <w:p w14:paraId="03632CDD" w14:textId="13CA1C71" w:rsidR="000202B2" w:rsidRPr="009C7A0A" w:rsidRDefault="000202B2" w:rsidP="009C7A0A">
      <w:pPr>
        <w:widowControl w:val="0"/>
        <w:spacing w:line="276" w:lineRule="auto"/>
        <w:ind w:firstLine="720"/>
        <w:contextualSpacing/>
        <w:jc w:val="both"/>
      </w:pPr>
      <w:r w:rsidRPr="009C7A0A">
        <w:t xml:space="preserve">Tiesa norādījusi, ka kompleksās būvniecības ekspertīzes ekspertu atzinumā secināts, ka jumta nogruvums saistīts ar būtisku kļūdu tērauda kopņu MK-1 konstruktīvajā risinājumā. Tāpat vairākkārtēji mainot slodzes uz pārseguma paneļiem un mainot kopņu apakšējā savienojuma mezgla risinājumu, proti, </w:t>
      </w:r>
      <w:proofErr w:type="spellStart"/>
      <w:r w:rsidRPr="009C7A0A">
        <w:t>fasonlapu</w:t>
      </w:r>
      <w:proofErr w:type="spellEnd"/>
      <w:r w:rsidRPr="009C7A0A">
        <w:t xml:space="preserve"> izmērus, skrūvju atrašanās vietas, bija nepieciešams veikt atkārtotu šī mezgla konstruktīvo pārrēķinu. Liecinieks </w:t>
      </w:r>
      <w:r w:rsidR="002D3F09">
        <w:t>[pers. LP]</w:t>
      </w:r>
      <w:r w:rsidRPr="009C7A0A">
        <w:t xml:space="preserve"> liecināja, ka lūdzis </w:t>
      </w:r>
      <w:r w:rsidR="00B06CFF">
        <w:t>[pers. A]</w:t>
      </w:r>
      <w:r w:rsidRPr="009C7A0A">
        <w:t xml:space="preserve"> veikt būvkonstrukcijas nestspējas pārrēķinu saistībā ar labiekārtošanas darbu uzsākšanu un novērotiem izvirzījumiem konsolēs, bet no </w:t>
      </w:r>
      <w:r w:rsidR="00637DBD">
        <w:t>[pers. A]</w:t>
      </w:r>
      <w:r w:rsidRPr="009C7A0A">
        <w:t xml:space="preserve"> un viņa </w:t>
      </w:r>
      <w:r w:rsidRPr="005C1879">
        <w:t xml:space="preserve">pārstāvja </w:t>
      </w:r>
      <w:r w:rsidR="00F82682" w:rsidRPr="005C1879">
        <w:t xml:space="preserve">[pers. LR] </w:t>
      </w:r>
      <w:r w:rsidRPr="005C1879">
        <w:t xml:space="preserve">saņēmis atbildi, ka slodžu pārbaude veikta un kopņu nestspēja projektēta ar lielu slodzes rezervi. Savukārt liecinieks </w:t>
      </w:r>
      <w:r w:rsidR="00F82682" w:rsidRPr="005C1879">
        <w:t xml:space="preserve">[pers. LR] </w:t>
      </w:r>
      <w:r w:rsidRPr="005C1879">
        <w:t>liecināja, ka, pārbaudot slodzi virs jumta, noskaidrojis, ka pārslodze ir 25 kg uz 1 m</w:t>
      </w:r>
      <w:r w:rsidRPr="005C1879">
        <w:rPr>
          <w:vertAlign w:val="superscript"/>
        </w:rPr>
        <w:t>2</w:t>
      </w:r>
      <w:r w:rsidRPr="005C1879">
        <w:t xml:space="preserve">. Šo informāciju nodevis </w:t>
      </w:r>
      <w:r w:rsidR="00B74A84" w:rsidRPr="005C1879">
        <w:t>[pers. A]</w:t>
      </w:r>
      <w:r w:rsidRPr="005C1879">
        <w:t>, kurš norādījis</w:t>
      </w:r>
      <w:r w:rsidRPr="009C7A0A">
        <w:t>, ka šāda slodze ir pieļaujama.</w:t>
      </w:r>
    </w:p>
    <w:p w14:paraId="0EBCD841" w14:textId="77777777" w:rsidR="000202B2" w:rsidRPr="009C7A0A" w:rsidRDefault="000202B2" w:rsidP="009C7A0A">
      <w:pPr>
        <w:widowControl w:val="0"/>
        <w:spacing w:line="276" w:lineRule="auto"/>
        <w:ind w:firstLine="720"/>
        <w:contextualSpacing/>
        <w:jc w:val="both"/>
      </w:pPr>
      <w:r w:rsidRPr="009C7A0A">
        <w:t>Senātam nav pamata apšaubīt apelācijas instances tiesas secinājumus šajā daļā, kas veikts atbilstoši Kriminālprocesa likuma 128. panta otrās daļas prasībām.</w:t>
      </w:r>
    </w:p>
    <w:p w14:paraId="7DC0F167" w14:textId="41F50DC9" w:rsidR="000202B2" w:rsidRPr="009C7A0A" w:rsidRDefault="000202B2" w:rsidP="009C7A0A">
      <w:pPr>
        <w:widowControl w:val="0"/>
        <w:spacing w:line="276" w:lineRule="auto"/>
        <w:ind w:firstLine="720"/>
        <w:contextualSpacing/>
        <w:jc w:val="both"/>
      </w:pPr>
      <w:r w:rsidRPr="009C7A0A">
        <w:t>Apelācijas instances tiesa spriedumā nav izvērtējusi citu būvniecības dalībnieku nodarījumu ietekmi un jumta konstrukciju nogruvumu, jo nepamatoti atzina par jumta nobrukuma cēloni tikai kļūdas kopnes projektēšanā. Senāts norāda, ka apelācijas instances tiesai, atkārtoti izskatot lietu, jāievēro lēmuma 1</w:t>
      </w:r>
      <w:r w:rsidR="008436B2" w:rsidRPr="009C7A0A">
        <w:t>5</w:t>
      </w:r>
      <w:r w:rsidRPr="009C7A0A">
        <w:t>. punktā norādītie argumenti, kuri izklāstīti, sniedzot atbildi, vai citu būvniecības dalībnieku nodarījumi ir radījuši jaunu cēloņsakarības ķēdi.</w:t>
      </w:r>
    </w:p>
    <w:p w14:paraId="6DF9FAAB" w14:textId="07DA472F" w:rsidR="000202B2" w:rsidRPr="009C7A0A" w:rsidRDefault="000202B2" w:rsidP="009C7A0A">
      <w:pPr>
        <w:widowControl w:val="0"/>
        <w:spacing w:line="276" w:lineRule="auto"/>
        <w:ind w:firstLine="720"/>
        <w:contextualSpacing/>
        <w:jc w:val="both"/>
      </w:pPr>
      <w:r w:rsidRPr="009C7A0A">
        <w:t>[2</w:t>
      </w:r>
      <w:r w:rsidR="008418B4" w:rsidRPr="009C7A0A">
        <w:t>3</w:t>
      </w:r>
      <w:r w:rsidRPr="009C7A0A">
        <w:t xml:space="preserve">.3] Nav pamatots apsūdzētā </w:t>
      </w:r>
      <w:r w:rsidR="00A12718">
        <w:t>[pers. A]</w:t>
      </w:r>
      <w:r w:rsidRPr="009C7A0A">
        <w:t xml:space="preserve"> un viņa aizstāvja kasācijas sūdzību arguments, ka apelācijas instances tiesa ir nepareizi noteikusi noziedzīgo nodarījumu izdarīšanas laiku, jo tirdzniecības centra sabrukušo konstrukciju projektēšana un izbūve veikta laika posmā no 2009. līdz 2011. gadam.</w:t>
      </w:r>
    </w:p>
    <w:p w14:paraId="2A1274DF" w14:textId="77777777" w:rsidR="000202B2" w:rsidRPr="009C7A0A" w:rsidRDefault="000202B2" w:rsidP="009C7A0A">
      <w:pPr>
        <w:widowControl w:val="0"/>
        <w:spacing w:line="276" w:lineRule="auto"/>
        <w:ind w:firstLine="720"/>
        <w:contextualSpacing/>
        <w:jc w:val="both"/>
      </w:pPr>
      <w:r w:rsidRPr="009C7A0A">
        <w:t>Likuma „Par Krimināllikuma spēkā stāšanās un piemērošanas kārtību” 19. pantā norādīts, ka personas, kuras izdarījušas Krimināllikumā paredzētus atsevišķus noziedzīgus nodarījumus (arī turpinātus un ilgstošus noziedzīgus nodarījumus), kas uzsākti līdz Krimināllikuma spēkā stāšanās brīdim, bet pabeigti vai pārtraukti pēc tā, saucamas pie kriminālatbildības un sodāmas saskaņā ar Krimināllikuma attiecīgo pantu.</w:t>
      </w:r>
    </w:p>
    <w:p w14:paraId="211A6781" w14:textId="2DC5DA31" w:rsidR="000202B2" w:rsidRPr="009C7A0A" w:rsidRDefault="000202B2" w:rsidP="009C7A0A">
      <w:pPr>
        <w:widowControl w:val="0"/>
        <w:spacing w:line="276" w:lineRule="auto"/>
        <w:ind w:firstLine="720"/>
        <w:contextualSpacing/>
        <w:jc w:val="both"/>
      </w:pPr>
      <w:r w:rsidRPr="009C7A0A">
        <w:lastRenderedPageBreak/>
        <w:t xml:space="preserve">No apelācijas instances tiesas spriedumā sniegtā pierādīto noziedzīgo nodarījumu apraksta izriet, ka </w:t>
      </w:r>
      <w:r w:rsidR="005D1515">
        <w:t>[pers. A]</w:t>
      </w:r>
      <w:r w:rsidRPr="009C7A0A">
        <w:t xml:space="preserve"> no 2009. gada 6. augusta līdz 2013. gada 21. novembrim kā būvkonstrukciju daļas vadītājs (autors) un būvkonstrukciju daļas </w:t>
      </w:r>
      <w:proofErr w:type="spellStart"/>
      <w:r w:rsidRPr="009C7A0A">
        <w:t>autoruzraugs</w:t>
      </w:r>
      <w:proofErr w:type="spellEnd"/>
      <w:r w:rsidRPr="009C7A0A">
        <w:t xml:space="preserve"> nevērīgi pildīja savus pienākumus. </w:t>
      </w:r>
      <w:r w:rsidR="005D1515">
        <w:t>[Pers. A]</w:t>
      </w:r>
      <w:r w:rsidRPr="009C7A0A">
        <w:t xml:space="preserve"> 2013. gada 5. novembrī, saņemot no atbildīgā darbu vadītāja lūgumu pārbaudīt kopnes nestspēju sakarā ar labiekārtošanās darbu uzsākšanu, līdz jumta nogruvumam atkārtotus kopnes aprēķinus neveica.</w:t>
      </w:r>
    </w:p>
    <w:p w14:paraId="0D018733" w14:textId="3F807153" w:rsidR="000202B2" w:rsidRPr="009C7A0A" w:rsidRDefault="000202B2" w:rsidP="009C7A0A">
      <w:pPr>
        <w:widowControl w:val="0"/>
        <w:spacing w:line="276" w:lineRule="auto"/>
        <w:ind w:firstLine="720"/>
        <w:contextualSpacing/>
        <w:jc w:val="both"/>
      </w:pPr>
      <w:r w:rsidRPr="009C7A0A">
        <w:t xml:space="preserve">Tādējādi piemērojama tā Krimināllikuma panta redakcija, kas bija spēkā brīdī, kad apsūdzētais </w:t>
      </w:r>
      <w:r w:rsidR="00D171D4">
        <w:t>[pers. A]</w:t>
      </w:r>
      <w:r w:rsidRPr="009C7A0A">
        <w:t xml:space="preserve">, nepārliecinājies par izprojektētās un uzstādītās kopnes drošumu, pieļāva pēdējo bezdarbību, tas ir, piemērojama Krimināllikuma 239. panta otrā daļa </w:t>
      </w:r>
      <w:r w:rsidRPr="009C7A0A">
        <w:rPr>
          <w:iCs/>
        </w:rPr>
        <w:t>likuma redakcijā no 2013. gada 1. aprīļa līdz 2014. gada 28. oktobrim</w:t>
      </w:r>
      <w:r w:rsidRPr="009C7A0A">
        <w:t>.</w:t>
      </w:r>
    </w:p>
    <w:p w14:paraId="0EAC6002" w14:textId="515EF00E" w:rsidR="000202B2" w:rsidRPr="009C7A0A" w:rsidRDefault="000202B2" w:rsidP="009C7A0A">
      <w:pPr>
        <w:widowControl w:val="0"/>
        <w:spacing w:line="276" w:lineRule="auto"/>
        <w:ind w:firstLine="720"/>
        <w:contextualSpacing/>
        <w:jc w:val="both"/>
      </w:pPr>
      <w:r w:rsidRPr="009C7A0A">
        <w:t xml:space="preserve">Apelācijas instances tiesa motivēti noraidījusi aizstāvības argumentus par to, ka </w:t>
      </w:r>
      <w:r w:rsidR="00716F73">
        <w:t>[pers. A]</w:t>
      </w:r>
      <w:r w:rsidRPr="009C7A0A">
        <w:t xml:space="preserve"> nodarījums neveido noziedzīgu nodarījumu ideālo kopību, norādot, ka Krimināllikuma 239. pants ir plašāka satura norma salīdzinājumā ar Krimināllikuma 123. pantu, kas paredz atbildību tikai par kaitīgajām sekām – personas nonāvēšana aiz neuzmanības, bet Krimināllikuma 239. panta objektīvā puse ietver arī darbību vai bezdarbību, ar kuru pārkāpti būvniecības noteikumi, un aptver vairāku interešu apdraudējumu.</w:t>
      </w:r>
    </w:p>
    <w:p w14:paraId="05EBF436" w14:textId="77777777" w:rsidR="000202B2" w:rsidRPr="009C7A0A" w:rsidRDefault="000202B2" w:rsidP="009C7A0A">
      <w:pPr>
        <w:widowControl w:val="0"/>
        <w:spacing w:line="276" w:lineRule="auto"/>
        <w:ind w:firstLine="720"/>
        <w:contextualSpacing/>
        <w:jc w:val="both"/>
      </w:pPr>
      <w:r w:rsidRPr="009C7A0A">
        <w:t>Turklāt Krimināllikuma 239. panta pirmā daļa (</w:t>
      </w:r>
      <w:r w:rsidRPr="009C7A0A">
        <w:rPr>
          <w:iCs/>
        </w:rPr>
        <w:t>likuma redakcijā no 2013. gada 1. aprīļa līdz 2014. gada 28. oktobrim</w:t>
      </w:r>
      <w:r w:rsidRPr="009C7A0A">
        <w:t>) paredzēja kriminālatbildību par celtņu, tiltu, ceļu pārvadu un citu būvju celtniecības normu pārkāpšanu, ja tā rezultātā sabrukusi būve vai tās daļa, bet panta otrā daļa paredzēja kriminālatbildību par tādām pašām darbībām, ja tās izraisījušas smagas sekas.</w:t>
      </w:r>
    </w:p>
    <w:p w14:paraId="48047A08" w14:textId="77777777" w:rsidR="000202B2" w:rsidRPr="009C7A0A" w:rsidRDefault="000202B2" w:rsidP="009C7A0A">
      <w:pPr>
        <w:widowControl w:val="0"/>
        <w:spacing w:line="276" w:lineRule="auto"/>
        <w:ind w:firstLine="720"/>
        <w:contextualSpacing/>
        <w:jc w:val="both"/>
      </w:pPr>
      <w:r w:rsidRPr="009C7A0A">
        <w:t>Atbilstoši likuma „Par Krimināllikuma spēkā stāšanās un piemērošanas kārtību” 24. pantā noteiktajam par smagām sekām cita starpā atzīstama cilvēka nāve, līdz ar to Krimināllikuma 239. panta otrajā daļā norādītās smagās sekas aptvēra tikai viena cilvēka nāvi.</w:t>
      </w:r>
    </w:p>
    <w:p w14:paraId="6ECA6A82" w14:textId="77777777" w:rsidR="000202B2" w:rsidRPr="009C7A0A" w:rsidRDefault="000202B2" w:rsidP="009C7A0A">
      <w:pPr>
        <w:widowControl w:val="0"/>
        <w:spacing w:line="276" w:lineRule="auto"/>
        <w:ind w:firstLine="720"/>
        <w:contextualSpacing/>
        <w:jc w:val="both"/>
      </w:pPr>
      <w:r w:rsidRPr="009C7A0A">
        <w:t>2014. gada 25. septembrī izdarīti grozījumi Krimināllikumā, ar kuriem papildinātas vairākas krimināltiesību normas, paredzot salikta sastāva noziedzīgos nodarījumos kvalificējošu apstākli – divu vai vairāku cilvēku nāve –, tai skaitā papildinot Krimināllikuma 239. pantu ar ceturto daļu.</w:t>
      </w:r>
    </w:p>
    <w:p w14:paraId="6664E2C1" w14:textId="77777777" w:rsidR="000202B2" w:rsidRPr="009C7A0A" w:rsidRDefault="000202B2" w:rsidP="009C7A0A">
      <w:pPr>
        <w:widowControl w:val="0"/>
        <w:spacing w:line="276" w:lineRule="auto"/>
        <w:ind w:firstLine="720"/>
        <w:contextualSpacing/>
        <w:jc w:val="both"/>
      </w:pPr>
      <w:r w:rsidRPr="009C7A0A">
        <w:t>Ievērojot minēto, Senāts atzīst, ka līdz minētajiem grozījumiem Krimināllikuma 239. pantā norādītās smagās sekas neaptvēra vairāku personu nāvi. Tādējādi piemērojot Krimināllikuma normas, ir ņemams vēra no krimināltiesību taisnīguma pamatprincipa izrietošs noteikums – ja kaut viena šaurākā satura noziedzīga nodarījuma sastāva pazīme neiekļaujas plašāka sastāva pazīmju skaitā, tad veidojas noziedzīgu nodarījumu ideālā kopība.</w:t>
      </w:r>
    </w:p>
    <w:p w14:paraId="475BE4BF" w14:textId="77777777" w:rsidR="000202B2" w:rsidRPr="009C7A0A" w:rsidRDefault="000202B2" w:rsidP="009C7A0A">
      <w:pPr>
        <w:widowControl w:val="0"/>
        <w:spacing w:line="276" w:lineRule="auto"/>
        <w:ind w:firstLine="720"/>
        <w:contextualSpacing/>
        <w:jc w:val="both"/>
      </w:pPr>
      <w:r w:rsidRPr="009C7A0A">
        <w:t>Turklāt, izvērtējusi norādīto Krimināllikuma pantu daļu sankcijas, apelācijas instances tiesa konstatējusi, ka noziedzīga nodarījuma izdarīšanas brīdī Krimināllikuma 239. panta otrās daļas sankcijā paredzētā soda maksimālā robeža bija brīvības atņemšana uz laiku līdz četriem gadiem, bet Krimināllikuma 123. panta otrās daļas sankcijā – brīvības atņemšana uz laiku līdz pieciem gadiem.</w:t>
      </w:r>
    </w:p>
    <w:p w14:paraId="2B635D0A" w14:textId="77777777" w:rsidR="000202B2" w:rsidRPr="009C7A0A" w:rsidRDefault="000202B2" w:rsidP="009C7A0A">
      <w:pPr>
        <w:widowControl w:val="0"/>
        <w:spacing w:line="276" w:lineRule="auto"/>
        <w:ind w:firstLine="720"/>
        <w:contextualSpacing/>
        <w:jc w:val="both"/>
      </w:pPr>
      <w:r w:rsidRPr="009C7A0A">
        <w:t>Tādējādi apelācijas instances tiesa atzinusi, ka Krimināllikuma 123. panta otrajā daļā (tas ir, ir šaurāka satura normā) ir bargāka sankcija salīdzinājumā ar Krimināllikuma 239. panta otrajā daļā paredzēto (tas ir, plašāka satura normu).</w:t>
      </w:r>
    </w:p>
    <w:p w14:paraId="1DF50075" w14:textId="77777777" w:rsidR="000202B2" w:rsidRPr="009C7A0A" w:rsidRDefault="000202B2" w:rsidP="009C7A0A">
      <w:pPr>
        <w:widowControl w:val="0"/>
        <w:spacing w:line="276" w:lineRule="auto"/>
        <w:ind w:firstLine="720"/>
        <w:contextualSpacing/>
        <w:jc w:val="both"/>
      </w:pPr>
      <w:r w:rsidRPr="009C7A0A">
        <w:t xml:space="preserve">Apelācijas instances tiesa pievienojās krimināltiesību teorijā paustajam viedoklim, ka tajos gadījumos, kad šaurāka satura normas sankcija ir bargāka </w:t>
      </w:r>
      <w:r w:rsidRPr="009C7A0A">
        <w:lastRenderedPageBreak/>
        <w:t>salīdzinājumā ar plašāka satura normas sankciju, veidojas noziedzīgu nodarījumu ideālā kopība (sk. </w:t>
      </w:r>
      <w:r w:rsidRPr="009C7A0A">
        <w:rPr>
          <w:i/>
        </w:rPr>
        <w:t>Krastiņš U. Normu konkurence un</w:t>
      </w:r>
      <w:r w:rsidRPr="009C7A0A">
        <w:t xml:space="preserve"> </w:t>
      </w:r>
      <w:r w:rsidRPr="009C7A0A">
        <w:rPr>
          <w:i/>
        </w:rPr>
        <w:t>noziedzīgu nodarījumu ideālā kopība.</w:t>
      </w:r>
      <w:r w:rsidRPr="009C7A0A">
        <w:t xml:space="preserve"> </w:t>
      </w:r>
      <w:r w:rsidRPr="009C7A0A">
        <w:rPr>
          <w:i/>
        </w:rPr>
        <w:t>Tiesību efektivitāte postmodernā sabiedrībā</w:t>
      </w:r>
      <w:r w:rsidRPr="009C7A0A">
        <w:t xml:space="preserve">. </w:t>
      </w:r>
      <w:r w:rsidRPr="009C7A0A">
        <w:rPr>
          <w:i/>
        </w:rPr>
        <w:t>Latvijas Universitātes 73. zinātniskās konferences rakstu krājums. Rīga: LU Akadēmiskais apgāds, 2015, 183. lpp.</w:t>
      </w:r>
      <w:r w:rsidRPr="009C7A0A">
        <w:t>).</w:t>
      </w:r>
    </w:p>
    <w:p w14:paraId="5B1F4857" w14:textId="77777777" w:rsidR="000202B2" w:rsidRPr="009C7A0A" w:rsidRDefault="000202B2" w:rsidP="009C7A0A">
      <w:pPr>
        <w:widowControl w:val="0"/>
        <w:spacing w:line="276" w:lineRule="auto"/>
        <w:ind w:firstLine="720"/>
        <w:contextualSpacing/>
        <w:jc w:val="both"/>
      </w:pPr>
    </w:p>
    <w:p w14:paraId="5A272884" w14:textId="3864580A" w:rsidR="000202B2" w:rsidRPr="009C7A0A" w:rsidRDefault="000202B2" w:rsidP="009C7A0A">
      <w:pPr>
        <w:widowControl w:val="0"/>
        <w:spacing w:line="276" w:lineRule="auto"/>
        <w:ind w:firstLine="720"/>
        <w:contextualSpacing/>
        <w:jc w:val="both"/>
      </w:pPr>
      <w:r w:rsidRPr="009C7A0A">
        <w:t>[2</w:t>
      </w:r>
      <w:r w:rsidR="008418B4" w:rsidRPr="009C7A0A">
        <w:t>4</w:t>
      </w:r>
      <w:r w:rsidRPr="009C7A0A">
        <w:t xml:space="preserve">] Mirušās apsūdzētās </w:t>
      </w:r>
      <w:r w:rsidR="003A045F">
        <w:t>[pers. B</w:t>
      </w:r>
      <w:r w:rsidR="00990790">
        <w:t>H</w:t>
      </w:r>
      <w:r w:rsidR="003A045F">
        <w:t>]</w:t>
      </w:r>
      <w:r w:rsidRPr="009C7A0A">
        <w:t xml:space="preserve"> aizstāve I. Timermane kasācijas sūdzībā norādījusi, ka tiesa atstājusi bez ievērības pieteikumu par mirušās apsūdzētās </w:t>
      </w:r>
      <w:r w:rsidR="00990790">
        <w:t>[pers. BH]</w:t>
      </w:r>
      <w:r w:rsidRPr="009C7A0A">
        <w:t xml:space="preserve"> reabilitāciju un spriedumā nav paudusi atzinumu par </w:t>
      </w:r>
      <w:r w:rsidR="00990790">
        <w:t>[pers. BH]</w:t>
      </w:r>
      <w:r w:rsidRPr="009C7A0A">
        <w:t xml:space="preserve"> atzīšanu par nevainīgu pret viņu celtajā apsūdzībā pēc Krimināllikuma 319. panta trešās daļas.</w:t>
      </w:r>
    </w:p>
    <w:p w14:paraId="2B4A33E9" w14:textId="3B715AC5" w:rsidR="000202B2" w:rsidRPr="009C7A0A" w:rsidRDefault="000202B2" w:rsidP="009C7A0A">
      <w:pPr>
        <w:widowControl w:val="0"/>
        <w:spacing w:line="276" w:lineRule="auto"/>
        <w:ind w:firstLine="720"/>
        <w:contextualSpacing/>
        <w:jc w:val="both"/>
      </w:pPr>
      <w:r w:rsidRPr="009C7A0A">
        <w:t xml:space="preserve">Senāts atzīst, ka mirušās apsūdzētās </w:t>
      </w:r>
      <w:r w:rsidR="00990790">
        <w:t>[pers. BH]</w:t>
      </w:r>
      <w:r w:rsidRPr="009C7A0A">
        <w:t xml:space="preserve"> aizstāves I. Timermanes kasācijas sūdzība ir noraidāma, bet apelācijas instances tiesas spriedums daļā par apelācijas tiesvedības izbeigšanu atstājams negrozīts.</w:t>
      </w:r>
    </w:p>
    <w:p w14:paraId="58B630F5" w14:textId="09839874" w:rsidR="000202B2" w:rsidRPr="009C7A0A" w:rsidRDefault="000202B2" w:rsidP="009C7A0A">
      <w:pPr>
        <w:widowControl w:val="0"/>
        <w:spacing w:line="276" w:lineRule="auto"/>
        <w:ind w:firstLine="720"/>
        <w:contextualSpacing/>
        <w:jc w:val="both"/>
      </w:pPr>
      <w:r w:rsidRPr="009C7A0A">
        <w:t xml:space="preserve">Apelācijas instances tiesa konstatēja, ka ar Rīgas pilsētas Pārdaugavas tiesas 2020. gada 18. februāra spriedumu apsūdzētā </w:t>
      </w:r>
      <w:r w:rsidR="00FB3DD9">
        <w:t>[pers. BH]</w:t>
      </w:r>
      <w:r w:rsidRPr="009C7A0A">
        <w:t xml:space="preserve"> atzīta par nevainīgu pret viņu celtajā apsūdzībā pēc Krimināllikuma 319. panta trešās daļas un attaisnota.</w:t>
      </w:r>
    </w:p>
    <w:p w14:paraId="60811380" w14:textId="2FA1A472" w:rsidR="000202B2" w:rsidRPr="009C7A0A" w:rsidRDefault="000202B2" w:rsidP="009C7A0A">
      <w:pPr>
        <w:widowControl w:val="0"/>
        <w:spacing w:line="276" w:lineRule="auto"/>
        <w:ind w:firstLine="720"/>
        <w:contextualSpacing/>
        <w:jc w:val="both"/>
      </w:pPr>
      <w:r w:rsidRPr="009C7A0A">
        <w:t xml:space="preserve">Par minēto pirmās instances tiesas spriedumu prokurors iesniedza apelācijas protestu un cietušie (norādīti apelācijas instances tiesas sprieduma 5., 6., 7., 10., 12. un 13. punktā) – apelācijas sūdzības, lūdzot atcelt pirmās instances tiesas spriedumu šajā daļā un atzīt </w:t>
      </w:r>
      <w:r w:rsidR="0042441D">
        <w:t>[pers. BH]</w:t>
      </w:r>
      <w:r w:rsidRPr="009C7A0A">
        <w:t xml:space="preserve"> par vainīgu Krimināllikuma 319. panta trešajā daļā paredzētajā noziedzīgajā nodarījumā.</w:t>
      </w:r>
    </w:p>
    <w:p w14:paraId="52D5EFF0" w14:textId="755BC241" w:rsidR="000202B2" w:rsidRPr="009C7A0A" w:rsidRDefault="000202B2" w:rsidP="009C7A0A">
      <w:pPr>
        <w:widowControl w:val="0"/>
        <w:spacing w:line="276" w:lineRule="auto"/>
        <w:ind w:firstLine="720"/>
        <w:contextualSpacing/>
        <w:jc w:val="both"/>
      </w:pPr>
      <w:r w:rsidRPr="009C7A0A">
        <w:t xml:space="preserve">Atbilstoši Vienotās migrācijas informācijas sistēmas datiem </w:t>
      </w:r>
      <w:r w:rsidR="00B236F0">
        <w:t>[pers. BH]</w:t>
      </w:r>
      <w:r w:rsidRPr="009C7A0A">
        <w:t xml:space="preserve"> mirusi 2021. gada </w:t>
      </w:r>
      <w:r w:rsidR="004F6DDF">
        <w:t>[datums]</w:t>
      </w:r>
      <w:r w:rsidRPr="009C7A0A">
        <w:t>.</w:t>
      </w:r>
    </w:p>
    <w:p w14:paraId="7462AD3D" w14:textId="3CD76CE2" w:rsidR="000202B2" w:rsidRPr="009C7A0A" w:rsidRDefault="000202B2" w:rsidP="009C7A0A">
      <w:pPr>
        <w:widowControl w:val="0"/>
        <w:spacing w:line="276" w:lineRule="auto"/>
        <w:ind w:firstLine="720"/>
        <w:contextualSpacing/>
        <w:jc w:val="both"/>
      </w:pPr>
      <w:r w:rsidRPr="009C7A0A">
        <w:t xml:space="preserve">Mirušās apsūdzētās </w:t>
      </w:r>
      <w:r w:rsidR="00105376">
        <w:t>[pers. BH]</w:t>
      </w:r>
      <w:r w:rsidRPr="009C7A0A">
        <w:t xml:space="preserve"> aizstāve I. Timermane iesniedza pieteikumu par mirušās apsūdzētās </w:t>
      </w:r>
      <w:r w:rsidR="00105376">
        <w:t>[pers. BH]</w:t>
      </w:r>
      <w:r w:rsidRPr="009C7A0A">
        <w:t xml:space="preserve"> reabilitāciju.</w:t>
      </w:r>
    </w:p>
    <w:p w14:paraId="089D0250" w14:textId="32367CC2" w:rsidR="000202B2" w:rsidRPr="009C7A0A" w:rsidRDefault="000202B2" w:rsidP="009C7A0A">
      <w:pPr>
        <w:widowControl w:val="0"/>
        <w:spacing w:line="276" w:lineRule="auto"/>
        <w:ind w:firstLine="720"/>
        <w:contextualSpacing/>
        <w:jc w:val="both"/>
      </w:pPr>
      <w:r w:rsidRPr="009C7A0A">
        <w:t xml:space="preserve">Apelācijas instances tiesa atzinusi, ka apelācijas tiesvedība sakarā ar iesniegto apelācijas protestu un cietušo apelācijas sūdzībām ir izbeidzama un nav lemjams jautājums par </w:t>
      </w:r>
      <w:r w:rsidR="008D7CC5">
        <w:t>[pers. BH]</w:t>
      </w:r>
      <w:r w:rsidRPr="009C7A0A">
        <w:t xml:space="preserve"> reabilitāciju šādu apstākļu dēļ.</w:t>
      </w:r>
    </w:p>
    <w:p w14:paraId="0A6E6200" w14:textId="2E9314DA" w:rsidR="000202B2" w:rsidRPr="009C7A0A" w:rsidRDefault="000202B2" w:rsidP="009C7A0A">
      <w:pPr>
        <w:widowControl w:val="0"/>
        <w:spacing w:line="276" w:lineRule="auto"/>
        <w:ind w:firstLine="720"/>
        <w:contextualSpacing/>
        <w:jc w:val="both"/>
      </w:pPr>
      <w:r w:rsidRPr="009C7A0A">
        <w:t>Judikatūrā jau ir atzīts, ka gadījumā, ja apsūdzētais miris pēc attaisnojoša apelācijas instances tiesas sprieduma pasludināšanas, lietas izskatīšanas turpināšanai pret mirušo apsūdzēto kasācijas instances tiesā nav tiesiska pamata un kasācijas tiesvedība lietā ir izbeidzama (sk. </w:t>
      </w:r>
      <w:r w:rsidRPr="009C7A0A">
        <w:rPr>
          <w:i/>
        </w:rPr>
        <w:t>Senāta 2021. gada 14. decembra lēmuma lietā Nr. SKK</w:t>
      </w:r>
      <w:r w:rsidRPr="009C7A0A">
        <w:noBreakHyphen/>
      </w:r>
      <w:r w:rsidRPr="009C7A0A">
        <w:rPr>
          <w:i/>
        </w:rPr>
        <w:t xml:space="preserve">112/2021, </w:t>
      </w:r>
      <w:hyperlink r:id="rId28" w:history="1">
        <w:r w:rsidRPr="00D033BD">
          <w:rPr>
            <w:rStyle w:val="Hyperlink"/>
            <w:bCs/>
            <w:i/>
          </w:rPr>
          <w:t>ECLI:LV:AT:2021:1214.11200010214.8.L</w:t>
        </w:r>
      </w:hyperlink>
      <w:r w:rsidRPr="009C7A0A">
        <w:rPr>
          <w:bCs/>
          <w:i/>
        </w:rPr>
        <w:t>, 7. punktu</w:t>
      </w:r>
      <w:r w:rsidRPr="009C7A0A">
        <w:rPr>
          <w:iCs/>
        </w:rPr>
        <w:t>).</w:t>
      </w:r>
    </w:p>
    <w:p w14:paraId="47B2508C" w14:textId="77777777" w:rsidR="000202B2" w:rsidRPr="009C7A0A" w:rsidRDefault="000202B2" w:rsidP="009C7A0A">
      <w:pPr>
        <w:widowControl w:val="0"/>
        <w:spacing w:line="276" w:lineRule="auto"/>
        <w:ind w:firstLine="720"/>
        <w:contextualSpacing/>
        <w:jc w:val="both"/>
      </w:pPr>
      <w:r w:rsidRPr="009C7A0A">
        <w:t>Senāts norāda, ka minētā atziņa ir attiecināma arī uz lietas izskatīšanu apelācijas instances tiesā gadījumā, ja apsūdzētā ir mirusi pēc attaisnojoša pirmās instances tiesas sprieduma pasludināšanas. Tāpēc nav tiesiska pamata izskatīt prokurora apelācijas protestu un cietušo apelācijas sūdzības šajā daļā.</w:t>
      </w:r>
    </w:p>
    <w:p w14:paraId="1EC8EDB1" w14:textId="77777777" w:rsidR="000202B2" w:rsidRPr="009C7A0A" w:rsidRDefault="000202B2" w:rsidP="009C7A0A">
      <w:pPr>
        <w:widowControl w:val="0"/>
        <w:spacing w:line="276" w:lineRule="auto"/>
        <w:ind w:firstLine="720"/>
        <w:contextualSpacing/>
        <w:jc w:val="both"/>
      </w:pPr>
      <w:r w:rsidRPr="009C7A0A">
        <w:t>Senāts vērš uzmanību, ka persona tiek reabilitēta gadījumā, ja tā tiek atzīta par nevainīgu pret viņu celtajā apsūdzībā. Savukārt personu nereabilitējošie gadījumi ir norādīti Kriminālprocesa likuma 380. pantā.</w:t>
      </w:r>
    </w:p>
    <w:p w14:paraId="1D53692F" w14:textId="74C2C935" w:rsidR="000202B2" w:rsidRPr="009C7A0A" w:rsidRDefault="000202B2" w:rsidP="009C7A0A">
      <w:pPr>
        <w:widowControl w:val="0"/>
        <w:spacing w:line="276" w:lineRule="auto"/>
        <w:ind w:firstLine="720"/>
        <w:contextualSpacing/>
        <w:jc w:val="both"/>
      </w:pPr>
      <w:r w:rsidRPr="009C7A0A">
        <w:t xml:space="preserve">Ievērojot minēto, apelācijas instances tiesai nebija pamata lemt jautājumu par apsūdzētās </w:t>
      </w:r>
      <w:r w:rsidR="00D037C3">
        <w:t>[pers. BH]</w:t>
      </w:r>
      <w:r w:rsidRPr="009C7A0A">
        <w:t xml:space="preserve"> reabilitāciju.</w:t>
      </w:r>
    </w:p>
    <w:p w14:paraId="23F6E74C" w14:textId="77777777" w:rsidR="000202B2" w:rsidRPr="009C7A0A" w:rsidRDefault="000202B2" w:rsidP="009C7A0A">
      <w:pPr>
        <w:widowControl w:val="0"/>
        <w:spacing w:line="276" w:lineRule="auto"/>
        <w:ind w:firstLine="720"/>
        <w:contextualSpacing/>
        <w:jc w:val="both"/>
      </w:pPr>
    </w:p>
    <w:p w14:paraId="5214236D" w14:textId="48429C99" w:rsidR="000202B2" w:rsidRPr="009C7A0A" w:rsidRDefault="000202B2" w:rsidP="009C7A0A">
      <w:pPr>
        <w:widowControl w:val="0"/>
        <w:spacing w:line="276" w:lineRule="auto"/>
        <w:ind w:firstLine="720"/>
        <w:contextualSpacing/>
        <w:jc w:val="both"/>
      </w:pPr>
      <w:r w:rsidRPr="009C7A0A">
        <w:t>[</w:t>
      </w:r>
      <w:r w:rsidR="008418B4" w:rsidRPr="009C7A0A">
        <w:t>25</w:t>
      </w:r>
      <w:r w:rsidRPr="009C7A0A">
        <w:t xml:space="preserve">] Senāts atzīst, ka ir noraidāmi apsūdzētā </w:t>
      </w:r>
      <w:r w:rsidR="00055364">
        <w:t>[pers. A]</w:t>
      </w:r>
      <w:r w:rsidRPr="009C7A0A">
        <w:t xml:space="preserve">, mirušās apsūdzētās </w:t>
      </w:r>
      <w:r w:rsidR="00055364">
        <w:t>[pers. BH]</w:t>
      </w:r>
      <w:r w:rsidRPr="009C7A0A">
        <w:t xml:space="preserve"> aizstāves I. Timermanes un prokurora argumenti par apelācijas instances tiesas 2023. gada 24. janvāra blakus lēmumu atcelšanu.</w:t>
      </w:r>
    </w:p>
    <w:p w14:paraId="699FFE1D" w14:textId="77777777" w:rsidR="000202B2" w:rsidRPr="009C7A0A" w:rsidRDefault="000202B2" w:rsidP="009C7A0A">
      <w:pPr>
        <w:widowControl w:val="0"/>
        <w:spacing w:line="276" w:lineRule="auto"/>
        <w:ind w:firstLine="720"/>
        <w:contextualSpacing/>
        <w:jc w:val="both"/>
      </w:pPr>
      <w:r w:rsidRPr="009C7A0A">
        <w:t xml:space="preserve">Apelācijas instances tiesa ir pamatojusi, kāpēc ir atceļams pirmās instances tiesas </w:t>
      </w:r>
      <w:r w:rsidRPr="009C7A0A">
        <w:lastRenderedPageBreak/>
        <w:t>blakus lēmums par Rīgas tiesas apgabala prokuratūras prokuroriem.</w:t>
      </w:r>
    </w:p>
    <w:p w14:paraId="39E47F7E" w14:textId="260B5322" w:rsidR="000202B2" w:rsidRPr="009C7A0A" w:rsidRDefault="000202B2" w:rsidP="009C7A0A">
      <w:pPr>
        <w:widowControl w:val="0"/>
        <w:spacing w:line="276" w:lineRule="auto"/>
        <w:ind w:firstLine="720"/>
        <w:contextualSpacing/>
        <w:jc w:val="both"/>
      </w:pPr>
      <w:r w:rsidRPr="009C7A0A">
        <w:t>Apelācijas instances tiesa norādījusi, ka Rīgas pilsētas Pārdaugavas tiesa: 1) pretēji Kriminālprocesa likuma 17. pantā nostiprinātajam procesuālo funkciju nodalīšanas principam</w:t>
      </w:r>
      <w:r w:rsidRPr="009C7A0A">
        <w:rPr>
          <w:b/>
        </w:rPr>
        <w:t xml:space="preserve"> </w:t>
      </w:r>
      <w:r w:rsidRPr="009C7A0A">
        <w:t xml:space="preserve">nepamatoti konstatējusi Kriminālprocesa likuma 405. panta pārkāpumu. Prokuroram ir ekskluzīva funkcija lemt, vai persona ir saucama pie kriminālatbildības, un, ja ir saucama, tad par kāda noziedzīga nodarījuma izdarīšanu; 2) nav pamatojusi ar pierādījumiem atzinumu par </w:t>
      </w:r>
      <w:r w:rsidRPr="009C7A0A">
        <w:rPr>
          <w:bCs/>
        </w:rPr>
        <w:t>SIA „</w:t>
      </w:r>
      <w:r w:rsidR="00263486">
        <w:rPr>
          <w:bCs/>
        </w:rPr>
        <w:t>[Nosaukums F]</w:t>
      </w:r>
      <w:r w:rsidRPr="009C7A0A">
        <w:rPr>
          <w:bCs/>
        </w:rPr>
        <w:t>”</w:t>
      </w:r>
      <w:r w:rsidRPr="009C7A0A">
        <w:t xml:space="preserve"> amatpersonu un darbinieku iespējamo pretlikumīgo rīcību un nav ņēmusi vērā, ka minētie apstākļi tika izmeklēti citā kriminālprocesā; 3) nav pamatojusi, kādas procesuālās normas prokurori pārkāpuši tiesas debatēs</w:t>
      </w:r>
      <w:r w:rsidR="005912FD" w:rsidRPr="009C7A0A">
        <w:t>, atsaucoties uz eksperta liecībām;</w:t>
      </w:r>
      <w:r w:rsidR="005912FD" w:rsidRPr="009C7A0A">
        <w:rPr>
          <w:b/>
          <w:bCs/>
        </w:rPr>
        <w:t> </w:t>
      </w:r>
      <w:r w:rsidRPr="009C7A0A">
        <w:t xml:space="preserve">4) nav pamatojusi ar konkrētiem pierādījumiem savu secinājumu, ka </w:t>
      </w:r>
      <w:r w:rsidRPr="009C7A0A">
        <w:rPr>
          <w:bCs/>
        </w:rPr>
        <w:t>SIA „</w:t>
      </w:r>
      <w:r w:rsidR="006F4D9D">
        <w:rPr>
          <w:bCs/>
        </w:rPr>
        <w:t>[Nosaukums F]</w:t>
      </w:r>
      <w:r w:rsidRPr="009C7A0A">
        <w:rPr>
          <w:bCs/>
        </w:rPr>
        <w:t>”</w:t>
      </w:r>
      <w:r w:rsidRPr="009C7A0A">
        <w:t xml:space="preserve"> amatpersonu un darbinieku darbībās, iespējams, konstatējams Krimināllikuma 177. pantā paredzētā noziedzīgā nodarījuma sastāvs.</w:t>
      </w:r>
    </w:p>
    <w:p w14:paraId="0DFBE044" w14:textId="77777777" w:rsidR="000202B2" w:rsidRPr="009C7A0A" w:rsidRDefault="000202B2" w:rsidP="009C7A0A">
      <w:pPr>
        <w:widowControl w:val="0"/>
        <w:spacing w:line="276" w:lineRule="auto"/>
        <w:ind w:firstLine="720"/>
        <w:contextualSpacing/>
        <w:jc w:val="both"/>
      </w:pPr>
      <w:r w:rsidRPr="009C7A0A">
        <w:t>Senātam nav pamata apšaubīt apelācijas instances tiesas spriedumu daļā par Rīgas pilsētas Pārdaugavas tiesas blakus lēmuma atcelšanu. Apelācijas instances tiesa ir vērtējusi blakus lēmumā norādīto pamatojumu, atzinusi to par vispārīgu un nekonkrētu, kā arī ar Kriminālprocesa likuma normu pamatojusi atziņu, ka kriminālprocesā procesuālās funkcijas ir nodalāmas.</w:t>
      </w:r>
    </w:p>
    <w:p w14:paraId="12D73BDD" w14:textId="1DFE9FB2" w:rsidR="000202B2" w:rsidRPr="009C7A0A" w:rsidRDefault="000202B2" w:rsidP="009C7A0A">
      <w:pPr>
        <w:widowControl w:val="0"/>
        <w:spacing w:line="276" w:lineRule="auto"/>
        <w:ind w:firstLine="720"/>
        <w:contextualSpacing/>
        <w:jc w:val="both"/>
      </w:pPr>
      <w:r w:rsidRPr="009C7A0A">
        <w:t>Vienlaikus apelācijas instances tiesa pieņēma jaunus blakus lēmumus – proti, par kriminālprocesu Nr. 11511002713 veikušo amatpersonu rīcību, par iztiesāšanas laikā iegūtajām ziņām par iespējamo dokumentu viltošanu, par pirmās instances tiesas tiesnešu pieļautajiem Kriminālprocesa likuma 501. panta un 512. panta otrās daļas 3. punkta prasībām (likuma redakcijā līdz 2020. gada 31. decembrim) pārkāpumiem un par zvērinātas advokātes J. </w:t>
      </w:r>
      <w:proofErr w:type="spellStart"/>
      <w:r w:rsidRPr="009C7A0A">
        <w:t>Tverjanovičas-Bores</w:t>
      </w:r>
      <w:proofErr w:type="spellEnd"/>
      <w:r w:rsidRPr="009C7A0A">
        <w:t xml:space="preserve"> paviršu attieksmi pret pienākumu pildīšanu, pārstāvot cietušo </w:t>
      </w:r>
      <w:r w:rsidR="00A12367">
        <w:t>[pers. BG]</w:t>
      </w:r>
      <w:r w:rsidRPr="009C7A0A">
        <w:t>.</w:t>
      </w:r>
    </w:p>
    <w:p w14:paraId="662058BC" w14:textId="77777777" w:rsidR="000202B2" w:rsidRPr="009C7A0A" w:rsidRDefault="000202B2" w:rsidP="009C7A0A">
      <w:pPr>
        <w:widowControl w:val="0"/>
        <w:spacing w:line="276" w:lineRule="auto"/>
        <w:ind w:firstLine="720"/>
        <w:contextualSpacing/>
        <w:jc w:val="both"/>
      </w:pPr>
      <w:r w:rsidRPr="009C7A0A">
        <w:t>Senāts norāda, ka atbilstoši Kriminālprocesa likuma 533. panta pirmajai daļai tiesa reizē ar galīgo nolēmumu var pieņemt blakus lēmumu, kurā kompetentai institūcijai vai amatpersonai norāda uz krimināllietā konstatētajiem tiesību normu pārkāpumiem, to cēloņiem un veicinošiem apstākļiem un pieprasa tos novērst.</w:t>
      </w:r>
    </w:p>
    <w:p w14:paraId="01F92122" w14:textId="77777777" w:rsidR="000202B2" w:rsidRPr="009C7A0A" w:rsidRDefault="000202B2" w:rsidP="009C7A0A">
      <w:pPr>
        <w:widowControl w:val="0"/>
        <w:spacing w:line="276" w:lineRule="auto"/>
        <w:ind w:firstLine="720"/>
        <w:contextualSpacing/>
        <w:jc w:val="both"/>
      </w:pPr>
      <w:r w:rsidRPr="009C7A0A">
        <w:t>No minētā secināms, ka blakus lēmums neskar lietas būtību un ir vērsts uz to, lai kompetenta institūcija novērstu iespējamos pārkāpumus un tos cēloņus, kurus tiesa ir konstatējusi lietas izskatīšanā. Tādējādi tiesa blakus lēmumu var pieņemt jebkurā tiesu instancē pēc savas iniciatīvas, un tiesai nav saistošs procesā iesaistītās personas viedoklis par šo jautājumu. Turklāt nav izšķirošas nozīmes, vai par šo jautājumu ir vai nav iesniegts prokurora apelācijas protests vai apsūdzētā apelācijas sūdzība.</w:t>
      </w:r>
    </w:p>
    <w:p w14:paraId="4D78B9FE" w14:textId="77777777" w:rsidR="000202B2" w:rsidRPr="009C7A0A" w:rsidRDefault="000202B2" w:rsidP="009C7A0A">
      <w:pPr>
        <w:widowControl w:val="0"/>
        <w:spacing w:line="276" w:lineRule="auto"/>
        <w:ind w:firstLine="720"/>
        <w:contextualSpacing/>
        <w:jc w:val="both"/>
      </w:pPr>
      <w:r w:rsidRPr="009C7A0A">
        <w:t>Apelācijas instances tiesa blakus lēmumā, ar kuru Rīgas tiesas apgabala prokuratūras virsprokuroram norādīts uz kriminālprocesu veikušo amatpersonu rīcību, minējusi šādus argumentus: 1) daļa no krimināllietai pievienotajiem lietiskajiem pierādījumiem netika izmantota pierādīšanā; 2) detalizēts lietisko pierādījumu un dokumentu saraksts iesniegts tiesas izmeklēšanā pirmās instances tiesā; 3) kriminālprocesā apkopotie materiāli dažviet atkārtojas; 4) krimināllietas materiālos ir dokumenti, kas nav tulkoti valsts valodā; 5) Valsts ugunsdzēsības un glābšanas dienesta darbinieki nepamatoti atzīti par cietušajiem kriminālprocesā; 6) prokurori neizpildīja tiesas uzlikto pienākumu norādīt pierādījumus par katru apsūdzēto atsevišķi; 7) lēmumā par krimināllietas nodošanu tiesai ir norādīti vairāki protokoli par izmeklēšanas darbību veikšanu, kuri nav attiecināmi uz pierādīšanas priekšmetā ietilpstošajiem apstākļiem.</w:t>
      </w:r>
    </w:p>
    <w:p w14:paraId="2B84184C" w14:textId="77777777" w:rsidR="000202B2" w:rsidRPr="009C7A0A" w:rsidRDefault="000202B2" w:rsidP="009C7A0A">
      <w:pPr>
        <w:widowControl w:val="0"/>
        <w:spacing w:line="276" w:lineRule="auto"/>
        <w:ind w:firstLine="720"/>
        <w:contextualSpacing/>
        <w:jc w:val="both"/>
      </w:pPr>
      <w:r w:rsidRPr="009C7A0A">
        <w:lastRenderedPageBreak/>
        <w:t>Senāts atzīst, ka apelācijas instances tiesa 2023. gada 24. janvāra blakus lēmumā nepamatoti norādījusi, ka kriminālprocesu veikušās amatpersonas kļūdaini atzina par cietušajiem Valsts ugunsdzēsības un glābšanas dienesta darbiniekus un bojāgājušo darbinieku tuviniekus (kopā divdesmit personas).</w:t>
      </w:r>
    </w:p>
    <w:p w14:paraId="05A4EFFC" w14:textId="026FEE38" w:rsidR="000202B2" w:rsidRPr="009C7A0A" w:rsidRDefault="000202B2" w:rsidP="009C7A0A">
      <w:pPr>
        <w:widowControl w:val="0"/>
        <w:spacing w:line="276" w:lineRule="auto"/>
        <w:ind w:firstLine="720"/>
        <w:contextualSpacing/>
        <w:jc w:val="both"/>
        <w:rPr>
          <w:bCs/>
        </w:rPr>
      </w:pPr>
      <w:r w:rsidRPr="009C7A0A">
        <w:t xml:space="preserve">Izvērtējot apelācijas instances tiesas sprieduma pamatotību, Senāts lēmuma </w:t>
      </w:r>
      <w:r w:rsidR="00F0254C" w:rsidRPr="009C7A0A">
        <w:t>17.2.1 </w:t>
      </w:r>
      <w:r w:rsidRPr="009C7A0A">
        <w:t xml:space="preserve">punktā jau ir norādījis, ka </w:t>
      </w:r>
      <w:r w:rsidRPr="009C7A0A">
        <w:rPr>
          <w:bCs/>
        </w:rPr>
        <w:t>apelācijas instances tiesa nav pamatojusi, kāpēc Krimināllikuma 239. pantā paredzētās smagās sekas neaptver arī glābšanas pasākumā piedalījušos personu dzīvības un veselības apdraudējumu.</w:t>
      </w:r>
    </w:p>
    <w:p w14:paraId="239737E4" w14:textId="77777777" w:rsidR="000202B2" w:rsidRPr="009C7A0A" w:rsidRDefault="000202B2" w:rsidP="009C7A0A">
      <w:pPr>
        <w:widowControl w:val="0"/>
        <w:spacing w:line="276" w:lineRule="auto"/>
        <w:ind w:firstLine="720"/>
        <w:contextualSpacing/>
        <w:jc w:val="both"/>
      </w:pPr>
      <w:r w:rsidRPr="009C7A0A">
        <w:t>Celtniecības noteikumu pārkāpums izraisīja obligātu nepieciešamību veikt glābšanas darbu pasākumus sakarā ar personu dzīvības un veselības apdraudējuma novēršanu. Tādējādi notikuma vietā glābēju ierašanās un nepieciešamība veikt profesionālos pienākumus ir cēloniskā sakarā ar tās personas prettiesisko rīcību, kura pārkāpusi celtniecības noteikumus.</w:t>
      </w:r>
    </w:p>
    <w:p w14:paraId="7B47F925" w14:textId="77777777" w:rsidR="000202B2" w:rsidRPr="009C7A0A" w:rsidRDefault="000202B2" w:rsidP="009C7A0A">
      <w:pPr>
        <w:widowControl w:val="0"/>
        <w:spacing w:line="276" w:lineRule="auto"/>
        <w:ind w:firstLine="720"/>
        <w:contextualSpacing/>
        <w:jc w:val="both"/>
      </w:pPr>
      <w:r w:rsidRPr="009C7A0A">
        <w:t>Ievērojot minēto, Senāts atzīst, ka kriminālprocesu veikušās amatpersonas ir ievērojušas Kriminālprocesa likuma 95. panta prasības, atzīstot par cietušajiem Valsts ugunsdzēsības un glābšanas dienesta darbiniekus un bojāgājušo darbinieku tuviniekus.</w:t>
      </w:r>
    </w:p>
    <w:p w14:paraId="132E000C" w14:textId="77777777" w:rsidR="000202B2" w:rsidRPr="009C7A0A" w:rsidRDefault="000202B2" w:rsidP="009C7A0A">
      <w:pPr>
        <w:widowControl w:val="0"/>
        <w:spacing w:line="276" w:lineRule="auto"/>
        <w:ind w:firstLine="720"/>
        <w:contextualSpacing/>
        <w:jc w:val="both"/>
      </w:pPr>
      <w:r w:rsidRPr="009C7A0A">
        <w:t>Senāts vērš uzmanību, ka tiesai rūpīgi jāvērtē, vai katrā gadījumā, kad tiek konstatēts iespējamais Kriminālprocesa likuma pārkāpums, ir jāpieņem blakus lēmums. Pārsteidzīgi un nepamatoti ir pieņemt lēmumu par atšķirīgu viedokli par Krimināllikuma normas piemērošanu. Šādos gadījumos ir jāatturas no blakus lēmumu pieņemšanas.</w:t>
      </w:r>
    </w:p>
    <w:p w14:paraId="66C48CB9" w14:textId="77777777" w:rsidR="000202B2" w:rsidRPr="009C7A0A" w:rsidRDefault="000202B2" w:rsidP="009C7A0A">
      <w:pPr>
        <w:widowControl w:val="0"/>
        <w:spacing w:line="276" w:lineRule="auto"/>
        <w:ind w:firstLine="720"/>
        <w:contextualSpacing/>
        <w:jc w:val="both"/>
      </w:pPr>
      <w:r w:rsidRPr="009C7A0A">
        <w:t>Vienlaikus Senāts atzīst, ka pārējā daļā blakus lēmums atstājams spēkā, jo apelācijas instances tiesa konstatēja apstākļus, kas nelietderīgi apgrūtināja kriminālprocesa ātrāku virzību, un par šiem pārkāpumiem informēja Rīgas tiesas apgabala prokuratūras virsprokuroru.</w:t>
      </w:r>
    </w:p>
    <w:p w14:paraId="1D57702C" w14:textId="77777777" w:rsidR="000202B2" w:rsidRPr="009C7A0A" w:rsidRDefault="000202B2" w:rsidP="009C7A0A">
      <w:pPr>
        <w:widowControl w:val="0"/>
        <w:spacing w:line="276" w:lineRule="auto"/>
        <w:ind w:firstLine="720"/>
        <w:contextualSpacing/>
        <w:jc w:val="both"/>
      </w:pPr>
      <w:r w:rsidRPr="009C7A0A">
        <w:t>Tāpat Senāts atzīst, ka pretēji prokurora norādei apelācijas tiesa, pieņemot blakus lēmumu par iespējamo dokumentu viltošanu, ievērojusi Kriminālprocesa likuma 371. panta piekto daļu.</w:t>
      </w:r>
    </w:p>
    <w:p w14:paraId="3E770F17" w14:textId="77777777" w:rsidR="000202B2" w:rsidRPr="009C7A0A" w:rsidRDefault="000202B2" w:rsidP="009C7A0A">
      <w:pPr>
        <w:widowControl w:val="0"/>
        <w:spacing w:line="276" w:lineRule="auto"/>
        <w:ind w:firstLine="720"/>
        <w:contextualSpacing/>
        <w:jc w:val="both"/>
      </w:pPr>
      <w:r w:rsidRPr="009C7A0A">
        <w:t xml:space="preserve">Kriminālprocesa likuma 371. panta piektā daļa noteic, ka tiesnesis vai tiesa pieteikumu, materiālus vai ziņas, kas iegūtas iztiesāšanā, bez izlemšanas </w:t>
      </w:r>
      <w:proofErr w:type="spellStart"/>
      <w:r w:rsidRPr="009C7A0A">
        <w:t>nosūta</w:t>
      </w:r>
      <w:proofErr w:type="spellEnd"/>
      <w:r w:rsidRPr="009C7A0A">
        <w:t xml:space="preserve"> izmeklēšanas iestādei vai – likumā noteiktajos gadījumos – prokuratūrai.</w:t>
      </w:r>
    </w:p>
    <w:p w14:paraId="788ACDA7" w14:textId="71CD7A2D" w:rsidR="000202B2" w:rsidRPr="009C7A0A" w:rsidRDefault="000202B2" w:rsidP="009C7A0A">
      <w:pPr>
        <w:widowControl w:val="0"/>
        <w:spacing w:line="276" w:lineRule="auto"/>
        <w:ind w:firstLine="720"/>
        <w:contextualSpacing/>
        <w:jc w:val="both"/>
      </w:pPr>
      <w:r w:rsidRPr="009C7A0A">
        <w:t xml:space="preserve">Lai arī no lietas izriet, ka materiāls par dokumentu viltošanu un to izmantošanu tika izdalīts atsevišķā lietvedībā un tajā pieņemts prokurora priekšraksts par </w:t>
      </w:r>
      <w:r w:rsidR="006E7944">
        <w:t>[pers. LS]</w:t>
      </w:r>
      <w:r w:rsidRPr="009C7A0A">
        <w:t xml:space="preserve"> nosakāmo sodu pēc Krimināllikuma 275. panta otrās daļas, apelācijas instances tiesa norādīja konkrētas ziņas par faktiem par to, ka dokumentos ir viltots </w:t>
      </w:r>
      <w:r w:rsidR="00157C72">
        <w:t>[pers. MR]</w:t>
      </w:r>
      <w:r w:rsidRPr="009C7A0A">
        <w:t xml:space="preserve"> paraksts un to, iespējams, ir izdarījusi vēl cita persona.</w:t>
      </w:r>
    </w:p>
    <w:p w14:paraId="000079E1" w14:textId="77777777" w:rsidR="000202B2" w:rsidRPr="009C7A0A" w:rsidRDefault="000202B2" w:rsidP="009C7A0A">
      <w:pPr>
        <w:widowControl w:val="0"/>
        <w:spacing w:line="276" w:lineRule="auto"/>
        <w:ind w:firstLine="720"/>
        <w:contextualSpacing/>
        <w:jc w:val="both"/>
      </w:pPr>
      <w:r w:rsidRPr="009C7A0A">
        <w:t>Prokurors kasācijas protestā nav pamatojis, kādu Kriminālprocesa likuma pārkāpumu apelācijas instances tiesa pieļāvusi, rīkojoties atbilstoši Kriminālprocesa likuma 371. panta piektās daļas prasībām.</w:t>
      </w:r>
    </w:p>
    <w:p w14:paraId="2D506A1B" w14:textId="77777777" w:rsidR="000202B2" w:rsidRPr="009C7A0A" w:rsidRDefault="000202B2" w:rsidP="009C7A0A">
      <w:pPr>
        <w:widowControl w:val="0"/>
        <w:spacing w:line="276" w:lineRule="auto"/>
        <w:ind w:firstLine="720"/>
        <w:contextualSpacing/>
        <w:jc w:val="both"/>
      </w:pPr>
      <w:r w:rsidRPr="009C7A0A">
        <w:t>Senāts atzīst, ka apelācijas instances tiesas 2023. gada 24. janvāra blakus lēmumi par pirmās instances tiesas pieļautajiem Kriminālprocesa likuma pārkāpumiem un zvērinātas advokātes J. </w:t>
      </w:r>
      <w:proofErr w:type="spellStart"/>
      <w:r w:rsidRPr="009C7A0A">
        <w:t>Tverjanovičas-Bores</w:t>
      </w:r>
      <w:proofErr w:type="spellEnd"/>
      <w:r w:rsidRPr="009C7A0A">
        <w:t xml:space="preserve"> rīcību atstājami negrozīti.</w:t>
      </w:r>
    </w:p>
    <w:p w14:paraId="01035E96" w14:textId="666DDC27" w:rsidR="000202B2" w:rsidRPr="009C7A0A" w:rsidRDefault="000202B2" w:rsidP="009C7A0A">
      <w:pPr>
        <w:widowControl w:val="0"/>
        <w:spacing w:line="276" w:lineRule="auto"/>
        <w:ind w:firstLine="720"/>
        <w:contextualSpacing/>
        <w:jc w:val="both"/>
      </w:pPr>
      <w:r w:rsidRPr="009C7A0A">
        <w:t xml:space="preserve">Apelācijas instances tiesa pamatoti konstatējusi, ka pirmās instances tiesa nav pārbaudījusi personu </w:t>
      </w:r>
      <w:proofErr w:type="spellStart"/>
      <w:r w:rsidRPr="009C7A0A">
        <w:t>pirmstiesas</w:t>
      </w:r>
      <w:proofErr w:type="spellEnd"/>
      <w:r w:rsidRPr="009C7A0A">
        <w:t xml:space="preserve"> kriminālprocesā sniegtās liecības atbilstoši Kriminālprocesa likuma 501. pantam un pretēji Kriminālprocesa likuma 512. panta otrās daļas 3. punkta prasībām (likuma redakcijā līdz 2020. gada 31. decembrim) spriedumā nav sniegusi visu pierādījumu atspoguļojumu </w:t>
      </w:r>
      <w:r w:rsidR="009A6887">
        <w:t>[pers. A]</w:t>
      </w:r>
      <w:r w:rsidRPr="009C7A0A">
        <w:t xml:space="preserve"> apsūdzībā pēc Krimināllikuma </w:t>
      </w:r>
      <w:r w:rsidRPr="009C7A0A">
        <w:lastRenderedPageBreak/>
        <w:t>239. panta otrās daļas un 123. panta otrās daļas, aprobežojoties ar to uzskaitījumu. Apelācijas instances tiesa vēlējās pievērst Rīgas pilsētas tiesas priekšsēdētāja uzmanību minētajiem Kriminālprocesa likuma pārkāpumiem, lai turpmāk šādi pārkāpumi netiktu pieļauti.</w:t>
      </w:r>
    </w:p>
    <w:p w14:paraId="79505A69" w14:textId="77777777" w:rsidR="000202B2" w:rsidRPr="009C7A0A" w:rsidRDefault="000202B2" w:rsidP="009C7A0A">
      <w:pPr>
        <w:widowControl w:val="0"/>
        <w:spacing w:line="276" w:lineRule="auto"/>
        <w:ind w:firstLine="720"/>
        <w:contextualSpacing/>
        <w:jc w:val="both"/>
      </w:pPr>
      <w:r w:rsidRPr="009C7A0A">
        <w:t>Tāpat apelācijas instances tiesa pamatoti informēja Latvijas Zvērinātu advokātu padomi par advokātes J. </w:t>
      </w:r>
      <w:proofErr w:type="spellStart"/>
      <w:r w:rsidRPr="009C7A0A">
        <w:t>Tverjanovičas-Bores</w:t>
      </w:r>
      <w:proofErr w:type="spellEnd"/>
      <w:r w:rsidRPr="009C7A0A">
        <w:t xml:space="preserve"> paviršu attieksmi pret pienākumu pildīšanu.</w:t>
      </w:r>
    </w:p>
    <w:p w14:paraId="1AA957A6" w14:textId="5E31C402" w:rsidR="000202B2" w:rsidRPr="009C7A0A" w:rsidRDefault="000202B2" w:rsidP="009C7A0A">
      <w:pPr>
        <w:widowControl w:val="0"/>
        <w:spacing w:line="276" w:lineRule="auto"/>
        <w:ind w:firstLine="720"/>
        <w:contextualSpacing/>
        <w:jc w:val="both"/>
      </w:pPr>
      <w:r w:rsidRPr="009C7A0A">
        <w:t xml:space="preserve">Apelācijas instances tiesa norādījusi, ka tiesībām uz atlīdzību par morālu kaitējumu ir personisks raksturs, kas izbeidzas ar šīs personas nāvi un uz cietušās personas mantiniekiem nepāriet. Tiesa konstatēja, ka cietušais </w:t>
      </w:r>
      <w:r w:rsidR="00231775">
        <w:t>[pers. BG]</w:t>
      </w:r>
      <w:r w:rsidRPr="009C7A0A">
        <w:t xml:space="preserve"> miris 2022. gada </w:t>
      </w:r>
      <w:r w:rsidR="00E339DC">
        <w:t>[datums]</w:t>
      </w:r>
      <w:r w:rsidRPr="009C7A0A">
        <w:t>, tādējādi pēc tam advokāte kā cietušā pārstāve nebija tiesīga lūgt apmierināt cietušā kompensācijas pieteikumu par morālo kaitējumu.</w:t>
      </w:r>
    </w:p>
    <w:p w14:paraId="6D9430BA" w14:textId="77777777" w:rsidR="000202B2" w:rsidRPr="009C7A0A" w:rsidRDefault="000202B2" w:rsidP="009C7A0A">
      <w:pPr>
        <w:widowControl w:val="0"/>
        <w:spacing w:line="276" w:lineRule="auto"/>
        <w:ind w:firstLine="720"/>
        <w:contextualSpacing/>
        <w:jc w:val="both"/>
      </w:pPr>
    </w:p>
    <w:p w14:paraId="691E3CF7" w14:textId="495D02FE" w:rsidR="000202B2" w:rsidRPr="009C7A0A" w:rsidRDefault="000202B2" w:rsidP="009C7A0A">
      <w:pPr>
        <w:widowControl w:val="0"/>
        <w:spacing w:line="276" w:lineRule="auto"/>
        <w:ind w:firstLine="720"/>
        <w:contextualSpacing/>
        <w:jc w:val="both"/>
      </w:pPr>
      <w:r w:rsidRPr="009C7A0A">
        <w:t>[2</w:t>
      </w:r>
      <w:r w:rsidR="008418B4" w:rsidRPr="009C7A0A">
        <w:t>6</w:t>
      </w:r>
      <w:r w:rsidRPr="009C7A0A">
        <w:t>] Kriminālprocesa likuma 588. panta 3.</w:t>
      </w:r>
      <w:r w:rsidRPr="009C7A0A">
        <w:rPr>
          <w:vertAlign w:val="superscript"/>
        </w:rPr>
        <w:t>1</w:t>
      </w:r>
      <w:r w:rsidRPr="009C7A0A">
        <w:t> daļa noteic: ja kasācijas instances tiesa pieņem šā likuma 587. panta pirmās daļas 2. punktā paredzēto lēmumu, tā izlemj jautājumu arī par drošības līdzekli.</w:t>
      </w:r>
    </w:p>
    <w:p w14:paraId="4815B110" w14:textId="351FCEA8" w:rsidR="000202B2" w:rsidRPr="009C7A0A" w:rsidRDefault="000202B2" w:rsidP="009C7A0A">
      <w:pPr>
        <w:widowControl w:val="0"/>
        <w:spacing w:line="276" w:lineRule="auto"/>
        <w:ind w:firstLine="720"/>
        <w:contextualSpacing/>
        <w:jc w:val="both"/>
      </w:pPr>
      <w:r w:rsidRPr="009C7A0A">
        <w:t>[2</w:t>
      </w:r>
      <w:r w:rsidR="008418B4" w:rsidRPr="009C7A0A">
        <w:t>6</w:t>
      </w:r>
      <w:r w:rsidRPr="009C7A0A">
        <w:t xml:space="preserve">.1] Apsūdzētajam </w:t>
      </w:r>
      <w:r w:rsidR="001700DD">
        <w:t>[pers. A]</w:t>
      </w:r>
      <w:r w:rsidRPr="009C7A0A">
        <w:t xml:space="preserve"> lietā piemērots drošības līdzeklis – uzturēšanās noteiktā vietā – un papildu drošības līdzeklis – aizliegums izbraukt no valsts. Ar pirmās instances tiesas un apelācijas instances tiesas spriedumiem </w:t>
      </w:r>
      <w:r w:rsidR="00EF1C8F">
        <w:t>[pers. A]</w:t>
      </w:r>
      <w:r w:rsidRPr="009C7A0A">
        <w:t xml:space="preserve"> piemērotie drošības līdzekļi atstāti negrozīti.</w:t>
      </w:r>
    </w:p>
    <w:p w14:paraId="03368AC8" w14:textId="25CB7CE8" w:rsidR="000202B2" w:rsidRPr="009C7A0A" w:rsidRDefault="000202B2" w:rsidP="009C7A0A">
      <w:pPr>
        <w:widowControl w:val="0"/>
        <w:spacing w:line="276" w:lineRule="auto"/>
        <w:ind w:firstLine="720"/>
        <w:contextualSpacing/>
        <w:jc w:val="both"/>
      </w:pPr>
      <w:r w:rsidRPr="009C7A0A">
        <w:t xml:space="preserve">Senāts atzīst, ka </w:t>
      </w:r>
      <w:r w:rsidR="00983209">
        <w:t>[pers. A]</w:t>
      </w:r>
      <w:r w:rsidRPr="009C7A0A">
        <w:t xml:space="preserve"> piemērotie drošības līdzekļi izskatāmajā lietā atzīstami par samērīgiem, un to piemērošanas turpināšana nepamatoti neierobežos apsūdzētā </w:t>
      </w:r>
      <w:r w:rsidR="00BB6393">
        <w:t>[pers. A]</w:t>
      </w:r>
      <w:r w:rsidRPr="009C7A0A">
        <w:t xml:space="preserve"> </w:t>
      </w:r>
      <w:proofErr w:type="spellStart"/>
      <w:r w:rsidRPr="009C7A0A">
        <w:t>pamattiesības</w:t>
      </w:r>
      <w:proofErr w:type="spellEnd"/>
      <w:r w:rsidRPr="009C7A0A">
        <w:t>.</w:t>
      </w:r>
    </w:p>
    <w:p w14:paraId="5E76D792" w14:textId="6A50A67C" w:rsidR="000202B2" w:rsidRPr="009C7A0A" w:rsidRDefault="000202B2" w:rsidP="009C7A0A">
      <w:pPr>
        <w:widowControl w:val="0"/>
        <w:spacing w:line="276" w:lineRule="auto"/>
        <w:ind w:firstLine="720"/>
        <w:contextualSpacing/>
        <w:jc w:val="both"/>
      </w:pPr>
      <w:r w:rsidRPr="009C7A0A">
        <w:t>[2</w:t>
      </w:r>
      <w:r w:rsidR="008418B4" w:rsidRPr="009C7A0A">
        <w:t>6</w:t>
      </w:r>
      <w:r w:rsidRPr="009C7A0A">
        <w:t xml:space="preserve">.2] Apsūdzētajam </w:t>
      </w:r>
      <w:r w:rsidR="00B11540">
        <w:t>[pers. BI]</w:t>
      </w:r>
      <w:r w:rsidRPr="009C7A0A">
        <w:t xml:space="preserve"> lietā piemērots drošības līdzeklis – uzturēšanās noteiktā vietā – un papildu drošības līdzeklis – aizliegums izbraukt no valsts. Pirmās instances tiesa, taisot </w:t>
      </w:r>
      <w:r w:rsidR="00616070">
        <w:t>[pers. BI]</w:t>
      </w:r>
      <w:r w:rsidRPr="009C7A0A">
        <w:t xml:space="preserve"> attaisnojošu spriedumu, piemērotos drošības līdzekļus atcēlusi. Apelācijas instances tiesa šajā daļā pirmās instances tiesas spriedumu atstājusi negrozītu.</w:t>
      </w:r>
    </w:p>
    <w:p w14:paraId="1038EFBC" w14:textId="3C029D41" w:rsidR="000202B2" w:rsidRPr="009C7A0A" w:rsidRDefault="000202B2" w:rsidP="009C7A0A">
      <w:pPr>
        <w:widowControl w:val="0"/>
        <w:spacing w:line="276" w:lineRule="auto"/>
        <w:ind w:firstLine="720"/>
        <w:contextualSpacing/>
        <w:jc w:val="both"/>
      </w:pPr>
      <w:r w:rsidRPr="009C7A0A">
        <w:t xml:space="preserve">Senāts atzīst, ka šajā kriminālprocesa stadijā nav tiesiska pamata piemērot drošības līdzekli apsūdzētajam </w:t>
      </w:r>
      <w:r w:rsidR="009A476F">
        <w:t>[pers. BI]</w:t>
      </w:r>
      <w:r w:rsidRPr="009C7A0A">
        <w:t>.</w:t>
      </w:r>
    </w:p>
    <w:p w14:paraId="7351B4CB" w14:textId="1281A0C2" w:rsidR="000202B2" w:rsidRPr="009C7A0A" w:rsidRDefault="000202B2" w:rsidP="009C7A0A">
      <w:pPr>
        <w:widowControl w:val="0"/>
        <w:spacing w:line="276" w:lineRule="auto"/>
        <w:ind w:firstLine="720"/>
        <w:contextualSpacing/>
        <w:jc w:val="both"/>
      </w:pPr>
      <w:r w:rsidRPr="009C7A0A">
        <w:t>[2</w:t>
      </w:r>
      <w:r w:rsidR="008418B4" w:rsidRPr="009C7A0A">
        <w:t>6</w:t>
      </w:r>
      <w:r w:rsidRPr="009C7A0A">
        <w:t xml:space="preserve">.3] Apsūdzētajam </w:t>
      </w:r>
      <w:r w:rsidR="009A476F">
        <w:t>[pers. BK]</w:t>
      </w:r>
      <w:r w:rsidRPr="009C7A0A">
        <w:t xml:space="preserve"> lietā piemērots drošības līdzeklis</w:t>
      </w:r>
      <w:r w:rsidR="0001583A">
        <w:t> </w:t>
      </w:r>
      <w:r w:rsidRPr="009C7A0A">
        <w:t xml:space="preserve">– uzturēšanās noteiktā vietā – un papildu drošības līdzekļi – aizliegums tuvoties noteiktām personām un aizliegums izbraukt no valsts. Pirmās instances tiesa, taisot </w:t>
      </w:r>
      <w:r w:rsidR="00B63E03">
        <w:t>[pers. BK]</w:t>
      </w:r>
      <w:r w:rsidRPr="009C7A0A">
        <w:t xml:space="preserve"> attaisnojošu spriedumu, piemērotos drošības līdzekļus atcēlusi. Apelācijas instances tiesa šajā daļā pirmās instances tiesas spriedumu atstājusi negrozītu.</w:t>
      </w:r>
    </w:p>
    <w:p w14:paraId="2091C41D" w14:textId="63C86E96" w:rsidR="000202B2" w:rsidRPr="009C7A0A" w:rsidRDefault="000202B2" w:rsidP="009C7A0A">
      <w:pPr>
        <w:widowControl w:val="0"/>
        <w:spacing w:line="276" w:lineRule="auto"/>
        <w:ind w:firstLine="720"/>
        <w:contextualSpacing/>
        <w:jc w:val="both"/>
      </w:pPr>
      <w:r w:rsidRPr="009C7A0A">
        <w:t xml:space="preserve">Senāts atzīst, ka šajā kriminālprocesa stadijā nav tiesiska pamata piemērot drošības līdzekli apsūdzētajam </w:t>
      </w:r>
      <w:r w:rsidR="009A6E39">
        <w:t>[pers. BK]</w:t>
      </w:r>
      <w:r w:rsidRPr="009C7A0A">
        <w:t>.</w:t>
      </w:r>
    </w:p>
    <w:p w14:paraId="131D4376" w14:textId="6BFBC0D7" w:rsidR="000202B2" w:rsidRPr="009C7A0A" w:rsidRDefault="000202B2" w:rsidP="009C7A0A">
      <w:pPr>
        <w:widowControl w:val="0"/>
        <w:spacing w:line="276" w:lineRule="auto"/>
        <w:ind w:firstLine="720"/>
        <w:contextualSpacing/>
        <w:jc w:val="both"/>
      </w:pPr>
      <w:r w:rsidRPr="009C7A0A">
        <w:t>[2</w:t>
      </w:r>
      <w:r w:rsidR="008418B4" w:rsidRPr="009C7A0A">
        <w:t>6</w:t>
      </w:r>
      <w:r w:rsidRPr="009C7A0A">
        <w:t xml:space="preserve">.4] Apsūdzētajam </w:t>
      </w:r>
      <w:r w:rsidR="009A6E39">
        <w:t>[pers. BL]</w:t>
      </w:r>
      <w:r w:rsidRPr="009C7A0A">
        <w:t xml:space="preserve"> lietā piemērots drošības līdzeklis</w:t>
      </w:r>
      <w:r w:rsidR="0001583A">
        <w:t> </w:t>
      </w:r>
      <w:r w:rsidRPr="009C7A0A">
        <w:t xml:space="preserve">– uzturēšanās noteiktā vietā – un papildu drošības līdzekļi – aizliegums tuvoties noteiktām personām un aizliegums izbraukt no valsts. Pirmās instances tiesa, taisot </w:t>
      </w:r>
      <w:r w:rsidR="00755D97">
        <w:t>[pers. BL]</w:t>
      </w:r>
      <w:r w:rsidRPr="009C7A0A">
        <w:t xml:space="preserve"> attaisnojošu spriedumu, piemērotos drošības līdzekļus atcēlusi. Apelācijas instances tiesa šajā daļā pirmās instances tiesas spriedumu atstājusi negrozītu.</w:t>
      </w:r>
    </w:p>
    <w:p w14:paraId="64B1BED0" w14:textId="67CF2228" w:rsidR="000202B2" w:rsidRPr="009C7A0A" w:rsidRDefault="000202B2" w:rsidP="009C7A0A">
      <w:pPr>
        <w:widowControl w:val="0"/>
        <w:spacing w:line="276" w:lineRule="auto"/>
        <w:ind w:firstLine="720"/>
        <w:contextualSpacing/>
        <w:jc w:val="both"/>
      </w:pPr>
      <w:r w:rsidRPr="009C7A0A">
        <w:t xml:space="preserve">Senāts atzīst, ka šajā kriminālprocesa stadijā nav tiesiska pamata piemērot drošības līdzekli apsūdzētajam </w:t>
      </w:r>
      <w:r w:rsidR="003B1A61">
        <w:t>[pers. BL]</w:t>
      </w:r>
      <w:r w:rsidRPr="009C7A0A">
        <w:t>.</w:t>
      </w:r>
    </w:p>
    <w:p w14:paraId="11F20D34" w14:textId="396E0301" w:rsidR="000202B2" w:rsidRPr="009C7A0A" w:rsidRDefault="000202B2" w:rsidP="006A49E0">
      <w:pPr>
        <w:widowControl w:val="0"/>
        <w:spacing w:line="276" w:lineRule="auto"/>
        <w:ind w:firstLine="720"/>
        <w:contextualSpacing/>
        <w:jc w:val="both"/>
      </w:pPr>
      <w:r w:rsidRPr="009C7A0A">
        <w:t>[2</w:t>
      </w:r>
      <w:r w:rsidR="008418B4" w:rsidRPr="009C7A0A">
        <w:t>6</w:t>
      </w:r>
      <w:r w:rsidRPr="009C7A0A">
        <w:t xml:space="preserve">.5] Apsūdzētajam </w:t>
      </w:r>
      <w:r w:rsidR="006A49E0">
        <w:t>[pers. BN]</w:t>
      </w:r>
      <w:r w:rsidRPr="009C7A0A">
        <w:t xml:space="preserve"> lietā piemērots drošības līdzeklis – aizliegums izbraukt no valsts. Pirmās instances tiesa, taisot </w:t>
      </w:r>
      <w:r w:rsidR="00E7064B">
        <w:t>[pers. BN]</w:t>
      </w:r>
      <w:r w:rsidRPr="009C7A0A">
        <w:t xml:space="preserve"> attaisnojošu spriedumu, </w:t>
      </w:r>
      <w:r w:rsidRPr="009C7A0A">
        <w:lastRenderedPageBreak/>
        <w:t>piemēroto drošības līdzekli atcēlusi. Apelācijas instances tiesa šajā daļā pirmās instances tiesas spriedumu atstājusi negrozītu.</w:t>
      </w:r>
    </w:p>
    <w:p w14:paraId="0DF13CFD" w14:textId="28CC8EFF" w:rsidR="000202B2" w:rsidRPr="009C7A0A" w:rsidRDefault="000202B2" w:rsidP="009C7A0A">
      <w:pPr>
        <w:widowControl w:val="0"/>
        <w:spacing w:line="276" w:lineRule="auto"/>
        <w:ind w:firstLine="720"/>
        <w:contextualSpacing/>
        <w:jc w:val="both"/>
      </w:pPr>
      <w:r w:rsidRPr="009C7A0A">
        <w:t xml:space="preserve">Senāts atzīst, ka šajā kriminālprocesa stadijā nav tiesiska pamata piemērot drošības līdzekli apsūdzētajam </w:t>
      </w:r>
      <w:r w:rsidR="00AD50AB">
        <w:t>[pers. BN]</w:t>
      </w:r>
      <w:r w:rsidRPr="009C7A0A">
        <w:t>.</w:t>
      </w:r>
    </w:p>
    <w:p w14:paraId="2B0C91B1" w14:textId="77777777" w:rsidR="008418B4" w:rsidRPr="009C7A0A" w:rsidRDefault="008418B4" w:rsidP="009C7A0A">
      <w:pPr>
        <w:widowControl w:val="0"/>
        <w:spacing w:line="276" w:lineRule="auto"/>
        <w:contextualSpacing/>
        <w:jc w:val="center"/>
      </w:pPr>
    </w:p>
    <w:p w14:paraId="0067184B" w14:textId="5E8B8F7D" w:rsidR="00E865EE" w:rsidRPr="009C7A0A" w:rsidRDefault="00E865EE" w:rsidP="009C7A0A">
      <w:pPr>
        <w:widowControl w:val="0"/>
        <w:spacing w:line="276" w:lineRule="auto"/>
        <w:contextualSpacing/>
        <w:jc w:val="center"/>
        <w:rPr>
          <w:b/>
        </w:rPr>
      </w:pPr>
      <w:r w:rsidRPr="009C7A0A">
        <w:rPr>
          <w:b/>
        </w:rPr>
        <w:t>Rezolutīvā daļa</w:t>
      </w:r>
    </w:p>
    <w:p w14:paraId="427A4E79" w14:textId="77777777" w:rsidR="008418B4" w:rsidRPr="009C7A0A" w:rsidRDefault="008418B4" w:rsidP="009C7A0A">
      <w:pPr>
        <w:widowControl w:val="0"/>
        <w:spacing w:line="276" w:lineRule="auto"/>
        <w:ind w:firstLine="720"/>
        <w:contextualSpacing/>
        <w:jc w:val="center"/>
        <w:rPr>
          <w:b/>
        </w:rPr>
      </w:pPr>
    </w:p>
    <w:p w14:paraId="471B458F" w14:textId="77777777" w:rsidR="00E865EE" w:rsidRPr="009C7A0A" w:rsidRDefault="00E865EE" w:rsidP="009C7A0A">
      <w:pPr>
        <w:widowControl w:val="0"/>
        <w:spacing w:line="276" w:lineRule="auto"/>
        <w:ind w:firstLine="720"/>
        <w:contextualSpacing/>
        <w:jc w:val="both"/>
      </w:pPr>
      <w:r w:rsidRPr="009C7A0A">
        <w:t>Pamatojoties uz Kriminālprocesa likuma 585. pantu un 587. panta pirmās daļas 2. punktu, Senāts</w:t>
      </w:r>
    </w:p>
    <w:p w14:paraId="3B7A513E" w14:textId="77777777" w:rsidR="008418B4" w:rsidRPr="009C7A0A" w:rsidRDefault="008418B4" w:rsidP="009C7A0A">
      <w:pPr>
        <w:widowControl w:val="0"/>
        <w:spacing w:line="276" w:lineRule="auto"/>
        <w:contextualSpacing/>
        <w:jc w:val="center"/>
        <w:rPr>
          <w:b/>
        </w:rPr>
      </w:pPr>
    </w:p>
    <w:p w14:paraId="0274ECC1" w14:textId="69213EFD" w:rsidR="00E865EE" w:rsidRPr="009C7A0A" w:rsidRDefault="00E865EE" w:rsidP="009C7A0A">
      <w:pPr>
        <w:widowControl w:val="0"/>
        <w:spacing w:line="276" w:lineRule="auto"/>
        <w:contextualSpacing/>
        <w:jc w:val="center"/>
        <w:rPr>
          <w:b/>
        </w:rPr>
      </w:pPr>
      <w:r w:rsidRPr="009C7A0A">
        <w:rPr>
          <w:b/>
        </w:rPr>
        <w:t>nolēma</w:t>
      </w:r>
    </w:p>
    <w:p w14:paraId="5AAB548B" w14:textId="77777777" w:rsidR="00E865EE" w:rsidRPr="009C7A0A" w:rsidRDefault="00E865EE" w:rsidP="009C7A0A">
      <w:pPr>
        <w:widowControl w:val="0"/>
        <w:spacing w:line="276" w:lineRule="auto"/>
        <w:ind w:firstLine="720"/>
        <w:contextualSpacing/>
        <w:jc w:val="both"/>
      </w:pPr>
    </w:p>
    <w:p w14:paraId="79D74DAF" w14:textId="77777777" w:rsidR="00E865EE" w:rsidRPr="009C7A0A" w:rsidRDefault="00E865EE" w:rsidP="009C7A0A">
      <w:pPr>
        <w:widowControl w:val="0"/>
        <w:spacing w:line="276" w:lineRule="auto"/>
        <w:ind w:firstLine="720"/>
        <w:contextualSpacing/>
        <w:jc w:val="both"/>
      </w:pPr>
      <w:r w:rsidRPr="009C7A0A">
        <w:t>atcelt Rīgas apgabaltiesas 2023. gada 24. janvāra spriedumu daļā:</w:t>
      </w:r>
    </w:p>
    <w:p w14:paraId="53CC26B6" w14:textId="0F8578E5" w:rsidR="00E865EE" w:rsidRPr="009C7A0A" w:rsidRDefault="00E865EE" w:rsidP="009C7A0A">
      <w:pPr>
        <w:widowControl w:val="0"/>
        <w:spacing w:line="276" w:lineRule="auto"/>
        <w:ind w:firstLine="720"/>
        <w:contextualSpacing/>
        <w:jc w:val="both"/>
      </w:pPr>
      <w:r w:rsidRPr="009C7A0A">
        <w:t xml:space="preserve">par </w:t>
      </w:r>
      <w:r w:rsidR="00B012B6">
        <w:t>[pers. A]</w:t>
      </w:r>
      <w:r w:rsidRPr="009C7A0A">
        <w:t xml:space="preserve"> atzīšanu par vainīgu un sodīšanu pēc Krimināllikuma 239. panta otrās daļas (likuma redakcijā, kas stājās spēkā 2013. gada 1. aprīlī) un 123. panta otrās daļas, par noteikto galīgo sodu saskaņā ar Krimināllikuma 50. panta pirmo un otro daļu;</w:t>
      </w:r>
    </w:p>
    <w:p w14:paraId="59F602EF" w14:textId="3685C4C1" w:rsidR="00E865EE" w:rsidRPr="009C7A0A" w:rsidRDefault="00E865EE" w:rsidP="009C7A0A">
      <w:pPr>
        <w:widowControl w:val="0"/>
        <w:spacing w:line="276" w:lineRule="auto"/>
        <w:ind w:firstLine="720"/>
        <w:contextualSpacing/>
        <w:jc w:val="both"/>
      </w:pPr>
      <w:r w:rsidRPr="009C7A0A">
        <w:t xml:space="preserve">par </w:t>
      </w:r>
      <w:r w:rsidR="006F4C3C">
        <w:t>[pers. BI]</w:t>
      </w:r>
      <w:r w:rsidRPr="009C7A0A">
        <w:t xml:space="preserve"> atzīšanu par nevainīgu pret viņu celtajā apsūdzībā pēc Krimināllikuma 239. panta otrās daļas (likuma redakcijā, kas stājās spēkā 2013. gada 1. aprīlī) un 123. panta otrās daļas un attaisnošanu;</w:t>
      </w:r>
    </w:p>
    <w:p w14:paraId="4DDB7D77" w14:textId="5FDC0E8E" w:rsidR="00E865EE" w:rsidRPr="009C7A0A" w:rsidRDefault="00E865EE" w:rsidP="009C7A0A">
      <w:pPr>
        <w:widowControl w:val="0"/>
        <w:spacing w:line="276" w:lineRule="auto"/>
        <w:ind w:firstLine="720"/>
        <w:contextualSpacing/>
        <w:jc w:val="both"/>
      </w:pPr>
      <w:r w:rsidRPr="009C7A0A">
        <w:t xml:space="preserve">par </w:t>
      </w:r>
      <w:r w:rsidR="00901A23">
        <w:t>[pers. BK]</w:t>
      </w:r>
      <w:r w:rsidRPr="009C7A0A">
        <w:t xml:space="preserve"> atzīšanu par nevainīgu pret viņu celtajā apsūdzībā pēc Krimināllikuma 239. panta otrās daļas (likuma redakcijā, kas stājās spēkā 2013. gada 1. aprīlī) un 123. panta otrās daļas un attaisnošanu;</w:t>
      </w:r>
    </w:p>
    <w:p w14:paraId="7869149F" w14:textId="14DF91CA" w:rsidR="00E865EE" w:rsidRPr="009C7A0A" w:rsidRDefault="00E865EE" w:rsidP="009C7A0A">
      <w:pPr>
        <w:widowControl w:val="0"/>
        <w:spacing w:line="276" w:lineRule="auto"/>
        <w:ind w:firstLine="720"/>
        <w:contextualSpacing/>
        <w:jc w:val="both"/>
      </w:pPr>
      <w:r w:rsidRPr="009C7A0A">
        <w:t xml:space="preserve">par </w:t>
      </w:r>
      <w:r w:rsidR="0025547A">
        <w:t>[pers. BL]</w:t>
      </w:r>
      <w:r w:rsidRPr="009C7A0A">
        <w:t xml:space="preserve"> atzīšanu par nevainīgu pret viņu celtajā apsūdzībā pēc Krimināllikuma 239. panta otrās daļas (likuma redakcijā, kas stājās spēkā 2013. gada 1. aprīlī) un 123. panta otrās daļas un attaisnošanu;</w:t>
      </w:r>
    </w:p>
    <w:p w14:paraId="72490228" w14:textId="2476D7FF" w:rsidR="00E865EE" w:rsidRPr="009C7A0A" w:rsidRDefault="00E865EE" w:rsidP="009C7A0A">
      <w:pPr>
        <w:widowControl w:val="0"/>
        <w:spacing w:line="276" w:lineRule="auto"/>
        <w:ind w:firstLine="720"/>
        <w:contextualSpacing/>
        <w:jc w:val="both"/>
      </w:pPr>
      <w:r w:rsidRPr="009C7A0A">
        <w:t xml:space="preserve">par </w:t>
      </w:r>
      <w:r w:rsidR="00E366F3">
        <w:t>[pers. BN]</w:t>
      </w:r>
      <w:r w:rsidRPr="009C7A0A">
        <w:t xml:space="preserve"> atzīšanu par nevainīgu pret viņu celtajā apsūdzībā pēc Krimināllikuma 319. panta trešās daļas (likuma redakcijā, kas stājās spēkā 2013. gada 1. aprīlī) un attaisnošanu;</w:t>
      </w:r>
    </w:p>
    <w:p w14:paraId="75E4B608" w14:textId="77777777" w:rsidR="00E865EE" w:rsidRPr="009C7A0A" w:rsidRDefault="00E865EE" w:rsidP="009C7A0A">
      <w:pPr>
        <w:widowControl w:val="0"/>
        <w:spacing w:line="276" w:lineRule="auto"/>
        <w:ind w:firstLine="720"/>
        <w:contextualSpacing/>
        <w:jc w:val="both"/>
      </w:pPr>
      <w:r w:rsidRPr="009C7A0A">
        <w:t>par radītā kaitējuma kompensācijām;</w:t>
      </w:r>
    </w:p>
    <w:p w14:paraId="62285AB3" w14:textId="7695F2CE" w:rsidR="00E865EE" w:rsidRPr="009C7A0A" w:rsidRDefault="00E865EE" w:rsidP="009C7A0A">
      <w:pPr>
        <w:widowControl w:val="0"/>
        <w:spacing w:line="276" w:lineRule="auto"/>
        <w:ind w:firstLine="720"/>
        <w:contextualSpacing/>
        <w:jc w:val="both"/>
      </w:pPr>
      <w:r w:rsidRPr="009C7A0A">
        <w:t>par kriminālprocesa izbeigšanu daļā par piespiedu ietekmēšanas līdzekļa piemērošanu juridiskām personām SIA „</w:t>
      </w:r>
      <w:r w:rsidR="00337CD8">
        <w:t>[Nosaukums D]</w:t>
      </w:r>
      <w:r w:rsidRPr="009C7A0A">
        <w:t>” un SIA „</w:t>
      </w:r>
      <w:r w:rsidR="00337CD8">
        <w:t>[Nosaukums C]</w:t>
      </w:r>
      <w:r w:rsidRPr="009C7A0A">
        <w:t>”;</w:t>
      </w:r>
    </w:p>
    <w:p w14:paraId="050D2996" w14:textId="6B8FB6C5" w:rsidR="009132CD" w:rsidRPr="009C7A0A" w:rsidRDefault="009132CD" w:rsidP="00206346">
      <w:pPr>
        <w:widowControl w:val="0"/>
        <w:spacing w:line="276" w:lineRule="auto"/>
        <w:ind w:firstLine="720"/>
        <w:contextualSpacing/>
        <w:jc w:val="both"/>
      </w:pPr>
      <w:r w:rsidRPr="009C7A0A">
        <w:t xml:space="preserve">par aresta atcelšanu </w:t>
      </w:r>
      <w:r w:rsidR="00206346">
        <w:t>[pers. BI]</w:t>
      </w:r>
      <w:r w:rsidRPr="009C7A0A">
        <w:t xml:space="preserve">, </w:t>
      </w:r>
      <w:r w:rsidR="00206346">
        <w:t>[pers. BK]</w:t>
      </w:r>
      <w:r w:rsidRPr="009C7A0A">
        <w:t xml:space="preserve">, </w:t>
      </w:r>
      <w:r w:rsidR="00206346">
        <w:t>[pers. BL]</w:t>
      </w:r>
      <w:r w:rsidRPr="009C7A0A">
        <w:t xml:space="preserve"> mantai;</w:t>
      </w:r>
    </w:p>
    <w:p w14:paraId="412C605D" w14:textId="0F616B37" w:rsidR="00E865EE" w:rsidRPr="009C7A0A" w:rsidRDefault="00E865EE" w:rsidP="009C7A0A">
      <w:pPr>
        <w:widowControl w:val="0"/>
        <w:spacing w:line="276" w:lineRule="auto"/>
        <w:ind w:firstLine="720"/>
        <w:contextualSpacing/>
        <w:jc w:val="both"/>
      </w:pPr>
      <w:r w:rsidRPr="009C7A0A">
        <w:t xml:space="preserve">par procesuālo izdevumu segšanu no valsts līdzekļiem par apsūdzētajam </w:t>
      </w:r>
      <w:r w:rsidR="00D21392">
        <w:t>[pers. BN]</w:t>
      </w:r>
      <w:r w:rsidRPr="009C7A0A">
        <w:t xml:space="preserve"> nodrošināto juridisko palīdzību kriminālprocesā;</w:t>
      </w:r>
    </w:p>
    <w:p w14:paraId="5E79B9BB" w14:textId="77777777" w:rsidR="00E865EE" w:rsidRPr="009C7A0A" w:rsidRDefault="00E865EE" w:rsidP="009C7A0A">
      <w:pPr>
        <w:widowControl w:val="0"/>
        <w:spacing w:line="276" w:lineRule="auto"/>
        <w:ind w:firstLine="720"/>
        <w:contextualSpacing/>
        <w:jc w:val="both"/>
      </w:pPr>
      <w:r w:rsidRPr="009C7A0A">
        <w:t>atceltajā daļā nosūtīt lietu jaunai izskatīšanai Rīgas apgabaltiesā;</w:t>
      </w:r>
    </w:p>
    <w:p w14:paraId="7ED734FD" w14:textId="77777777" w:rsidR="00E865EE" w:rsidRPr="009C7A0A" w:rsidRDefault="00E865EE" w:rsidP="009C7A0A">
      <w:pPr>
        <w:widowControl w:val="0"/>
        <w:spacing w:line="276" w:lineRule="auto"/>
        <w:ind w:firstLine="720"/>
        <w:contextualSpacing/>
        <w:jc w:val="both"/>
      </w:pPr>
      <w:r w:rsidRPr="009C7A0A">
        <w:t>pārējā daļā Rīgas apgabaltiesas 2023. gada 24. janvāra spriedumu atstāt negrozītu;</w:t>
      </w:r>
    </w:p>
    <w:p w14:paraId="2118C9FE" w14:textId="2D578524" w:rsidR="00E865EE" w:rsidRPr="009C7A0A" w:rsidRDefault="00E865EE" w:rsidP="009C7A0A">
      <w:pPr>
        <w:widowControl w:val="0"/>
        <w:spacing w:line="276" w:lineRule="auto"/>
        <w:ind w:firstLine="720"/>
        <w:contextualSpacing/>
        <w:jc w:val="both"/>
      </w:pPr>
      <w:r w:rsidRPr="009C7A0A">
        <w:t xml:space="preserve">apsūdzētajam </w:t>
      </w:r>
      <w:r w:rsidR="007C3855">
        <w:t>[pers. A]</w:t>
      </w:r>
      <w:r w:rsidRPr="009C7A0A">
        <w:t xml:space="preserve"> turpināt piemērot drošības līdzekļus – uzturēšanos noteiktā vietā un aizliegumu izbraukt no valsts;</w:t>
      </w:r>
    </w:p>
    <w:p w14:paraId="4F09E752" w14:textId="1AD897ED" w:rsidR="00E865EE" w:rsidRPr="009C7A0A" w:rsidRDefault="00E865EE" w:rsidP="009C7A0A">
      <w:pPr>
        <w:widowControl w:val="0"/>
        <w:spacing w:line="276" w:lineRule="auto"/>
        <w:ind w:firstLine="720"/>
        <w:contextualSpacing/>
        <w:jc w:val="both"/>
      </w:pPr>
      <w:r w:rsidRPr="009C7A0A">
        <w:t xml:space="preserve">atcelt Rīgas apgabaltiesas 2023. gada 24. janvāra blakus lēmumu par kriminālprocesu veikušo amatpersonu rīcību daļā, ar kuru atzīts, ka Valsts ugunsdzēsības un glābšanas dienesta darbinieki un bojāgājušo darbinieku tuvinieki nepamatoti atzīti par cietušajiem kriminālprocesā, un šajā daļā </w:t>
      </w:r>
      <w:r w:rsidR="009132CD" w:rsidRPr="009C7A0A">
        <w:t>blakus lēmumu</w:t>
      </w:r>
      <w:r w:rsidR="00D32E0B" w:rsidRPr="009C7A0A">
        <w:t xml:space="preserve"> </w:t>
      </w:r>
      <w:r w:rsidRPr="009C7A0A">
        <w:t>izbeigt. Pārējā daļā blakus lēmumu atstāt negrozītu;</w:t>
      </w:r>
    </w:p>
    <w:p w14:paraId="49FC0AA8" w14:textId="77777777" w:rsidR="00E865EE" w:rsidRPr="009C7A0A" w:rsidRDefault="00E865EE" w:rsidP="009C7A0A">
      <w:pPr>
        <w:widowControl w:val="0"/>
        <w:spacing w:line="276" w:lineRule="auto"/>
        <w:ind w:firstLine="720"/>
        <w:contextualSpacing/>
        <w:jc w:val="both"/>
      </w:pPr>
      <w:r w:rsidRPr="009C7A0A">
        <w:t xml:space="preserve">atstāt negrozītu Rīgas apgabaltiesas 2023. gada 24. janvāra blakus lēmumu, kurā Rīgas tiesas apgabala prokuratūras virsprokuroram norādīts uz nepieciešamību izlemt jautājumu par kriminālprocesa uzsākšanu saistībā ar krimināllietas Nr. 11511002713 </w:t>
      </w:r>
      <w:r w:rsidRPr="009C7A0A">
        <w:lastRenderedPageBreak/>
        <w:t>iztiesāšanas laikā iegūtajām ziņām par iespējamo dokumentu viltošanu;</w:t>
      </w:r>
    </w:p>
    <w:p w14:paraId="6531AF03" w14:textId="77777777" w:rsidR="00E865EE" w:rsidRPr="009C7A0A" w:rsidRDefault="00E865EE" w:rsidP="009C7A0A">
      <w:pPr>
        <w:widowControl w:val="0"/>
        <w:spacing w:line="276" w:lineRule="auto"/>
        <w:ind w:firstLine="720"/>
        <w:contextualSpacing/>
        <w:jc w:val="both"/>
      </w:pPr>
      <w:r w:rsidRPr="009C7A0A">
        <w:t>atstāt negrozītu Rīgas apgabaltiesas 2023. gada 24. janvāra blakus lēmumu, kurā Rīgas pilsētas tiesas priekšsēdētājai norādīts uz tiesas pieļautajiem procesuālajiem pārkāpumiem;</w:t>
      </w:r>
    </w:p>
    <w:p w14:paraId="3E13FA14" w14:textId="54495EAA" w:rsidR="00E865EE" w:rsidRPr="009C7A0A" w:rsidRDefault="00E865EE" w:rsidP="009C7A0A">
      <w:pPr>
        <w:widowControl w:val="0"/>
        <w:spacing w:line="276" w:lineRule="auto"/>
        <w:ind w:firstLine="720"/>
        <w:contextualSpacing/>
        <w:jc w:val="both"/>
      </w:pPr>
      <w:r w:rsidRPr="009C7A0A">
        <w:t xml:space="preserve">atstāt negrozītu Rīgas apgabaltiesas 2023. gada 24. janvāra blakus lēmumu, kurā Latvijas Zvērinātu advokātu padomei norādīts uz zvērinātas advokātes Jevgenijas </w:t>
      </w:r>
      <w:proofErr w:type="spellStart"/>
      <w:r w:rsidRPr="009C7A0A">
        <w:t>Tverjanovičas</w:t>
      </w:r>
      <w:r w:rsidRPr="009C7A0A">
        <w:noBreakHyphen/>
        <w:t>Bores</w:t>
      </w:r>
      <w:proofErr w:type="spellEnd"/>
      <w:r w:rsidRPr="009C7A0A">
        <w:t xml:space="preserve"> rīcību, īstenojot cietušā </w:t>
      </w:r>
      <w:r w:rsidR="00C56E51">
        <w:t>[pers. BG]</w:t>
      </w:r>
      <w:r w:rsidRPr="009C7A0A">
        <w:t xml:space="preserve"> pārstāvību kriminālprocesā Nr. 11511002713 apelācijas instances tiesā.</w:t>
      </w:r>
    </w:p>
    <w:p w14:paraId="1F6DB200" w14:textId="77777777" w:rsidR="00E865EE" w:rsidRPr="009C7A0A" w:rsidRDefault="00E865EE" w:rsidP="009C7A0A">
      <w:pPr>
        <w:widowControl w:val="0"/>
        <w:spacing w:line="276" w:lineRule="auto"/>
        <w:ind w:firstLine="720"/>
        <w:contextualSpacing/>
        <w:jc w:val="both"/>
      </w:pPr>
    </w:p>
    <w:p w14:paraId="4E527095" w14:textId="77777777" w:rsidR="00E865EE" w:rsidRPr="009C7A0A" w:rsidRDefault="00E865EE" w:rsidP="009C7A0A">
      <w:pPr>
        <w:widowControl w:val="0"/>
        <w:spacing w:line="276" w:lineRule="auto"/>
        <w:ind w:firstLine="720"/>
        <w:contextualSpacing/>
        <w:jc w:val="both"/>
      </w:pPr>
      <w:r w:rsidRPr="009C7A0A">
        <w:t>Lēmums nav pārsūdzams.</w:t>
      </w:r>
    </w:p>
    <w:p w14:paraId="4BB5E203" w14:textId="77777777" w:rsidR="00E865EE" w:rsidRPr="009C7A0A" w:rsidRDefault="00E865EE" w:rsidP="009C7A0A">
      <w:pPr>
        <w:widowControl w:val="0"/>
        <w:spacing w:line="276" w:lineRule="auto"/>
        <w:ind w:firstLine="720"/>
        <w:contextualSpacing/>
        <w:jc w:val="both"/>
      </w:pPr>
    </w:p>
    <w:p w14:paraId="1BAC7DC9" w14:textId="77777777" w:rsidR="00E865EE" w:rsidRPr="009C7A0A" w:rsidRDefault="00E865EE" w:rsidP="009C7A0A">
      <w:pPr>
        <w:widowControl w:val="0"/>
        <w:spacing w:line="276" w:lineRule="auto"/>
        <w:ind w:firstLine="720"/>
        <w:contextualSpacing/>
        <w:jc w:val="both"/>
      </w:pPr>
    </w:p>
    <w:p w14:paraId="651F6B52" w14:textId="77777777" w:rsidR="00584969" w:rsidRPr="009C7A0A" w:rsidRDefault="00584969" w:rsidP="009C7A0A">
      <w:pPr>
        <w:widowControl w:val="0"/>
        <w:spacing w:line="276" w:lineRule="auto"/>
        <w:ind w:firstLine="720"/>
        <w:contextualSpacing/>
        <w:jc w:val="both"/>
      </w:pPr>
    </w:p>
    <w:p w14:paraId="436242B0" w14:textId="77777777" w:rsidR="00E865EE" w:rsidRPr="009C7A0A" w:rsidRDefault="00E865EE" w:rsidP="009C7A0A">
      <w:pPr>
        <w:widowControl w:val="0"/>
        <w:spacing w:line="276" w:lineRule="auto"/>
        <w:ind w:firstLine="720"/>
        <w:contextualSpacing/>
        <w:jc w:val="both"/>
      </w:pPr>
    </w:p>
    <w:p w14:paraId="7CA35075" w14:textId="77777777" w:rsidR="008460C1" w:rsidRPr="009C7A0A" w:rsidRDefault="008460C1" w:rsidP="00BD5C37">
      <w:pPr>
        <w:widowControl w:val="0"/>
        <w:spacing w:line="276" w:lineRule="auto"/>
        <w:contextualSpacing/>
        <w:jc w:val="both"/>
      </w:pPr>
    </w:p>
    <w:sectPr w:rsidR="008460C1" w:rsidRPr="009C7A0A" w:rsidSect="009C7A0A">
      <w:footerReference w:type="default" r:id="rId29"/>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03220" w14:textId="77777777" w:rsidR="0037150E" w:rsidRDefault="0037150E" w:rsidP="00F954DC">
      <w:r>
        <w:separator/>
      </w:r>
    </w:p>
  </w:endnote>
  <w:endnote w:type="continuationSeparator" w:id="0">
    <w:p w14:paraId="328414FD" w14:textId="77777777" w:rsidR="0037150E" w:rsidRDefault="0037150E" w:rsidP="00F95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956980451"/>
      <w:docPartObj>
        <w:docPartGallery w:val="Page Numbers (Bottom of Page)"/>
        <w:docPartUnique/>
      </w:docPartObj>
    </w:sdtPr>
    <w:sdtEndPr/>
    <w:sdtContent>
      <w:sdt>
        <w:sdtPr>
          <w:rPr>
            <w:sz w:val="20"/>
            <w:szCs w:val="20"/>
          </w:rPr>
          <w:id w:val="1174615034"/>
          <w:docPartObj>
            <w:docPartGallery w:val="Page Numbers (Top of Page)"/>
            <w:docPartUnique/>
          </w:docPartObj>
        </w:sdtPr>
        <w:sdtEndPr/>
        <w:sdtContent>
          <w:p w14:paraId="6AC00B50" w14:textId="77777777" w:rsidR="00A323E1" w:rsidRPr="00A323E1" w:rsidRDefault="00A323E1">
            <w:pPr>
              <w:pStyle w:val="Footer"/>
              <w:jc w:val="center"/>
              <w:rPr>
                <w:sz w:val="20"/>
                <w:szCs w:val="20"/>
              </w:rPr>
            </w:pPr>
            <w:r w:rsidRPr="00A323E1">
              <w:rPr>
                <w:sz w:val="20"/>
                <w:szCs w:val="20"/>
              </w:rPr>
              <w:fldChar w:fldCharType="begin"/>
            </w:r>
            <w:r w:rsidRPr="00A323E1">
              <w:rPr>
                <w:sz w:val="20"/>
                <w:szCs w:val="20"/>
              </w:rPr>
              <w:instrText xml:space="preserve"> PAGE </w:instrText>
            </w:r>
            <w:r w:rsidRPr="00A323E1">
              <w:rPr>
                <w:sz w:val="20"/>
                <w:szCs w:val="20"/>
              </w:rPr>
              <w:fldChar w:fldCharType="separate"/>
            </w:r>
            <w:r w:rsidRPr="00A323E1">
              <w:rPr>
                <w:noProof/>
                <w:sz w:val="20"/>
                <w:szCs w:val="20"/>
              </w:rPr>
              <w:t>2</w:t>
            </w:r>
            <w:r w:rsidRPr="00A323E1">
              <w:rPr>
                <w:sz w:val="20"/>
                <w:szCs w:val="20"/>
              </w:rPr>
              <w:fldChar w:fldCharType="end"/>
            </w:r>
            <w:r w:rsidRPr="00A323E1">
              <w:rPr>
                <w:sz w:val="20"/>
                <w:szCs w:val="20"/>
              </w:rPr>
              <w:t xml:space="preserve"> no </w:t>
            </w:r>
            <w:r w:rsidRPr="00A323E1">
              <w:rPr>
                <w:sz w:val="20"/>
                <w:szCs w:val="20"/>
              </w:rPr>
              <w:fldChar w:fldCharType="begin"/>
            </w:r>
            <w:r w:rsidRPr="00A323E1">
              <w:rPr>
                <w:sz w:val="20"/>
                <w:szCs w:val="20"/>
              </w:rPr>
              <w:instrText xml:space="preserve"> NUMPAGES  </w:instrText>
            </w:r>
            <w:r w:rsidRPr="00A323E1">
              <w:rPr>
                <w:sz w:val="20"/>
                <w:szCs w:val="20"/>
              </w:rPr>
              <w:fldChar w:fldCharType="separate"/>
            </w:r>
            <w:r w:rsidRPr="00A323E1">
              <w:rPr>
                <w:noProof/>
                <w:sz w:val="20"/>
                <w:szCs w:val="20"/>
              </w:rPr>
              <w:t>2</w:t>
            </w:r>
            <w:r w:rsidRPr="00A323E1">
              <w:rPr>
                <w:noProof/>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98421" w14:textId="77777777" w:rsidR="0037150E" w:rsidRDefault="0037150E" w:rsidP="00F954DC">
      <w:r>
        <w:separator/>
      </w:r>
    </w:p>
  </w:footnote>
  <w:footnote w:type="continuationSeparator" w:id="0">
    <w:p w14:paraId="2E2233EE" w14:textId="77777777" w:rsidR="0037150E" w:rsidRDefault="0037150E" w:rsidP="00F954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98DE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3C6D45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4496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5E6E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DD88C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CA117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32400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EE24E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66C2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A4A2B5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090CC1"/>
    <w:multiLevelType w:val="hybridMultilevel"/>
    <w:tmpl w:val="CABC27C6"/>
    <w:lvl w:ilvl="0" w:tplc="2D08F1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06883006"/>
    <w:multiLevelType w:val="hybridMultilevel"/>
    <w:tmpl w:val="3EE68F8E"/>
    <w:lvl w:ilvl="0" w:tplc="2E4EDC9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09E25012"/>
    <w:multiLevelType w:val="hybridMultilevel"/>
    <w:tmpl w:val="F7D89A2C"/>
    <w:lvl w:ilvl="0" w:tplc="9EC2FF26">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10511A32"/>
    <w:multiLevelType w:val="hybridMultilevel"/>
    <w:tmpl w:val="5AAE1AB2"/>
    <w:lvl w:ilvl="0" w:tplc="CB2AC7C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10CB7661"/>
    <w:multiLevelType w:val="hybridMultilevel"/>
    <w:tmpl w:val="E836F5D4"/>
    <w:lvl w:ilvl="0" w:tplc="49D614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125E4DE8"/>
    <w:multiLevelType w:val="hybridMultilevel"/>
    <w:tmpl w:val="1E948F1C"/>
    <w:lvl w:ilvl="0" w:tplc="C6902F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32FA4F6F"/>
    <w:multiLevelType w:val="hybridMultilevel"/>
    <w:tmpl w:val="0CBA93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5D867AD"/>
    <w:multiLevelType w:val="hybridMultilevel"/>
    <w:tmpl w:val="DE343546"/>
    <w:lvl w:ilvl="0" w:tplc="AB7EB01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B766FAE"/>
    <w:multiLevelType w:val="hybridMultilevel"/>
    <w:tmpl w:val="4C8CF464"/>
    <w:lvl w:ilvl="0" w:tplc="3014D1C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2044CA9"/>
    <w:multiLevelType w:val="hybridMultilevel"/>
    <w:tmpl w:val="5128FE7E"/>
    <w:lvl w:ilvl="0" w:tplc="9544CF3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0" w15:restartNumberingAfterBreak="0">
    <w:nsid w:val="43C93AD8"/>
    <w:multiLevelType w:val="hybridMultilevel"/>
    <w:tmpl w:val="65B414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50A5889"/>
    <w:multiLevelType w:val="hybridMultilevel"/>
    <w:tmpl w:val="82462810"/>
    <w:lvl w:ilvl="0" w:tplc="7548C71C">
      <w:start w:val="1"/>
      <w:numFmt w:val="decimal"/>
      <w:lvlText w:val="%1."/>
      <w:lvlJc w:val="left"/>
      <w:pPr>
        <w:ind w:left="720" w:hanging="360"/>
      </w:pPr>
      <w:rPr>
        <w:rFonts w:hint="default"/>
      </w:rPr>
    </w:lvl>
    <w:lvl w:ilvl="1" w:tplc="1304BDAC" w:tentative="1">
      <w:start w:val="1"/>
      <w:numFmt w:val="lowerLetter"/>
      <w:lvlText w:val="%2."/>
      <w:lvlJc w:val="left"/>
      <w:pPr>
        <w:ind w:left="1440" w:hanging="360"/>
      </w:pPr>
    </w:lvl>
    <w:lvl w:ilvl="2" w:tplc="0F767C5C" w:tentative="1">
      <w:start w:val="1"/>
      <w:numFmt w:val="lowerRoman"/>
      <w:lvlText w:val="%3."/>
      <w:lvlJc w:val="right"/>
      <w:pPr>
        <w:ind w:left="2160" w:hanging="180"/>
      </w:pPr>
    </w:lvl>
    <w:lvl w:ilvl="3" w:tplc="4D2AB9A6" w:tentative="1">
      <w:start w:val="1"/>
      <w:numFmt w:val="decimal"/>
      <w:lvlText w:val="%4."/>
      <w:lvlJc w:val="left"/>
      <w:pPr>
        <w:ind w:left="2880" w:hanging="360"/>
      </w:pPr>
    </w:lvl>
    <w:lvl w:ilvl="4" w:tplc="8EA4A794" w:tentative="1">
      <w:start w:val="1"/>
      <w:numFmt w:val="lowerLetter"/>
      <w:lvlText w:val="%5."/>
      <w:lvlJc w:val="left"/>
      <w:pPr>
        <w:ind w:left="3600" w:hanging="360"/>
      </w:pPr>
    </w:lvl>
    <w:lvl w:ilvl="5" w:tplc="74E02D50" w:tentative="1">
      <w:start w:val="1"/>
      <w:numFmt w:val="lowerRoman"/>
      <w:lvlText w:val="%6."/>
      <w:lvlJc w:val="right"/>
      <w:pPr>
        <w:ind w:left="4320" w:hanging="180"/>
      </w:pPr>
    </w:lvl>
    <w:lvl w:ilvl="6" w:tplc="CA603E2A" w:tentative="1">
      <w:start w:val="1"/>
      <w:numFmt w:val="decimal"/>
      <w:lvlText w:val="%7."/>
      <w:lvlJc w:val="left"/>
      <w:pPr>
        <w:ind w:left="5040" w:hanging="360"/>
      </w:pPr>
    </w:lvl>
    <w:lvl w:ilvl="7" w:tplc="40F210E8" w:tentative="1">
      <w:start w:val="1"/>
      <w:numFmt w:val="lowerLetter"/>
      <w:lvlText w:val="%8."/>
      <w:lvlJc w:val="left"/>
      <w:pPr>
        <w:ind w:left="5760" w:hanging="360"/>
      </w:pPr>
    </w:lvl>
    <w:lvl w:ilvl="8" w:tplc="0B565266" w:tentative="1">
      <w:start w:val="1"/>
      <w:numFmt w:val="lowerRoman"/>
      <w:lvlText w:val="%9."/>
      <w:lvlJc w:val="right"/>
      <w:pPr>
        <w:ind w:left="6480" w:hanging="180"/>
      </w:pPr>
    </w:lvl>
  </w:abstractNum>
  <w:abstractNum w:abstractNumId="22" w15:restartNumberingAfterBreak="0">
    <w:nsid w:val="454653F2"/>
    <w:multiLevelType w:val="hybridMultilevel"/>
    <w:tmpl w:val="998E7F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6530F9E"/>
    <w:multiLevelType w:val="hybridMultilevel"/>
    <w:tmpl w:val="AA368612"/>
    <w:lvl w:ilvl="0" w:tplc="C4769CE6">
      <w:start w:val="1"/>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46B6679A"/>
    <w:multiLevelType w:val="hybridMultilevel"/>
    <w:tmpl w:val="67EC63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0C758E"/>
    <w:multiLevelType w:val="hybridMultilevel"/>
    <w:tmpl w:val="88F46F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03D7837"/>
    <w:multiLevelType w:val="hybridMultilevel"/>
    <w:tmpl w:val="D1E4C4E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54CC5DFF"/>
    <w:multiLevelType w:val="hybridMultilevel"/>
    <w:tmpl w:val="40F0A800"/>
    <w:lvl w:ilvl="0" w:tplc="D76012AA">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59294A74"/>
    <w:multiLevelType w:val="hybridMultilevel"/>
    <w:tmpl w:val="AAAAACDA"/>
    <w:lvl w:ilvl="0" w:tplc="29727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5A97228A"/>
    <w:multiLevelType w:val="hybridMultilevel"/>
    <w:tmpl w:val="1EF61754"/>
    <w:lvl w:ilvl="0" w:tplc="4FC6D66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0" w15:restartNumberingAfterBreak="0">
    <w:nsid w:val="65AA0024"/>
    <w:multiLevelType w:val="hybridMultilevel"/>
    <w:tmpl w:val="E530EC7C"/>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69582E63"/>
    <w:multiLevelType w:val="hybridMultilevel"/>
    <w:tmpl w:val="3EE42672"/>
    <w:lvl w:ilvl="0" w:tplc="33689BF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2" w15:restartNumberingAfterBreak="0">
    <w:nsid w:val="6A0D3915"/>
    <w:multiLevelType w:val="hybridMultilevel"/>
    <w:tmpl w:val="14B6DF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06931D5"/>
    <w:multiLevelType w:val="hybridMultilevel"/>
    <w:tmpl w:val="65DAF176"/>
    <w:lvl w:ilvl="0" w:tplc="C8FAAF90">
      <w:start w:val="1"/>
      <w:numFmt w:val="decimal"/>
      <w:pStyle w:val="ML-5tx-pti"/>
      <w:lvlText w:val="%1)"/>
      <w:lvlJc w:val="left"/>
      <w:pPr>
        <w:ind w:left="1004" w:hanging="360"/>
      </w:pPr>
      <w:rPr>
        <w:rFonts w:ascii="Times New Roman" w:eastAsiaTheme="minorHAnsi" w:hAnsi="Times New Roman" w:cs="Times New Roman"/>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4" w15:restartNumberingAfterBreak="0">
    <w:nsid w:val="779A2F7A"/>
    <w:multiLevelType w:val="hybridMultilevel"/>
    <w:tmpl w:val="03F65E7C"/>
    <w:lvl w:ilvl="0" w:tplc="6B8A110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ADE56F0"/>
    <w:multiLevelType w:val="hybridMultilevel"/>
    <w:tmpl w:val="09BCD4C6"/>
    <w:lvl w:ilvl="0" w:tplc="34FC079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6" w15:restartNumberingAfterBreak="0">
    <w:nsid w:val="7B1E6EBD"/>
    <w:multiLevelType w:val="hybridMultilevel"/>
    <w:tmpl w:val="5E32FC5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E2A6E27"/>
    <w:multiLevelType w:val="hybridMultilevel"/>
    <w:tmpl w:val="CFA0C8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EC75C87"/>
    <w:multiLevelType w:val="hybridMultilevel"/>
    <w:tmpl w:val="FB627F36"/>
    <w:lvl w:ilvl="0" w:tplc="3014D1C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48216821">
    <w:abstractNumId w:val="35"/>
  </w:num>
  <w:num w:numId="2" w16cid:durableId="1681857420">
    <w:abstractNumId w:val="19"/>
  </w:num>
  <w:num w:numId="3" w16cid:durableId="8296389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018237">
    <w:abstractNumId w:val="18"/>
  </w:num>
  <w:num w:numId="5" w16cid:durableId="2142266243">
    <w:abstractNumId w:val="38"/>
  </w:num>
  <w:num w:numId="6" w16cid:durableId="1566800512">
    <w:abstractNumId w:val="12"/>
  </w:num>
  <w:num w:numId="7" w16cid:durableId="1460997405">
    <w:abstractNumId w:val="24"/>
  </w:num>
  <w:num w:numId="8" w16cid:durableId="1432697745">
    <w:abstractNumId w:val="13"/>
  </w:num>
  <w:num w:numId="9" w16cid:durableId="1822500715">
    <w:abstractNumId w:val="23"/>
  </w:num>
  <w:num w:numId="10" w16cid:durableId="1454443298">
    <w:abstractNumId w:val="25"/>
  </w:num>
  <w:num w:numId="11" w16cid:durableId="1877498073">
    <w:abstractNumId w:val="22"/>
  </w:num>
  <w:num w:numId="12" w16cid:durableId="77945449">
    <w:abstractNumId w:val="36"/>
  </w:num>
  <w:num w:numId="13" w16cid:durableId="516697017">
    <w:abstractNumId w:val="16"/>
  </w:num>
  <w:num w:numId="14" w16cid:durableId="1942839813">
    <w:abstractNumId w:val="20"/>
  </w:num>
  <w:num w:numId="15" w16cid:durableId="1651059249">
    <w:abstractNumId w:val="37"/>
  </w:num>
  <w:num w:numId="16" w16cid:durableId="896401662">
    <w:abstractNumId w:val="0"/>
  </w:num>
  <w:num w:numId="17" w16cid:durableId="981690434">
    <w:abstractNumId w:val="1"/>
  </w:num>
  <w:num w:numId="18" w16cid:durableId="671370995">
    <w:abstractNumId w:val="2"/>
  </w:num>
  <w:num w:numId="19" w16cid:durableId="1708144683">
    <w:abstractNumId w:val="3"/>
  </w:num>
  <w:num w:numId="20" w16cid:durableId="1819347494">
    <w:abstractNumId w:val="4"/>
  </w:num>
  <w:num w:numId="21" w16cid:durableId="1019812203">
    <w:abstractNumId w:val="5"/>
  </w:num>
  <w:num w:numId="22" w16cid:durableId="2113667260">
    <w:abstractNumId w:val="6"/>
  </w:num>
  <w:num w:numId="23" w16cid:durableId="764959496">
    <w:abstractNumId w:val="7"/>
  </w:num>
  <w:num w:numId="24" w16cid:durableId="828864821">
    <w:abstractNumId w:val="8"/>
  </w:num>
  <w:num w:numId="25" w16cid:durableId="1202789762">
    <w:abstractNumId w:val="9"/>
  </w:num>
  <w:num w:numId="26" w16cid:durableId="1761368199">
    <w:abstractNumId w:val="27"/>
  </w:num>
  <w:num w:numId="27" w16cid:durableId="1892224228">
    <w:abstractNumId w:val="30"/>
  </w:num>
  <w:num w:numId="28" w16cid:durableId="818153779">
    <w:abstractNumId w:val="31"/>
  </w:num>
  <w:num w:numId="29" w16cid:durableId="942154150">
    <w:abstractNumId w:val="29"/>
  </w:num>
  <w:num w:numId="30" w16cid:durableId="1769815111">
    <w:abstractNumId w:val="33"/>
  </w:num>
  <w:num w:numId="31" w16cid:durableId="1672684718">
    <w:abstractNumId w:val="17"/>
  </w:num>
  <w:num w:numId="32" w16cid:durableId="1156724499">
    <w:abstractNumId w:val="28"/>
  </w:num>
  <w:num w:numId="33" w16cid:durableId="939414832">
    <w:abstractNumId w:val="15"/>
  </w:num>
  <w:num w:numId="34" w16cid:durableId="50538289">
    <w:abstractNumId w:val="34"/>
  </w:num>
  <w:num w:numId="35" w16cid:durableId="2088185490">
    <w:abstractNumId w:val="21"/>
  </w:num>
  <w:num w:numId="36" w16cid:durableId="943533679">
    <w:abstractNumId w:val="11"/>
  </w:num>
  <w:num w:numId="37" w16cid:durableId="718281135">
    <w:abstractNumId w:val="10"/>
  </w:num>
  <w:num w:numId="38" w16cid:durableId="149323261">
    <w:abstractNumId w:val="14"/>
  </w:num>
  <w:num w:numId="39" w16cid:durableId="198268982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292"/>
    <w:rsid w:val="00000344"/>
    <w:rsid w:val="00000356"/>
    <w:rsid w:val="00000407"/>
    <w:rsid w:val="00000844"/>
    <w:rsid w:val="00001084"/>
    <w:rsid w:val="00001114"/>
    <w:rsid w:val="0000178F"/>
    <w:rsid w:val="000019BF"/>
    <w:rsid w:val="0000235B"/>
    <w:rsid w:val="0000244C"/>
    <w:rsid w:val="00002543"/>
    <w:rsid w:val="00002DDF"/>
    <w:rsid w:val="00003653"/>
    <w:rsid w:val="00003E8F"/>
    <w:rsid w:val="00003F49"/>
    <w:rsid w:val="00004045"/>
    <w:rsid w:val="0000468A"/>
    <w:rsid w:val="00004A02"/>
    <w:rsid w:val="00004F28"/>
    <w:rsid w:val="000052F6"/>
    <w:rsid w:val="00005306"/>
    <w:rsid w:val="00005812"/>
    <w:rsid w:val="00005827"/>
    <w:rsid w:val="00005CA8"/>
    <w:rsid w:val="00005CC1"/>
    <w:rsid w:val="000061AE"/>
    <w:rsid w:val="000068EB"/>
    <w:rsid w:val="00006B69"/>
    <w:rsid w:val="00006BD7"/>
    <w:rsid w:val="00006D40"/>
    <w:rsid w:val="00006DEE"/>
    <w:rsid w:val="00007072"/>
    <w:rsid w:val="00007415"/>
    <w:rsid w:val="00007AE8"/>
    <w:rsid w:val="00007BD5"/>
    <w:rsid w:val="0001058A"/>
    <w:rsid w:val="0001090B"/>
    <w:rsid w:val="0001097A"/>
    <w:rsid w:val="000109F9"/>
    <w:rsid w:val="00010A4F"/>
    <w:rsid w:val="0001156A"/>
    <w:rsid w:val="00011A3A"/>
    <w:rsid w:val="00011A59"/>
    <w:rsid w:val="00012506"/>
    <w:rsid w:val="00012788"/>
    <w:rsid w:val="00012BC4"/>
    <w:rsid w:val="00013059"/>
    <w:rsid w:val="000133AB"/>
    <w:rsid w:val="00013A56"/>
    <w:rsid w:val="00014270"/>
    <w:rsid w:val="00014690"/>
    <w:rsid w:val="000148CB"/>
    <w:rsid w:val="000148FB"/>
    <w:rsid w:val="00014B7D"/>
    <w:rsid w:val="00014DDC"/>
    <w:rsid w:val="00015113"/>
    <w:rsid w:val="0001511C"/>
    <w:rsid w:val="0001583A"/>
    <w:rsid w:val="00015A0B"/>
    <w:rsid w:val="00015BA8"/>
    <w:rsid w:val="00015D26"/>
    <w:rsid w:val="00016413"/>
    <w:rsid w:val="00016E03"/>
    <w:rsid w:val="00016F85"/>
    <w:rsid w:val="00017417"/>
    <w:rsid w:val="00017667"/>
    <w:rsid w:val="00017B35"/>
    <w:rsid w:val="00017E24"/>
    <w:rsid w:val="00017F3B"/>
    <w:rsid w:val="0002015C"/>
    <w:rsid w:val="00020214"/>
    <w:rsid w:val="00020274"/>
    <w:rsid w:val="000202B2"/>
    <w:rsid w:val="00020622"/>
    <w:rsid w:val="0002069C"/>
    <w:rsid w:val="00020731"/>
    <w:rsid w:val="00020B32"/>
    <w:rsid w:val="0002142D"/>
    <w:rsid w:val="0002152D"/>
    <w:rsid w:val="0002153F"/>
    <w:rsid w:val="00021838"/>
    <w:rsid w:val="0002264D"/>
    <w:rsid w:val="0002269E"/>
    <w:rsid w:val="000226E1"/>
    <w:rsid w:val="00022969"/>
    <w:rsid w:val="000236CC"/>
    <w:rsid w:val="00023D78"/>
    <w:rsid w:val="00024171"/>
    <w:rsid w:val="00024382"/>
    <w:rsid w:val="00024A6D"/>
    <w:rsid w:val="00024FC1"/>
    <w:rsid w:val="00024FD3"/>
    <w:rsid w:val="00026352"/>
    <w:rsid w:val="00026E11"/>
    <w:rsid w:val="00027199"/>
    <w:rsid w:val="00027403"/>
    <w:rsid w:val="00027D6B"/>
    <w:rsid w:val="00027F62"/>
    <w:rsid w:val="00030506"/>
    <w:rsid w:val="0003120B"/>
    <w:rsid w:val="000315C4"/>
    <w:rsid w:val="00031A19"/>
    <w:rsid w:val="00031C67"/>
    <w:rsid w:val="00031F2A"/>
    <w:rsid w:val="0003256C"/>
    <w:rsid w:val="0003289A"/>
    <w:rsid w:val="00032927"/>
    <w:rsid w:val="00033458"/>
    <w:rsid w:val="000336BA"/>
    <w:rsid w:val="00033774"/>
    <w:rsid w:val="00033E31"/>
    <w:rsid w:val="000341C5"/>
    <w:rsid w:val="000347FB"/>
    <w:rsid w:val="00034D9A"/>
    <w:rsid w:val="0003514B"/>
    <w:rsid w:val="0003522A"/>
    <w:rsid w:val="000353F6"/>
    <w:rsid w:val="00035FA1"/>
    <w:rsid w:val="0003608D"/>
    <w:rsid w:val="00036A4E"/>
    <w:rsid w:val="000376A9"/>
    <w:rsid w:val="00037B65"/>
    <w:rsid w:val="000404EA"/>
    <w:rsid w:val="00040A97"/>
    <w:rsid w:val="00040BA3"/>
    <w:rsid w:val="00040D11"/>
    <w:rsid w:val="00040D57"/>
    <w:rsid w:val="00041F93"/>
    <w:rsid w:val="00042354"/>
    <w:rsid w:val="00042D04"/>
    <w:rsid w:val="000433BE"/>
    <w:rsid w:val="0004359F"/>
    <w:rsid w:val="00043BED"/>
    <w:rsid w:val="00043E18"/>
    <w:rsid w:val="000453F9"/>
    <w:rsid w:val="000454CC"/>
    <w:rsid w:val="000454DE"/>
    <w:rsid w:val="0004564B"/>
    <w:rsid w:val="00045744"/>
    <w:rsid w:val="0004587F"/>
    <w:rsid w:val="00045A7D"/>
    <w:rsid w:val="00045C59"/>
    <w:rsid w:val="00046460"/>
    <w:rsid w:val="00046932"/>
    <w:rsid w:val="0004712A"/>
    <w:rsid w:val="000471A2"/>
    <w:rsid w:val="0004723D"/>
    <w:rsid w:val="000474B4"/>
    <w:rsid w:val="0005028B"/>
    <w:rsid w:val="000507C2"/>
    <w:rsid w:val="00050E8B"/>
    <w:rsid w:val="00050FC8"/>
    <w:rsid w:val="0005111F"/>
    <w:rsid w:val="000512D4"/>
    <w:rsid w:val="000518B7"/>
    <w:rsid w:val="000522AD"/>
    <w:rsid w:val="000527EE"/>
    <w:rsid w:val="0005287B"/>
    <w:rsid w:val="00052AD7"/>
    <w:rsid w:val="00052C9E"/>
    <w:rsid w:val="0005461F"/>
    <w:rsid w:val="00054949"/>
    <w:rsid w:val="00054B56"/>
    <w:rsid w:val="00055364"/>
    <w:rsid w:val="0005564C"/>
    <w:rsid w:val="000556FD"/>
    <w:rsid w:val="00055839"/>
    <w:rsid w:val="00055BAC"/>
    <w:rsid w:val="0005709E"/>
    <w:rsid w:val="00057173"/>
    <w:rsid w:val="0005731C"/>
    <w:rsid w:val="00057FE3"/>
    <w:rsid w:val="00060575"/>
    <w:rsid w:val="000605FC"/>
    <w:rsid w:val="000608E1"/>
    <w:rsid w:val="00060D86"/>
    <w:rsid w:val="00061560"/>
    <w:rsid w:val="00061817"/>
    <w:rsid w:val="00061A18"/>
    <w:rsid w:val="00061CA7"/>
    <w:rsid w:val="00061D49"/>
    <w:rsid w:val="000621BF"/>
    <w:rsid w:val="0006222A"/>
    <w:rsid w:val="00062287"/>
    <w:rsid w:val="000628E0"/>
    <w:rsid w:val="00063289"/>
    <w:rsid w:val="000634F9"/>
    <w:rsid w:val="0006358F"/>
    <w:rsid w:val="000637E6"/>
    <w:rsid w:val="000639DF"/>
    <w:rsid w:val="00063A2F"/>
    <w:rsid w:val="00063A8E"/>
    <w:rsid w:val="00063E07"/>
    <w:rsid w:val="000641FE"/>
    <w:rsid w:val="00065174"/>
    <w:rsid w:val="00065AF3"/>
    <w:rsid w:val="00065D52"/>
    <w:rsid w:val="0006609B"/>
    <w:rsid w:val="000664F1"/>
    <w:rsid w:val="000666B2"/>
    <w:rsid w:val="000668ED"/>
    <w:rsid w:val="00066A52"/>
    <w:rsid w:val="00067645"/>
    <w:rsid w:val="000702BA"/>
    <w:rsid w:val="000703FF"/>
    <w:rsid w:val="000706C8"/>
    <w:rsid w:val="0007070E"/>
    <w:rsid w:val="00071089"/>
    <w:rsid w:val="00071A0E"/>
    <w:rsid w:val="00071F02"/>
    <w:rsid w:val="00072228"/>
    <w:rsid w:val="000727CA"/>
    <w:rsid w:val="0007284C"/>
    <w:rsid w:val="00072D55"/>
    <w:rsid w:val="00072F88"/>
    <w:rsid w:val="00073263"/>
    <w:rsid w:val="0007338F"/>
    <w:rsid w:val="00073421"/>
    <w:rsid w:val="00073BC3"/>
    <w:rsid w:val="00073CB9"/>
    <w:rsid w:val="00074D3E"/>
    <w:rsid w:val="00075252"/>
    <w:rsid w:val="0007531D"/>
    <w:rsid w:val="00075605"/>
    <w:rsid w:val="00075901"/>
    <w:rsid w:val="00075A0E"/>
    <w:rsid w:val="00075A27"/>
    <w:rsid w:val="00076325"/>
    <w:rsid w:val="00076333"/>
    <w:rsid w:val="0007643B"/>
    <w:rsid w:val="00076453"/>
    <w:rsid w:val="00076B3B"/>
    <w:rsid w:val="00076EC1"/>
    <w:rsid w:val="00077DC9"/>
    <w:rsid w:val="00077EE6"/>
    <w:rsid w:val="00077FB9"/>
    <w:rsid w:val="000801FF"/>
    <w:rsid w:val="000802AA"/>
    <w:rsid w:val="00081153"/>
    <w:rsid w:val="0008124C"/>
    <w:rsid w:val="00081CED"/>
    <w:rsid w:val="00082256"/>
    <w:rsid w:val="000823F9"/>
    <w:rsid w:val="000826D9"/>
    <w:rsid w:val="00082799"/>
    <w:rsid w:val="00082B5E"/>
    <w:rsid w:val="00082EBD"/>
    <w:rsid w:val="000834C7"/>
    <w:rsid w:val="0008380D"/>
    <w:rsid w:val="00083A40"/>
    <w:rsid w:val="00084D8D"/>
    <w:rsid w:val="00084E63"/>
    <w:rsid w:val="00084EEE"/>
    <w:rsid w:val="00085018"/>
    <w:rsid w:val="000859FE"/>
    <w:rsid w:val="00085E2F"/>
    <w:rsid w:val="00086261"/>
    <w:rsid w:val="000870F8"/>
    <w:rsid w:val="00087213"/>
    <w:rsid w:val="00087350"/>
    <w:rsid w:val="000879A2"/>
    <w:rsid w:val="00087A8A"/>
    <w:rsid w:val="00087D13"/>
    <w:rsid w:val="00087EF6"/>
    <w:rsid w:val="00090250"/>
    <w:rsid w:val="00090C99"/>
    <w:rsid w:val="00091135"/>
    <w:rsid w:val="00091439"/>
    <w:rsid w:val="00091841"/>
    <w:rsid w:val="000918A8"/>
    <w:rsid w:val="000919C0"/>
    <w:rsid w:val="00091A50"/>
    <w:rsid w:val="00091A9F"/>
    <w:rsid w:val="00091DED"/>
    <w:rsid w:val="00091FEB"/>
    <w:rsid w:val="0009228F"/>
    <w:rsid w:val="000929F2"/>
    <w:rsid w:val="0009319A"/>
    <w:rsid w:val="00093611"/>
    <w:rsid w:val="000939A7"/>
    <w:rsid w:val="00094340"/>
    <w:rsid w:val="00094640"/>
    <w:rsid w:val="000948AE"/>
    <w:rsid w:val="00094BDB"/>
    <w:rsid w:val="00095526"/>
    <w:rsid w:val="00095623"/>
    <w:rsid w:val="00095699"/>
    <w:rsid w:val="000956A5"/>
    <w:rsid w:val="00095B12"/>
    <w:rsid w:val="00095FED"/>
    <w:rsid w:val="000966E0"/>
    <w:rsid w:val="00096950"/>
    <w:rsid w:val="00096F00"/>
    <w:rsid w:val="000972A6"/>
    <w:rsid w:val="000976B3"/>
    <w:rsid w:val="000A0233"/>
    <w:rsid w:val="000A077B"/>
    <w:rsid w:val="000A07A5"/>
    <w:rsid w:val="000A1087"/>
    <w:rsid w:val="000A10DC"/>
    <w:rsid w:val="000A14DB"/>
    <w:rsid w:val="000A2080"/>
    <w:rsid w:val="000A2267"/>
    <w:rsid w:val="000A24AC"/>
    <w:rsid w:val="000A24BA"/>
    <w:rsid w:val="000A254B"/>
    <w:rsid w:val="000A25FA"/>
    <w:rsid w:val="000A2935"/>
    <w:rsid w:val="000A2B61"/>
    <w:rsid w:val="000A3883"/>
    <w:rsid w:val="000A3ED0"/>
    <w:rsid w:val="000A4667"/>
    <w:rsid w:val="000A5068"/>
    <w:rsid w:val="000A58DD"/>
    <w:rsid w:val="000A60FA"/>
    <w:rsid w:val="000A6BA2"/>
    <w:rsid w:val="000A7038"/>
    <w:rsid w:val="000A73FF"/>
    <w:rsid w:val="000A7510"/>
    <w:rsid w:val="000A7614"/>
    <w:rsid w:val="000A7AEE"/>
    <w:rsid w:val="000A7BA7"/>
    <w:rsid w:val="000A7C41"/>
    <w:rsid w:val="000B0089"/>
    <w:rsid w:val="000B0378"/>
    <w:rsid w:val="000B090C"/>
    <w:rsid w:val="000B1609"/>
    <w:rsid w:val="000B18D3"/>
    <w:rsid w:val="000B1CBA"/>
    <w:rsid w:val="000B1CE8"/>
    <w:rsid w:val="000B2058"/>
    <w:rsid w:val="000B34AA"/>
    <w:rsid w:val="000B378F"/>
    <w:rsid w:val="000B3A9F"/>
    <w:rsid w:val="000B3B62"/>
    <w:rsid w:val="000B3C0B"/>
    <w:rsid w:val="000B40E4"/>
    <w:rsid w:val="000B4199"/>
    <w:rsid w:val="000B4389"/>
    <w:rsid w:val="000B4F55"/>
    <w:rsid w:val="000B54E6"/>
    <w:rsid w:val="000B57DD"/>
    <w:rsid w:val="000B5AB9"/>
    <w:rsid w:val="000B6521"/>
    <w:rsid w:val="000B69AC"/>
    <w:rsid w:val="000B6CF7"/>
    <w:rsid w:val="000B78AB"/>
    <w:rsid w:val="000C0476"/>
    <w:rsid w:val="000C0612"/>
    <w:rsid w:val="000C0A35"/>
    <w:rsid w:val="000C0F6C"/>
    <w:rsid w:val="000C0F92"/>
    <w:rsid w:val="000C1283"/>
    <w:rsid w:val="000C13BC"/>
    <w:rsid w:val="000C2583"/>
    <w:rsid w:val="000C450C"/>
    <w:rsid w:val="000C4ACD"/>
    <w:rsid w:val="000C4C3B"/>
    <w:rsid w:val="000C5BF5"/>
    <w:rsid w:val="000C5CA4"/>
    <w:rsid w:val="000C6150"/>
    <w:rsid w:val="000C6965"/>
    <w:rsid w:val="000C6C51"/>
    <w:rsid w:val="000C6E1B"/>
    <w:rsid w:val="000C6E4E"/>
    <w:rsid w:val="000C75A1"/>
    <w:rsid w:val="000C77DA"/>
    <w:rsid w:val="000C7BAF"/>
    <w:rsid w:val="000C7FD2"/>
    <w:rsid w:val="000D0C41"/>
    <w:rsid w:val="000D0CD3"/>
    <w:rsid w:val="000D1155"/>
    <w:rsid w:val="000D166C"/>
    <w:rsid w:val="000D1738"/>
    <w:rsid w:val="000D1937"/>
    <w:rsid w:val="000D1BDD"/>
    <w:rsid w:val="000D1D0B"/>
    <w:rsid w:val="000D1F1D"/>
    <w:rsid w:val="000D2153"/>
    <w:rsid w:val="000D21B5"/>
    <w:rsid w:val="000D251E"/>
    <w:rsid w:val="000D2B81"/>
    <w:rsid w:val="000D316A"/>
    <w:rsid w:val="000D33B1"/>
    <w:rsid w:val="000D3AAD"/>
    <w:rsid w:val="000D3CB8"/>
    <w:rsid w:val="000D430D"/>
    <w:rsid w:val="000D4443"/>
    <w:rsid w:val="000D4470"/>
    <w:rsid w:val="000D4865"/>
    <w:rsid w:val="000D564F"/>
    <w:rsid w:val="000D5E81"/>
    <w:rsid w:val="000D5EF4"/>
    <w:rsid w:val="000D65A7"/>
    <w:rsid w:val="000D6A64"/>
    <w:rsid w:val="000D6D6C"/>
    <w:rsid w:val="000D70B4"/>
    <w:rsid w:val="000D76C1"/>
    <w:rsid w:val="000D7FA6"/>
    <w:rsid w:val="000E003C"/>
    <w:rsid w:val="000E0207"/>
    <w:rsid w:val="000E02F5"/>
    <w:rsid w:val="000E088C"/>
    <w:rsid w:val="000E0A8A"/>
    <w:rsid w:val="000E0BB5"/>
    <w:rsid w:val="000E0D99"/>
    <w:rsid w:val="000E0EB5"/>
    <w:rsid w:val="000E1206"/>
    <w:rsid w:val="000E138E"/>
    <w:rsid w:val="000E1763"/>
    <w:rsid w:val="000E1DF6"/>
    <w:rsid w:val="000E1FE7"/>
    <w:rsid w:val="000E2621"/>
    <w:rsid w:val="000E2CA6"/>
    <w:rsid w:val="000E315F"/>
    <w:rsid w:val="000E358E"/>
    <w:rsid w:val="000E371B"/>
    <w:rsid w:val="000E3C65"/>
    <w:rsid w:val="000E3E05"/>
    <w:rsid w:val="000E3E08"/>
    <w:rsid w:val="000E40B1"/>
    <w:rsid w:val="000E4597"/>
    <w:rsid w:val="000E4A64"/>
    <w:rsid w:val="000E4BD4"/>
    <w:rsid w:val="000E5516"/>
    <w:rsid w:val="000E5734"/>
    <w:rsid w:val="000E585B"/>
    <w:rsid w:val="000E599C"/>
    <w:rsid w:val="000E5BA1"/>
    <w:rsid w:val="000E5BB1"/>
    <w:rsid w:val="000E6C2D"/>
    <w:rsid w:val="000E6C87"/>
    <w:rsid w:val="000E7691"/>
    <w:rsid w:val="000E77E0"/>
    <w:rsid w:val="000E7F4F"/>
    <w:rsid w:val="000F0357"/>
    <w:rsid w:val="000F039C"/>
    <w:rsid w:val="000F0560"/>
    <w:rsid w:val="000F057F"/>
    <w:rsid w:val="000F0EC7"/>
    <w:rsid w:val="000F11B1"/>
    <w:rsid w:val="000F1225"/>
    <w:rsid w:val="000F3A71"/>
    <w:rsid w:val="000F4941"/>
    <w:rsid w:val="000F4ACF"/>
    <w:rsid w:val="000F5439"/>
    <w:rsid w:val="000F5657"/>
    <w:rsid w:val="000F60D9"/>
    <w:rsid w:val="000F6186"/>
    <w:rsid w:val="000F63C2"/>
    <w:rsid w:val="000F6D53"/>
    <w:rsid w:val="000F77AB"/>
    <w:rsid w:val="000F79EA"/>
    <w:rsid w:val="000F7B44"/>
    <w:rsid w:val="001004DC"/>
    <w:rsid w:val="00100C1E"/>
    <w:rsid w:val="00100DD1"/>
    <w:rsid w:val="00101675"/>
    <w:rsid w:val="001018D5"/>
    <w:rsid w:val="00101B54"/>
    <w:rsid w:val="00101E50"/>
    <w:rsid w:val="0010206C"/>
    <w:rsid w:val="001020E4"/>
    <w:rsid w:val="00102187"/>
    <w:rsid w:val="00102705"/>
    <w:rsid w:val="00103236"/>
    <w:rsid w:val="00103437"/>
    <w:rsid w:val="001034F1"/>
    <w:rsid w:val="00103530"/>
    <w:rsid w:val="001035C0"/>
    <w:rsid w:val="001040D2"/>
    <w:rsid w:val="001048DF"/>
    <w:rsid w:val="00104C98"/>
    <w:rsid w:val="00105017"/>
    <w:rsid w:val="00105376"/>
    <w:rsid w:val="0010542B"/>
    <w:rsid w:val="00105600"/>
    <w:rsid w:val="0010628F"/>
    <w:rsid w:val="00106599"/>
    <w:rsid w:val="00106C7D"/>
    <w:rsid w:val="00106CA4"/>
    <w:rsid w:val="0010730C"/>
    <w:rsid w:val="00107697"/>
    <w:rsid w:val="001077AD"/>
    <w:rsid w:val="00107B0C"/>
    <w:rsid w:val="00107B66"/>
    <w:rsid w:val="00110A90"/>
    <w:rsid w:val="00110B5A"/>
    <w:rsid w:val="00110DE4"/>
    <w:rsid w:val="00111604"/>
    <w:rsid w:val="00112003"/>
    <w:rsid w:val="00112D63"/>
    <w:rsid w:val="00113212"/>
    <w:rsid w:val="001133ED"/>
    <w:rsid w:val="001137C3"/>
    <w:rsid w:val="0011380C"/>
    <w:rsid w:val="00113F5D"/>
    <w:rsid w:val="001146D2"/>
    <w:rsid w:val="0011483C"/>
    <w:rsid w:val="00115117"/>
    <w:rsid w:val="0011516D"/>
    <w:rsid w:val="00116214"/>
    <w:rsid w:val="0011678F"/>
    <w:rsid w:val="001169AB"/>
    <w:rsid w:val="00116F37"/>
    <w:rsid w:val="00116FD8"/>
    <w:rsid w:val="0011769F"/>
    <w:rsid w:val="00117C5D"/>
    <w:rsid w:val="00120457"/>
    <w:rsid w:val="0012085D"/>
    <w:rsid w:val="00120994"/>
    <w:rsid w:val="0012100D"/>
    <w:rsid w:val="0012112C"/>
    <w:rsid w:val="0012118A"/>
    <w:rsid w:val="00121307"/>
    <w:rsid w:val="00121624"/>
    <w:rsid w:val="00121BF8"/>
    <w:rsid w:val="00121D06"/>
    <w:rsid w:val="00121D2F"/>
    <w:rsid w:val="00121D3C"/>
    <w:rsid w:val="0012339F"/>
    <w:rsid w:val="00123428"/>
    <w:rsid w:val="00123E80"/>
    <w:rsid w:val="0012459C"/>
    <w:rsid w:val="00125FE0"/>
    <w:rsid w:val="0012639A"/>
    <w:rsid w:val="001264C9"/>
    <w:rsid w:val="0012663D"/>
    <w:rsid w:val="00126CF7"/>
    <w:rsid w:val="00126D53"/>
    <w:rsid w:val="0012727C"/>
    <w:rsid w:val="00127688"/>
    <w:rsid w:val="00127791"/>
    <w:rsid w:val="00127C23"/>
    <w:rsid w:val="00127E50"/>
    <w:rsid w:val="00130331"/>
    <w:rsid w:val="00130811"/>
    <w:rsid w:val="00130AA6"/>
    <w:rsid w:val="0013112C"/>
    <w:rsid w:val="001315A6"/>
    <w:rsid w:val="001316EC"/>
    <w:rsid w:val="00131729"/>
    <w:rsid w:val="00132637"/>
    <w:rsid w:val="0013267B"/>
    <w:rsid w:val="001337B1"/>
    <w:rsid w:val="0013427E"/>
    <w:rsid w:val="0013497A"/>
    <w:rsid w:val="00134DDF"/>
    <w:rsid w:val="00135925"/>
    <w:rsid w:val="00135ED9"/>
    <w:rsid w:val="00136070"/>
    <w:rsid w:val="00136DD6"/>
    <w:rsid w:val="00137146"/>
    <w:rsid w:val="001373D8"/>
    <w:rsid w:val="00137885"/>
    <w:rsid w:val="00137A81"/>
    <w:rsid w:val="00137E2E"/>
    <w:rsid w:val="00137FA2"/>
    <w:rsid w:val="001400A5"/>
    <w:rsid w:val="00140269"/>
    <w:rsid w:val="001404FE"/>
    <w:rsid w:val="00141237"/>
    <w:rsid w:val="00141AC8"/>
    <w:rsid w:val="00141F00"/>
    <w:rsid w:val="00142CFD"/>
    <w:rsid w:val="00142EE5"/>
    <w:rsid w:val="0014328B"/>
    <w:rsid w:val="00143A91"/>
    <w:rsid w:val="00144612"/>
    <w:rsid w:val="001446C5"/>
    <w:rsid w:val="001450EA"/>
    <w:rsid w:val="0014534B"/>
    <w:rsid w:val="0014554E"/>
    <w:rsid w:val="001455EA"/>
    <w:rsid w:val="001457DC"/>
    <w:rsid w:val="00145A99"/>
    <w:rsid w:val="00145B13"/>
    <w:rsid w:val="001464CB"/>
    <w:rsid w:val="001469E5"/>
    <w:rsid w:val="00146C0E"/>
    <w:rsid w:val="001478D0"/>
    <w:rsid w:val="001479CD"/>
    <w:rsid w:val="00147A26"/>
    <w:rsid w:val="00150BB9"/>
    <w:rsid w:val="00150C6A"/>
    <w:rsid w:val="001512A5"/>
    <w:rsid w:val="00151470"/>
    <w:rsid w:val="00151517"/>
    <w:rsid w:val="00151B22"/>
    <w:rsid w:val="00151B6F"/>
    <w:rsid w:val="00151F4A"/>
    <w:rsid w:val="00152E6F"/>
    <w:rsid w:val="0015328F"/>
    <w:rsid w:val="00154649"/>
    <w:rsid w:val="00154990"/>
    <w:rsid w:val="001549A8"/>
    <w:rsid w:val="00154A10"/>
    <w:rsid w:val="00154EAB"/>
    <w:rsid w:val="001551E8"/>
    <w:rsid w:val="001553ED"/>
    <w:rsid w:val="00155ACA"/>
    <w:rsid w:val="00155E20"/>
    <w:rsid w:val="00155EBD"/>
    <w:rsid w:val="00157377"/>
    <w:rsid w:val="001577AF"/>
    <w:rsid w:val="00157C72"/>
    <w:rsid w:val="0016036A"/>
    <w:rsid w:val="001603B7"/>
    <w:rsid w:val="00160DB0"/>
    <w:rsid w:val="00161534"/>
    <w:rsid w:val="001618ED"/>
    <w:rsid w:val="00162579"/>
    <w:rsid w:val="001626B9"/>
    <w:rsid w:val="00162AF7"/>
    <w:rsid w:val="00162D7E"/>
    <w:rsid w:val="0016336E"/>
    <w:rsid w:val="001633F6"/>
    <w:rsid w:val="00163903"/>
    <w:rsid w:val="00164766"/>
    <w:rsid w:val="001649F9"/>
    <w:rsid w:val="00164BE6"/>
    <w:rsid w:val="00164D8D"/>
    <w:rsid w:val="00165196"/>
    <w:rsid w:val="00165F8F"/>
    <w:rsid w:val="001667F6"/>
    <w:rsid w:val="0016686F"/>
    <w:rsid w:val="001671EE"/>
    <w:rsid w:val="00167CC3"/>
    <w:rsid w:val="001700DD"/>
    <w:rsid w:val="00171307"/>
    <w:rsid w:val="00171412"/>
    <w:rsid w:val="001715FE"/>
    <w:rsid w:val="001720B0"/>
    <w:rsid w:val="00172121"/>
    <w:rsid w:val="00172812"/>
    <w:rsid w:val="00172CBC"/>
    <w:rsid w:val="00172D73"/>
    <w:rsid w:val="001733D3"/>
    <w:rsid w:val="00173704"/>
    <w:rsid w:val="00173D08"/>
    <w:rsid w:val="00173DBA"/>
    <w:rsid w:val="001746A4"/>
    <w:rsid w:val="00174B1A"/>
    <w:rsid w:val="00174DF3"/>
    <w:rsid w:val="00175665"/>
    <w:rsid w:val="00175713"/>
    <w:rsid w:val="001759B9"/>
    <w:rsid w:val="00175EC7"/>
    <w:rsid w:val="00176260"/>
    <w:rsid w:val="0017633B"/>
    <w:rsid w:val="00176622"/>
    <w:rsid w:val="0017670D"/>
    <w:rsid w:val="00176865"/>
    <w:rsid w:val="001772ED"/>
    <w:rsid w:val="0017738E"/>
    <w:rsid w:val="001774B8"/>
    <w:rsid w:val="001774BB"/>
    <w:rsid w:val="00177CA8"/>
    <w:rsid w:val="00177FC8"/>
    <w:rsid w:val="001804E6"/>
    <w:rsid w:val="00180FD8"/>
    <w:rsid w:val="00181BB0"/>
    <w:rsid w:val="00181FC1"/>
    <w:rsid w:val="001829A7"/>
    <w:rsid w:val="00183BBD"/>
    <w:rsid w:val="001850C5"/>
    <w:rsid w:val="0018523A"/>
    <w:rsid w:val="001853F8"/>
    <w:rsid w:val="001857C3"/>
    <w:rsid w:val="00185B8C"/>
    <w:rsid w:val="00185EB0"/>
    <w:rsid w:val="001860D6"/>
    <w:rsid w:val="00187647"/>
    <w:rsid w:val="00190C00"/>
    <w:rsid w:val="00191223"/>
    <w:rsid w:val="00191AC9"/>
    <w:rsid w:val="00191C3C"/>
    <w:rsid w:val="00192854"/>
    <w:rsid w:val="001928E1"/>
    <w:rsid w:val="00192A26"/>
    <w:rsid w:val="00192E11"/>
    <w:rsid w:val="00193107"/>
    <w:rsid w:val="00193159"/>
    <w:rsid w:val="0019315E"/>
    <w:rsid w:val="001932DC"/>
    <w:rsid w:val="00193FB4"/>
    <w:rsid w:val="0019400D"/>
    <w:rsid w:val="00194678"/>
    <w:rsid w:val="0019513E"/>
    <w:rsid w:val="0019521E"/>
    <w:rsid w:val="00195289"/>
    <w:rsid w:val="0019550B"/>
    <w:rsid w:val="001955E5"/>
    <w:rsid w:val="00195665"/>
    <w:rsid w:val="001956B3"/>
    <w:rsid w:val="00195849"/>
    <w:rsid w:val="00196087"/>
    <w:rsid w:val="00196254"/>
    <w:rsid w:val="00196B17"/>
    <w:rsid w:val="00196B24"/>
    <w:rsid w:val="00196C0A"/>
    <w:rsid w:val="00196E43"/>
    <w:rsid w:val="001971D5"/>
    <w:rsid w:val="0019727B"/>
    <w:rsid w:val="001977DD"/>
    <w:rsid w:val="00197845"/>
    <w:rsid w:val="00197A3D"/>
    <w:rsid w:val="001A055E"/>
    <w:rsid w:val="001A063B"/>
    <w:rsid w:val="001A06B6"/>
    <w:rsid w:val="001A0CB6"/>
    <w:rsid w:val="001A104E"/>
    <w:rsid w:val="001A120C"/>
    <w:rsid w:val="001A1608"/>
    <w:rsid w:val="001A191F"/>
    <w:rsid w:val="001A19BC"/>
    <w:rsid w:val="001A1AB9"/>
    <w:rsid w:val="001A24C8"/>
    <w:rsid w:val="001A3BD1"/>
    <w:rsid w:val="001A3D0E"/>
    <w:rsid w:val="001A3D3A"/>
    <w:rsid w:val="001A457E"/>
    <w:rsid w:val="001A4640"/>
    <w:rsid w:val="001A4B1D"/>
    <w:rsid w:val="001A53A6"/>
    <w:rsid w:val="001A5862"/>
    <w:rsid w:val="001A6102"/>
    <w:rsid w:val="001A65B7"/>
    <w:rsid w:val="001A6EED"/>
    <w:rsid w:val="001A6FB4"/>
    <w:rsid w:val="001A6FF0"/>
    <w:rsid w:val="001A7FCC"/>
    <w:rsid w:val="001B03BB"/>
    <w:rsid w:val="001B0C41"/>
    <w:rsid w:val="001B0F7C"/>
    <w:rsid w:val="001B134C"/>
    <w:rsid w:val="001B1971"/>
    <w:rsid w:val="001B226B"/>
    <w:rsid w:val="001B2361"/>
    <w:rsid w:val="001B2864"/>
    <w:rsid w:val="001B2946"/>
    <w:rsid w:val="001B2D70"/>
    <w:rsid w:val="001B3033"/>
    <w:rsid w:val="001B3487"/>
    <w:rsid w:val="001B3962"/>
    <w:rsid w:val="001B3D47"/>
    <w:rsid w:val="001B47D0"/>
    <w:rsid w:val="001B488B"/>
    <w:rsid w:val="001B4D9B"/>
    <w:rsid w:val="001B4F20"/>
    <w:rsid w:val="001B5753"/>
    <w:rsid w:val="001B5AF0"/>
    <w:rsid w:val="001B5C5F"/>
    <w:rsid w:val="001B60F2"/>
    <w:rsid w:val="001B63AE"/>
    <w:rsid w:val="001B67E9"/>
    <w:rsid w:val="001B689E"/>
    <w:rsid w:val="001B6CA0"/>
    <w:rsid w:val="001B6E89"/>
    <w:rsid w:val="001B7004"/>
    <w:rsid w:val="001B71DB"/>
    <w:rsid w:val="001B7349"/>
    <w:rsid w:val="001B7602"/>
    <w:rsid w:val="001B7EA7"/>
    <w:rsid w:val="001B7F6F"/>
    <w:rsid w:val="001C0958"/>
    <w:rsid w:val="001C0A03"/>
    <w:rsid w:val="001C0A71"/>
    <w:rsid w:val="001C0F9D"/>
    <w:rsid w:val="001C1460"/>
    <w:rsid w:val="001C21AA"/>
    <w:rsid w:val="001C3209"/>
    <w:rsid w:val="001C3A66"/>
    <w:rsid w:val="001C3CAA"/>
    <w:rsid w:val="001C4662"/>
    <w:rsid w:val="001C478C"/>
    <w:rsid w:val="001C4865"/>
    <w:rsid w:val="001C48E3"/>
    <w:rsid w:val="001C53CB"/>
    <w:rsid w:val="001C5B54"/>
    <w:rsid w:val="001C5C53"/>
    <w:rsid w:val="001C5D97"/>
    <w:rsid w:val="001C616A"/>
    <w:rsid w:val="001C626B"/>
    <w:rsid w:val="001C69DC"/>
    <w:rsid w:val="001C6CA0"/>
    <w:rsid w:val="001D0318"/>
    <w:rsid w:val="001D0468"/>
    <w:rsid w:val="001D0CEC"/>
    <w:rsid w:val="001D0FB2"/>
    <w:rsid w:val="001D111C"/>
    <w:rsid w:val="001D17FA"/>
    <w:rsid w:val="001D1F13"/>
    <w:rsid w:val="001D1F2F"/>
    <w:rsid w:val="001D201C"/>
    <w:rsid w:val="001D26B6"/>
    <w:rsid w:val="001D2AD5"/>
    <w:rsid w:val="001D31A9"/>
    <w:rsid w:val="001D34CE"/>
    <w:rsid w:val="001D38DD"/>
    <w:rsid w:val="001D38FD"/>
    <w:rsid w:val="001D41B9"/>
    <w:rsid w:val="001D43C4"/>
    <w:rsid w:val="001D45C7"/>
    <w:rsid w:val="001D492E"/>
    <w:rsid w:val="001D49AC"/>
    <w:rsid w:val="001D553C"/>
    <w:rsid w:val="001D5F0A"/>
    <w:rsid w:val="001D6089"/>
    <w:rsid w:val="001D64D6"/>
    <w:rsid w:val="001D6CF6"/>
    <w:rsid w:val="001D7336"/>
    <w:rsid w:val="001D7D9E"/>
    <w:rsid w:val="001D7DEF"/>
    <w:rsid w:val="001D7EAB"/>
    <w:rsid w:val="001E0689"/>
    <w:rsid w:val="001E0812"/>
    <w:rsid w:val="001E0818"/>
    <w:rsid w:val="001E0FCC"/>
    <w:rsid w:val="001E133B"/>
    <w:rsid w:val="001E2205"/>
    <w:rsid w:val="001E26EC"/>
    <w:rsid w:val="001E2945"/>
    <w:rsid w:val="001E2E90"/>
    <w:rsid w:val="001E3167"/>
    <w:rsid w:val="001E3230"/>
    <w:rsid w:val="001E3313"/>
    <w:rsid w:val="001E3B7F"/>
    <w:rsid w:val="001E3BF1"/>
    <w:rsid w:val="001E4035"/>
    <w:rsid w:val="001E4328"/>
    <w:rsid w:val="001E44B1"/>
    <w:rsid w:val="001E4720"/>
    <w:rsid w:val="001E4795"/>
    <w:rsid w:val="001E4B1A"/>
    <w:rsid w:val="001E4DBD"/>
    <w:rsid w:val="001E4F54"/>
    <w:rsid w:val="001E5204"/>
    <w:rsid w:val="001E5A9D"/>
    <w:rsid w:val="001E5C72"/>
    <w:rsid w:val="001E6ABA"/>
    <w:rsid w:val="001E7223"/>
    <w:rsid w:val="001E7234"/>
    <w:rsid w:val="001E7657"/>
    <w:rsid w:val="001E781C"/>
    <w:rsid w:val="001E7C13"/>
    <w:rsid w:val="001F0032"/>
    <w:rsid w:val="001F0508"/>
    <w:rsid w:val="001F0755"/>
    <w:rsid w:val="001F096B"/>
    <w:rsid w:val="001F0D69"/>
    <w:rsid w:val="001F2527"/>
    <w:rsid w:val="001F3B43"/>
    <w:rsid w:val="001F3C00"/>
    <w:rsid w:val="001F43BC"/>
    <w:rsid w:val="001F4732"/>
    <w:rsid w:val="001F4735"/>
    <w:rsid w:val="001F4FF4"/>
    <w:rsid w:val="001F5209"/>
    <w:rsid w:val="001F57BF"/>
    <w:rsid w:val="001F5F4D"/>
    <w:rsid w:val="001F62E8"/>
    <w:rsid w:val="001F6BFB"/>
    <w:rsid w:val="001F6E68"/>
    <w:rsid w:val="001F6F11"/>
    <w:rsid w:val="001F7DAA"/>
    <w:rsid w:val="00200129"/>
    <w:rsid w:val="00200932"/>
    <w:rsid w:val="002009CE"/>
    <w:rsid w:val="00200EC3"/>
    <w:rsid w:val="0020174C"/>
    <w:rsid w:val="00201AC0"/>
    <w:rsid w:val="00201D1E"/>
    <w:rsid w:val="00201E18"/>
    <w:rsid w:val="00202362"/>
    <w:rsid w:val="0020282C"/>
    <w:rsid w:val="00202DDB"/>
    <w:rsid w:val="0020356D"/>
    <w:rsid w:val="00203890"/>
    <w:rsid w:val="00203B5D"/>
    <w:rsid w:val="00203C05"/>
    <w:rsid w:val="00203D7E"/>
    <w:rsid w:val="00204025"/>
    <w:rsid w:val="002040E6"/>
    <w:rsid w:val="00204606"/>
    <w:rsid w:val="00204839"/>
    <w:rsid w:val="002048AB"/>
    <w:rsid w:val="00204D3D"/>
    <w:rsid w:val="00204FF0"/>
    <w:rsid w:val="0020510A"/>
    <w:rsid w:val="002059A3"/>
    <w:rsid w:val="00206346"/>
    <w:rsid w:val="00206872"/>
    <w:rsid w:val="00206DFC"/>
    <w:rsid w:val="00206E85"/>
    <w:rsid w:val="0020711C"/>
    <w:rsid w:val="00207359"/>
    <w:rsid w:val="002074E5"/>
    <w:rsid w:val="002079B8"/>
    <w:rsid w:val="00207D5C"/>
    <w:rsid w:val="00207E6B"/>
    <w:rsid w:val="00210849"/>
    <w:rsid w:val="00211FAD"/>
    <w:rsid w:val="002123FA"/>
    <w:rsid w:val="00212686"/>
    <w:rsid w:val="00212C46"/>
    <w:rsid w:val="00212DCB"/>
    <w:rsid w:val="00212DD9"/>
    <w:rsid w:val="00212ECC"/>
    <w:rsid w:val="00212EF8"/>
    <w:rsid w:val="00212F22"/>
    <w:rsid w:val="002143AA"/>
    <w:rsid w:val="0021476A"/>
    <w:rsid w:val="00214AF7"/>
    <w:rsid w:val="002152AB"/>
    <w:rsid w:val="00216280"/>
    <w:rsid w:val="00216524"/>
    <w:rsid w:val="00216B0C"/>
    <w:rsid w:val="00216B36"/>
    <w:rsid w:val="00216CAC"/>
    <w:rsid w:val="00216D27"/>
    <w:rsid w:val="00216F73"/>
    <w:rsid w:val="002170CE"/>
    <w:rsid w:val="0021711F"/>
    <w:rsid w:val="00217B79"/>
    <w:rsid w:val="00220267"/>
    <w:rsid w:val="00220C5B"/>
    <w:rsid w:val="00220E8C"/>
    <w:rsid w:val="00221577"/>
    <w:rsid w:val="00221A2C"/>
    <w:rsid w:val="00221EB9"/>
    <w:rsid w:val="00221EEC"/>
    <w:rsid w:val="0022222C"/>
    <w:rsid w:val="00223047"/>
    <w:rsid w:val="00223667"/>
    <w:rsid w:val="00223D0E"/>
    <w:rsid w:val="00223F08"/>
    <w:rsid w:val="0022436E"/>
    <w:rsid w:val="002252B4"/>
    <w:rsid w:val="00225BB3"/>
    <w:rsid w:val="00225D9F"/>
    <w:rsid w:val="002264B0"/>
    <w:rsid w:val="00226F3F"/>
    <w:rsid w:val="002271C0"/>
    <w:rsid w:val="0022758F"/>
    <w:rsid w:val="00227730"/>
    <w:rsid w:val="002279E6"/>
    <w:rsid w:val="00227A1C"/>
    <w:rsid w:val="00227BC3"/>
    <w:rsid w:val="00227D7C"/>
    <w:rsid w:val="00230056"/>
    <w:rsid w:val="00230062"/>
    <w:rsid w:val="0023074E"/>
    <w:rsid w:val="002308CD"/>
    <w:rsid w:val="00230ADE"/>
    <w:rsid w:val="00230BE7"/>
    <w:rsid w:val="002316A0"/>
    <w:rsid w:val="00231775"/>
    <w:rsid w:val="002318FD"/>
    <w:rsid w:val="00232F34"/>
    <w:rsid w:val="002331AA"/>
    <w:rsid w:val="0023345C"/>
    <w:rsid w:val="00233B5C"/>
    <w:rsid w:val="00233C5B"/>
    <w:rsid w:val="00234518"/>
    <w:rsid w:val="002346B6"/>
    <w:rsid w:val="00234902"/>
    <w:rsid w:val="00234945"/>
    <w:rsid w:val="00234C4C"/>
    <w:rsid w:val="00234CEF"/>
    <w:rsid w:val="00234DB2"/>
    <w:rsid w:val="00235065"/>
    <w:rsid w:val="002354B8"/>
    <w:rsid w:val="00235ACB"/>
    <w:rsid w:val="00235CE9"/>
    <w:rsid w:val="00235F7F"/>
    <w:rsid w:val="0023608B"/>
    <w:rsid w:val="00236D54"/>
    <w:rsid w:val="00236EB7"/>
    <w:rsid w:val="00237133"/>
    <w:rsid w:val="00237707"/>
    <w:rsid w:val="002404F3"/>
    <w:rsid w:val="00240866"/>
    <w:rsid w:val="00240912"/>
    <w:rsid w:val="00240EB8"/>
    <w:rsid w:val="002411E2"/>
    <w:rsid w:val="00241495"/>
    <w:rsid w:val="0024168A"/>
    <w:rsid w:val="00241ABA"/>
    <w:rsid w:val="0024202F"/>
    <w:rsid w:val="0024255F"/>
    <w:rsid w:val="00242A99"/>
    <w:rsid w:val="00242C38"/>
    <w:rsid w:val="00243C04"/>
    <w:rsid w:val="00243DD1"/>
    <w:rsid w:val="00244529"/>
    <w:rsid w:val="002448B3"/>
    <w:rsid w:val="00245550"/>
    <w:rsid w:val="00245561"/>
    <w:rsid w:val="00245C4A"/>
    <w:rsid w:val="00245E9B"/>
    <w:rsid w:val="00246260"/>
    <w:rsid w:val="002462AA"/>
    <w:rsid w:val="002464C3"/>
    <w:rsid w:val="00246596"/>
    <w:rsid w:val="0024690F"/>
    <w:rsid w:val="00246933"/>
    <w:rsid w:val="002470AC"/>
    <w:rsid w:val="002474AB"/>
    <w:rsid w:val="002476B5"/>
    <w:rsid w:val="002505FC"/>
    <w:rsid w:val="0025069D"/>
    <w:rsid w:val="00250B31"/>
    <w:rsid w:val="002515B8"/>
    <w:rsid w:val="0025166A"/>
    <w:rsid w:val="00251769"/>
    <w:rsid w:val="00251A89"/>
    <w:rsid w:val="002521A7"/>
    <w:rsid w:val="002526D6"/>
    <w:rsid w:val="00252811"/>
    <w:rsid w:val="0025296B"/>
    <w:rsid w:val="00252A71"/>
    <w:rsid w:val="00252C12"/>
    <w:rsid w:val="00252FF7"/>
    <w:rsid w:val="00253041"/>
    <w:rsid w:val="00253498"/>
    <w:rsid w:val="002536D3"/>
    <w:rsid w:val="0025381D"/>
    <w:rsid w:val="00253C57"/>
    <w:rsid w:val="002546D7"/>
    <w:rsid w:val="002547DE"/>
    <w:rsid w:val="002548BD"/>
    <w:rsid w:val="00255397"/>
    <w:rsid w:val="0025547A"/>
    <w:rsid w:val="002555CB"/>
    <w:rsid w:val="00255710"/>
    <w:rsid w:val="00255738"/>
    <w:rsid w:val="0025588D"/>
    <w:rsid w:val="002558B6"/>
    <w:rsid w:val="00255DB6"/>
    <w:rsid w:val="002562F6"/>
    <w:rsid w:val="00256808"/>
    <w:rsid w:val="0025700B"/>
    <w:rsid w:val="00257483"/>
    <w:rsid w:val="00257B2F"/>
    <w:rsid w:val="00260710"/>
    <w:rsid w:val="002610AC"/>
    <w:rsid w:val="00261DDE"/>
    <w:rsid w:val="0026200F"/>
    <w:rsid w:val="002620F0"/>
    <w:rsid w:val="00262523"/>
    <w:rsid w:val="002625C3"/>
    <w:rsid w:val="002627A5"/>
    <w:rsid w:val="00263486"/>
    <w:rsid w:val="0026363C"/>
    <w:rsid w:val="00263C9E"/>
    <w:rsid w:val="0026474D"/>
    <w:rsid w:val="00264C82"/>
    <w:rsid w:val="00264DFF"/>
    <w:rsid w:val="002655EF"/>
    <w:rsid w:val="0026573A"/>
    <w:rsid w:val="002658F3"/>
    <w:rsid w:val="00265BE2"/>
    <w:rsid w:val="00265E29"/>
    <w:rsid w:val="0026608C"/>
    <w:rsid w:val="002668B5"/>
    <w:rsid w:val="00266CBD"/>
    <w:rsid w:val="00267182"/>
    <w:rsid w:val="0026770D"/>
    <w:rsid w:val="002679DA"/>
    <w:rsid w:val="00267A6D"/>
    <w:rsid w:val="00267B51"/>
    <w:rsid w:val="0027165E"/>
    <w:rsid w:val="00271899"/>
    <w:rsid w:val="00271CB0"/>
    <w:rsid w:val="00272356"/>
    <w:rsid w:val="00272487"/>
    <w:rsid w:val="0027250D"/>
    <w:rsid w:val="00272D79"/>
    <w:rsid w:val="00272FA0"/>
    <w:rsid w:val="0027323B"/>
    <w:rsid w:val="00273451"/>
    <w:rsid w:val="00273C7E"/>
    <w:rsid w:val="002746E7"/>
    <w:rsid w:val="0027515D"/>
    <w:rsid w:val="0027521D"/>
    <w:rsid w:val="002755A3"/>
    <w:rsid w:val="00275B0E"/>
    <w:rsid w:val="00275E78"/>
    <w:rsid w:val="00275F70"/>
    <w:rsid w:val="00275FA9"/>
    <w:rsid w:val="00276B7F"/>
    <w:rsid w:val="002772A2"/>
    <w:rsid w:val="002775F0"/>
    <w:rsid w:val="00277BF4"/>
    <w:rsid w:val="00277D6D"/>
    <w:rsid w:val="00280142"/>
    <w:rsid w:val="00280515"/>
    <w:rsid w:val="0028184F"/>
    <w:rsid w:val="00281D97"/>
    <w:rsid w:val="0028202B"/>
    <w:rsid w:val="00282228"/>
    <w:rsid w:val="00282AC3"/>
    <w:rsid w:val="002831B4"/>
    <w:rsid w:val="0028375A"/>
    <w:rsid w:val="0028384E"/>
    <w:rsid w:val="00283C6D"/>
    <w:rsid w:val="00283E7F"/>
    <w:rsid w:val="00284C6C"/>
    <w:rsid w:val="00284CE7"/>
    <w:rsid w:val="00284E68"/>
    <w:rsid w:val="00284E77"/>
    <w:rsid w:val="002864E6"/>
    <w:rsid w:val="0028667F"/>
    <w:rsid w:val="00286814"/>
    <w:rsid w:val="002868B2"/>
    <w:rsid w:val="00287C3F"/>
    <w:rsid w:val="00287D43"/>
    <w:rsid w:val="00290151"/>
    <w:rsid w:val="0029090E"/>
    <w:rsid w:val="00290968"/>
    <w:rsid w:val="00290F20"/>
    <w:rsid w:val="0029102C"/>
    <w:rsid w:val="00291757"/>
    <w:rsid w:val="00291D5D"/>
    <w:rsid w:val="0029233E"/>
    <w:rsid w:val="002924CE"/>
    <w:rsid w:val="00292773"/>
    <w:rsid w:val="00292AE4"/>
    <w:rsid w:val="00292B9A"/>
    <w:rsid w:val="00292CB9"/>
    <w:rsid w:val="002931FE"/>
    <w:rsid w:val="0029361B"/>
    <w:rsid w:val="00294310"/>
    <w:rsid w:val="002944E8"/>
    <w:rsid w:val="00294946"/>
    <w:rsid w:val="00294AEB"/>
    <w:rsid w:val="00294FD6"/>
    <w:rsid w:val="002953FE"/>
    <w:rsid w:val="0029558C"/>
    <w:rsid w:val="002957E9"/>
    <w:rsid w:val="002958E4"/>
    <w:rsid w:val="00295EE6"/>
    <w:rsid w:val="0029675B"/>
    <w:rsid w:val="00296B90"/>
    <w:rsid w:val="00296E29"/>
    <w:rsid w:val="00296EF3"/>
    <w:rsid w:val="00296FAA"/>
    <w:rsid w:val="00297C11"/>
    <w:rsid w:val="00297FE1"/>
    <w:rsid w:val="002A004A"/>
    <w:rsid w:val="002A0715"/>
    <w:rsid w:val="002A0781"/>
    <w:rsid w:val="002A096C"/>
    <w:rsid w:val="002A0A87"/>
    <w:rsid w:val="002A0BE2"/>
    <w:rsid w:val="002A150D"/>
    <w:rsid w:val="002A1643"/>
    <w:rsid w:val="002A1928"/>
    <w:rsid w:val="002A1BE9"/>
    <w:rsid w:val="002A2386"/>
    <w:rsid w:val="002A2C80"/>
    <w:rsid w:val="002A3178"/>
    <w:rsid w:val="002A3AAA"/>
    <w:rsid w:val="002A3BE2"/>
    <w:rsid w:val="002A3CA3"/>
    <w:rsid w:val="002A3F41"/>
    <w:rsid w:val="002A4342"/>
    <w:rsid w:val="002A4A00"/>
    <w:rsid w:val="002A4A0C"/>
    <w:rsid w:val="002A4BA8"/>
    <w:rsid w:val="002A5A0B"/>
    <w:rsid w:val="002A5A0C"/>
    <w:rsid w:val="002A5A7A"/>
    <w:rsid w:val="002A5BC9"/>
    <w:rsid w:val="002A649A"/>
    <w:rsid w:val="002A66E8"/>
    <w:rsid w:val="002A67FF"/>
    <w:rsid w:val="002B00B4"/>
    <w:rsid w:val="002B0788"/>
    <w:rsid w:val="002B0825"/>
    <w:rsid w:val="002B09D9"/>
    <w:rsid w:val="002B0ABD"/>
    <w:rsid w:val="002B0DB0"/>
    <w:rsid w:val="002B1108"/>
    <w:rsid w:val="002B1510"/>
    <w:rsid w:val="002B15A0"/>
    <w:rsid w:val="002B18C8"/>
    <w:rsid w:val="002B1BD7"/>
    <w:rsid w:val="002B1DC5"/>
    <w:rsid w:val="002B21FA"/>
    <w:rsid w:val="002B29C4"/>
    <w:rsid w:val="002B2B39"/>
    <w:rsid w:val="002B3979"/>
    <w:rsid w:val="002B3A69"/>
    <w:rsid w:val="002B4254"/>
    <w:rsid w:val="002B4635"/>
    <w:rsid w:val="002B46AF"/>
    <w:rsid w:val="002B48F6"/>
    <w:rsid w:val="002B4C76"/>
    <w:rsid w:val="002B4D0A"/>
    <w:rsid w:val="002B56C3"/>
    <w:rsid w:val="002B646B"/>
    <w:rsid w:val="002B6685"/>
    <w:rsid w:val="002B680B"/>
    <w:rsid w:val="002B7170"/>
    <w:rsid w:val="002B755F"/>
    <w:rsid w:val="002B759B"/>
    <w:rsid w:val="002B75C8"/>
    <w:rsid w:val="002B7B47"/>
    <w:rsid w:val="002B7E53"/>
    <w:rsid w:val="002C0372"/>
    <w:rsid w:val="002C055C"/>
    <w:rsid w:val="002C0773"/>
    <w:rsid w:val="002C080B"/>
    <w:rsid w:val="002C1B12"/>
    <w:rsid w:val="002C1DCB"/>
    <w:rsid w:val="002C1E35"/>
    <w:rsid w:val="002C2347"/>
    <w:rsid w:val="002C236E"/>
    <w:rsid w:val="002C281D"/>
    <w:rsid w:val="002C29DB"/>
    <w:rsid w:val="002C32F2"/>
    <w:rsid w:val="002C3468"/>
    <w:rsid w:val="002C34D5"/>
    <w:rsid w:val="002C4401"/>
    <w:rsid w:val="002C45E2"/>
    <w:rsid w:val="002C4879"/>
    <w:rsid w:val="002C4AB2"/>
    <w:rsid w:val="002C5326"/>
    <w:rsid w:val="002C5D59"/>
    <w:rsid w:val="002C5F43"/>
    <w:rsid w:val="002C627E"/>
    <w:rsid w:val="002C666B"/>
    <w:rsid w:val="002C6AEE"/>
    <w:rsid w:val="002C6D39"/>
    <w:rsid w:val="002C6E92"/>
    <w:rsid w:val="002C7879"/>
    <w:rsid w:val="002C7DD1"/>
    <w:rsid w:val="002C7F98"/>
    <w:rsid w:val="002D0B2A"/>
    <w:rsid w:val="002D0BC5"/>
    <w:rsid w:val="002D0D8B"/>
    <w:rsid w:val="002D0EA6"/>
    <w:rsid w:val="002D11CA"/>
    <w:rsid w:val="002D14B7"/>
    <w:rsid w:val="002D15A3"/>
    <w:rsid w:val="002D1971"/>
    <w:rsid w:val="002D2307"/>
    <w:rsid w:val="002D231F"/>
    <w:rsid w:val="002D264C"/>
    <w:rsid w:val="002D2925"/>
    <w:rsid w:val="002D2F02"/>
    <w:rsid w:val="002D313B"/>
    <w:rsid w:val="002D36EA"/>
    <w:rsid w:val="002D3F09"/>
    <w:rsid w:val="002D47D7"/>
    <w:rsid w:val="002D4E3F"/>
    <w:rsid w:val="002D5036"/>
    <w:rsid w:val="002D51F7"/>
    <w:rsid w:val="002D534F"/>
    <w:rsid w:val="002D597B"/>
    <w:rsid w:val="002D620B"/>
    <w:rsid w:val="002D66E3"/>
    <w:rsid w:val="002D701D"/>
    <w:rsid w:val="002D7183"/>
    <w:rsid w:val="002D7522"/>
    <w:rsid w:val="002D785B"/>
    <w:rsid w:val="002D7F00"/>
    <w:rsid w:val="002E0E43"/>
    <w:rsid w:val="002E2677"/>
    <w:rsid w:val="002E268B"/>
    <w:rsid w:val="002E2CBB"/>
    <w:rsid w:val="002E2FF8"/>
    <w:rsid w:val="002E3398"/>
    <w:rsid w:val="002E3509"/>
    <w:rsid w:val="002E38CC"/>
    <w:rsid w:val="002E3EA3"/>
    <w:rsid w:val="002E41FB"/>
    <w:rsid w:val="002E46D0"/>
    <w:rsid w:val="002E4807"/>
    <w:rsid w:val="002E4C08"/>
    <w:rsid w:val="002E4F32"/>
    <w:rsid w:val="002E50DF"/>
    <w:rsid w:val="002E5391"/>
    <w:rsid w:val="002E5674"/>
    <w:rsid w:val="002E5B6C"/>
    <w:rsid w:val="002E5B8A"/>
    <w:rsid w:val="002E5C5C"/>
    <w:rsid w:val="002E635D"/>
    <w:rsid w:val="002E6B3B"/>
    <w:rsid w:val="002E73F4"/>
    <w:rsid w:val="002E7E1C"/>
    <w:rsid w:val="002E7F79"/>
    <w:rsid w:val="002F0698"/>
    <w:rsid w:val="002F0725"/>
    <w:rsid w:val="002F0847"/>
    <w:rsid w:val="002F0A65"/>
    <w:rsid w:val="002F18AF"/>
    <w:rsid w:val="002F1B2D"/>
    <w:rsid w:val="002F2011"/>
    <w:rsid w:val="002F2078"/>
    <w:rsid w:val="002F2202"/>
    <w:rsid w:val="002F236B"/>
    <w:rsid w:val="002F2C0B"/>
    <w:rsid w:val="002F328F"/>
    <w:rsid w:val="002F32BB"/>
    <w:rsid w:val="002F3370"/>
    <w:rsid w:val="002F34C0"/>
    <w:rsid w:val="002F3D55"/>
    <w:rsid w:val="002F3D74"/>
    <w:rsid w:val="002F3DB5"/>
    <w:rsid w:val="002F3EC9"/>
    <w:rsid w:val="002F4049"/>
    <w:rsid w:val="002F40E6"/>
    <w:rsid w:val="002F41DB"/>
    <w:rsid w:val="002F41E3"/>
    <w:rsid w:val="002F4559"/>
    <w:rsid w:val="002F5578"/>
    <w:rsid w:val="002F5BB1"/>
    <w:rsid w:val="002F6902"/>
    <w:rsid w:val="002F6CF1"/>
    <w:rsid w:val="002F6F55"/>
    <w:rsid w:val="002F7004"/>
    <w:rsid w:val="002F7C5F"/>
    <w:rsid w:val="00302281"/>
    <w:rsid w:val="0030244B"/>
    <w:rsid w:val="00302643"/>
    <w:rsid w:val="00302E3A"/>
    <w:rsid w:val="00303150"/>
    <w:rsid w:val="0030326B"/>
    <w:rsid w:val="003036AB"/>
    <w:rsid w:val="00303A68"/>
    <w:rsid w:val="00303BA4"/>
    <w:rsid w:val="00303C93"/>
    <w:rsid w:val="00304C65"/>
    <w:rsid w:val="00304EF8"/>
    <w:rsid w:val="0030504A"/>
    <w:rsid w:val="003055B6"/>
    <w:rsid w:val="0030593F"/>
    <w:rsid w:val="00305AF7"/>
    <w:rsid w:val="00305FE4"/>
    <w:rsid w:val="003063EC"/>
    <w:rsid w:val="00306725"/>
    <w:rsid w:val="00306728"/>
    <w:rsid w:val="00306851"/>
    <w:rsid w:val="00306BDF"/>
    <w:rsid w:val="00306DA1"/>
    <w:rsid w:val="00307DDF"/>
    <w:rsid w:val="00310306"/>
    <w:rsid w:val="003104FF"/>
    <w:rsid w:val="00310720"/>
    <w:rsid w:val="00310738"/>
    <w:rsid w:val="00310A26"/>
    <w:rsid w:val="00310C2F"/>
    <w:rsid w:val="00310D78"/>
    <w:rsid w:val="0031113F"/>
    <w:rsid w:val="00311CCA"/>
    <w:rsid w:val="00311DC5"/>
    <w:rsid w:val="00312516"/>
    <w:rsid w:val="0031257C"/>
    <w:rsid w:val="00312597"/>
    <w:rsid w:val="0031293F"/>
    <w:rsid w:val="00312A60"/>
    <w:rsid w:val="00312AD7"/>
    <w:rsid w:val="00312CAF"/>
    <w:rsid w:val="003132C4"/>
    <w:rsid w:val="00313EA3"/>
    <w:rsid w:val="00315C99"/>
    <w:rsid w:val="00316815"/>
    <w:rsid w:val="00317234"/>
    <w:rsid w:val="003172A5"/>
    <w:rsid w:val="00320449"/>
    <w:rsid w:val="003205FB"/>
    <w:rsid w:val="00320DD3"/>
    <w:rsid w:val="003212E9"/>
    <w:rsid w:val="0032130A"/>
    <w:rsid w:val="0032139D"/>
    <w:rsid w:val="0032199B"/>
    <w:rsid w:val="003227AC"/>
    <w:rsid w:val="003229F6"/>
    <w:rsid w:val="00322A61"/>
    <w:rsid w:val="00322F1C"/>
    <w:rsid w:val="00323375"/>
    <w:rsid w:val="003236B4"/>
    <w:rsid w:val="0032414E"/>
    <w:rsid w:val="00325381"/>
    <w:rsid w:val="00325738"/>
    <w:rsid w:val="00325C10"/>
    <w:rsid w:val="00325CB2"/>
    <w:rsid w:val="00325FCC"/>
    <w:rsid w:val="00326955"/>
    <w:rsid w:val="00326AD9"/>
    <w:rsid w:val="003274BF"/>
    <w:rsid w:val="00327B98"/>
    <w:rsid w:val="00330262"/>
    <w:rsid w:val="00330358"/>
    <w:rsid w:val="003308C3"/>
    <w:rsid w:val="00330A7D"/>
    <w:rsid w:val="00331092"/>
    <w:rsid w:val="00331095"/>
    <w:rsid w:val="003315AC"/>
    <w:rsid w:val="00331CD9"/>
    <w:rsid w:val="0033216C"/>
    <w:rsid w:val="00333124"/>
    <w:rsid w:val="00333412"/>
    <w:rsid w:val="00333795"/>
    <w:rsid w:val="00333900"/>
    <w:rsid w:val="00333AFA"/>
    <w:rsid w:val="00333BC3"/>
    <w:rsid w:val="00334344"/>
    <w:rsid w:val="00334743"/>
    <w:rsid w:val="0033488E"/>
    <w:rsid w:val="003351ED"/>
    <w:rsid w:val="0033531D"/>
    <w:rsid w:val="00335D2C"/>
    <w:rsid w:val="00336174"/>
    <w:rsid w:val="003363FB"/>
    <w:rsid w:val="003366C1"/>
    <w:rsid w:val="00337C7E"/>
    <w:rsid w:val="00337CD8"/>
    <w:rsid w:val="00340015"/>
    <w:rsid w:val="003402A2"/>
    <w:rsid w:val="00340304"/>
    <w:rsid w:val="0034034D"/>
    <w:rsid w:val="00340AC4"/>
    <w:rsid w:val="00340CC0"/>
    <w:rsid w:val="00340E5A"/>
    <w:rsid w:val="00340F12"/>
    <w:rsid w:val="0034131A"/>
    <w:rsid w:val="0034167B"/>
    <w:rsid w:val="00341C18"/>
    <w:rsid w:val="00341E2F"/>
    <w:rsid w:val="00341E96"/>
    <w:rsid w:val="0034272A"/>
    <w:rsid w:val="00342B1F"/>
    <w:rsid w:val="00342E6C"/>
    <w:rsid w:val="00343303"/>
    <w:rsid w:val="003439FD"/>
    <w:rsid w:val="00343EB0"/>
    <w:rsid w:val="0034490D"/>
    <w:rsid w:val="00344DD0"/>
    <w:rsid w:val="00344E92"/>
    <w:rsid w:val="003462B5"/>
    <w:rsid w:val="0034664E"/>
    <w:rsid w:val="00346F51"/>
    <w:rsid w:val="00347B73"/>
    <w:rsid w:val="00347EF2"/>
    <w:rsid w:val="00347F4C"/>
    <w:rsid w:val="00350353"/>
    <w:rsid w:val="0035041E"/>
    <w:rsid w:val="00350492"/>
    <w:rsid w:val="00350510"/>
    <w:rsid w:val="003505D5"/>
    <w:rsid w:val="003505F7"/>
    <w:rsid w:val="0035069B"/>
    <w:rsid w:val="00350B58"/>
    <w:rsid w:val="00350C92"/>
    <w:rsid w:val="00350DFA"/>
    <w:rsid w:val="0035184D"/>
    <w:rsid w:val="003519DA"/>
    <w:rsid w:val="00351A38"/>
    <w:rsid w:val="00351D1C"/>
    <w:rsid w:val="00351E97"/>
    <w:rsid w:val="0035250E"/>
    <w:rsid w:val="00352920"/>
    <w:rsid w:val="00352E38"/>
    <w:rsid w:val="003533DE"/>
    <w:rsid w:val="00353B29"/>
    <w:rsid w:val="00353B4E"/>
    <w:rsid w:val="00353C94"/>
    <w:rsid w:val="00355110"/>
    <w:rsid w:val="00355318"/>
    <w:rsid w:val="003556FD"/>
    <w:rsid w:val="00355787"/>
    <w:rsid w:val="00355D36"/>
    <w:rsid w:val="00356044"/>
    <w:rsid w:val="00356C07"/>
    <w:rsid w:val="00357022"/>
    <w:rsid w:val="00357103"/>
    <w:rsid w:val="00357685"/>
    <w:rsid w:val="00357758"/>
    <w:rsid w:val="003578BC"/>
    <w:rsid w:val="00357990"/>
    <w:rsid w:val="00357A46"/>
    <w:rsid w:val="00357C60"/>
    <w:rsid w:val="00360279"/>
    <w:rsid w:val="00360312"/>
    <w:rsid w:val="00360777"/>
    <w:rsid w:val="00360E9E"/>
    <w:rsid w:val="00361049"/>
    <w:rsid w:val="0036105F"/>
    <w:rsid w:val="0036128F"/>
    <w:rsid w:val="003618F1"/>
    <w:rsid w:val="00361B37"/>
    <w:rsid w:val="00361B6B"/>
    <w:rsid w:val="0036201D"/>
    <w:rsid w:val="0036211B"/>
    <w:rsid w:val="003628DD"/>
    <w:rsid w:val="0036314E"/>
    <w:rsid w:val="0036325F"/>
    <w:rsid w:val="00364B8E"/>
    <w:rsid w:val="00364BC4"/>
    <w:rsid w:val="00364F50"/>
    <w:rsid w:val="00365479"/>
    <w:rsid w:val="00365745"/>
    <w:rsid w:val="00365D64"/>
    <w:rsid w:val="00365FCB"/>
    <w:rsid w:val="00365FDA"/>
    <w:rsid w:val="00367495"/>
    <w:rsid w:val="00367515"/>
    <w:rsid w:val="003705C2"/>
    <w:rsid w:val="0037091F"/>
    <w:rsid w:val="00370C93"/>
    <w:rsid w:val="00370DC6"/>
    <w:rsid w:val="00370DCD"/>
    <w:rsid w:val="0037150E"/>
    <w:rsid w:val="003715B7"/>
    <w:rsid w:val="00372528"/>
    <w:rsid w:val="003726A1"/>
    <w:rsid w:val="00372799"/>
    <w:rsid w:val="00373FF9"/>
    <w:rsid w:val="00374291"/>
    <w:rsid w:val="0037484C"/>
    <w:rsid w:val="003749ED"/>
    <w:rsid w:val="00374B17"/>
    <w:rsid w:val="00374D9D"/>
    <w:rsid w:val="0037535E"/>
    <w:rsid w:val="00375BA6"/>
    <w:rsid w:val="00375BEA"/>
    <w:rsid w:val="00375FDD"/>
    <w:rsid w:val="00376EE5"/>
    <w:rsid w:val="0037708C"/>
    <w:rsid w:val="0037752F"/>
    <w:rsid w:val="00377C31"/>
    <w:rsid w:val="00377EFC"/>
    <w:rsid w:val="00380053"/>
    <w:rsid w:val="00380239"/>
    <w:rsid w:val="003803AC"/>
    <w:rsid w:val="00380603"/>
    <w:rsid w:val="00380879"/>
    <w:rsid w:val="00381EA8"/>
    <w:rsid w:val="00382D63"/>
    <w:rsid w:val="003833C5"/>
    <w:rsid w:val="00383540"/>
    <w:rsid w:val="00383B26"/>
    <w:rsid w:val="00384251"/>
    <w:rsid w:val="0038556F"/>
    <w:rsid w:val="003856D9"/>
    <w:rsid w:val="00385782"/>
    <w:rsid w:val="00385EA3"/>
    <w:rsid w:val="00386145"/>
    <w:rsid w:val="0038686B"/>
    <w:rsid w:val="0038688D"/>
    <w:rsid w:val="00387FB4"/>
    <w:rsid w:val="00390187"/>
    <w:rsid w:val="00390D0E"/>
    <w:rsid w:val="00390F2A"/>
    <w:rsid w:val="00390FE5"/>
    <w:rsid w:val="00391005"/>
    <w:rsid w:val="003911EE"/>
    <w:rsid w:val="0039135B"/>
    <w:rsid w:val="00391426"/>
    <w:rsid w:val="0039171A"/>
    <w:rsid w:val="00391D0E"/>
    <w:rsid w:val="0039255E"/>
    <w:rsid w:val="0039271C"/>
    <w:rsid w:val="00392738"/>
    <w:rsid w:val="00392E74"/>
    <w:rsid w:val="003930AA"/>
    <w:rsid w:val="003932CE"/>
    <w:rsid w:val="00393A3C"/>
    <w:rsid w:val="00393D70"/>
    <w:rsid w:val="00394CB0"/>
    <w:rsid w:val="0039507C"/>
    <w:rsid w:val="00395125"/>
    <w:rsid w:val="00395746"/>
    <w:rsid w:val="0039599C"/>
    <w:rsid w:val="00395C8C"/>
    <w:rsid w:val="00396001"/>
    <w:rsid w:val="0039665B"/>
    <w:rsid w:val="00397DB5"/>
    <w:rsid w:val="003A045F"/>
    <w:rsid w:val="003A0F58"/>
    <w:rsid w:val="003A143C"/>
    <w:rsid w:val="003A198C"/>
    <w:rsid w:val="003A1BA2"/>
    <w:rsid w:val="003A202F"/>
    <w:rsid w:val="003A2161"/>
    <w:rsid w:val="003A23E8"/>
    <w:rsid w:val="003A2707"/>
    <w:rsid w:val="003A2775"/>
    <w:rsid w:val="003A2777"/>
    <w:rsid w:val="003A2E2E"/>
    <w:rsid w:val="003A2FF3"/>
    <w:rsid w:val="003A3AAB"/>
    <w:rsid w:val="003A3CB2"/>
    <w:rsid w:val="003A416B"/>
    <w:rsid w:val="003A45B1"/>
    <w:rsid w:val="003A4C23"/>
    <w:rsid w:val="003A4DBE"/>
    <w:rsid w:val="003A509C"/>
    <w:rsid w:val="003A5317"/>
    <w:rsid w:val="003A56BF"/>
    <w:rsid w:val="003A5A7E"/>
    <w:rsid w:val="003A5C4F"/>
    <w:rsid w:val="003A5DB2"/>
    <w:rsid w:val="003A61BF"/>
    <w:rsid w:val="003A624E"/>
    <w:rsid w:val="003A6875"/>
    <w:rsid w:val="003A6BF2"/>
    <w:rsid w:val="003A7325"/>
    <w:rsid w:val="003A735C"/>
    <w:rsid w:val="003A79C2"/>
    <w:rsid w:val="003A7A0F"/>
    <w:rsid w:val="003B05A2"/>
    <w:rsid w:val="003B0730"/>
    <w:rsid w:val="003B0858"/>
    <w:rsid w:val="003B099A"/>
    <w:rsid w:val="003B0BBC"/>
    <w:rsid w:val="003B1095"/>
    <w:rsid w:val="003B12D6"/>
    <w:rsid w:val="003B1A61"/>
    <w:rsid w:val="003B1BBE"/>
    <w:rsid w:val="003B1F73"/>
    <w:rsid w:val="003B216E"/>
    <w:rsid w:val="003B2B5B"/>
    <w:rsid w:val="003B2E50"/>
    <w:rsid w:val="003B3215"/>
    <w:rsid w:val="003B33C1"/>
    <w:rsid w:val="003B3794"/>
    <w:rsid w:val="003B43D9"/>
    <w:rsid w:val="003B4A72"/>
    <w:rsid w:val="003B4D47"/>
    <w:rsid w:val="003B4DE6"/>
    <w:rsid w:val="003B4F8F"/>
    <w:rsid w:val="003B5194"/>
    <w:rsid w:val="003B51CF"/>
    <w:rsid w:val="003B5B52"/>
    <w:rsid w:val="003B6574"/>
    <w:rsid w:val="003B6877"/>
    <w:rsid w:val="003B6BAA"/>
    <w:rsid w:val="003B7121"/>
    <w:rsid w:val="003C0409"/>
    <w:rsid w:val="003C080E"/>
    <w:rsid w:val="003C0B40"/>
    <w:rsid w:val="003C16B9"/>
    <w:rsid w:val="003C1841"/>
    <w:rsid w:val="003C1851"/>
    <w:rsid w:val="003C19F9"/>
    <w:rsid w:val="003C220A"/>
    <w:rsid w:val="003C2275"/>
    <w:rsid w:val="003C24A1"/>
    <w:rsid w:val="003C24F3"/>
    <w:rsid w:val="003C2B02"/>
    <w:rsid w:val="003C2BFA"/>
    <w:rsid w:val="003C2C84"/>
    <w:rsid w:val="003C2F51"/>
    <w:rsid w:val="003C3318"/>
    <w:rsid w:val="003C36EE"/>
    <w:rsid w:val="003C3B67"/>
    <w:rsid w:val="003C432F"/>
    <w:rsid w:val="003C486D"/>
    <w:rsid w:val="003C4FBE"/>
    <w:rsid w:val="003C5074"/>
    <w:rsid w:val="003C51A2"/>
    <w:rsid w:val="003C549B"/>
    <w:rsid w:val="003C59F5"/>
    <w:rsid w:val="003C5F31"/>
    <w:rsid w:val="003C6175"/>
    <w:rsid w:val="003C6A53"/>
    <w:rsid w:val="003C6BD8"/>
    <w:rsid w:val="003C6CEA"/>
    <w:rsid w:val="003C76D0"/>
    <w:rsid w:val="003C7B04"/>
    <w:rsid w:val="003C7DFA"/>
    <w:rsid w:val="003C7E31"/>
    <w:rsid w:val="003C7E57"/>
    <w:rsid w:val="003D0273"/>
    <w:rsid w:val="003D0300"/>
    <w:rsid w:val="003D08BE"/>
    <w:rsid w:val="003D0A93"/>
    <w:rsid w:val="003D1070"/>
    <w:rsid w:val="003D10E5"/>
    <w:rsid w:val="003D1449"/>
    <w:rsid w:val="003D1676"/>
    <w:rsid w:val="003D1BDE"/>
    <w:rsid w:val="003D1C9F"/>
    <w:rsid w:val="003D2998"/>
    <w:rsid w:val="003D29CF"/>
    <w:rsid w:val="003D2A6F"/>
    <w:rsid w:val="003D2C3E"/>
    <w:rsid w:val="003D2DF1"/>
    <w:rsid w:val="003D32BC"/>
    <w:rsid w:val="003D35A3"/>
    <w:rsid w:val="003D4A14"/>
    <w:rsid w:val="003D4AFD"/>
    <w:rsid w:val="003D4C09"/>
    <w:rsid w:val="003D5230"/>
    <w:rsid w:val="003D5599"/>
    <w:rsid w:val="003D5638"/>
    <w:rsid w:val="003D5847"/>
    <w:rsid w:val="003D5D3B"/>
    <w:rsid w:val="003D5DC1"/>
    <w:rsid w:val="003D641C"/>
    <w:rsid w:val="003D6621"/>
    <w:rsid w:val="003D66A4"/>
    <w:rsid w:val="003D686A"/>
    <w:rsid w:val="003D6BA4"/>
    <w:rsid w:val="003D72B5"/>
    <w:rsid w:val="003D7460"/>
    <w:rsid w:val="003D791F"/>
    <w:rsid w:val="003E00DD"/>
    <w:rsid w:val="003E0165"/>
    <w:rsid w:val="003E03C7"/>
    <w:rsid w:val="003E0BD3"/>
    <w:rsid w:val="003E0D4E"/>
    <w:rsid w:val="003E0F4A"/>
    <w:rsid w:val="003E12E0"/>
    <w:rsid w:val="003E15ED"/>
    <w:rsid w:val="003E2693"/>
    <w:rsid w:val="003E2C3E"/>
    <w:rsid w:val="003E3006"/>
    <w:rsid w:val="003E32BB"/>
    <w:rsid w:val="003E3305"/>
    <w:rsid w:val="003E34F2"/>
    <w:rsid w:val="003E3548"/>
    <w:rsid w:val="003E3ABA"/>
    <w:rsid w:val="003E426C"/>
    <w:rsid w:val="003E4566"/>
    <w:rsid w:val="003E467E"/>
    <w:rsid w:val="003E4ED6"/>
    <w:rsid w:val="003E53DA"/>
    <w:rsid w:val="003E5CA2"/>
    <w:rsid w:val="003E676F"/>
    <w:rsid w:val="003E6A59"/>
    <w:rsid w:val="003E6B48"/>
    <w:rsid w:val="003E70E1"/>
    <w:rsid w:val="003E70E6"/>
    <w:rsid w:val="003E733A"/>
    <w:rsid w:val="003E74DF"/>
    <w:rsid w:val="003E7C07"/>
    <w:rsid w:val="003E7DF3"/>
    <w:rsid w:val="003F05AC"/>
    <w:rsid w:val="003F08B1"/>
    <w:rsid w:val="003F0916"/>
    <w:rsid w:val="003F0E15"/>
    <w:rsid w:val="003F140C"/>
    <w:rsid w:val="003F1648"/>
    <w:rsid w:val="003F18BB"/>
    <w:rsid w:val="003F1B66"/>
    <w:rsid w:val="003F284A"/>
    <w:rsid w:val="003F296F"/>
    <w:rsid w:val="003F2A4F"/>
    <w:rsid w:val="003F2A8D"/>
    <w:rsid w:val="003F4746"/>
    <w:rsid w:val="003F4938"/>
    <w:rsid w:val="003F4A79"/>
    <w:rsid w:val="003F5114"/>
    <w:rsid w:val="003F5A1D"/>
    <w:rsid w:val="003F69DC"/>
    <w:rsid w:val="003F6A76"/>
    <w:rsid w:val="00400446"/>
    <w:rsid w:val="004005D9"/>
    <w:rsid w:val="004006CA"/>
    <w:rsid w:val="00401176"/>
    <w:rsid w:val="004012F1"/>
    <w:rsid w:val="00401417"/>
    <w:rsid w:val="0040269B"/>
    <w:rsid w:val="00402D87"/>
    <w:rsid w:val="004034C4"/>
    <w:rsid w:val="004034F6"/>
    <w:rsid w:val="0040352A"/>
    <w:rsid w:val="00403925"/>
    <w:rsid w:val="0040392C"/>
    <w:rsid w:val="00403F90"/>
    <w:rsid w:val="00404A7A"/>
    <w:rsid w:val="00405D98"/>
    <w:rsid w:val="00406A14"/>
    <w:rsid w:val="004070B3"/>
    <w:rsid w:val="004072CA"/>
    <w:rsid w:val="00410263"/>
    <w:rsid w:val="00410468"/>
    <w:rsid w:val="00410945"/>
    <w:rsid w:val="00411279"/>
    <w:rsid w:val="00411618"/>
    <w:rsid w:val="00411819"/>
    <w:rsid w:val="00411AC1"/>
    <w:rsid w:val="00411BF6"/>
    <w:rsid w:val="00412774"/>
    <w:rsid w:val="00412F38"/>
    <w:rsid w:val="0041372C"/>
    <w:rsid w:val="00413E9B"/>
    <w:rsid w:val="00413FC9"/>
    <w:rsid w:val="00414345"/>
    <w:rsid w:val="00414FF4"/>
    <w:rsid w:val="00415744"/>
    <w:rsid w:val="00415C88"/>
    <w:rsid w:val="00415CE1"/>
    <w:rsid w:val="00415E34"/>
    <w:rsid w:val="004160A4"/>
    <w:rsid w:val="0041646C"/>
    <w:rsid w:val="00416DCE"/>
    <w:rsid w:val="00416DD5"/>
    <w:rsid w:val="00416F13"/>
    <w:rsid w:val="004175B8"/>
    <w:rsid w:val="004179D4"/>
    <w:rsid w:val="00417A23"/>
    <w:rsid w:val="00417CD8"/>
    <w:rsid w:val="00417FE7"/>
    <w:rsid w:val="004201BC"/>
    <w:rsid w:val="0042115C"/>
    <w:rsid w:val="00421E8D"/>
    <w:rsid w:val="004223F8"/>
    <w:rsid w:val="00422DC8"/>
    <w:rsid w:val="00422FDD"/>
    <w:rsid w:val="0042345C"/>
    <w:rsid w:val="004234D6"/>
    <w:rsid w:val="00423A3A"/>
    <w:rsid w:val="00423F23"/>
    <w:rsid w:val="004242A7"/>
    <w:rsid w:val="00424403"/>
    <w:rsid w:val="0042441D"/>
    <w:rsid w:val="0042463F"/>
    <w:rsid w:val="004246E1"/>
    <w:rsid w:val="0042474D"/>
    <w:rsid w:val="00424836"/>
    <w:rsid w:val="00424A32"/>
    <w:rsid w:val="00424A37"/>
    <w:rsid w:val="00424BC0"/>
    <w:rsid w:val="00424F98"/>
    <w:rsid w:val="004254C6"/>
    <w:rsid w:val="00425621"/>
    <w:rsid w:val="004256BE"/>
    <w:rsid w:val="004257C3"/>
    <w:rsid w:val="004259AA"/>
    <w:rsid w:val="0042648A"/>
    <w:rsid w:val="00426681"/>
    <w:rsid w:val="004266FC"/>
    <w:rsid w:val="00426A38"/>
    <w:rsid w:val="0042733C"/>
    <w:rsid w:val="004275B9"/>
    <w:rsid w:val="00427AC2"/>
    <w:rsid w:val="00427BB7"/>
    <w:rsid w:val="00427C04"/>
    <w:rsid w:val="00430241"/>
    <w:rsid w:val="00430A11"/>
    <w:rsid w:val="00430D4B"/>
    <w:rsid w:val="00430D4E"/>
    <w:rsid w:val="00430F39"/>
    <w:rsid w:val="00431352"/>
    <w:rsid w:val="00431A4B"/>
    <w:rsid w:val="00431A6D"/>
    <w:rsid w:val="00431F16"/>
    <w:rsid w:val="0043208D"/>
    <w:rsid w:val="004320B1"/>
    <w:rsid w:val="00432347"/>
    <w:rsid w:val="00432A88"/>
    <w:rsid w:val="00432CBD"/>
    <w:rsid w:val="004336CB"/>
    <w:rsid w:val="004338EF"/>
    <w:rsid w:val="00433F0E"/>
    <w:rsid w:val="004347AB"/>
    <w:rsid w:val="00434BAF"/>
    <w:rsid w:val="0043549A"/>
    <w:rsid w:val="00435731"/>
    <w:rsid w:val="004358C4"/>
    <w:rsid w:val="00435B33"/>
    <w:rsid w:val="00435DFF"/>
    <w:rsid w:val="004360FE"/>
    <w:rsid w:val="0043616F"/>
    <w:rsid w:val="004368FF"/>
    <w:rsid w:val="004369F3"/>
    <w:rsid w:val="00437033"/>
    <w:rsid w:val="0043713B"/>
    <w:rsid w:val="004371E4"/>
    <w:rsid w:val="00437942"/>
    <w:rsid w:val="004379D0"/>
    <w:rsid w:val="004401A6"/>
    <w:rsid w:val="00440267"/>
    <w:rsid w:val="0044037C"/>
    <w:rsid w:val="004403C0"/>
    <w:rsid w:val="0044068C"/>
    <w:rsid w:val="00440CAE"/>
    <w:rsid w:val="00441495"/>
    <w:rsid w:val="00441545"/>
    <w:rsid w:val="004417F4"/>
    <w:rsid w:val="00441FAC"/>
    <w:rsid w:val="0044202A"/>
    <w:rsid w:val="004420A9"/>
    <w:rsid w:val="0044236F"/>
    <w:rsid w:val="00442392"/>
    <w:rsid w:val="00442477"/>
    <w:rsid w:val="00442579"/>
    <w:rsid w:val="00442B8D"/>
    <w:rsid w:val="004432B0"/>
    <w:rsid w:val="00444644"/>
    <w:rsid w:val="0044507D"/>
    <w:rsid w:val="004453CA"/>
    <w:rsid w:val="00445708"/>
    <w:rsid w:val="0044589E"/>
    <w:rsid w:val="004458EC"/>
    <w:rsid w:val="0044656E"/>
    <w:rsid w:val="004468A7"/>
    <w:rsid w:val="00446B0B"/>
    <w:rsid w:val="00446DBD"/>
    <w:rsid w:val="004476A9"/>
    <w:rsid w:val="00447842"/>
    <w:rsid w:val="004479DF"/>
    <w:rsid w:val="00450DFC"/>
    <w:rsid w:val="00451013"/>
    <w:rsid w:val="00451C8D"/>
    <w:rsid w:val="00452478"/>
    <w:rsid w:val="00452ACF"/>
    <w:rsid w:val="00453549"/>
    <w:rsid w:val="00453E8A"/>
    <w:rsid w:val="0045423B"/>
    <w:rsid w:val="0045473E"/>
    <w:rsid w:val="00454906"/>
    <w:rsid w:val="00454D13"/>
    <w:rsid w:val="00454E6C"/>
    <w:rsid w:val="004550B1"/>
    <w:rsid w:val="0045526E"/>
    <w:rsid w:val="004553E5"/>
    <w:rsid w:val="00455CC4"/>
    <w:rsid w:val="0045611A"/>
    <w:rsid w:val="00456584"/>
    <w:rsid w:val="00456B5E"/>
    <w:rsid w:val="00456EA6"/>
    <w:rsid w:val="004579BA"/>
    <w:rsid w:val="00457C2E"/>
    <w:rsid w:val="00457CF8"/>
    <w:rsid w:val="00457E61"/>
    <w:rsid w:val="0046006B"/>
    <w:rsid w:val="0046026A"/>
    <w:rsid w:val="00460636"/>
    <w:rsid w:val="00461736"/>
    <w:rsid w:val="00461AFD"/>
    <w:rsid w:val="00461FC6"/>
    <w:rsid w:val="004622A6"/>
    <w:rsid w:val="00462845"/>
    <w:rsid w:val="0046287D"/>
    <w:rsid w:val="004629F1"/>
    <w:rsid w:val="00462E80"/>
    <w:rsid w:val="00462EAD"/>
    <w:rsid w:val="0046302C"/>
    <w:rsid w:val="0046344D"/>
    <w:rsid w:val="00463E79"/>
    <w:rsid w:val="00464A3E"/>
    <w:rsid w:val="00464DAD"/>
    <w:rsid w:val="00465292"/>
    <w:rsid w:val="004656F5"/>
    <w:rsid w:val="00465BAF"/>
    <w:rsid w:val="00465C83"/>
    <w:rsid w:val="00465F4F"/>
    <w:rsid w:val="00466341"/>
    <w:rsid w:val="0046638B"/>
    <w:rsid w:val="00466707"/>
    <w:rsid w:val="00466D6B"/>
    <w:rsid w:val="004672AD"/>
    <w:rsid w:val="004673AF"/>
    <w:rsid w:val="00470BFA"/>
    <w:rsid w:val="00470C15"/>
    <w:rsid w:val="00470C68"/>
    <w:rsid w:val="0047189C"/>
    <w:rsid w:val="00471D45"/>
    <w:rsid w:val="004725A8"/>
    <w:rsid w:val="0047295C"/>
    <w:rsid w:val="004732E7"/>
    <w:rsid w:val="004735ED"/>
    <w:rsid w:val="00473699"/>
    <w:rsid w:val="004739D2"/>
    <w:rsid w:val="00474102"/>
    <w:rsid w:val="0047413D"/>
    <w:rsid w:val="00474293"/>
    <w:rsid w:val="00474A75"/>
    <w:rsid w:val="0047542C"/>
    <w:rsid w:val="00475924"/>
    <w:rsid w:val="00475A7F"/>
    <w:rsid w:val="00475B70"/>
    <w:rsid w:val="00475D09"/>
    <w:rsid w:val="0047692A"/>
    <w:rsid w:val="004769C5"/>
    <w:rsid w:val="00476B2C"/>
    <w:rsid w:val="00477046"/>
    <w:rsid w:val="004772AD"/>
    <w:rsid w:val="00477C31"/>
    <w:rsid w:val="00477D52"/>
    <w:rsid w:val="00480089"/>
    <w:rsid w:val="00480164"/>
    <w:rsid w:val="0048032B"/>
    <w:rsid w:val="004807F2"/>
    <w:rsid w:val="00480E77"/>
    <w:rsid w:val="004814A7"/>
    <w:rsid w:val="00481659"/>
    <w:rsid w:val="0048171C"/>
    <w:rsid w:val="00481819"/>
    <w:rsid w:val="004818CE"/>
    <w:rsid w:val="00481C6D"/>
    <w:rsid w:val="00481C88"/>
    <w:rsid w:val="00482950"/>
    <w:rsid w:val="00482D69"/>
    <w:rsid w:val="004831E2"/>
    <w:rsid w:val="00483236"/>
    <w:rsid w:val="00483246"/>
    <w:rsid w:val="0048330E"/>
    <w:rsid w:val="00483579"/>
    <w:rsid w:val="004836EF"/>
    <w:rsid w:val="004837BB"/>
    <w:rsid w:val="004837BD"/>
    <w:rsid w:val="004838DA"/>
    <w:rsid w:val="00483AE5"/>
    <w:rsid w:val="0048483C"/>
    <w:rsid w:val="0048492B"/>
    <w:rsid w:val="004849CE"/>
    <w:rsid w:val="00484F02"/>
    <w:rsid w:val="004852F8"/>
    <w:rsid w:val="0048568D"/>
    <w:rsid w:val="00485B0B"/>
    <w:rsid w:val="00486108"/>
    <w:rsid w:val="004861E2"/>
    <w:rsid w:val="00486E4F"/>
    <w:rsid w:val="00486F93"/>
    <w:rsid w:val="00487235"/>
    <w:rsid w:val="00487407"/>
    <w:rsid w:val="00487571"/>
    <w:rsid w:val="004875A0"/>
    <w:rsid w:val="00490087"/>
    <w:rsid w:val="0049017D"/>
    <w:rsid w:val="00491336"/>
    <w:rsid w:val="0049135A"/>
    <w:rsid w:val="00491845"/>
    <w:rsid w:val="00491D27"/>
    <w:rsid w:val="00491E72"/>
    <w:rsid w:val="004923B1"/>
    <w:rsid w:val="0049283C"/>
    <w:rsid w:val="00492EC8"/>
    <w:rsid w:val="004931BB"/>
    <w:rsid w:val="0049389B"/>
    <w:rsid w:val="004938A2"/>
    <w:rsid w:val="00493A07"/>
    <w:rsid w:val="00493E81"/>
    <w:rsid w:val="0049403A"/>
    <w:rsid w:val="004949D6"/>
    <w:rsid w:val="00494BF3"/>
    <w:rsid w:val="00494E09"/>
    <w:rsid w:val="00495EDD"/>
    <w:rsid w:val="004961DF"/>
    <w:rsid w:val="00496450"/>
    <w:rsid w:val="004967A2"/>
    <w:rsid w:val="00496BDE"/>
    <w:rsid w:val="00496D2A"/>
    <w:rsid w:val="00496D33"/>
    <w:rsid w:val="00496D9C"/>
    <w:rsid w:val="00497010"/>
    <w:rsid w:val="00497652"/>
    <w:rsid w:val="00497824"/>
    <w:rsid w:val="00497DFD"/>
    <w:rsid w:val="00497F40"/>
    <w:rsid w:val="004A00E4"/>
    <w:rsid w:val="004A02C4"/>
    <w:rsid w:val="004A05DB"/>
    <w:rsid w:val="004A0A28"/>
    <w:rsid w:val="004A11BE"/>
    <w:rsid w:val="004A1391"/>
    <w:rsid w:val="004A1B66"/>
    <w:rsid w:val="004A1B75"/>
    <w:rsid w:val="004A2482"/>
    <w:rsid w:val="004A26B4"/>
    <w:rsid w:val="004A294F"/>
    <w:rsid w:val="004A2C2B"/>
    <w:rsid w:val="004A2DAE"/>
    <w:rsid w:val="004A2DEA"/>
    <w:rsid w:val="004A3D9F"/>
    <w:rsid w:val="004A3EE2"/>
    <w:rsid w:val="004A462D"/>
    <w:rsid w:val="004A46E8"/>
    <w:rsid w:val="004A519F"/>
    <w:rsid w:val="004A5A16"/>
    <w:rsid w:val="004A6000"/>
    <w:rsid w:val="004A6416"/>
    <w:rsid w:val="004A64B7"/>
    <w:rsid w:val="004A6573"/>
    <w:rsid w:val="004A6C02"/>
    <w:rsid w:val="004A6D22"/>
    <w:rsid w:val="004A6FBE"/>
    <w:rsid w:val="004A76B1"/>
    <w:rsid w:val="004A7B11"/>
    <w:rsid w:val="004B040E"/>
    <w:rsid w:val="004B1236"/>
    <w:rsid w:val="004B1915"/>
    <w:rsid w:val="004B20C4"/>
    <w:rsid w:val="004B2179"/>
    <w:rsid w:val="004B2249"/>
    <w:rsid w:val="004B238D"/>
    <w:rsid w:val="004B2493"/>
    <w:rsid w:val="004B24FD"/>
    <w:rsid w:val="004B29B4"/>
    <w:rsid w:val="004B2CD5"/>
    <w:rsid w:val="004B38C5"/>
    <w:rsid w:val="004B3A11"/>
    <w:rsid w:val="004B4F10"/>
    <w:rsid w:val="004B562D"/>
    <w:rsid w:val="004B57CC"/>
    <w:rsid w:val="004B58C2"/>
    <w:rsid w:val="004B58C7"/>
    <w:rsid w:val="004B59A9"/>
    <w:rsid w:val="004B59D8"/>
    <w:rsid w:val="004B5C57"/>
    <w:rsid w:val="004B633E"/>
    <w:rsid w:val="004B6786"/>
    <w:rsid w:val="004B6FC3"/>
    <w:rsid w:val="004B79C5"/>
    <w:rsid w:val="004B7D6D"/>
    <w:rsid w:val="004C0014"/>
    <w:rsid w:val="004C0064"/>
    <w:rsid w:val="004C068E"/>
    <w:rsid w:val="004C0835"/>
    <w:rsid w:val="004C0BA4"/>
    <w:rsid w:val="004C0C60"/>
    <w:rsid w:val="004C11C1"/>
    <w:rsid w:val="004C245A"/>
    <w:rsid w:val="004C2921"/>
    <w:rsid w:val="004C2E5D"/>
    <w:rsid w:val="004C2FBF"/>
    <w:rsid w:val="004C305C"/>
    <w:rsid w:val="004C342D"/>
    <w:rsid w:val="004C3722"/>
    <w:rsid w:val="004C430F"/>
    <w:rsid w:val="004C457B"/>
    <w:rsid w:val="004C4B78"/>
    <w:rsid w:val="004C4D6C"/>
    <w:rsid w:val="004C5564"/>
    <w:rsid w:val="004C568A"/>
    <w:rsid w:val="004C56EE"/>
    <w:rsid w:val="004C5D52"/>
    <w:rsid w:val="004C6F35"/>
    <w:rsid w:val="004C706A"/>
    <w:rsid w:val="004C768D"/>
    <w:rsid w:val="004C7D51"/>
    <w:rsid w:val="004C7F0A"/>
    <w:rsid w:val="004D063F"/>
    <w:rsid w:val="004D0888"/>
    <w:rsid w:val="004D13AC"/>
    <w:rsid w:val="004D1651"/>
    <w:rsid w:val="004D190E"/>
    <w:rsid w:val="004D1CDD"/>
    <w:rsid w:val="004D2244"/>
    <w:rsid w:val="004D24C5"/>
    <w:rsid w:val="004D26A4"/>
    <w:rsid w:val="004D3A03"/>
    <w:rsid w:val="004D3F9B"/>
    <w:rsid w:val="004D40E3"/>
    <w:rsid w:val="004D40F4"/>
    <w:rsid w:val="004D4275"/>
    <w:rsid w:val="004D4477"/>
    <w:rsid w:val="004D5454"/>
    <w:rsid w:val="004D549A"/>
    <w:rsid w:val="004D55FB"/>
    <w:rsid w:val="004D5687"/>
    <w:rsid w:val="004D58AA"/>
    <w:rsid w:val="004D58DE"/>
    <w:rsid w:val="004D5EF5"/>
    <w:rsid w:val="004D61A2"/>
    <w:rsid w:val="004D62D0"/>
    <w:rsid w:val="004D6D88"/>
    <w:rsid w:val="004D7104"/>
    <w:rsid w:val="004D7177"/>
    <w:rsid w:val="004D7643"/>
    <w:rsid w:val="004D788A"/>
    <w:rsid w:val="004D7A6A"/>
    <w:rsid w:val="004D7BEB"/>
    <w:rsid w:val="004E013A"/>
    <w:rsid w:val="004E02D2"/>
    <w:rsid w:val="004E099B"/>
    <w:rsid w:val="004E0D0A"/>
    <w:rsid w:val="004E0EDD"/>
    <w:rsid w:val="004E1470"/>
    <w:rsid w:val="004E1772"/>
    <w:rsid w:val="004E1A62"/>
    <w:rsid w:val="004E1BEC"/>
    <w:rsid w:val="004E1C01"/>
    <w:rsid w:val="004E24C6"/>
    <w:rsid w:val="004E29A9"/>
    <w:rsid w:val="004E30AF"/>
    <w:rsid w:val="004E3384"/>
    <w:rsid w:val="004E3982"/>
    <w:rsid w:val="004E3DBE"/>
    <w:rsid w:val="004E43C6"/>
    <w:rsid w:val="004E4743"/>
    <w:rsid w:val="004E4916"/>
    <w:rsid w:val="004E4B43"/>
    <w:rsid w:val="004E53EE"/>
    <w:rsid w:val="004E56FE"/>
    <w:rsid w:val="004E5A17"/>
    <w:rsid w:val="004E5AE9"/>
    <w:rsid w:val="004E5EEE"/>
    <w:rsid w:val="004E613F"/>
    <w:rsid w:val="004E62B9"/>
    <w:rsid w:val="004E6361"/>
    <w:rsid w:val="004E64E9"/>
    <w:rsid w:val="004E658E"/>
    <w:rsid w:val="004E65AF"/>
    <w:rsid w:val="004E691F"/>
    <w:rsid w:val="004E6953"/>
    <w:rsid w:val="004E6C6B"/>
    <w:rsid w:val="004E7968"/>
    <w:rsid w:val="004E79A2"/>
    <w:rsid w:val="004E7CD4"/>
    <w:rsid w:val="004E7F17"/>
    <w:rsid w:val="004F00D1"/>
    <w:rsid w:val="004F098F"/>
    <w:rsid w:val="004F0D0A"/>
    <w:rsid w:val="004F0DDD"/>
    <w:rsid w:val="004F101D"/>
    <w:rsid w:val="004F14E6"/>
    <w:rsid w:val="004F1D1F"/>
    <w:rsid w:val="004F205A"/>
    <w:rsid w:val="004F20A5"/>
    <w:rsid w:val="004F21CF"/>
    <w:rsid w:val="004F2B03"/>
    <w:rsid w:val="004F315F"/>
    <w:rsid w:val="004F32D1"/>
    <w:rsid w:val="004F358E"/>
    <w:rsid w:val="004F3950"/>
    <w:rsid w:val="004F4549"/>
    <w:rsid w:val="004F5067"/>
    <w:rsid w:val="004F5510"/>
    <w:rsid w:val="004F55C1"/>
    <w:rsid w:val="004F5BCB"/>
    <w:rsid w:val="004F605F"/>
    <w:rsid w:val="004F62DC"/>
    <w:rsid w:val="004F6DDF"/>
    <w:rsid w:val="004F70B3"/>
    <w:rsid w:val="004F71CD"/>
    <w:rsid w:val="004F7CA9"/>
    <w:rsid w:val="004F7EBB"/>
    <w:rsid w:val="0050009A"/>
    <w:rsid w:val="00500A42"/>
    <w:rsid w:val="00500D13"/>
    <w:rsid w:val="00500D4B"/>
    <w:rsid w:val="0050135A"/>
    <w:rsid w:val="00502703"/>
    <w:rsid w:val="00502757"/>
    <w:rsid w:val="00502A96"/>
    <w:rsid w:val="00503463"/>
    <w:rsid w:val="00504549"/>
    <w:rsid w:val="00505DCD"/>
    <w:rsid w:val="00505E07"/>
    <w:rsid w:val="005064B8"/>
    <w:rsid w:val="0050667E"/>
    <w:rsid w:val="00506DFB"/>
    <w:rsid w:val="0050709B"/>
    <w:rsid w:val="00507320"/>
    <w:rsid w:val="005073BD"/>
    <w:rsid w:val="0050762E"/>
    <w:rsid w:val="00510060"/>
    <w:rsid w:val="005100E0"/>
    <w:rsid w:val="0051053D"/>
    <w:rsid w:val="00510FDC"/>
    <w:rsid w:val="0051110C"/>
    <w:rsid w:val="005123E0"/>
    <w:rsid w:val="00512985"/>
    <w:rsid w:val="005134FB"/>
    <w:rsid w:val="005134FC"/>
    <w:rsid w:val="005136BD"/>
    <w:rsid w:val="00513968"/>
    <w:rsid w:val="00513C86"/>
    <w:rsid w:val="00514721"/>
    <w:rsid w:val="00514A6B"/>
    <w:rsid w:val="00515097"/>
    <w:rsid w:val="005150D4"/>
    <w:rsid w:val="00515414"/>
    <w:rsid w:val="0051587D"/>
    <w:rsid w:val="00516452"/>
    <w:rsid w:val="00516E58"/>
    <w:rsid w:val="00517131"/>
    <w:rsid w:val="00517299"/>
    <w:rsid w:val="00517A3B"/>
    <w:rsid w:val="00517ED0"/>
    <w:rsid w:val="005201C0"/>
    <w:rsid w:val="00520224"/>
    <w:rsid w:val="00520573"/>
    <w:rsid w:val="005210AC"/>
    <w:rsid w:val="00521218"/>
    <w:rsid w:val="00521881"/>
    <w:rsid w:val="00521982"/>
    <w:rsid w:val="00521A38"/>
    <w:rsid w:val="00521DCC"/>
    <w:rsid w:val="005226CE"/>
    <w:rsid w:val="0052279B"/>
    <w:rsid w:val="0052295C"/>
    <w:rsid w:val="00522CC7"/>
    <w:rsid w:val="0052319E"/>
    <w:rsid w:val="0052354B"/>
    <w:rsid w:val="00524132"/>
    <w:rsid w:val="00524203"/>
    <w:rsid w:val="005244A0"/>
    <w:rsid w:val="00524688"/>
    <w:rsid w:val="00524789"/>
    <w:rsid w:val="00524797"/>
    <w:rsid w:val="005249AA"/>
    <w:rsid w:val="005253F5"/>
    <w:rsid w:val="00525909"/>
    <w:rsid w:val="005259B1"/>
    <w:rsid w:val="00525D4E"/>
    <w:rsid w:val="00526361"/>
    <w:rsid w:val="00527931"/>
    <w:rsid w:val="0052794B"/>
    <w:rsid w:val="00527D0B"/>
    <w:rsid w:val="00527EA7"/>
    <w:rsid w:val="00527F4E"/>
    <w:rsid w:val="00530006"/>
    <w:rsid w:val="0053035D"/>
    <w:rsid w:val="005303ED"/>
    <w:rsid w:val="00530988"/>
    <w:rsid w:val="00531023"/>
    <w:rsid w:val="0053126B"/>
    <w:rsid w:val="005317D0"/>
    <w:rsid w:val="00532526"/>
    <w:rsid w:val="005328D9"/>
    <w:rsid w:val="005329C5"/>
    <w:rsid w:val="00532E5B"/>
    <w:rsid w:val="00533D4A"/>
    <w:rsid w:val="00533E8A"/>
    <w:rsid w:val="0053465D"/>
    <w:rsid w:val="00535069"/>
    <w:rsid w:val="005352D0"/>
    <w:rsid w:val="005355FB"/>
    <w:rsid w:val="00535AEF"/>
    <w:rsid w:val="00535B15"/>
    <w:rsid w:val="00535F54"/>
    <w:rsid w:val="00536B0E"/>
    <w:rsid w:val="00536B59"/>
    <w:rsid w:val="00536CAE"/>
    <w:rsid w:val="00537238"/>
    <w:rsid w:val="005379EF"/>
    <w:rsid w:val="00537B07"/>
    <w:rsid w:val="00540154"/>
    <w:rsid w:val="005405EA"/>
    <w:rsid w:val="005409EB"/>
    <w:rsid w:val="00541059"/>
    <w:rsid w:val="005412E0"/>
    <w:rsid w:val="0054149F"/>
    <w:rsid w:val="005415D7"/>
    <w:rsid w:val="00541735"/>
    <w:rsid w:val="00541EFF"/>
    <w:rsid w:val="00542511"/>
    <w:rsid w:val="00542639"/>
    <w:rsid w:val="00542A4B"/>
    <w:rsid w:val="00542D68"/>
    <w:rsid w:val="00543753"/>
    <w:rsid w:val="00543AC5"/>
    <w:rsid w:val="00543B58"/>
    <w:rsid w:val="00543CFB"/>
    <w:rsid w:val="0054439F"/>
    <w:rsid w:val="005444CD"/>
    <w:rsid w:val="00544BC2"/>
    <w:rsid w:val="00544F04"/>
    <w:rsid w:val="0054586C"/>
    <w:rsid w:val="005459BB"/>
    <w:rsid w:val="00545C2A"/>
    <w:rsid w:val="0054647E"/>
    <w:rsid w:val="005465E5"/>
    <w:rsid w:val="00547128"/>
    <w:rsid w:val="005473D8"/>
    <w:rsid w:val="00547622"/>
    <w:rsid w:val="0054794B"/>
    <w:rsid w:val="00550176"/>
    <w:rsid w:val="00550413"/>
    <w:rsid w:val="00550465"/>
    <w:rsid w:val="0055096E"/>
    <w:rsid w:val="00550DF4"/>
    <w:rsid w:val="00550FF4"/>
    <w:rsid w:val="0055121D"/>
    <w:rsid w:val="00551322"/>
    <w:rsid w:val="0055136B"/>
    <w:rsid w:val="005515A6"/>
    <w:rsid w:val="00551882"/>
    <w:rsid w:val="0055193A"/>
    <w:rsid w:val="00552463"/>
    <w:rsid w:val="00552A47"/>
    <w:rsid w:val="00552FE5"/>
    <w:rsid w:val="005530C6"/>
    <w:rsid w:val="00553409"/>
    <w:rsid w:val="00553671"/>
    <w:rsid w:val="005537AA"/>
    <w:rsid w:val="00553C02"/>
    <w:rsid w:val="00554E4F"/>
    <w:rsid w:val="005551E9"/>
    <w:rsid w:val="005553E7"/>
    <w:rsid w:val="00555E0F"/>
    <w:rsid w:val="00556589"/>
    <w:rsid w:val="00556622"/>
    <w:rsid w:val="00556732"/>
    <w:rsid w:val="005567F8"/>
    <w:rsid w:val="005568B0"/>
    <w:rsid w:val="005569E2"/>
    <w:rsid w:val="00556BE6"/>
    <w:rsid w:val="005578DA"/>
    <w:rsid w:val="00557A82"/>
    <w:rsid w:val="005600AB"/>
    <w:rsid w:val="00560FD5"/>
    <w:rsid w:val="00561118"/>
    <w:rsid w:val="00561267"/>
    <w:rsid w:val="0056190B"/>
    <w:rsid w:val="00561B93"/>
    <w:rsid w:val="00561EAF"/>
    <w:rsid w:val="00561F9E"/>
    <w:rsid w:val="00562F18"/>
    <w:rsid w:val="005632E8"/>
    <w:rsid w:val="00564219"/>
    <w:rsid w:val="00564CE9"/>
    <w:rsid w:val="00565586"/>
    <w:rsid w:val="00565743"/>
    <w:rsid w:val="00565846"/>
    <w:rsid w:val="005659E4"/>
    <w:rsid w:val="00565C3F"/>
    <w:rsid w:val="00565E5F"/>
    <w:rsid w:val="00565ECC"/>
    <w:rsid w:val="00566360"/>
    <w:rsid w:val="005666BA"/>
    <w:rsid w:val="005666F1"/>
    <w:rsid w:val="00566A34"/>
    <w:rsid w:val="00566EBE"/>
    <w:rsid w:val="005673A0"/>
    <w:rsid w:val="00567C0B"/>
    <w:rsid w:val="00567CB3"/>
    <w:rsid w:val="00567D29"/>
    <w:rsid w:val="0057045F"/>
    <w:rsid w:val="005704DA"/>
    <w:rsid w:val="005707AB"/>
    <w:rsid w:val="005708F0"/>
    <w:rsid w:val="00570986"/>
    <w:rsid w:val="00571022"/>
    <w:rsid w:val="00571639"/>
    <w:rsid w:val="00571C72"/>
    <w:rsid w:val="00571FB6"/>
    <w:rsid w:val="00572270"/>
    <w:rsid w:val="005727E9"/>
    <w:rsid w:val="00572AB9"/>
    <w:rsid w:val="00572AEC"/>
    <w:rsid w:val="00572B19"/>
    <w:rsid w:val="00572D58"/>
    <w:rsid w:val="00572E8E"/>
    <w:rsid w:val="00573612"/>
    <w:rsid w:val="0057460F"/>
    <w:rsid w:val="00574D1D"/>
    <w:rsid w:val="00574FB9"/>
    <w:rsid w:val="00575002"/>
    <w:rsid w:val="005750D4"/>
    <w:rsid w:val="005753AD"/>
    <w:rsid w:val="005755B3"/>
    <w:rsid w:val="00575E47"/>
    <w:rsid w:val="005760D1"/>
    <w:rsid w:val="005765EE"/>
    <w:rsid w:val="00576DC8"/>
    <w:rsid w:val="00576EC1"/>
    <w:rsid w:val="005771F9"/>
    <w:rsid w:val="005775E8"/>
    <w:rsid w:val="005776BE"/>
    <w:rsid w:val="005800AE"/>
    <w:rsid w:val="00580B8F"/>
    <w:rsid w:val="00581C43"/>
    <w:rsid w:val="00581C6D"/>
    <w:rsid w:val="00581CFA"/>
    <w:rsid w:val="00581DF7"/>
    <w:rsid w:val="0058201A"/>
    <w:rsid w:val="00582151"/>
    <w:rsid w:val="005821FA"/>
    <w:rsid w:val="00582883"/>
    <w:rsid w:val="00584060"/>
    <w:rsid w:val="005845CB"/>
    <w:rsid w:val="005846EA"/>
    <w:rsid w:val="00584724"/>
    <w:rsid w:val="00584969"/>
    <w:rsid w:val="005853A5"/>
    <w:rsid w:val="005855E3"/>
    <w:rsid w:val="00585833"/>
    <w:rsid w:val="00585C2E"/>
    <w:rsid w:val="00585E81"/>
    <w:rsid w:val="00585E9D"/>
    <w:rsid w:val="005863F2"/>
    <w:rsid w:val="0058660C"/>
    <w:rsid w:val="00586A76"/>
    <w:rsid w:val="00587592"/>
    <w:rsid w:val="00587E4B"/>
    <w:rsid w:val="005900C8"/>
    <w:rsid w:val="005901F0"/>
    <w:rsid w:val="0059025D"/>
    <w:rsid w:val="005909DB"/>
    <w:rsid w:val="00590C12"/>
    <w:rsid w:val="00590D15"/>
    <w:rsid w:val="005912A2"/>
    <w:rsid w:val="005912BE"/>
    <w:rsid w:val="005912FD"/>
    <w:rsid w:val="00591580"/>
    <w:rsid w:val="0059160B"/>
    <w:rsid w:val="005924C5"/>
    <w:rsid w:val="00592984"/>
    <w:rsid w:val="00592986"/>
    <w:rsid w:val="0059299D"/>
    <w:rsid w:val="00592AE1"/>
    <w:rsid w:val="00592D8B"/>
    <w:rsid w:val="00593402"/>
    <w:rsid w:val="005935E1"/>
    <w:rsid w:val="0059465A"/>
    <w:rsid w:val="00595B44"/>
    <w:rsid w:val="0059610D"/>
    <w:rsid w:val="005967D0"/>
    <w:rsid w:val="00596B56"/>
    <w:rsid w:val="00596C93"/>
    <w:rsid w:val="005976AC"/>
    <w:rsid w:val="00597D52"/>
    <w:rsid w:val="005A03B1"/>
    <w:rsid w:val="005A07F6"/>
    <w:rsid w:val="005A0956"/>
    <w:rsid w:val="005A0E41"/>
    <w:rsid w:val="005A0F53"/>
    <w:rsid w:val="005A13D6"/>
    <w:rsid w:val="005A1D2A"/>
    <w:rsid w:val="005A1DCC"/>
    <w:rsid w:val="005A220A"/>
    <w:rsid w:val="005A2549"/>
    <w:rsid w:val="005A29A2"/>
    <w:rsid w:val="005A2A6E"/>
    <w:rsid w:val="005A2B56"/>
    <w:rsid w:val="005A32B8"/>
    <w:rsid w:val="005A38EF"/>
    <w:rsid w:val="005A3D13"/>
    <w:rsid w:val="005A44A0"/>
    <w:rsid w:val="005A45A0"/>
    <w:rsid w:val="005A4AE9"/>
    <w:rsid w:val="005A5722"/>
    <w:rsid w:val="005A59F9"/>
    <w:rsid w:val="005A5AE9"/>
    <w:rsid w:val="005A5E12"/>
    <w:rsid w:val="005A6148"/>
    <w:rsid w:val="005A655D"/>
    <w:rsid w:val="005A6C50"/>
    <w:rsid w:val="005A7A2C"/>
    <w:rsid w:val="005A7F09"/>
    <w:rsid w:val="005B01D5"/>
    <w:rsid w:val="005B0C24"/>
    <w:rsid w:val="005B0D97"/>
    <w:rsid w:val="005B0F3C"/>
    <w:rsid w:val="005B11A1"/>
    <w:rsid w:val="005B1365"/>
    <w:rsid w:val="005B14C3"/>
    <w:rsid w:val="005B1523"/>
    <w:rsid w:val="005B1E1D"/>
    <w:rsid w:val="005B1F4A"/>
    <w:rsid w:val="005B238E"/>
    <w:rsid w:val="005B25D9"/>
    <w:rsid w:val="005B266C"/>
    <w:rsid w:val="005B2E5C"/>
    <w:rsid w:val="005B3C26"/>
    <w:rsid w:val="005B4320"/>
    <w:rsid w:val="005B4971"/>
    <w:rsid w:val="005B4A8D"/>
    <w:rsid w:val="005B4D6F"/>
    <w:rsid w:val="005B51D3"/>
    <w:rsid w:val="005B5351"/>
    <w:rsid w:val="005B5936"/>
    <w:rsid w:val="005B5ED2"/>
    <w:rsid w:val="005B6293"/>
    <w:rsid w:val="005B6D8D"/>
    <w:rsid w:val="005B6EFF"/>
    <w:rsid w:val="005B6FC1"/>
    <w:rsid w:val="005B7D09"/>
    <w:rsid w:val="005C131C"/>
    <w:rsid w:val="005C13E7"/>
    <w:rsid w:val="005C1879"/>
    <w:rsid w:val="005C22E3"/>
    <w:rsid w:val="005C246C"/>
    <w:rsid w:val="005C27D8"/>
    <w:rsid w:val="005C280A"/>
    <w:rsid w:val="005C2E16"/>
    <w:rsid w:val="005C3B91"/>
    <w:rsid w:val="005C3E22"/>
    <w:rsid w:val="005C4075"/>
    <w:rsid w:val="005C4E6C"/>
    <w:rsid w:val="005C51EC"/>
    <w:rsid w:val="005C5B8A"/>
    <w:rsid w:val="005C6F4F"/>
    <w:rsid w:val="005C6F61"/>
    <w:rsid w:val="005C75EA"/>
    <w:rsid w:val="005C7C76"/>
    <w:rsid w:val="005C7EF7"/>
    <w:rsid w:val="005D00A6"/>
    <w:rsid w:val="005D0491"/>
    <w:rsid w:val="005D1515"/>
    <w:rsid w:val="005D1A9D"/>
    <w:rsid w:val="005D204E"/>
    <w:rsid w:val="005D217F"/>
    <w:rsid w:val="005D2564"/>
    <w:rsid w:val="005D29CC"/>
    <w:rsid w:val="005D3B77"/>
    <w:rsid w:val="005D40BD"/>
    <w:rsid w:val="005D42AC"/>
    <w:rsid w:val="005D45DD"/>
    <w:rsid w:val="005D4890"/>
    <w:rsid w:val="005D4B6F"/>
    <w:rsid w:val="005D4E75"/>
    <w:rsid w:val="005D5119"/>
    <w:rsid w:val="005D533F"/>
    <w:rsid w:val="005D5537"/>
    <w:rsid w:val="005D5AFF"/>
    <w:rsid w:val="005D5C0F"/>
    <w:rsid w:val="005D5EE1"/>
    <w:rsid w:val="005D5F5A"/>
    <w:rsid w:val="005D60B7"/>
    <w:rsid w:val="005D653C"/>
    <w:rsid w:val="005D6AA4"/>
    <w:rsid w:val="005D76B1"/>
    <w:rsid w:val="005D7ECD"/>
    <w:rsid w:val="005E0257"/>
    <w:rsid w:val="005E085A"/>
    <w:rsid w:val="005E0EBF"/>
    <w:rsid w:val="005E0F4E"/>
    <w:rsid w:val="005E0F61"/>
    <w:rsid w:val="005E0FD2"/>
    <w:rsid w:val="005E105D"/>
    <w:rsid w:val="005E10CB"/>
    <w:rsid w:val="005E1517"/>
    <w:rsid w:val="005E2B4A"/>
    <w:rsid w:val="005E2C56"/>
    <w:rsid w:val="005E3717"/>
    <w:rsid w:val="005E3A96"/>
    <w:rsid w:val="005E420B"/>
    <w:rsid w:val="005E42AF"/>
    <w:rsid w:val="005E42BD"/>
    <w:rsid w:val="005E48C4"/>
    <w:rsid w:val="005E52F3"/>
    <w:rsid w:val="005E5C31"/>
    <w:rsid w:val="005E5FB8"/>
    <w:rsid w:val="005E61F0"/>
    <w:rsid w:val="005E63F3"/>
    <w:rsid w:val="005E6D3E"/>
    <w:rsid w:val="005E6D9C"/>
    <w:rsid w:val="005E7D20"/>
    <w:rsid w:val="005F0407"/>
    <w:rsid w:val="005F076C"/>
    <w:rsid w:val="005F0D9B"/>
    <w:rsid w:val="005F15CA"/>
    <w:rsid w:val="005F1883"/>
    <w:rsid w:val="005F1C23"/>
    <w:rsid w:val="005F1F6A"/>
    <w:rsid w:val="005F2084"/>
    <w:rsid w:val="005F25AD"/>
    <w:rsid w:val="005F2CE2"/>
    <w:rsid w:val="005F2E96"/>
    <w:rsid w:val="005F35F2"/>
    <w:rsid w:val="005F3D1C"/>
    <w:rsid w:val="005F4F23"/>
    <w:rsid w:val="005F5357"/>
    <w:rsid w:val="005F58A4"/>
    <w:rsid w:val="005F5AB4"/>
    <w:rsid w:val="005F5C84"/>
    <w:rsid w:val="005F5DFC"/>
    <w:rsid w:val="005F66D9"/>
    <w:rsid w:val="005F73B2"/>
    <w:rsid w:val="005F73BB"/>
    <w:rsid w:val="005F7B22"/>
    <w:rsid w:val="005F7ECE"/>
    <w:rsid w:val="005F7F1F"/>
    <w:rsid w:val="0060045A"/>
    <w:rsid w:val="00600B7D"/>
    <w:rsid w:val="00600C41"/>
    <w:rsid w:val="00600C7A"/>
    <w:rsid w:val="00600D23"/>
    <w:rsid w:val="00601899"/>
    <w:rsid w:val="00601A3E"/>
    <w:rsid w:val="00601D52"/>
    <w:rsid w:val="00602044"/>
    <w:rsid w:val="00602102"/>
    <w:rsid w:val="006022B2"/>
    <w:rsid w:val="006025A5"/>
    <w:rsid w:val="006033ED"/>
    <w:rsid w:val="006037DF"/>
    <w:rsid w:val="00603B84"/>
    <w:rsid w:val="00603C68"/>
    <w:rsid w:val="00603E14"/>
    <w:rsid w:val="00604407"/>
    <w:rsid w:val="00604CA9"/>
    <w:rsid w:val="00604CBE"/>
    <w:rsid w:val="00604CD2"/>
    <w:rsid w:val="00604CFB"/>
    <w:rsid w:val="00606322"/>
    <w:rsid w:val="00606E14"/>
    <w:rsid w:val="00606F05"/>
    <w:rsid w:val="00606F3E"/>
    <w:rsid w:val="006074AB"/>
    <w:rsid w:val="00607BCF"/>
    <w:rsid w:val="0061031D"/>
    <w:rsid w:val="00610566"/>
    <w:rsid w:val="006105DF"/>
    <w:rsid w:val="00610D8D"/>
    <w:rsid w:val="00610D8F"/>
    <w:rsid w:val="00610EC5"/>
    <w:rsid w:val="00611F48"/>
    <w:rsid w:val="00612484"/>
    <w:rsid w:val="006126F1"/>
    <w:rsid w:val="0061277B"/>
    <w:rsid w:val="0061285D"/>
    <w:rsid w:val="00612B29"/>
    <w:rsid w:val="00612D32"/>
    <w:rsid w:val="00613106"/>
    <w:rsid w:val="0061366F"/>
    <w:rsid w:val="006138E1"/>
    <w:rsid w:val="00613D36"/>
    <w:rsid w:val="00614200"/>
    <w:rsid w:val="00614617"/>
    <w:rsid w:val="00614B31"/>
    <w:rsid w:val="00615186"/>
    <w:rsid w:val="0061529D"/>
    <w:rsid w:val="006155D7"/>
    <w:rsid w:val="00615652"/>
    <w:rsid w:val="00615727"/>
    <w:rsid w:val="0061583E"/>
    <w:rsid w:val="00615975"/>
    <w:rsid w:val="00615CC0"/>
    <w:rsid w:val="00616070"/>
    <w:rsid w:val="006166F8"/>
    <w:rsid w:val="00616C2F"/>
    <w:rsid w:val="00616C4A"/>
    <w:rsid w:val="00616E22"/>
    <w:rsid w:val="00616ED6"/>
    <w:rsid w:val="00617029"/>
    <w:rsid w:val="006179EF"/>
    <w:rsid w:val="00617C92"/>
    <w:rsid w:val="00617D61"/>
    <w:rsid w:val="00617E7C"/>
    <w:rsid w:val="00620286"/>
    <w:rsid w:val="006204C5"/>
    <w:rsid w:val="00620DE8"/>
    <w:rsid w:val="00620E09"/>
    <w:rsid w:val="00621552"/>
    <w:rsid w:val="00622BA6"/>
    <w:rsid w:val="00622C94"/>
    <w:rsid w:val="00622FE8"/>
    <w:rsid w:val="006235C3"/>
    <w:rsid w:val="006236B1"/>
    <w:rsid w:val="00623C18"/>
    <w:rsid w:val="00623CE3"/>
    <w:rsid w:val="00623F67"/>
    <w:rsid w:val="0062427A"/>
    <w:rsid w:val="00624534"/>
    <w:rsid w:val="00624D08"/>
    <w:rsid w:val="00625339"/>
    <w:rsid w:val="00625C52"/>
    <w:rsid w:val="00625DAD"/>
    <w:rsid w:val="006261FA"/>
    <w:rsid w:val="00626D4B"/>
    <w:rsid w:val="00626D6F"/>
    <w:rsid w:val="00626DC8"/>
    <w:rsid w:val="00627086"/>
    <w:rsid w:val="00627457"/>
    <w:rsid w:val="006277D6"/>
    <w:rsid w:val="0062780B"/>
    <w:rsid w:val="00627AFB"/>
    <w:rsid w:val="00627D1F"/>
    <w:rsid w:val="00627D53"/>
    <w:rsid w:val="006303C4"/>
    <w:rsid w:val="0063047B"/>
    <w:rsid w:val="0063081B"/>
    <w:rsid w:val="00630C0D"/>
    <w:rsid w:val="00630DEC"/>
    <w:rsid w:val="00632010"/>
    <w:rsid w:val="00632456"/>
    <w:rsid w:val="006328BE"/>
    <w:rsid w:val="00632DD8"/>
    <w:rsid w:val="00633197"/>
    <w:rsid w:val="00633342"/>
    <w:rsid w:val="006336EA"/>
    <w:rsid w:val="00633729"/>
    <w:rsid w:val="006346A0"/>
    <w:rsid w:val="006347FA"/>
    <w:rsid w:val="00634F49"/>
    <w:rsid w:val="00635064"/>
    <w:rsid w:val="0063574C"/>
    <w:rsid w:val="006359C6"/>
    <w:rsid w:val="00635A30"/>
    <w:rsid w:val="0063604B"/>
    <w:rsid w:val="00636B54"/>
    <w:rsid w:val="00636B89"/>
    <w:rsid w:val="00636F5E"/>
    <w:rsid w:val="0063724F"/>
    <w:rsid w:val="0063767A"/>
    <w:rsid w:val="00637DBD"/>
    <w:rsid w:val="00637ECD"/>
    <w:rsid w:val="006401D1"/>
    <w:rsid w:val="00640DBB"/>
    <w:rsid w:val="00640E20"/>
    <w:rsid w:val="00640E4E"/>
    <w:rsid w:val="00640F65"/>
    <w:rsid w:val="006414E6"/>
    <w:rsid w:val="00641768"/>
    <w:rsid w:val="00641CB1"/>
    <w:rsid w:val="00642582"/>
    <w:rsid w:val="00642AC1"/>
    <w:rsid w:val="00642E71"/>
    <w:rsid w:val="00643103"/>
    <w:rsid w:val="00643140"/>
    <w:rsid w:val="006432F3"/>
    <w:rsid w:val="0064358C"/>
    <w:rsid w:val="006438BC"/>
    <w:rsid w:val="00643D92"/>
    <w:rsid w:val="00643F8C"/>
    <w:rsid w:val="00643FEA"/>
    <w:rsid w:val="0064409E"/>
    <w:rsid w:val="006440FA"/>
    <w:rsid w:val="00644C5C"/>
    <w:rsid w:val="00645296"/>
    <w:rsid w:val="00645496"/>
    <w:rsid w:val="00645663"/>
    <w:rsid w:val="00645B47"/>
    <w:rsid w:val="00645BB6"/>
    <w:rsid w:val="00645CA8"/>
    <w:rsid w:val="00645EF7"/>
    <w:rsid w:val="00646396"/>
    <w:rsid w:val="006463B0"/>
    <w:rsid w:val="00646C21"/>
    <w:rsid w:val="00646F13"/>
    <w:rsid w:val="0065007A"/>
    <w:rsid w:val="00650790"/>
    <w:rsid w:val="00650C73"/>
    <w:rsid w:val="00650EC7"/>
    <w:rsid w:val="00650F57"/>
    <w:rsid w:val="00650FDF"/>
    <w:rsid w:val="00651884"/>
    <w:rsid w:val="00651CE6"/>
    <w:rsid w:val="00651CFD"/>
    <w:rsid w:val="00651DDA"/>
    <w:rsid w:val="00652082"/>
    <w:rsid w:val="006523BD"/>
    <w:rsid w:val="00652901"/>
    <w:rsid w:val="006531A8"/>
    <w:rsid w:val="0065362E"/>
    <w:rsid w:val="006543E7"/>
    <w:rsid w:val="0065483D"/>
    <w:rsid w:val="00655007"/>
    <w:rsid w:val="006553BC"/>
    <w:rsid w:val="00655780"/>
    <w:rsid w:val="0065584E"/>
    <w:rsid w:val="0065598A"/>
    <w:rsid w:val="006559D9"/>
    <w:rsid w:val="00655A0A"/>
    <w:rsid w:val="00655E98"/>
    <w:rsid w:val="00655F89"/>
    <w:rsid w:val="00656941"/>
    <w:rsid w:val="00656A97"/>
    <w:rsid w:val="00656BB4"/>
    <w:rsid w:val="00656CC1"/>
    <w:rsid w:val="00657809"/>
    <w:rsid w:val="006578E8"/>
    <w:rsid w:val="0066038F"/>
    <w:rsid w:val="006603B9"/>
    <w:rsid w:val="00660410"/>
    <w:rsid w:val="0066053B"/>
    <w:rsid w:val="00660576"/>
    <w:rsid w:val="00660E5C"/>
    <w:rsid w:val="00661486"/>
    <w:rsid w:val="00661C41"/>
    <w:rsid w:val="00661E88"/>
    <w:rsid w:val="006626A4"/>
    <w:rsid w:val="00662E0E"/>
    <w:rsid w:val="00663251"/>
    <w:rsid w:val="006635F3"/>
    <w:rsid w:val="00663714"/>
    <w:rsid w:val="006638DB"/>
    <w:rsid w:val="00663A35"/>
    <w:rsid w:val="00663E6E"/>
    <w:rsid w:val="006641A1"/>
    <w:rsid w:val="00664500"/>
    <w:rsid w:val="006645FD"/>
    <w:rsid w:val="0066514E"/>
    <w:rsid w:val="006652A7"/>
    <w:rsid w:val="006658A0"/>
    <w:rsid w:val="00665E10"/>
    <w:rsid w:val="00666002"/>
    <w:rsid w:val="00666552"/>
    <w:rsid w:val="00666759"/>
    <w:rsid w:val="006669E9"/>
    <w:rsid w:val="00667136"/>
    <w:rsid w:val="006672B8"/>
    <w:rsid w:val="00667667"/>
    <w:rsid w:val="00667D0D"/>
    <w:rsid w:val="00667DC2"/>
    <w:rsid w:val="00667F06"/>
    <w:rsid w:val="00667FCF"/>
    <w:rsid w:val="00670CDE"/>
    <w:rsid w:val="0067125B"/>
    <w:rsid w:val="006716C0"/>
    <w:rsid w:val="006721B8"/>
    <w:rsid w:val="00672332"/>
    <w:rsid w:val="00672451"/>
    <w:rsid w:val="00672A5E"/>
    <w:rsid w:val="00672BB4"/>
    <w:rsid w:val="00672CE5"/>
    <w:rsid w:val="006736FE"/>
    <w:rsid w:val="0067371B"/>
    <w:rsid w:val="00673956"/>
    <w:rsid w:val="00673F0D"/>
    <w:rsid w:val="00674226"/>
    <w:rsid w:val="006744F7"/>
    <w:rsid w:val="00674633"/>
    <w:rsid w:val="006746F9"/>
    <w:rsid w:val="0067661D"/>
    <w:rsid w:val="00676A32"/>
    <w:rsid w:val="00676FA3"/>
    <w:rsid w:val="00677093"/>
    <w:rsid w:val="00680109"/>
    <w:rsid w:val="00680835"/>
    <w:rsid w:val="00680AC6"/>
    <w:rsid w:val="00680E44"/>
    <w:rsid w:val="00680EDF"/>
    <w:rsid w:val="00681218"/>
    <w:rsid w:val="0068142F"/>
    <w:rsid w:val="00681484"/>
    <w:rsid w:val="00681AE0"/>
    <w:rsid w:val="00682E18"/>
    <w:rsid w:val="0068484F"/>
    <w:rsid w:val="006853EE"/>
    <w:rsid w:val="00685856"/>
    <w:rsid w:val="00685880"/>
    <w:rsid w:val="0068621A"/>
    <w:rsid w:val="006864BD"/>
    <w:rsid w:val="006865C2"/>
    <w:rsid w:val="00686ADD"/>
    <w:rsid w:val="0068740B"/>
    <w:rsid w:val="006878A7"/>
    <w:rsid w:val="00687972"/>
    <w:rsid w:val="00687CA5"/>
    <w:rsid w:val="00687DC8"/>
    <w:rsid w:val="006906BE"/>
    <w:rsid w:val="0069095D"/>
    <w:rsid w:val="00690DF9"/>
    <w:rsid w:val="0069141B"/>
    <w:rsid w:val="00691558"/>
    <w:rsid w:val="00691639"/>
    <w:rsid w:val="006916C7"/>
    <w:rsid w:val="00691734"/>
    <w:rsid w:val="00691A31"/>
    <w:rsid w:val="00691F5E"/>
    <w:rsid w:val="00691F60"/>
    <w:rsid w:val="0069222E"/>
    <w:rsid w:val="0069241E"/>
    <w:rsid w:val="00692A86"/>
    <w:rsid w:val="00692D89"/>
    <w:rsid w:val="00692E4A"/>
    <w:rsid w:val="006935BA"/>
    <w:rsid w:val="0069407B"/>
    <w:rsid w:val="00694A52"/>
    <w:rsid w:val="00694A68"/>
    <w:rsid w:val="006965A8"/>
    <w:rsid w:val="00697480"/>
    <w:rsid w:val="00697B44"/>
    <w:rsid w:val="006A0339"/>
    <w:rsid w:val="006A062F"/>
    <w:rsid w:val="006A0850"/>
    <w:rsid w:val="006A19C8"/>
    <w:rsid w:val="006A2423"/>
    <w:rsid w:val="006A25B2"/>
    <w:rsid w:val="006A2879"/>
    <w:rsid w:val="006A2FE4"/>
    <w:rsid w:val="006A34C5"/>
    <w:rsid w:val="006A37A0"/>
    <w:rsid w:val="006A3DCA"/>
    <w:rsid w:val="006A4197"/>
    <w:rsid w:val="006A421A"/>
    <w:rsid w:val="006A48C2"/>
    <w:rsid w:val="006A49E0"/>
    <w:rsid w:val="006A4E12"/>
    <w:rsid w:val="006A5281"/>
    <w:rsid w:val="006A545A"/>
    <w:rsid w:val="006A5CEC"/>
    <w:rsid w:val="006A5E14"/>
    <w:rsid w:val="006A61E0"/>
    <w:rsid w:val="006A6E2E"/>
    <w:rsid w:val="006A7205"/>
    <w:rsid w:val="006A747C"/>
    <w:rsid w:val="006A7599"/>
    <w:rsid w:val="006A7BB0"/>
    <w:rsid w:val="006A7E0D"/>
    <w:rsid w:val="006A7F17"/>
    <w:rsid w:val="006B00BC"/>
    <w:rsid w:val="006B038C"/>
    <w:rsid w:val="006B03AF"/>
    <w:rsid w:val="006B06DC"/>
    <w:rsid w:val="006B0E68"/>
    <w:rsid w:val="006B126C"/>
    <w:rsid w:val="006B157F"/>
    <w:rsid w:val="006B15F9"/>
    <w:rsid w:val="006B1755"/>
    <w:rsid w:val="006B17A1"/>
    <w:rsid w:val="006B1AD8"/>
    <w:rsid w:val="006B2135"/>
    <w:rsid w:val="006B2783"/>
    <w:rsid w:val="006B335B"/>
    <w:rsid w:val="006B378A"/>
    <w:rsid w:val="006B3894"/>
    <w:rsid w:val="006B3942"/>
    <w:rsid w:val="006B3D22"/>
    <w:rsid w:val="006B3E76"/>
    <w:rsid w:val="006B4126"/>
    <w:rsid w:val="006B43F9"/>
    <w:rsid w:val="006B45E6"/>
    <w:rsid w:val="006B4F40"/>
    <w:rsid w:val="006B52FF"/>
    <w:rsid w:val="006B5B09"/>
    <w:rsid w:val="006B61B6"/>
    <w:rsid w:val="006B652F"/>
    <w:rsid w:val="006B6987"/>
    <w:rsid w:val="006B6B6B"/>
    <w:rsid w:val="006B6DAC"/>
    <w:rsid w:val="006B7A57"/>
    <w:rsid w:val="006B7B45"/>
    <w:rsid w:val="006B7D13"/>
    <w:rsid w:val="006C0868"/>
    <w:rsid w:val="006C11A9"/>
    <w:rsid w:val="006C1556"/>
    <w:rsid w:val="006C1850"/>
    <w:rsid w:val="006C1B68"/>
    <w:rsid w:val="006C2B23"/>
    <w:rsid w:val="006C342E"/>
    <w:rsid w:val="006C36CF"/>
    <w:rsid w:val="006C3732"/>
    <w:rsid w:val="006C3D42"/>
    <w:rsid w:val="006C3E1E"/>
    <w:rsid w:val="006C3F20"/>
    <w:rsid w:val="006C444F"/>
    <w:rsid w:val="006C4BC2"/>
    <w:rsid w:val="006C4CF6"/>
    <w:rsid w:val="006C5581"/>
    <w:rsid w:val="006C5873"/>
    <w:rsid w:val="006C5DBF"/>
    <w:rsid w:val="006C65CA"/>
    <w:rsid w:val="006C67BB"/>
    <w:rsid w:val="006C68BD"/>
    <w:rsid w:val="006C6932"/>
    <w:rsid w:val="006C6A4C"/>
    <w:rsid w:val="006C6B5D"/>
    <w:rsid w:val="006C726D"/>
    <w:rsid w:val="006C743E"/>
    <w:rsid w:val="006C745D"/>
    <w:rsid w:val="006C768F"/>
    <w:rsid w:val="006C7B83"/>
    <w:rsid w:val="006C7D90"/>
    <w:rsid w:val="006D0220"/>
    <w:rsid w:val="006D0B1F"/>
    <w:rsid w:val="006D0D27"/>
    <w:rsid w:val="006D0E45"/>
    <w:rsid w:val="006D117D"/>
    <w:rsid w:val="006D1E02"/>
    <w:rsid w:val="006D203A"/>
    <w:rsid w:val="006D28D2"/>
    <w:rsid w:val="006D3D90"/>
    <w:rsid w:val="006D4127"/>
    <w:rsid w:val="006D44C0"/>
    <w:rsid w:val="006D4834"/>
    <w:rsid w:val="006D48E4"/>
    <w:rsid w:val="006D5C36"/>
    <w:rsid w:val="006D6096"/>
    <w:rsid w:val="006D69BC"/>
    <w:rsid w:val="006D6A87"/>
    <w:rsid w:val="006D6B6B"/>
    <w:rsid w:val="006D7244"/>
    <w:rsid w:val="006D7867"/>
    <w:rsid w:val="006D7868"/>
    <w:rsid w:val="006D79F1"/>
    <w:rsid w:val="006D7C5E"/>
    <w:rsid w:val="006E0A7A"/>
    <w:rsid w:val="006E17D7"/>
    <w:rsid w:val="006E1883"/>
    <w:rsid w:val="006E19A5"/>
    <w:rsid w:val="006E2089"/>
    <w:rsid w:val="006E2343"/>
    <w:rsid w:val="006E25CC"/>
    <w:rsid w:val="006E266D"/>
    <w:rsid w:val="006E3292"/>
    <w:rsid w:val="006E34A0"/>
    <w:rsid w:val="006E49E1"/>
    <w:rsid w:val="006E4B94"/>
    <w:rsid w:val="006E4CF5"/>
    <w:rsid w:val="006E541D"/>
    <w:rsid w:val="006E5810"/>
    <w:rsid w:val="006E5A89"/>
    <w:rsid w:val="006E6275"/>
    <w:rsid w:val="006E6441"/>
    <w:rsid w:val="006E6507"/>
    <w:rsid w:val="006E6F19"/>
    <w:rsid w:val="006E738A"/>
    <w:rsid w:val="006E7944"/>
    <w:rsid w:val="006F021F"/>
    <w:rsid w:val="006F05BC"/>
    <w:rsid w:val="006F0618"/>
    <w:rsid w:val="006F0900"/>
    <w:rsid w:val="006F094F"/>
    <w:rsid w:val="006F1043"/>
    <w:rsid w:val="006F17CE"/>
    <w:rsid w:val="006F191B"/>
    <w:rsid w:val="006F1985"/>
    <w:rsid w:val="006F1F80"/>
    <w:rsid w:val="006F2016"/>
    <w:rsid w:val="006F22F7"/>
    <w:rsid w:val="006F2EBB"/>
    <w:rsid w:val="006F2FDF"/>
    <w:rsid w:val="006F3113"/>
    <w:rsid w:val="006F40B5"/>
    <w:rsid w:val="006F42DA"/>
    <w:rsid w:val="006F45E4"/>
    <w:rsid w:val="006F4B6A"/>
    <w:rsid w:val="006F4C3C"/>
    <w:rsid w:val="006F4D9D"/>
    <w:rsid w:val="006F52FD"/>
    <w:rsid w:val="006F53A8"/>
    <w:rsid w:val="006F5A56"/>
    <w:rsid w:val="006F6468"/>
    <w:rsid w:val="006F6733"/>
    <w:rsid w:val="006F6D9E"/>
    <w:rsid w:val="006F6DFD"/>
    <w:rsid w:val="006F755B"/>
    <w:rsid w:val="006F7629"/>
    <w:rsid w:val="006F794B"/>
    <w:rsid w:val="006F7AFA"/>
    <w:rsid w:val="007004CA"/>
    <w:rsid w:val="0070084E"/>
    <w:rsid w:val="00701219"/>
    <w:rsid w:val="0070127D"/>
    <w:rsid w:val="007016E5"/>
    <w:rsid w:val="00701774"/>
    <w:rsid w:val="00701C76"/>
    <w:rsid w:val="00701CF8"/>
    <w:rsid w:val="00701DF1"/>
    <w:rsid w:val="00702371"/>
    <w:rsid w:val="00702656"/>
    <w:rsid w:val="00702A32"/>
    <w:rsid w:val="00702BB2"/>
    <w:rsid w:val="00702D8B"/>
    <w:rsid w:val="007031AE"/>
    <w:rsid w:val="00703423"/>
    <w:rsid w:val="0070351E"/>
    <w:rsid w:val="00703960"/>
    <w:rsid w:val="00704651"/>
    <w:rsid w:val="00705453"/>
    <w:rsid w:val="007055B9"/>
    <w:rsid w:val="0070562F"/>
    <w:rsid w:val="00705648"/>
    <w:rsid w:val="007059F5"/>
    <w:rsid w:val="00705B3F"/>
    <w:rsid w:val="00705B6C"/>
    <w:rsid w:val="0070678E"/>
    <w:rsid w:val="007068D7"/>
    <w:rsid w:val="0070693C"/>
    <w:rsid w:val="00707089"/>
    <w:rsid w:val="00707760"/>
    <w:rsid w:val="00710433"/>
    <w:rsid w:val="00710772"/>
    <w:rsid w:val="00710CA3"/>
    <w:rsid w:val="00710D67"/>
    <w:rsid w:val="007111A6"/>
    <w:rsid w:val="0071160C"/>
    <w:rsid w:val="007120F5"/>
    <w:rsid w:val="0071224E"/>
    <w:rsid w:val="007127B8"/>
    <w:rsid w:val="007133DA"/>
    <w:rsid w:val="007134AC"/>
    <w:rsid w:val="00714043"/>
    <w:rsid w:val="00715957"/>
    <w:rsid w:val="00715FF0"/>
    <w:rsid w:val="007169ED"/>
    <w:rsid w:val="00716F73"/>
    <w:rsid w:val="007170F8"/>
    <w:rsid w:val="00717684"/>
    <w:rsid w:val="007178BB"/>
    <w:rsid w:val="00717E86"/>
    <w:rsid w:val="00720513"/>
    <w:rsid w:val="00720762"/>
    <w:rsid w:val="00720C56"/>
    <w:rsid w:val="00720D13"/>
    <w:rsid w:val="00720EFF"/>
    <w:rsid w:val="0072123B"/>
    <w:rsid w:val="00721346"/>
    <w:rsid w:val="00721F42"/>
    <w:rsid w:val="00721FC4"/>
    <w:rsid w:val="00722196"/>
    <w:rsid w:val="00722384"/>
    <w:rsid w:val="00722467"/>
    <w:rsid w:val="007227B7"/>
    <w:rsid w:val="00723738"/>
    <w:rsid w:val="00723915"/>
    <w:rsid w:val="00724045"/>
    <w:rsid w:val="0072432B"/>
    <w:rsid w:val="007244A4"/>
    <w:rsid w:val="007246FB"/>
    <w:rsid w:val="00725D5B"/>
    <w:rsid w:val="00725D7C"/>
    <w:rsid w:val="00725F8C"/>
    <w:rsid w:val="007268BF"/>
    <w:rsid w:val="00726960"/>
    <w:rsid w:val="00726EC4"/>
    <w:rsid w:val="007278BE"/>
    <w:rsid w:val="00727A32"/>
    <w:rsid w:val="00727D81"/>
    <w:rsid w:val="00727DDB"/>
    <w:rsid w:val="007308A6"/>
    <w:rsid w:val="00730C24"/>
    <w:rsid w:val="00730FE5"/>
    <w:rsid w:val="0073140C"/>
    <w:rsid w:val="00731878"/>
    <w:rsid w:val="0073210D"/>
    <w:rsid w:val="00732638"/>
    <w:rsid w:val="007328FA"/>
    <w:rsid w:val="007329C9"/>
    <w:rsid w:val="00732E50"/>
    <w:rsid w:val="0073356F"/>
    <w:rsid w:val="00733BD5"/>
    <w:rsid w:val="00734196"/>
    <w:rsid w:val="00734732"/>
    <w:rsid w:val="00734BBB"/>
    <w:rsid w:val="00734EF1"/>
    <w:rsid w:val="007353E0"/>
    <w:rsid w:val="00735933"/>
    <w:rsid w:val="00735E42"/>
    <w:rsid w:val="00735FA2"/>
    <w:rsid w:val="0073729C"/>
    <w:rsid w:val="0073757C"/>
    <w:rsid w:val="00740302"/>
    <w:rsid w:val="0074067F"/>
    <w:rsid w:val="00740CE2"/>
    <w:rsid w:val="00740E2E"/>
    <w:rsid w:val="007413F0"/>
    <w:rsid w:val="0074178D"/>
    <w:rsid w:val="00741F1E"/>
    <w:rsid w:val="00742101"/>
    <w:rsid w:val="0074255C"/>
    <w:rsid w:val="00742B48"/>
    <w:rsid w:val="00742ED6"/>
    <w:rsid w:val="00743E07"/>
    <w:rsid w:val="0074417E"/>
    <w:rsid w:val="0074446A"/>
    <w:rsid w:val="007446F4"/>
    <w:rsid w:val="00744A58"/>
    <w:rsid w:val="00745012"/>
    <w:rsid w:val="00745C42"/>
    <w:rsid w:val="00746243"/>
    <w:rsid w:val="0074653A"/>
    <w:rsid w:val="00746EFD"/>
    <w:rsid w:val="00746F7F"/>
    <w:rsid w:val="007471AE"/>
    <w:rsid w:val="00747289"/>
    <w:rsid w:val="00747348"/>
    <w:rsid w:val="00747AA4"/>
    <w:rsid w:val="00747F83"/>
    <w:rsid w:val="00747FA0"/>
    <w:rsid w:val="00750111"/>
    <w:rsid w:val="007509D6"/>
    <w:rsid w:val="00750BE3"/>
    <w:rsid w:val="00751021"/>
    <w:rsid w:val="0075114C"/>
    <w:rsid w:val="00751338"/>
    <w:rsid w:val="00751B56"/>
    <w:rsid w:val="00751C2B"/>
    <w:rsid w:val="00751E65"/>
    <w:rsid w:val="0075208C"/>
    <w:rsid w:val="007535EC"/>
    <w:rsid w:val="007536D6"/>
    <w:rsid w:val="00753851"/>
    <w:rsid w:val="00753BBB"/>
    <w:rsid w:val="00753DE9"/>
    <w:rsid w:val="00753EC3"/>
    <w:rsid w:val="00753EFE"/>
    <w:rsid w:val="00753FD7"/>
    <w:rsid w:val="007552CD"/>
    <w:rsid w:val="00755579"/>
    <w:rsid w:val="0075567B"/>
    <w:rsid w:val="00755D97"/>
    <w:rsid w:val="00755EC4"/>
    <w:rsid w:val="007565AF"/>
    <w:rsid w:val="007565FC"/>
    <w:rsid w:val="007565FE"/>
    <w:rsid w:val="0075682A"/>
    <w:rsid w:val="00756A33"/>
    <w:rsid w:val="007570BB"/>
    <w:rsid w:val="00757E13"/>
    <w:rsid w:val="00757E1F"/>
    <w:rsid w:val="00760055"/>
    <w:rsid w:val="0076011B"/>
    <w:rsid w:val="007604E8"/>
    <w:rsid w:val="00760570"/>
    <w:rsid w:val="00760690"/>
    <w:rsid w:val="0076087E"/>
    <w:rsid w:val="00760F2B"/>
    <w:rsid w:val="00761470"/>
    <w:rsid w:val="00761637"/>
    <w:rsid w:val="00761B7B"/>
    <w:rsid w:val="00761B7F"/>
    <w:rsid w:val="007620C8"/>
    <w:rsid w:val="00762200"/>
    <w:rsid w:val="0076282A"/>
    <w:rsid w:val="00762D9E"/>
    <w:rsid w:val="0076326C"/>
    <w:rsid w:val="0076391B"/>
    <w:rsid w:val="00763A0B"/>
    <w:rsid w:val="00764279"/>
    <w:rsid w:val="00764314"/>
    <w:rsid w:val="00764486"/>
    <w:rsid w:val="00764C41"/>
    <w:rsid w:val="0076515F"/>
    <w:rsid w:val="007656E2"/>
    <w:rsid w:val="00765E96"/>
    <w:rsid w:val="00766010"/>
    <w:rsid w:val="007667C1"/>
    <w:rsid w:val="007669E8"/>
    <w:rsid w:val="007679AB"/>
    <w:rsid w:val="00767BB7"/>
    <w:rsid w:val="007700BF"/>
    <w:rsid w:val="007700D5"/>
    <w:rsid w:val="0077057F"/>
    <w:rsid w:val="00770915"/>
    <w:rsid w:val="00770A50"/>
    <w:rsid w:val="0077122D"/>
    <w:rsid w:val="007715FE"/>
    <w:rsid w:val="0077178B"/>
    <w:rsid w:val="007720F6"/>
    <w:rsid w:val="00772228"/>
    <w:rsid w:val="007729C8"/>
    <w:rsid w:val="0077322C"/>
    <w:rsid w:val="00773665"/>
    <w:rsid w:val="0077367B"/>
    <w:rsid w:val="007739F0"/>
    <w:rsid w:val="00773E00"/>
    <w:rsid w:val="00774709"/>
    <w:rsid w:val="00774EC5"/>
    <w:rsid w:val="00775051"/>
    <w:rsid w:val="007756BC"/>
    <w:rsid w:val="00775AEE"/>
    <w:rsid w:val="00775E14"/>
    <w:rsid w:val="00776007"/>
    <w:rsid w:val="007765EC"/>
    <w:rsid w:val="007767EB"/>
    <w:rsid w:val="007769E3"/>
    <w:rsid w:val="00776F0E"/>
    <w:rsid w:val="007774FE"/>
    <w:rsid w:val="00777A3C"/>
    <w:rsid w:val="00777C59"/>
    <w:rsid w:val="00777FF1"/>
    <w:rsid w:val="00780136"/>
    <w:rsid w:val="007807AC"/>
    <w:rsid w:val="007809B1"/>
    <w:rsid w:val="00780CF5"/>
    <w:rsid w:val="00780D40"/>
    <w:rsid w:val="007815ED"/>
    <w:rsid w:val="007815F1"/>
    <w:rsid w:val="00781B7D"/>
    <w:rsid w:val="00782124"/>
    <w:rsid w:val="0078224C"/>
    <w:rsid w:val="0078248A"/>
    <w:rsid w:val="00782507"/>
    <w:rsid w:val="00782763"/>
    <w:rsid w:val="00782B78"/>
    <w:rsid w:val="007834CF"/>
    <w:rsid w:val="007835A2"/>
    <w:rsid w:val="0078368D"/>
    <w:rsid w:val="007839AA"/>
    <w:rsid w:val="00784174"/>
    <w:rsid w:val="00784212"/>
    <w:rsid w:val="00784630"/>
    <w:rsid w:val="00784C7E"/>
    <w:rsid w:val="00784CC6"/>
    <w:rsid w:val="007854FD"/>
    <w:rsid w:val="0078560B"/>
    <w:rsid w:val="00785FD4"/>
    <w:rsid w:val="007862DE"/>
    <w:rsid w:val="007867E8"/>
    <w:rsid w:val="00786F2F"/>
    <w:rsid w:val="00787758"/>
    <w:rsid w:val="0078777E"/>
    <w:rsid w:val="0079052C"/>
    <w:rsid w:val="0079075D"/>
    <w:rsid w:val="007909C7"/>
    <w:rsid w:val="00790BCE"/>
    <w:rsid w:val="00790C8A"/>
    <w:rsid w:val="00790D43"/>
    <w:rsid w:val="00790F2D"/>
    <w:rsid w:val="00791066"/>
    <w:rsid w:val="00791183"/>
    <w:rsid w:val="007914E5"/>
    <w:rsid w:val="007915F1"/>
    <w:rsid w:val="007916FF"/>
    <w:rsid w:val="00791A1E"/>
    <w:rsid w:val="00791E23"/>
    <w:rsid w:val="00792056"/>
    <w:rsid w:val="00792A31"/>
    <w:rsid w:val="00792F4D"/>
    <w:rsid w:val="00793B29"/>
    <w:rsid w:val="00794344"/>
    <w:rsid w:val="00794899"/>
    <w:rsid w:val="00795015"/>
    <w:rsid w:val="007956E5"/>
    <w:rsid w:val="00796667"/>
    <w:rsid w:val="00796787"/>
    <w:rsid w:val="00796B39"/>
    <w:rsid w:val="00796C40"/>
    <w:rsid w:val="00796C79"/>
    <w:rsid w:val="0079712D"/>
    <w:rsid w:val="007972BC"/>
    <w:rsid w:val="007978A8"/>
    <w:rsid w:val="00797C5A"/>
    <w:rsid w:val="007A0513"/>
    <w:rsid w:val="007A14B5"/>
    <w:rsid w:val="007A29DF"/>
    <w:rsid w:val="007A2AF7"/>
    <w:rsid w:val="007A33C0"/>
    <w:rsid w:val="007A3AA4"/>
    <w:rsid w:val="007A44C6"/>
    <w:rsid w:val="007A496B"/>
    <w:rsid w:val="007A5531"/>
    <w:rsid w:val="007A57BA"/>
    <w:rsid w:val="007A6250"/>
    <w:rsid w:val="007A6DA1"/>
    <w:rsid w:val="007A70C8"/>
    <w:rsid w:val="007A718A"/>
    <w:rsid w:val="007A78DA"/>
    <w:rsid w:val="007A7EAC"/>
    <w:rsid w:val="007B00CA"/>
    <w:rsid w:val="007B0280"/>
    <w:rsid w:val="007B02A4"/>
    <w:rsid w:val="007B0465"/>
    <w:rsid w:val="007B0571"/>
    <w:rsid w:val="007B0735"/>
    <w:rsid w:val="007B0BEF"/>
    <w:rsid w:val="007B1151"/>
    <w:rsid w:val="007B12C8"/>
    <w:rsid w:val="007B1EFD"/>
    <w:rsid w:val="007B2C7A"/>
    <w:rsid w:val="007B351B"/>
    <w:rsid w:val="007B3C3B"/>
    <w:rsid w:val="007B40F9"/>
    <w:rsid w:val="007B410A"/>
    <w:rsid w:val="007B4222"/>
    <w:rsid w:val="007B463A"/>
    <w:rsid w:val="007B4695"/>
    <w:rsid w:val="007B47B7"/>
    <w:rsid w:val="007B4F6D"/>
    <w:rsid w:val="007B5EDD"/>
    <w:rsid w:val="007B619C"/>
    <w:rsid w:val="007B6336"/>
    <w:rsid w:val="007B6463"/>
    <w:rsid w:val="007B6F49"/>
    <w:rsid w:val="007B7487"/>
    <w:rsid w:val="007B74B3"/>
    <w:rsid w:val="007B7B41"/>
    <w:rsid w:val="007B7F7A"/>
    <w:rsid w:val="007B7FBB"/>
    <w:rsid w:val="007C044A"/>
    <w:rsid w:val="007C0918"/>
    <w:rsid w:val="007C12E9"/>
    <w:rsid w:val="007C2484"/>
    <w:rsid w:val="007C26AF"/>
    <w:rsid w:val="007C2AC0"/>
    <w:rsid w:val="007C2D7A"/>
    <w:rsid w:val="007C365A"/>
    <w:rsid w:val="007C3855"/>
    <w:rsid w:val="007C3948"/>
    <w:rsid w:val="007C4215"/>
    <w:rsid w:val="007C4D14"/>
    <w:rsid w:val="007C4DC7"/>
    <w:rsid w:val="007C5EDA"/>
    <w:rsid w:val="007C616E"/>
    <w:rsid w:val="007C6580"/>
    <w:rsid w:val="007C699E"/>
    <w:rsid w:val="007C69ED"/>
    <w:rsid w:val="007C76BB"/>
    <w:rsid w:val="007C782B"/>
    <w:rsid w:val="007C7A67"/>
    <w:rsid w:val="007C7CE3"/>
    <w:rsid w:val="007C7FAA"/>
    <w:rsid w:val="007D0454"/>
    <w:rsid w:val="007D04D6"/>
    <w:rsid w:val="007D0AD4"/>
    <w:rsid w:val="007D1566"/>
    <w:rsid w:val="007D169A"/>
    <w:rsid w:val="007D16A2"/>
    <w:rsid w:val="007D1759"/>
    <w:rsid w:val="007D1B6F"/>
    <w:rsid w:val="007D2373"/>
    <w:rsid w:val="007D2C5D"/>
    <w:rsid w:val="007D3363"/>
    <w:rsid w:val="007D36F3"/>
    <w:rsid w:val="007D37BD"/>
    <w:rsid w:val="007D3C8B"/>
    <w:rsid w:val="007D4463"/>
    <w:rsid w:val="007D4493"/>
    <w:rsid w:val="007D4638"/>
    <w:rsid w:val="007D4EDF"/>
    <w:rsid w:val="007D4F2A"/>
    <w:rsid w:val="007D6397"/>
    <w:rsid w:val="007D675D"/>
    <w:rsid w:val="007D707D"/>
    <w:rsid w:val="007D7167"/>
    <w:rsid w:val="007D7504"/>
    <w:rsid w:val="007D75A5"/>
    <w:rsid w:val="007D76AA"/>
    <w:rsid w:val="007D7C73"/>
    <w:rsid w:val="007E04E6"/>
    <w:rsid w:val="007E103E"/>
    <w:rsid w:val="007E11C6"/>
    <w:rsid w:val="007E1548"/>
    <w:rsid w:val="007E161B"/>
    <w:rsid w:val="007E20D9"/>
    <w:rsid w:val="007E2586"/>
    <w:rsid w:val="007E29D8"/>
    <w:rsid w:val="007E2BCA"/>
    <w:rsid w:val="007E2BD9"/>
    <w:rsid w:val="007E2BE9"/>
    <w:rsid w:val="007E3C59"/>
    <w:rsid w:val="007E3E7C"/>
    <w:rsid w:val="007E424E"/>
    <w:rsid w:val="007E4656"/>
    <w:rsid w:val="007E465D"/>
    <w:rsid w:val="007E4C92"/>
    <w:rsid w:val="007E4F7B"/>
    <w:rsid w:val="007E514B"/>
    <w:rsid w:val="007E54BA"/>
    <w:rsid w:val="007E57DC"/>
    <w:rsid w:val="007E5CA8"/>
    <w:rsid w:val="007E5D71"/>
    <w:rsid w:val="007E6615"/>
    <w:rsid w:val="007E687C"/>
    <w:rsid w:val="007E759A"/>
    <w:rsid w:val="007E77BA"/>
    <w:rsid w:val="007E7B78"/>
    <w:rsid w:val="007F0277"/>
    <w:rsid w:val="007F0AA8"/>
    <w:rsid w:val="007F10B7"/>
    <w:rsid w:val="007F1A76"/>
    <w:rsid w:val="007F1B3E"/>
    <w:rsid w:val="007F1BC2"/>
    <w:rsid w:val="007F1F56"/>
    <w:rsid w:val="007F2120"/>
    <w:rsid w:val="007F234D"/>
    <w:rsid w:val="007F26CE"/>
    <w:rsid w:val="007F27FD"/>
    <w:rsid w:val="007F2D51"/>
    <w:rsid w:val="007F3E9A"/>
    <w:rsid w:val="007F4645"/>
    <w:rsid w:val="007F493C"/>
    <w:rsid w:val="007F499D"/>
    <w:rsid w:val="007F4B6B"/>
    <w:rsid w:val="007F5346"/>
    <w:rsid w:val="007F55DB"/>
    <w:rsid w:val="007F5D8A"/>
    <w:rsid w:val="007F5D99"/>
    <w:rsid w:val="007F6437"/>
    <w:rsid w:val="007F643D"/>
    <w:rsid w:val="007F6683"/>
    <w:rsid w:val="007F6E7B"/>
    <w:rsid w:val="007F7028"/>
    <w:rsid w:val="007F71C2"/>
    <w:rsid w:val="007F72FA"/>
    <w:rsid w:val="007F7808"/>
    <w:rsid w:val="007F79C1"/>
    <w:rsid w:val="007F7BEB"/>
    <w:rsid w:val="00800250"/>
    <w:rsid w:val="00800737"/>
    <w:rsid w:val="008007F3"/>
    <w:rsid w:val="00800B0B"/>
    <w:rsid w:val="00800B89"/>
    <w:rsid w:val="00802D22"/>
    <w:rsid w:val="00802E26"/>
    <w:rsid w:val="00803473"/>
    <w:rsid w:val="0080366B"/>
    <w:rsid w:val="00804371"/>
    <w:rsid w:val="008048E3"/>
    <w:rsid w:val="0080498C"/>
    <w:rsid w:val="00804B3F"/>
    <w:rsid w:val="00804F22"/>
    <w:rsid w:val="00805513"/>
    <w:rsid w:val="00805A76"/>
    <w:rsid w:val="00805E4B"/>
    <w:rsid w:val="00806137"/>
    <w:rsid w:val="00806F41"/>
    <w:rsid w:val="008071D7"/>
    <w:rsid w:val="00807479"/>
    <w:rsid w:val="00807FB7"/>
    <w:rsid w:val="0081024E"/>
    <w:rsid w:val="00810734"/>
    <w:rsid w:val="00811580"/>
    <w:rsid w:val="0081166C"/>
    <w:rsid w:val="00811AED"/>
    <w:rsid w:val="00812B0D"/>
    <w:rsid w:val="00813122"/>
    <w:rsid w:val="00813133"/>
    <w:rsid w:val="00813174"/>
    <w:rsid w:val="008134B4"/>
    <w:rsid w:val="0081384A"/>
    <w:rsid w:val="00813A3E"/>
    <w:rsid w:val="00813AD5"/>
    <w:rsid w:val="00813D4B"/>
    <w:rsid w:val="0081427D"/>
    <w:rsid w:val="008143DA"/>
    <w:rsid w:val="00814606"/>
    <w:rsid w:val="00814A74"/>
    <w:rsid w:val="00814B06"/>
    <w:rsid w:val="00814BF6"/>
    <w:rsid w:val="00815BD6"/>
    <w:rsid w:val="008169CA"/>
    <w:rsid w:val="00816ED2"/>
    <w:rsid w:val="00816F7B"/>
    <w:rsid w:val="008170D0"/>
    <w:rsid w:val="0081726B"/>
    <w:rsid w:val="00817F1B"/>
    <w:rsid w:val="00817FBF"/>
    <w:rsid w:val="00820310"/>
    <w:rsid w:val="008204BC"/>
    <w:rsid w:val="00820EC4"/>
    <w:rsid w:val="00821359"/>
    <w:rsid w:val="008215FB"/>
    <w:rsid w:val="008216BA"/>
    <w:rsid w:val="00821F84"/>
    <w:rsid w:val="00822CDE"/>
    <w:rsid w:val="00822E42"/>
    <w:rsid w:val="00822E4A"/>
    <w:rsid w:val="00823242"/>
    <w:rsid w:val="008234A2"/>
    <w:rsid w:val="008234B7"/>
    <w:rsid w:val="00823D3B"/>
    <w:rsid w:val="0082428E"/>
    <w:rsid w:val="00824453"/>
    <w:rsid w:val="00824B7B"/>
    <w:rsid w:val="00824ED5"/>
    <w:rsid w:val="008253B4"/>
    <w:rsid w:val="0082613A"/>
    <w:rsid w:val="00826453"/>
    <w:rsid w:val="0082664D"/>
    <w:rsid w:val="00826711"/>
    <w:rsid w:val="00826B57"/>
    <w:rsid w:val="00826B80"/>
    <w:rsid w:val="00826F27"/>
    <w:rsid w:val="00826FDE"/>
    <w:rsid w:val="0082713B"/>
    <w:rsid w:val="00827AA7"/>
    <w:rsid w:val="00827C63"/>
    <w:rsid w:val="00827ED9"/>
    <w:rsid w:val="008306C9"/>
    <w:rsid w:val="0083090F"/>
    <w:rsid w:val="00830BA9"/>
    <w:rsid w:val="00830E0E"/>
    <w:rsid w:val="00830F22"/>
    <w:rsid w:val="008312F8"/>
    <w:rsid w:val="008313DF"/>
    <w:rsid w:val="0083145C"/>
    <w:rsid w:val="00831753"/>
    <w:rsid w:val="008318DE"/>
    <w:rsid w:val="00831F70"/>
    <w:rsid w:val="00832283"/>
    <w:rsid w:val="00832AF1"/>
    <w:rsid w:val="00832C99"/>
    <w:rsid w:val="00832EC9"/>
    <w:rsid w:val="008331E8"/>
    <w:rsid w:val="00833640"/>
    <w:rsid w:val="00833893"/>
    <w:rsid w:val="00833D7C"/>
    <w:rsid w:val="008341E3"/>
    <w:rsid w:val="00834A58"/>
    <w:rsid w:val="008354CC"/>
    <w:rsid w:val="00835670"/>
    <w:rsid w:val="00835B4C"/>
    <w:rsid w:val="00835D3C"/>
    <w:rsid w:val="00836287"/>
    <w:rsid w:val="00836394"/>
    <w:rsid w:val="008369E6"/>
    <w:rsid w:val="008370AB"/>
    <w:rsid w:val="008371D9"/>
    <w:rsid w:val="0083739C"/>
    <w:rsid w:val="00837DF1"/>
    <w:rsid w:val="00840614"/>
    <w:rsid w:val="00840866"/>
    <w:rsid w:val="008413CD"/>
    <w:rsid w:val="00841558"/>
    <w:rsid w:val="008418B4"/>
    <w:rsid w:val="00841B3E"/>
    <w:rsid w:val="00841B4D"/>
    <w:rsid w:val="00841E9B"/>
    <w:rsid w:val="00841E9E"/>
    <w:rsid w:val="008420A0"/>
    <w:rsid w:val="00842361"/>
    <w:rsid w:val="00842B1C"/>
    <w:rsid w:val="00842CC8"/>
    <w:rsid w:val="008436B2"/>
    <w:rsid w:val="00843D85"/>
    <w:rsid w:val="00843F46"/>
    <w:rsid w:val="00843FCD"/>
    <w:rsid w:val="00843FD2"/>
    <w:rsid w:val="008443D2"/>
    <w:rsid w:val="00844D8A"/>
    <w:rsid w:val="00844F6A"/>
    <w:rsid w:val="00844F8C"/>
    <w:rsid w:val="00845536"/>
    <w:rsid w:val="0084605F"/>
    <w:rsid w:val="008460C1"/>
    <w:rsid w:val="008464DB"/>
    <w:rsid w:val="008466B1"/>
    <w:rsid w:val="00846A0F"/>
    <w:rsid w:val="00846BC4"/>
    <w:rsid w:val="00846F3B"/>
    <w:rsid w:val="00846F6E"/>
    <w:rsid w:val="00847292"/>
    <w:rsid w:val="008474CF"/>
    <w:rsid w:val="00850C91"/>
    <w:rsid w:val="00850E95"/>
    <w:rsid w:val="00851135"/>
    <w:rsid w:val="00851703"/>
    <w:rsid w:val="008519EF"/>
    <w:rsid w:val="00851C8F"/>
    <w:rsid w:val="0085262A"/>
    <w:rsid w:val="00852B6B"/>
    <w:rsid w:val="00852CC9"/>
    <w:rsid w:val="00853172"/>
    <w:rsid w:val="008534E1"/>
    <w:rsid w:val="00853985"/>
    <w:rsid w:val="00853C38"/>
    <w:rsid w:val="00853CC6"/>
    <w:rsid w:val="008545CD"/>
    <w:rsid w:val="008546E3"/>
    <w:rsid w:val="00854912"/>
    <w:rsid w:val="00854EC8"/>
    <w:rsid w:val="00855596"/>
    <w:rsid w:val="00855710"/>
    <w:rsid w:val="00855894"/>
    <w:rsid w:val="008559CA"/>
    <w:rsid w:val="008564EF"/>
    <w:rsid w:val="00856913"/>
    <w:rsid w:val="00856B01"/>
    <w:rsid w:val="00856C05"/>
    <w:rsid w:val="00856E8A"/>
    <w:rsid w:val="00857559"/>
    <w:rsid w:val="0085769C"/>
    <w:rsid w:val="0085777A"/>
    <w:rsid w:val="00857E5B"/>
    <w:rsid w:val="00857EE1"/>
    <w:rsid w:val="00860712"/>
    <w:rsid w:val="00860F1D"/>
    <w:rsid w:val="00861067"/>
    <w:rsid w:val="0086109C"/>
    <w:rsid w:val="00861738"/>
    <w:rsid w:val="00861777"/>
    <w:rsid w:val="00861C84"/>
    <w:rsid w:val="008625FE"/>
    <w:rsid w:val="0086260A"/>
    <w:rsid w:val="008626C8"/>
    <w:rsid w:val="008627F0"/>
    <w:rsid w:val="008629B6"/>
    <w:rsid w:val="00862BD3"/>
    <w:rsid w:val="0086361D"/>
    <w:rsid w:val="008639E9"/>
    <w:rsid w:val="008641EE"/>
    <w:rsid w:val="00864B2E"/>
    <w:rsid w:val="00864B9C"/>
    <w:rsid w:val="00864BC8"/>
    <w:rsid w:val="00864C59"/>
    <w:rsid w:val="00864E4E"/>
    <w:rsid w:val="008655BF"/>
    <w:rsid w:val="00865C86"/>
    <w:rsid w:val="008669DD"/>
    <w:rsid w:val="00866DCF"/>
    <w:rsid w:val="0086714A"/>
    <w:rsid w:val="008674BA"/>
    <w:rsid w:val="00867B63"/>
    <w:rsid w:val="00867E28"/>
    <w:rsid w:val="0087009E"/>
    <w:rsid w:val="00870A02"/>
    <w:rsid w:val="00870F71"/>
    <w:rsid w:val="00871097"/>
    <w:rsid w:val="00871186"/>
    <w:rsid w:val="00871A9B"/>
    <w:rsid w:val="00871C0C"/>
    <w:rsid w:val="00872161"/>
    <w:rsid w:val="00872794"/>
    <w:rsid w:val="00872A0F"/>
    <w:rsid w:val="00873DA3"/>
    <w:rsid w:val="00873E87"/>
    <w:rsid w:val="00873F78"/>
    <w:rsid w:val="00874695"/>
    <w:rsid w:val="00874F09"/>
    <w:rsid w:val="008751FF"/>
    <w:rsid w:val="0087524C"/>
    <w:rsid w:val="0087532A"/>
    <w:rsid w:val="0087569D"/>
    <w:rsid w:val="00875900"/>
    <w:rsid w:val="00875DBD"/>
    <w:rsid w:val="00875F63"/>
    <w:rsid w:val="008766D3"/>
    <w:rsid w:val="008769F9"/>
    <w:rsid w:val="00876E3C"/>
    <w:rsid w:val="0087729A"/>
    <w:rsid w:val="008772DF"/>
    <w:rsid w:val="00877F13"/>
    <w:rsid w:val="00880567"/>
    <w:rsid w:val="008811CC"/>
    <w:rsid w:val="008813BE"/>
    <w:rsid w:val="00881D82"/>
    <w:rsid w:val="008825A6"/>
    <w:rsid w:val="00882D49"/>
    <w:rsid w:val="00883575"/>
    <w:rsid w:val="00883840"/>
    <w:rsid w:val="0088409A"/>
    <w:rsid w:val="0088417A"/>
    <w:rsid w:val="00884424"/>
    <w:rsid w:val="00885251"/>
    <w:rsid w:val="0088561C"/>
    <w:rsid w:val="008859D7"/>
    <w:rsid w:val="00886842"/>
    <w:rsid w:val="008869A8"/>
    <w:rsid w:val="008869DE"/>
    <w:rsid w:val="00886B4B"/>
    <w:rsid w:val="00886D01"/>
    <w:rsid w:val="00887466"/>
    <w:rsid w:val="00887955"/>
    <w:rsid w:val="008906BA"/>
    <w:rsid w:val="00890B28"/>
    <w:rsid w:val="00890C9B"/>
    <w:rsid w:val="0089140B"/>
    <w:rsid w:val="00891B38"/>
    <w:rsid w:val="00891D87"/>
    <w:rsid w:val="0089218A"/>
    <w:rsid w:val="0089230E"/>
    <w:rsid w:val="008926C6"/>
    <w:rsid w:val="00893772"/>
    <w:rsid w:val="00893F43"/>
    <w:rsid w:val="008940A3"/>
    <w:rsid w:val="00894BAF"/>
    <w:rsid w:val="00895129"/>
    <w:rsid w:val="0089587E"/>
    <w:rsid w:val="00895D4D"/>
    <w:rsid w:val="00896A4C"/>
    <w:rsid w:val="00896F1B"/>
    <w:rsid w:val="0089728C"/>
    <w:rsid w:val="00897BBB"/>
    <w:rsid w:val="008A00B8"/>
    <w:rsid w:val="008A01D3"/>
    <w:rsid w:val="008A02BC"/>
    <w:rsid w:val="008A064E"/>
    <w:rsid w:val="008A1084"/>
    <w:rsid w:val="008A1308"/>
    <w:rsid w:val="008A17E9"/>
    <w:rsid w:val="008A23F2"/>
    <w:rsid w:val="008A27E2"/>
    <w:rsid w:val="008A27F3"/>
    <w:rsid w:val="008A2CB0"/>
    <w:rsid w:val="008A2E37"/>
    <w:rsid w:val="008A2F63"/>
    <w:rsid w:val="008A31A5"/>
    <w:rsid w:val="008A355B"/>
    <w:rsid w:val="008A4E36"/>
    <w:rsid w:val="008A4F24"/>
    <w:rsid w:val="008A513F"/>
    <w:rsid w:val="008A6107"/>
    <w:rsid w:val="008A6EC2"/>
    <w:rsid w:val="008A73B6"/>
    <w:rsid w:val="008A786D"/>
    <w:rsid w:val="008A79E0"/>
    <w:rsid w:val="008A7AAF"/>
    <w:rsid w:val="008A7B9E"/>
    <w:rsid w:val="008A7C7D"/>
    <w:rsid w:val="008A7CB4"/>
    <w:rsid w:val="008A7FA4"/>
    <w:rsid w:val="008B0184"/>
    <w:rsid w:val="008B01CF"/>
    <w:rsid w:val="008B0608"/>
    <w:rsid w:val="008B0A19"/>
    <w:rsid w:val="008B101C"/>
    <w:rsid w:val="008B110A"/>
    <w:rsid w:val="008B11F4"/>
    <w:rsid w:val="008B2558"/>
    <w:rsid w:val="008B28DB"/>
    <w:rsid w:val="008B2A12"/>
    <w:rsid w:val="008B31B4"/>
    <w:rsid w:val="008B3EC1"/>
    <w:rsid w:val="008B3FDB"/>
    <w:rsid w:val="008B4438"/>
    <w:rsid w:val="008B46D8"/>
    <w:rsid w:val="008B4CF3"/>
    <w:rsid w:val="008B55BD"/>
    <w:rsid w:val="008B58E3"/>
    <w:rsid w:val="008B5E14"/>
    <w:rsid w:val="008B5E24"/>
    <w:rsid w:val="008B601A"/>
    <w:rsid w:val="008B6A2B"/>
    <w:rsid w:val="008B6B59"/>
    <w:rsid w:val="008B760A"/>
    <w:rsid w:val="008B7811"/>
    <w:rsid w:val="008B7E58"/>
    <w:rsid w:val="008C0567"/>
    <w:rsid w:val="008C155C"/>
    <w:rsid w:val="008C17D0"/>
    <w:rsid w:val="008C18E6"/>
    <w:rsid w:val="008C1D93"/>
    <w:rsid w:val="008C20D2"/>
    <w:rsid w:val="008C2144"/>
    <w:rsid w:val="008C26AC"/>
    <w:rsid w:val="008C2B32"/>
    <w:rsid w:val="008C2E05"/>
    <w:rsid w:val="008C34B8"/>
    <w:rsid w:val="008C3699"/>
    <w:rsid w:val="008C4697"/>
    <w:rsid w:val="008C4847"/>
    <w:rsid w:val="008C5117"/>
    <w:rsid w:val="008C5A78"/>
    <w:rsid w:val="008C5DAB"/>
    <w:rsid w:val="008C66CD"/>
    <w:rsid w:val="008C6A2C"/>
    <w:rsid w:val="008C70EE"/>
    <w:rsid w:val="008C71DE"/>
    <w:rsid w:val="008C7713"/>
    <w:rsid w:val="008C77B8"/>
    <w:rsid w:val="008C7CD6"/>
    <w:rsid w:val="008C7CE0"/>
    <w:rsid w:val="008D02EF"/>
    <w:rsid w:val="008D03B8"/>
    <w:rsid w:val="008D08DB"/>
    <w:rsid w:val="008D1861"/>
    <w:rsid w:val="008D199D"/>
    <w:rsid w:val="008D230B"/>
    <w:rsid w:val="008D2791"/>
    <w:rsid w:val="008D2B8A"/>
    <w:rsid w:val="008D2F0D"/>
    <w:rsid w:val="008D3567"/>
    <w:rsid w:val="008D5E11"/>
    <w:rsid w:val="008D5FE8"/>
    <w:rsid w:val="008D6004"/>
    <w:rsid w:val="008D629B"/>
    <w:rsid w:val="008D64A1"/>
    <w:rsid w:val="008D6662"/>
    <w:rsid w:val="008D6895"/>
    <w:rsid w:val="008D6916"/>
    <w:rsid w:val="008D6EDB"/>
    <w:rsid w:val="008D6F9A"/>
    <w:rsid w:val="008D745D"/>
    <w:rsid w:val="008D75E1"/>
    <w:rsid w:val="008D7CC5"/>
    <w:rsid w:val="008D7F63"/>
    <w:rsid w:val="008D7FA9"/>
    <w:rsid w:val="008E0F04"/>
    <w:rsid w:val="008E0F33"/>
    <w:rsid w:val="008E0FE7"/>
    <w:rsid w:val="008E1627"/>
    <w:rsid w:val="008E18F3"/>
    <w:rsid w:val="008E1E24"/>
    <w:rsid w:val="008E229F"/>
    <w:rsid w:val="008E2564"/>
    <w:rsid w:val="008E256A"/>
    <w:rsid w:val="008E2828"/>
    <w:rsid w:val="008E2EC7"/>
    <w:rsid w:val="008E33D5"/>
    <w:rsid w:val="008E3453"/>
    <w:rsid w:val="008E393E"/>
    <w:rsid w:val="008E4034"/>
    <w:rsid w:val="008E462C"/>
    <w:rsid w:val="008E497A"/>
    <w:rsid w:val="008E4DCA"/>
    <w:rsid w:val="008E4F25"/>
    <w:rsid w:val="008E51C9"/>
    <w:rsid w:val="008E53CD"/>
    <w:rsid w:val="008E5FAD"/>
    <w:rsid w:val="008E6830"/>
    <w:rsid w:val="008E6979"/>
    <w:rsid w:val="008E6CAC"/>
    <w:rsid w:val="008E7077"/>
    <w:rsid w:val="008E7078"/>
    <w:rsid w:val="008E7595"/>
    <w:rsid w:val="008E77D8"/>
    <w:rsid w:val="008F1384"/>
    <w:rsid w:val="008F14D9"/>
    <w:rsid w:val="008F15AE"/>
    <w:rsid w:val="008F16A1"/>
    <w:rsid w:val="008F1A04"/>
    <w:rsid w:val="008F1A31"/>
    <w:rsid w:val="008F1E38"/>
    <w:rsid w:val="008F2A52"/>
    <w:rsid w:val="008F3088"/>
    <w:rsid w:val="008F381D"/>
    <w:rsid w:val="008F390B"/>
    <w:rsid w:val="008F43A4"/>
    <w:rsid w:val="008F479E"/>
    <w:rsid w:val="008F4ADE"/>
    <w:rsid w:val="008F4B6C"/>
    <w:rsid w:val="008F5412"/>
    <w:rsid w:val="008F56F8"/>
    <w:rsid w:val="008F5723"/>
    <w:rsid w:val="008F5BE3"/>
    <w:rsid w:val="008F613C"/>
    <w:rsid w:val="008F6242"/>
    <w:rsid w:val="008F63C1"/>
    <w:rsid w:val="008F69E7"/>
    <w:rsid w:val="008F6A2A"/>
    <w:rsid w:val="008F6BFE"/>
    <w:rsid w:val="008F6C51"/>
    <w:rsid w:val="008F71A6"/>
    <w:rsid w:val="008F74CB"/>
    <w:rsid w:val="008F756C"/>
    <w:rsid w:val="008F778E"/>
    <w:rsid w:val="008F7BFD"/>
    <w:rsid w:val="00900483"/>
    <w:rsid w:val="009005EA"/>
    <w:rsid w:val="009007DE"/>
    <w:rsid w:val="00900804"/>
    <w:rsid w:val="0090104A"/>
    <w:rsid w:val="009012C4"/>
    <w:rsid w:val="00901465"/>
    <w:rsid w:val="00901A23"/>
    <w:rsid w:val="00901B89"/>
    <w:rsid w:val="00901F30"/>
    <w:rsid w:val="00902A1A"/>
    <w:rsid w:val="00902E4A"/>
    <w:rsid w:val="009037CC"/>
    <w:rsid w:val="00903AEF"/>
    <w:rsid w:val="00903DD1"/>
    <w:rsid w:val="00904282"/>
    <w:rsid w:val="009047CD"/>
    <w:rsid w:val="0090483E"/>
    <w:rsid w:val="00904ECF"/>
    <w:rsid w:val="00904F41"/>
    <w:rsid w:val="00904FFD"/>
    <w:rsid w:val="0090504D"/>
    <w:rsid w:val="0090528B"/>
    <w:rsid w:val="00905588"/>
    <w:rsid w:val="00905FDA"/>
    <w:rsid w:val="009062D6"/>
    <w:rsid w:val="009065EB"/>
    <w:rsid w:val="0090663D"/>
    <w:rsid w:val="0090694E"/>
    <w:rsid w:val="009073C2"/>
    <w:rsid w:val="00907534"/>
    <w:rsid w:val="009075DA"/>
    <w:rsid w:val="00910885"/>
    <w:rsid w:val="00911035"/>
    <w:rsid w:val="00911222"/>
    <w:rsid w:val="00911CD9"/>
    <w:rsid w:val="009120AB"/>
    <w:rsid w:val="009126AF"/>
    <w:rsid w:val="009126C4"/>
    <w:rsid w:val="00912818"/>
    <w:rsid w:val="009128DB"/>
    <w:rsid w:val="00912B69"/>
    <w:rsid w:val="00912C32"/>
    <w:rsid w:val="009132CD"/>
    <w:rsid w:val="0091383A"/>
    <w:rsid w:val="00913986"/>
    <w:rsid w:val="00913A44"/>
    <w:rsid w:val="00914FDA"/>
    <w:rsid w:val="00915732"/>
    <w:rsid w:val="009158A3"/>
    <w:rsid w:val="00915C41"/>
    <w:rsid w:val="00916051"/>
    <w:rsid w:val="00916115"/>
    <w:rsid w:val="009163C9"/>
    <w:rsid w:val="00916550"/>
    <w:rsid w:val="00916C2F"/>
    <w:rsid w:val="009170E1"/>
    <w:rsid w:val="00917130"/>
    <w:rsid w:val="00917BAC"/>
    <w:rsid w:val="00920622"/>
    <w:rsid w:val="0092072A"/>
    <w:rsid w:val="00920FD8"/>
    <w:rsid w:val="00921523"/>
    <w:rsid w:val="0092176A"/>
    <w:rsid w:val="009219E4"/>
    <w:rsid w:val="00921AB0"/>
    <w:rsid w:val="009224C0"/>
    <w:rsid w:val="009229C4"/>
    <w:rsid w:val="00922C64"/>
    <w:rsid w:val="00922FE3"/>
    <w:rsid w:val="00923015"/>
    <w:rsid w:val="00923251"/>
    <w:rsid w:val="009240CC"/>
    <w:rsid w:val="00924911"/>
    <w:rsid w:val="00924BBE"/>
    <w:rsid w:val="0092504C"/>
    <w:rsid w:val="0092515D"/>
    <w:rsid w:val="00925234"/>
    <w:rsid w:val="00925A93"/>
    <w:rsid w:val="00925BA2"/>
    <w:rsid w:val="00926119"/>
    <w:rsid w:val="00926695"/>
    <w:rsid w:val="00927887"/>
    <w:rsid w:val="00927A30"/>
    <w:rsid w:val="00927D4D"/>
    <w:rsid w:val="0093028D"/>
    <w:rsid w:val="0093031C"/>
    <w:rsid w:val="00930447"/>
    <w:rsid w:val="00930797"/>
    <w:rsid w:val="009307BD"/>
    <w:rsid w:val="00930889"/>
    <w:rsid w:val="00930DB0"/>
    <w:rsid w:val="00931597"/>
    <w:rsid w:val="009317F5"/>
    <w:rsid w:val="00931BC4"/>
    <w:rsid w:val="00931FA8"/>
    <w:rsid w:val="0093216C"/>
    <w:rsid w:val="009321B0"/>
    <w:rsid w:val="00932487"/>
    <w:rsid w:val="00932681"/>
    <w:rsid w:val="00932882"/>
    <w:rsid w:val="00932EA1"/>
    <w:rsid w:val="00933C98"/>
    <w:rsid w:val="00933D7D"/>
    <w:rsid w:val="00934A5C"/>
    <w:rsid w:val="00934C68"/>
    <w:rsid w:val="00934F2B"/>
    <w:rsid w:val="00935527"/>
    <w:rsid w:val="00935D86"/>
    <w:rsid w:val="00936313"/>
    <w:rsid w:val="0093696D"/>
    <w:rsid w:val="00936B8A"/>
    <w:rsid w:val="00936DF0"/>
    <w:rsid w:val="00937A0C"/>
    <w:rsid w:val="00937EA3"/>
    <w:rsid w:val="0094008F"/>
    <w:rsid w:val="00940368"/>
    <w:rsid w:val="009404BC"/>
    <w:rsid w:val="00940AAD"/>
    <w:rsid w:val="00940E42"/>
    <w:rsid w:val="009410D1"/>
    <w:rsid w:val="0094112E"/>
    <w:rsid w:val="00941906"/>
    <w:rsid w:val="00941D35"/>
    <w:rsid w:val="00941E3F"/>
    <w:rsid w:val="009425DF"/>
    <w:rsid w:val="00942659"/>
    <w:rsid w:val="00943903"/>
    <w:rsid w:val="00943A3E"/>
    <w:rsid w:val="00943DAF"/>
    <w:rsid w:val="009453C0"/>
    <w:rsid w:val="009455B4"/>
    <w:rsid w:val="009466C0"/>
    <w:rsid w:val="00946F65"/>
    <w:rsid w:val="0094718B"/>
    <w:rsid w:val="00947D39"/>
    <w:rsid w:val="009502F0"/>
    <w:rsid w:val="00950C57"/>
    <w:rsid w:val="00950C92"/>
    <w:rsid w:val="009519D3"/>
    <w:rsid w:val="00951A96"/>
    <w:rsid w:val="00951B1E"/>
    <w:rsid w:val="009521C6"/>
    <w:rsid w:val="00952C12"/>
    <w:rsid w:val="00952E06"/>
    <w:rsid w:val="00953221"/>
    <w:rsid w:val="00953A5A"/>
    <w:rsid w:val="00953FB1"/>
    <w:rsid w:val="0095416A"/>
    <w:rsid w:val="00954668"/>
    <w:rsid w:val="00954795"/>
    <w:rsid w:val="00954FFA"/>
    <w:rsid w:val="00955170"/>
    <w:rsid w:val="0095560D"/>
    <w:rsid w:val="00956B13"/>
    <w:rsid w:val="009573BB"/>
    <w:rsid w:val="009575C9"/>
    <w:rsid w:val="00957A83"/>
    <w:rsid w:val="00957DF0"/>
    <w:rsid w:val="00960580"/>
    <w:rsid w:val="00960623"/>
    <w:rsid w:val="00960857"/>
    <w:rsid w:val="00960974"/>
    <w:rsid w:val="00960CDD"/>
    <w:rsid w:val="0096148A"/>
    <w:rsid w:val="0096164C"/>
    <w:rsid w:val="00961895"/>
    <w:rsid w:val="00961B55"/>
    <w:rsid w:val="00961BED"/>
    <w:rsid w:val="00961E27"/>
    <w:rsid w:val="009627A6"/>
    <w:rsid w:val="009629D0"/>
    <w:rsid w:val="00962C5B"/>
    <w:rsid w:val="00962D17"/>
    <w:rsid w:val="00962D33"/>
    <w:rsid w:val="00962E9C"/>
    <w:rsid w:val="00962F4A"/>
    <w:rsid w:val="00962FA8"/>
    <w:rsid w:val="009630C9"/>
    <w:rsid w:val="009636BA"/>
    <w:rsid w:val="0096375D"/>
    <w:rsid w:val="00963772"/>
    <w:rsid w:val="00963E6A"/>
    <w:rsid w:val="009643E3"/>
    <w:rsid w:val="009645F2"/>
    <w:rsid w:val="009648E6"/>
    <w:rsid w:val="009649E3"/>
    <w:rsid w:val="00964A23"/>
    <w:rsid w:val="00964BC9"/>
    <w:rsid w:val="009650F9"/>
    <w:rsid w:val="009651B1"/>
    <w:rsid w:val="009656C2"/>
    <w:rsid w:val="00965A03"/>
    <w:rsid w:val="00965B2F"/>
    <w:rsid w:val="00966DB4"/>
    <w:rsid w:val="0096726E"/>
    <w:rsid w:val="00967680"/>
    <w:rsid w:val="009676D8"/>
    <w:rsid w:val="009677C2"/>
    <w:rsid w:val="00967C9A"/>
    <w:rsid w:val="00967D10"/>
    <w:rsid w:val="00967D5A"/>
    <w:rsid w:val="00970480"/>
    <w:rsid w:val="00970955"/>
    <w:rsid w:val="00970C82"/>
    <w:rsid w:val="00971A76"/>
    <w:rsid w:val="0097243D"/>
    <w:rsid w:val="009727FB"/>
    <w:rsid w:val="00972F19"/>
    <w:rsid w:val="00973057"/>
    <w:rsid w:val="00973169"/>
    <w:rsid w:val="00973193"/>
    <w:rsid w:val="00973781"/>
    <w:rsid w:val="00973884"/>
    <w:rsid w:val="009739D4"/>
    <w:rsid w:val="00973CEB"/>
    <w:rsid w:val="00973EBC"/>
    <w:rsid w:val="00974288"/>
    <w:rsid w:val="0097428B"/>
    <w:rsid w:val="00974497"/>
    <w:rsid w:val="0097449B"/>
    <w:rsid w:val="00974603"/>
    <w:rsid w:val="00974668"/>
    <w:rsid w:val="00974694"/>
    <w:rsid w:val="00974F6D"/>
    <w:rsid w:val="00975126"/>
    <w:rsid w:val="0097564C"/>
    <w:rsid w:val="00975D5F"/>
    <w:rsid w:val="00976436"/>
    <w:rsid w:val="00976529"/>
    <w:rsid w:val="00976945"/>
    <w:rsid w:val="00976A6E"/>
    <w:rsid w:val="00976B3F"/>
    <w:rsid w:val="00976D12"/>
    <w:rsid w:val="00976E2F"/>
    <w:rsid w:val="00976E81"/>
    <w:rsid w:val="00976ED6"/>
    <w:rsid w:val="00977048"/>
    <w:rsid w:val="009775B6"/>
    <w:rsid w:val="00977938"/>
    <w:rsid w:val="0098108A"/>
    <w:rsid w:val="00981121"/>
    <w:rsid w:val="00981C28"/>
    <w:rsid w:val="00982217"/>
    <w:rsid w:val="00982BA0"/>
    <w:rsid w:val="00982CBF"/>
    <w:rsid w:val="00982E2A"/>
    <w:rsid w:val="00983209"/>
    <w:rsid w:val="0098421A"/>
    <w:rsid w:val="0098421E"/>
    <w:rsid w:val="00984480"/>
    <w:rsid w:val="009844BA"/>
    <w:rsid w:val="0098462E"/>
    <w:rsid w:val="00985084"/>
    <w:rsid w:val="009855E9"/>
    <w:rsid w:val="00985882"/>
    <w:rsid w:val="00985B87"/>
    <w:rsid w:val="00985EEB"/>
    <w:rsid w:val="00986082"/>
    <w:rsid w:val="009860F0"/>
    <w:rsid w:val="00986272"/>
    <w:rsid w:val="00986425"/>
    <w:rsid w:val="009865C6"/>
    <w:rsid w:val="00986A61"/>
    <w:rsid w:val="00986FFA"/>
    <w:rsid w:val="0098741E"/>
    <w:rsid w:val="00987B72"/>
    <w:rsid w:val="009900A8"/>
    <w:rsid w:val="009901FB"/>
    <w:rsid w:val="0099030F"/>
    <w:rsid w:val="00990790"/>
    <w:rsid w:val="00991432"/>
    <w:rsid w:val="00991AF6"/>
    <w:rsid w:val="00991E22"/>
    <w:rsid w:val="00992963"/>
    <w:rsid w:val="009929E8"/>
    <w:rsid w:val="00992ED2"/>
    <w:rsid w:val="009931BC"/>
    <w:rsid w:val="00993A42"/>
    <w:rsid w:val="00993D63"/>
    <w:rsid w:val="009947D1"/>
    <w:rsid w:val="0099537A"/>
    <w:rsid w:val="009953EF"/>
    <w:rsid w:val="00995A3F"/>
    <w:rsid w:val="00995B53"/>
    <w:rsid w:val="00995B9A"/>
    <w:rsid w:val="00997CBF"/>
    <w:rsid w:val="00997E6D"/>
    <w:rsid w:val="009A108F"/>
    <w:rsid w:val="009A218B"/>
    <w:rsid w:val="009A26DB"/>
    <w:rsid w:val="009A2952"/>
    <w:rsid w:val="009A2A6D"/>
    <w:rsid w:val="009A3628"/>
    <w:rsid w:val="009A42BF"/>
    <w:rsid w:val="009A4538"/>
    <w:rsid w:val="009A45F4"/>
    <w:rsid w:val="009A476F"/>
    <w:rsid w:val="009A4E37"/>
    <w:rsid w:val="009A5194"/>
    <w:rsid w:val="009A527C"/>
    <w:rsid w:val="009A6887"/>
    <w:rsid w:val="009A6927"/>
    <w:rsid w:val="009A695E"/>
    <w:rsid w:val="009A6E39"/>
    <w:rsid w:val="009A746A"/>
    <w:rsid w:val="009A77F6"/>
    <w:rsid w:val="009B03D6"/>
    <w:rsid w:val="009B04D5"/>
    <w:rsid w:val="009B053B"/>
    <w:rsid w:val="009B074B"/>
    <w:rsid w:val="009B0960"/>
    <w:rsid w:val="009B134B"/>
    <w:rsid w:val="009B15BA"/>
    <w:rsid w:val="009B179A"/>
    <w:rsid w:val="009B1F23"/>
    <w:rsid w:val="009B24F7"/>
    <w:rsid w:val="009B28AA"/>
    <w:rsid w:val="009B2C7C"/>
    <w:rsid w:val="009B3186"/>
    <w:rsid w:val="009B35F5"/>
    <w:rsid w:val="009B3630"/>
    <w:rsid w:val="009B36FC"/>
    <w:rsid w:val="009B38AC"/>
    <w:rsid w:val="009B397A"/>
    <w:rsid w:val="009B422E"/>
    <w:rsid w:val="009B4302"/>
    <w:rsid w:val="009B474B"/>
    <w:rsid w:val="009B52E4"/>
    <w:rsid w:val="009B5417"/>
    <w:rsid w:val="009B5821"/>
    <w:rsid w:val="009B59B0"/>
    <w:rsid w:val="009B647E"/>
    <w:rsid w:val="009B663B"/>
    <w:rsid w:val="009B6F7F"/>
    <w:rsid w:val="009B7355"/>
    <w:rsid w:val="009B75DF"/>
    <w:rsid w:val="009B7998"/>
    <w:rsid w:val="009B7E8C"/>
    <w:rsid w:val="009B7F10"/>
    <w:rsid w:val="009B7FEA"/>
    <w:rsid w:val="009C0168"/>
    <w:rsid w:val="009C03F7"/>
    <w:rsid w:val="009C0B9A"/>
    <w:rsid w:val="009C0CBA"/>
    <w:rsid w:val="009C0D81"/>
    <w:rsid w:val="009C0DAC"/>
    <w:rsid w:val="009C1012"/>
    <w:rsid w:val="009C103C"/>
    <w:rsid w:val="009C1300"/>
    <w:rsid w:val="009C1595"/>
    <w:rsid w:val="009C1829"/>
    <w:rsid w:val="009C1872"/>
    <w:rsid w:val="009C1918"/>
    <w:rsid w:val="009C1C1D"/>
    <w:rsid w:val="009C1EAE"/>
    <w:rsid w:val="009C210B"/>
    <w:rsid w:val="009C2794"/>
    <w:rsid w:val="009C2B25"/>
    <w:rsid w:val="009C3172"/>
    <w:rsid w:val="009C3E68"/>
    <w:rsid w:val="009C3FF1"/>
    <w:rsid w:val="009C4313"/>
    <w:rsid w:val="009C4B9D"/>
    <w:rsid w:val="009C4D67"/>
    <w:rsid w:val="009C50A5"/>
    <w:rsid w:val="009C5716"/>
    <w:rsid w:val="009C591A"/>
    <w:rsid w:val="009C5AC4"/>
    <w:rsid w:val="009C64DF"/>
    <w:rsid w:val="009C66D6"/>
    <w:rsid w:val="009C6E72"/>
    <w:rsid w:val="009C6F1D"/>
    <w:rsid w:val="009C722F"/>
    <w:rsid w:val="009C7A0A"/>
    <w:rsid w:val="009C7A69"/>
    <w:rsid w:val="009C7CC9"/>
    <w:rsid w:val="009C7FD1"/>
    <w:rsid w:val="009D004F"/>
    <w:rsid w:val="009D0466"/>
    <w:rsid w:val="009D11F6"/>
    <w:rsid w:val="009D176D"/>
    <w:rsid w:val="009D193E"/>
    <w:rsid w:val="009D1B05"/>
    <w:rsid w:val="009D2165"/>
    <w:rsid w:val="009D2664"/>
    <w:rsid w:val="009D274F"/>
    <w:rsid w:val="009D302D"/>
    <w:rsid w:val="009D38E7"/>
    <w:rsid w:val="009D421D"/>
    <w:rsid w:val="009D4437"/>
    <w:rsid w:val="009D4548"/>
    <w:rsid w:val="009D45B3"/>
    <w:rsid w:val="009D4A79"/>
    <w:rsid w:val="009D4CF5"/>
    <w:rsid w:val="009D4F8F"/>
    <w:rsid w:val="009D55FB"/>
    <w:rsid w:val="009D59A3"/>
    <w:rsid w:val="009D59AF"/>
    <w:rsid w:val="009D5E71"/>
    <w:rsid w:val="009D620A"/>
    <w:rsid w:val="009D6444"/>
    <w:rsid w:val="009D64B5"/>
    <w:rsid w:val="009D6517"/>
    <w:rsid w:val="009D6786"/>
    <w:rsid w:val="009D72D2"/>
    <w:rsid w:val="009D7A96"/>
    <w:rsid w:val="009E02F9"/>
    <w:rsid w:val="009E03F2"/>
    <w:rsid w:val="009E0C48"/>
    <w:rsid w:val="009E229B"/>
    <w:rsid w:val="009E23C7"/>
    <w:rsid w:val="009E2972"/>
    <w:rsid w:val="009E322D"/>
    <w:rsid w:val="009E3C9B"/>
    <w:rsid w:val="009E3FD2"/>
    <w:rsid w:val="009E42B6"/>
    <w:rsid w:val="009E48C5"/>
    <w:rsid w:val="009E4ED7"/>
    <w:rsid w:val="009E504C"/>
    <w:rsid w:val="009E524F"/>
    <w:rsid w:val="009E56AA"/>
    <w:rsid w:val="009E5DB5"/>
    <w:rsid w:val="009E6529"/>
    <w:rsid w:val="009E6628"/>
    <w:rsid w:val="009E6C23"/>
    <w:rsid w:val="009E72CA"/>
    <w:rsid w:val="009E7832"/>
    <w:rsid w:val="009E7A38"/>
    <w:rsid w:val="009E7FC6"/>
    <w:rsid w:val="009F010A"/>
    <w:rsid w:val="009F0843"/>
    <w:rsid w:val="009F08EE"/>
    <w:rsid w:val="009F1FEA"/>
    <w:rsid w:val="009F337E"/>
    <w:rsid w:val="009F33B7"/>
    <w:rsid w:val="009F43AD"/>
    <w:rsid w:val="009F4556"/>
    <w:rsid w:val="009F49B7"/>
    <w:rsid w:val="009F4E5E"/>
    <w:rsid w:val="009F5F80"/>
    <w:rsid w:val="009F6103"/>
    <w:rsid w:val="009F61BF"/>
    <w:rsid w:val="009F72FF"/>
    <w:rsid w:val="009F75BF"/>
    <w:rsid w:val="00A00742"/>
    <w:rsid w:val="00A008F6"/>
    <w:rsid w:val="00A013F9"/>
    <w:rsid w:val="00A01FA3"/>
    <w:rsid w:val="00A01FCF"/>
    <w:rsid w:val="00A0223E"/>
    <w:rsid w:val="00A024A3"/>
    <w:rsid w:val="00A025DB"/>
    <w:rsid w:val="00A02E64"/>
    <w:rsid w:val="00A034F0"/>
    <w:rsid w:val="00A038E7"/>
    <w:rsid w:val="00A044EF"/>
    <w:rsid w:val="00A0458F"/>
    <w:rsid w:val="00A048EF"/>
    <w:rsid w:val="00A04D2E"/>
    <w:rsid w:val="00A04D66"/>
    <w:rsid w:val="00A04F76"/>
    <w:rsid w:val="00A053D8"/>
    <w:rsid w:val="00A05D5B"/>
    <w:rsid w:val="00A061B1"/>
    <w:rsid w:val="00A064E4"/>
    <w:rsid w:val="00A06684"/>
    <w:rsid w:val="00A066F7"/>
    <w:rsid w:val="00A067BA"/>
    <w:rsid w:val="00A071CA"/>
    <w:rsid w:val="00A077D9"/>
    <w:rsid w:val="00A07EA3"/>
    <w:rsid w:val="00A10483"/>
    <w:rsid w:val="00A106A9"/>
    <w:rsid w:val="00A107AC"/>
    <w:rsid w:val="00A10C6D"/>
    <w:rsid w:val="00A1112A"/>
    <w:rsid w:val="00A11225"/>
    <w:rsid w:val="00A11C28"/>
    <w:rsid w:val="00A11CDD"/>
    <w:rsid w:val="00A1210E"/>
    <w:rsid w:val="00A1212A"/>
    <w:rsid w:val="00A12367"/>
    <w:rsid w:val="00A1237F"/>
    <w:rsid w:val="00A12436"/>
    <w:rsid w:val="00A12718"/>
    <w:rsid w:val="00A1321F"/>
    <w:rsid w:val="00A13241"/>
    <w:rsid w:val="00A13963"/>
    <w:rsid w:val="00A14930"/>
    <w:rsid w:val="00A14D60"/>
    <w:rsid w:val="00A14EFC"/>
    <w:rsid w:val="00A1593A"/>
    <w:rsid w:val="00A15BB2"/>
    <w:rsid w:val="00A15E50"/>
    <w:rsid w:val="00A15E54"/>
    <w:rsid w:val="00A15EBE"/>
    <w:rsid w:val="00A15F4D"/>
    <w:rsid w:val="00A162B4"/>
    <w:rsid w:val="00A16E72"/>
    <w:rsid w:val="00A16F8A"/>
    <w:rsid w:val="00A1797B"/>
    <w:rsid w:val="00A17D67"/>
    <w:rsid w:val="00A17E0F"/>
    <w:rsid w:val="00A17F9F"/>
    <w:rsid w:val="00A20103"/>
    <w:rsid w:val="00A2021F"/>
    <w:rsid w:val="00A209AB"/>
    <w:rsid w:val="00A20A55"/>
    <w:rsid w:val="00A20BF4"/>
    <w:rsid w:val="00A210E4"/>
    <w:rsid w:val="00A21A11"/>
    <w:rsid w:val="00A21B63"/>
    <w:rsid w:val="00A222FA"/>
    <w:rsid w:val="00A235AD"/>
    <w:rsid w:val="00A23B77"/>
    <w:rsid w:val="00A23BC5"/>
    <w:rsid w:val="00A23F69"/>
    <w:rsid w:val="00A24556"/>
    <w:rsid w:val="00A24BA3"/>
    <w:rsid w:val="00A2504E"/>
    <w:rsid w:val="00A25D22"/>
    <w:rsid w:val="00A25E4F"/>
    <w:rsid w:val="00A26831"/>
    <w:rsid w:val="00A26879"/>
    <w:rsid w:val="00A273FF"/>
    <w:rsid w:val="00A27525"/>
    <w:rsid w:val="00A2797E"/>
    <w:rsid w:val="00A27BA1"/>
    <w:rsid w:val="00A27DCF"/>
    <w:rsid w:val="00A27F86"/>
    <w:rsid w:val="00A30F54"/>
    <w:rsid w:val="00A31208"/>
    <w:rsid w:val="00A31211"/>
    <w:rsid w:val="00A3138D"/>
    <w:rsid w:val="00A3149C"/>
    <w:rsid w:val="00A31557"/>
    <w:rsid w:val="00A31D58"/>
    <w:rsid w:val="00A31FD2"/>
    <w:rsid w:val="00A3217E"/>
    <w:rsid w:val="00A322D3"/>
    <w:rsid w:val="00A32359"/>
    <w:rsid w:val="00A323E1"/>
    <w:rsid w:val="00A32651"/>
    <w:rsid w:val="00A32EC7"/>
    <w:rsid w:val="00A333CC"/>
    <w:rsid w:val="00A33736"/>
    <w:rsid w:val="00A34091"/>
    <w:rsid w:val="00A347DB"/>
    <w:rsid w:val="00A34958"/>
    <w:rsid w:val="00A34B09"/>
    <w:rsid w:val="00A34EA5"/>
    <w:rsid w:val="00A34FF7"/>
    <w:rsid w:val="00A35124"/>
    <w:rsid w:val="00A35775"/>
    <w:rsid w:val="00A3582D"/>
    <w:rsid w:val="00A358D3"/>
    <w:rsid w:val="00A36A50"/>
    <w:rsid w:val="00A36D68"/>
    <w:rsid w:val="00A36FC1"/>
    <w:rsid w:val="00A37452"/>
    <w:rsid w:val="00A378DD"/>
    <w:rsid w:val="00A37B06"/>
    <w:rsid w:val="00A37C80"/>
    <w:rsid w:val="00A37D33"/>
    <w:rsid w:val="00A402DE"/>
    <w:rsid w:val="00A41C77"/>
    <w:rsid w:val="00A41D8D"/>
    <w:rsid w:val="00A41E9C"/>
    <w:rsid w:val="00A41ED8"/>
    <w:rsid w:val="00A41FAA"/>
    <w:rsid w:val="00A4201A"/>
    <w:rsid w:val="00A426ED"/>
    <w:rsid w:val="00A42EBF"/>
    <w:rsid w:val="00A43239"/>
    <w:rsid w:val="00A43AEB"/>
    <w:rsid w:val="00A43AEE"/>
    <w:rsid w:val="00A43CAB"/>
    <w:rsid w:val="00A4427D"/>
    <w:rsid w:val="00A443FB"/>
    <w:rsid w:val="00A44914"/>
    <w:rsid w:val="00A44D30"/>
    <w:rsid w:val="00A450F9"/>
    <w:rsid w:val="00A45227"/>
    <w:rsid w:val="00A4526C"/>
    <w:rsid w:val="00A4578F"/>
    <w:rsid w:val="00A457D0"/>
    <w:rsid w:val="00A45A65"/>
    <w:rsid w:val="00A45FCA"/>
    <w:rsid w:val="00A464AD"/>
    <w:rsid w:val="00A4693E"/>
    <w:rsid w:val="00A46B8A"/>
    <w:rsid w:val="00A47B5C"/>
    <w:rsid w:val="00A47D45"/>
    <w:rsid w:val="00A47FF6"/>
    <w:rsid w:val="00A502C3"/>
    <w:rsid w:val="00A50693"/>
    <w:rsid w:val="00A508CF"/>
    <w:rsid w:val="00A50ABE"/>
    <w:rsid w:val="00A50BA6"/>
    <w:rsid w:val="00A513D9"/>
    <w:rsid w:val="00A5169D"/>
    <w:rsid w:val="00A51B48"/>
    <w:rsid w:val="00A52028"/>
    <w:rsid w:val="00A524B2"/>
    <w:rsid w:val="00A52545"/>
    <w:rsid w:val="00A52E4E"/>
    <w:rsid w:val="00A534E3"/>
    <w:rsid w:val="00A5388F"/>
    <w:rsid w:val="00A53B5A"/>
    <w:rsid w:val="00A53D73"/>
    <w:rsid w:val="00A5429C"/>
    <w:rsid w:val="00A54541"/>
    <w:rsid w:val="00A54C8C"/>
    <w:rsid w:val="00A54E31"/>
    <w:rsid w:val="00A54EA2"/>
    <w:rsid w:val="00A55116"/>
    <w:rsid w:val="00A558B6"/>
    <w:rsid w:val="00A55CBE"/>
    <w:rsid w:val="00A55E77"/>
    <w:rsid w:val="00A56C7E"/>
    <w:rsid w:val="00A5768F"/>
    <w:rsid w:val="00A57729"/>
    <w:rsid w:val="00A5781F"/>
    <w:rsid w:val="00A57A7C"/>
    <w:rsid w:val="00A605B4"/>
    <w:rsid w:val="00A60AF0"/>
    <w:rsid w:val="00A611C8"/>
    <w:rsid w:val="00A61DA9"/>
    <w:rsid w:val="00A63BAF"/>
    <w:rsid w:val="00A63C7E"/>
    <w:rsid w:val="00A63FC9"/>
    <w:rsid w:val="00A6437C"/>
    <w:rsid w:val="00A64470"/>
    <w:rsid w:val="00A64908"/>
    <w:rsid w:val="00A64D95"/>
    <w:rsid w:val="00A659F7"/>
    <w:rsid w:val="00A65F3A"/>
    <w:rsid w:val="00A66C51"/>
    <w:rsid w:val="00A66C61"/>
    <w:rsid w:val="00A66CDC"/>
    <w:rsid w:val="00A6758E"/>
    <w:rsid w:val="00A67BBD"/>
    <w:rsid w:val="00A70011"/>
    <w:rsid w:val="00A7041A"/>
    <w:rsid w:val="00A70C2A"/>
    <w:rsid w:val="00A71340"/>
    <w:rsid w:val="00A71373"/>
    <w:rsid w:val="00A715BF"/>
    <w:rsid w:val="00A71920"/>
    <w:rsid w:val="00A719BA"/>
    <w:rsid w:val="00A71A20"/>
    <w:rsid w:val="00A71D96"/>
    <w:rsid w:val="00A72112"/>
    <w:rsid w:val="00A72352"/>
    <w:rsid w:val="00A72594"/>
    <w:rsid w:val="00A72E49"/>
    <w:rsid w:val="00A73305"/>
    <w:rsid w:val="00A73A50"/>
    <w:rsid w:val="00A73B56"/>
    <w:rsid w:val="00A742B4"/>
    <w:rsid w:val="00A742E6"/>
    <w:rsid w:val="00A749CC"/>
    <w:rsid w:val="00A749F4"/>
    <w:rsid w:val="00A757F6"/>
    <w:rsid w:val="00A76012"/>
    <w:rsid w:val="00A760F0"/>
    <w:rsid w:val="00A76402"/>
    <w:rsid w:val="00A76558"/>
    <w:rsid w:val="00A76E16"/>
    <w:rsid w:val="00A7718F"/>
    <w:rsid w:val="00A77B07"/>
    <w:rsid w:val="00A77BB1"/>
    <w:rsid w:val="00A77FCA"/>
    <w:rsid w:val="00A80216"/>
    <w:rsid w:val="00A803B5"/>
    <w:rsid w:val="00A806FD"/>
    <w:rsid w:val="00A81500"/>
    <w:rsid w:val="00A8188A"/>
    <w:rsid w:val="00A81D79"/>
    <w:rsid w:val="00A8215A"/>
    <w:rsid w:val="00A826AD"/>
    <w:rsid w:val="00A8299D"/>
    <w:rsid w:val="00A8338A"/>
    <w:rsid w:val="00A8347B"/>
    <w:rsid w:val="00A83F6C"/>
    <w:rsid w:val="00A840A7"/>
    <w:rsid w:val="00A84175"/>
    <w:rsid w:val="00A84225"/>
    <w:rsid w:val="00A84271"/>
    <w:rsid w:val="00A842BB"/>
    <w:rsid w:val="00A8442B"/>
    <w:rsid w:val="00A84475"/>
    <w:rsid w:val="00A84992"/>
    <w:rsid w:val="00A849E2"/>
    <w:rsid w:val="00A84DC5"/>
    <w:rsid w:val="00A851E3"/>
    <w:rsid w:val="00A85882"/>
    <w:rsid w:val="00A85B72"/>
    <w:rsid w:val="00A85E35"/>
    <w:rsid w:val="00A85F45"/>
    <w:rsid w:val="00A8611B"/>
    <w:rsid w:val="00A861C0"/>
    <w:rsid w:val="00A864B4"/>
    <w:rsid w:val="00A86732"/>
    <w:rsid w:val="00A86A8B"/>
    <w:rsid w:val="00A86CB3"/>
    <w:rsid w:val="00A86E8F"/>
    <w:rsid w:val="00A86EF6"/>
    <w:rsid w:val="00A87334"/>
    <w:rsid w:val="00A87B5A"/>
    <w:rsid w:val="00A87F52"/>
    <w:rsid w:val="00A90142"/>
    <w:rsid w:val="00A90A28"/>
    <w:rsid w:val="00A90A2C"/>
    <w:rsid w:val="00A90C25"/>
    <w:rsid w:val="00A91019"/>
    <w:rsid w:val="00A9180D"/>
    <w:rsid w:val="00A919CA"/>
    <w:rsid w:val="00A922C5"/>
    <w:rsid w:val="00A923B5"/>
    <w:rsid w:val="00A9259D"/>
    <w:rsid w:val="00A9316F"/>
    <w:rsid w:val="00A933B2"/>
    <w:rsid w:val="00A93C4A"/>
    <w:rsid w:val="00A93D2E"/>
    <w:rsid w:val="00A93E44"/>
    <w:rsid w:val="00A94C7E"/>
    <w:rsid w:val="00A952C0"/>
    <w:rsid w:val="00A953DE"/>
    <w:rsid w:val="00A957B9"/>
    <w:rsid w:val="00A9584C"/>
    <w:rsid w:val="00A9591A"/>
    <w:rsid w:val="00A9642B"/>
    <w:rsid w:val="00A96555"/>
    <w:rsid w:val="00A96B16"/>
    <w:rsid w:val="00A96C24"/>
    <w:rsid w:val="00A96E72"/>
    <w:rsid w:val="00A96FBC"/>
    <w:rsid w:val="00A97383"/>
    <w:rsid w:val="00A975D8"/>
    <w:rsid w:val="00A97D4B"/>
    <w:rsid w:val="00A97EAE"/>
    <w:rsid w:val="00A97F9F"/>
    <w:rsid w:val="00AA0084"/>
    <w:rsid w:val="00AA03BF"/>
    <w:rsid w:val="00AA0E8D"/>
    <w:rsid w:val="00AA187F"/>
    <w:rsid w:val="00AA192D"/>
    <w:rsid w:val="00AA1F5D"/>
    <w:rsid w:val="00AA221D"/>
    <w:rsid w:val="00AA22F2"/>
    <w:rsid w:val="00AA27B3"/>
    <w:rsid w:val="00AA2D59"/>
    <w:rsid w:val="00AA3087"/>
    <w:rsid w:val="00AA3CAC"/>
    <w:rsid w:val="00AA4626"/>
    <w:rsid w:val="00AA4B5C"/>
    <w:rsid w:val="00AA4DF0"/>
    <w:rsid w:val="00AA5A06"/>
    <w:rsid w:val="00AA60AE"/>
    <w:rsid w:val="00AA60FA"/>
    <w:rsid w:val="00AA626C"/>
    <w:rsid w:val="00AA6809"/>
    <w:rsid w:val="00AA6902"/>
    <w:rsid w:val="00AA697A"/>
    <w:rsid w:val="00AA720C"/>
    <w:rsid w:val="00AA7747"/>
    <w:rsid w:val="00AA7886"/>
    <w:rsid w:val="00AA79E7"/>
    <w:rsid w:val="00AB0017"/>
    <w:rsid w:val="00AB0233"/>
    <w:rsid w:val="00AB09E9"/>
    <w:rsid w:val="00AB0A92"/>
    <w:rsid w:val="00AB0D72"/>
    <w:rsid w:val="00AB0F58"/>
    <w:rsid w:val="00AB0FFF"/>
    <w:rsid w:val="00AB10E0"/>
    <w:rsid w:val="00AB1334"/>
    <w:rsid w:val="00AB14FA"/>
    <w:rsid w:val="00AB1594"/>
    <w:rsid w:val="00AB19C9"/>
    <w:rsid w:val="00AB1ADB"/>
    <w:rsid w:val="00AB1F30"/>
    <w:rsid w:val="00AB1F66"/>
    <w:rsid w:val="00AB20BF"/>
    <w:rsid w:val="00AB2299"/>
    <w:rsid w:val="00AB29CF"/>
    <w:rsid w:val="00AB3531"/>
    <w:rsid w:val="00AB3DDB"/>
    <w:rsid w:val="00AB428A"/>
    <w:rsid w:val="00AB515E"/>
    <w:rsid w:val="00AB5177"/>
    <w:rsid w:val="00AB53A2"/>
    <w:rsid w:val="00AB5B31"/>
    <w:rsid w:val="00AB5ED9"/>
    <w:rsid w:val="00AB6016"/>
    <w:rsid w:val="00AB662E"/>
    <w:rsid w:val="00AB6A1A"/>
    <w:rsid w:val="00AB6EB9"/>
    <w:rsid w:val="00AB7416"/>
    <w:rsid w:val="00AB743B"/>
    <w:rsid w:val="00AB7468"/>
    <w:rsid w:val="00AB7F51"/>
    <w:rsid w:val="00AC0809"/>
    <w:rsid w:val="00AC1F24"/>
    <w:rsid w:val="00AC2406"/>
    <w:rsid w:val="00AC284A"/>
    <w:rsid w:val="00AC295B"/>
    <w:rsid w:val="00AC2AE3"/>
    <w:rsid w:val="00AC2D88"/>
    <w:rsid w:val="00AC2EDF"/>
    <w:rsid w:val="00AC2FDD"/>
    <w:rsid w:val="00AC34E8"/>
    <w:rsid w:val="00AC35ED"/>
    <w:rsid w:val="00AC3816"/>
    <w:rsid w:val="00AC38E2"/>
    <w:rsid w:val="00AC3A18"/>
    <w:rsid w:val="00AC416C"/>
    <w:rsid w:val="00AC4BA4"/>
    <w:rsid w:val="00AC4D80"/>
    <w:rsid w:val="00AC509A"/>
    <w:rsid w:val="00AC542F"/>
    <w:rsid w:val="00AC65D2"/>
    <w:rsid w:val="00AC66CD"/>
    <w:rsid w:val="00AC6A32"/>
    <w:rsid w:val="00AC6ABB"/>
    <w:rsid w:val="00AC6E3F"/>
    <w:rsid w:val="00AC6EC9"/>
    <w:rsid w:val="00AC71CE"/>
    <w:rsid w:val="00AC76F2"/>
    <w:rsid w:val="00AC781B"/>
    <w:rsid w:val="00AD0D46"/>
    <w:rsid w:val="00AD14F5"/>
    <w:rsid w:val="00AD1AF8"/>
    <w:rsid w:val="00AD1E67"/>
    <w:rsid w:val="00AD2043"/>
    <w:rsid w:val="00AD25CC"/>
    <w:rsid w:val="00AD26A6"/>
    <w:rsid w:val="00AD2897"/>
    <w:rsid w:val="00AD2AFD"/>
    <w:rsid w:val="00AD2C53"/>
    <w:rsid w:val="00AD31D7"/>
    <w:rsid w:val="00AD383F"/>
    <w:rsid w:val="00AD3C3E"/>
    <w:rsid w:val="00AD3E82"/>
    <w:rsid w:val="00AD4450"/>
    <w:rsid w:val="00AD50AB"/>
    <w:rsid w:val="00AD5482"/>
    <w:rsid w:val="00AD57CE"/>
    <w:rsid w:val="00AD5897"/>
    <w:rsid w:val="00AD59CA"/>
    <w:rsid w:val="00AD6FCB"/>
    <w:rsid w:val="00AD7499"/>
    <w:rsid w:val="00AD75AF"/>
    <w:rsid w:val="00AD7727"/>
    <w:rsid w:val="00AD784E"/>
    <w:rsid w:val="00AD7882"/>
    <w:rsid w:val="00AD7DDC"/>
    <w:rsid w:val="00AE0296"/>
    <w:rsid w:val="00AE07A0"/>
    <w:rsid w:val="00AE07AA"/>
    <w:rsid w:val="00AE1437"/>
    <w:rsid w:val="00AE1CBC"/>
    <w:rsid w:val="00AE34C3"/>
    <w:rsid w:val="00AE3700"/>
    <w:rsid w:val="00AE37A7"/>
    <w:rsid w:val="00AE42DC"/>
    <w:rsid w:val="00AE4F8E"/>
    <w:rsid w:val="00AE528D"/>
    <w:rsid w:val="00AE53A6"/>
    <w:rsid w:val="00AE5431"/>
    <w:rsid w:val="00AE624E"/>
    <w:rsid w:val="00AE7332"/>
    <w:rsid w:val="00AE77EA"/>
    <w:rsid w:val="00AE78F1"/>
    <w:rsid w:val="00AE7F81"/>
    <w:rsid w:val="00AF035A"/>
    <w:rsid w:val="00AF0A3F"/>
    <w:rsid w:val="00AF108B"/>
    <w:rsid w:val="00AF1584"/>
    <w:rsid w:val="00AF1E44"/>
    <w:rsid w:val="00AF22BF"/>
    <w:rsid w:val="00AF3539"/>
    <w:rsid w:val="00AF37C0"/>
    <w:rsid w:val="00AF41FB"/>
    <w:rsid w:val="00AF461A"/>
    <w:rsid w:val="00AF5123"/>
    <w:rsid w:val="00AF53EE"/>
    <w:rsid w:val="00AF55B8"/>
    <w:rsid w:val="00AF61E6"/>
    <w:rsid w:val="00AF6422"/>
    <w:rsid w:val="00AF67B1"/>
    <w:rsid w:val="00AF691B"/>
    <w:rsid w:val="00AF6C3A"/>
    <w:rsid w:val="00AF6DEF"/>
    <w:rsid w:val="00AF7064"/>
    <w:rsid w:val="00AF75A8"/>
    <w:rsid w:val="00AF773C"/>
    <w:rsid w:val="00AF7F35"/>
    <w:rsid w:val="00AF7F82"/>
    <w:rsid w:val="00B00216"/>
    <w:rsid w:val="00B0082C"/>
    <w:rsid w:val="00B00E8A"/>
    <w:rsid w:val="00B012B6"/>
    <w:rsid w:val="00B01814"/>
    <w:rsid w:val="00B0197E"/>
    <w:rsid w:val="00B02115"/>
    <w:rsid w:val="00B02A0A"/>
    <w:rsid w:val="00B02C83"/>
    <w:rsid w:val="00B0385A"/>
    <w:rsid w:val="00B04421"/>
    <w:rsid w:val="00B056D6"/>
    <w:rsid w:val="00B05D1E"/>
    <w:rsid w:val="00B05FE0"/>
    <w:rsid w:val="00B0696A"/>
    <w:rsid w:val="00B06CFF"/>
    <w:rsid w:val="00B06EFA"/>
    <w:rsid w:val="00B06F55"/>
    <w:rsid w:val="00B070D5"/>
    <w:rsid w:val="00B079D0"/>
    <w:rsid w:val="00B07A1F"/>
    <w:rsid w:val="00B07A92"/>
    <w:rsid w:val="00B100D7"/>
    <w:rsid w:val="00B109A4"/>
    <w:rsid w:val="00B109EB"/>
    <w:rsid w:val="00B11056"/>
    <w:rsid w:val="00B11540"/>
    <w:rsid w:val="00B11EB4"/>
    <w:rsid w:val="00B12BB4"/>
    <w:rsid w:val="00B13185"/>
    <w:rsid w:val="00B13226"/>
    <w:rsid w:val="00B1362D"/>
    <w:rsid w:val="00B138E4"/>
    <w:rsid w:val="00B13D65"/>
    <w:rsid w:val="00B13E68"/>
    <w:rsid w:val="00B13FF5"/>
    <w:rsid w:val="00B1405E"/>
    <w:rsid w:val="00B145DB"/>
    <w:rsid w:val="00B146B3"/>
    <w:rsid w:val="00B150AE"/>
    <w:rsid w:val="00B154B6"/>
    <w:rsid w:val="00B15505"/>
    <w:rsid w:val="00B15DE3"/>
    <w:rsid w:val="00B1633F"/>
    <w:rsid w:val="00B16877"/>
    <w:rsid w:val="00B16D0D"/>
    <w:rsid w:val="00B17460"/>
    <w:rsid w:val="00B17529"/>
    <w:rsid w:val="00B2046C"/>
    <w:rsid w:val="00B20585"/>
    <w:rsid w:val="00B20AB3"/>
    <w:rsid w:val="00B20EE3"/>
    <w:rsid w:val="00B21616"/>
    <w:rsid w:val="00B21632"/>
    <w:rsid w:val="00B22C76"/>
    <w:rsid w:val="00B22C88"/>
    <w:rsid w:val="00B22D55"/>
    <w:rsid w:val="00B22D79"/>
    <w:rsid w:val="00B236F0"/>
    <w:rsid w:val="00B23A72"/>
    <w:rsid w:val="00B2434B"/>
    <w:rsid w:val="00B249DB"/>
    <w:rsid w:val="00B2521C"/>
    <w:rsid w:val="00B25480"/>
    <w:rsid w:val="00B257A9"/>
    <w:rsid w:val="00B257CB"/>
    <w:rsid w:val="00B25895"/>
    <w:rsid w:val="00B2623A"/>
    <w:rsid w:val="00B263C5"/>
    <w:rsid w:val="00B26B4D"/>
    <w:rsid w:val="00B26BF3"/>
    <w:rsid w:val="00B26C9B"/>
    <w:rsid w:val="00B2709D"/>
    <w:rsid w:val="00B27911"/>
    <w:rsid w:val="00B27A71"/>
    <w:rsid w:val="00B27F94"/>
    <w:rsid w:val="00B30294"/>
    <w:rsid w:val="00B30820"/>
    <w:rsid w:val="00B30ACB"/>
    <w:rsid w:val="00B314C2"/>
    <w:rsid w:val="00B31719"/>
    <w:rsid w:val="00B31760"/>
    <w:rsid w:val="00B31B36"/>
    <w:rsid w:val="00B31B86"/>
    <w:rsid w:val="00B31D5C"/>
    <w:rsid w:val="00B32295"/>
    <w:rsid w:val="00B3237E"/>
    <w:rsid w:val="00B32852"/>
    <w:rsid w:val="00B329CC"/>
    <w:rsid w:val="00B33903"/>
    <w:rsid w:val="00B33951"/>
    <w:rsid w:val="00B33A28"/>
    <w:rsid w:val="00B33B21"/>
    <w:rsid w:val="00B33E7D"/>
    <w:rsid w:val="00B34A4D"/>
    <w:rsid w:val="00B34CA0"/>
    <w:rsid w:val="00B35388"/>
    <w:rsid w:val="00B35B52"/>
    <w:rsid w:val="00B35DE6"/>
    <w:rsid w:val="00B360DA"/>
    <w:rsid w:val="00B364EF"/>
    <w:rsid w:val="00B367C8"/>
    <w:rsid w:val="00B3712F"/>
    <w:rsid w:val="00B372DA"/>
    <w:rsid w:val="00B373D4"/>
    <w:rsid w:val="00B3781A"/>
    <w:rsid w:val="00B37896"/>
    <w:rsid w:val="00B37B66"/>
    <w:rsid w:val="00B37BBA"/>
    <w:rsid w:val="00B4076F"/>
    <w:rsid w:val="00B40986"/>
    <w:rsid w:val="00B4100A"/>
    <w:rsid w:val="00B41048"/>
    <w:rsid w:val="00B41283"/>
    <w:rsid w:val="00B418C7"/>
    <w:rsid w:val="00B42093"/>
    <w:rsid w:val="00B4228B"/>
    <w:rsid w:val="00B42F11"/>
    <w:rsid w:val="00B43132"/>
    <w:rsid w:val="00B43197"/>
    <w:rsid w:val="00B431FA"/>
    <w:rsid w:val="00B434EE"/>
    <w:rsid w:val="00B43951"/>
    <w:rsid w:val="00B43FBC"/>
    <w:rsid w:val="00B44B9F"/>
    <w:rsid w:val="00B44F1E"/>
    <w:rsid w:val="00B4516D"/>
    <w:rsid w:val="00B452E6"/>
    <w:rsid w:val="00B45391"/>
    <w:rsid w:val="00B454B0"/>
    <w:rsid w:val="00B459E0"/>
    <w:rsid w:val="00B45B5E"/>
    <w:rsid w:val="00B45CCD"/>
    <w:rsid w:val="00B4604F"/>
    <w:rsid w:val="00B46150"/>
    <w:rsid w:val="00B46253"/>
    <w:rsid w:val="00B463D7"/>
    <w:rsid w:val="00B46FD3"/>
    <w:rsid w:val="00B47650"/>
    <w:rsid w:val="00B47A33"/>
    <w:rsid w:val="00B47CDD"/>
    <w:rsid w:val="00B50564"/>
    <w:rsid w:val="00B5058F"/>
    <w:rsid w:val="00B5074C"/>
    <w:rsid w:val="00B50798"/>
    <w:rsid w:val="00B51028"/>
    <w:rsid w:val="00B5114B"/>
    <w:rsid w:val="00B511E7"/>
    <w:rsid w:val="00B5123D"/>
    <w:rsid w:val="00B5189A"/>
    <w:rsid w:val="00B519FB"/>
    <w:rsid w:val="00B51E3C"/>
    <w:rsid w:val="00B52373"/>
    <w:rsid w:val="00B52483"/>
    <w:rsid w:val="00B5270D"/>
    <w:rsid w:val="00B527EF"/>
    <w:rsid w:val="00B52CED"/>
    <w:rsid w:val="00B530E7"/>
    <w:rsid w:val="00B53A43"/>
    <w:rsid w:val="00B53ACC"/>
    <w:rsid w:val="00B53E6E"/>
    <w:rsid w:val="00B54B0F"/>
    <w:rsid w:val="00B54C9B"/>
    <w:rsid w:val="00B54DBE"/>
    <w:rsid w:val="00B54F53"/>
    <w:rsid w:val="00B5525B"/>
    <w:rsid w:val="00B55654"/>
    <w:rsid w:val="00B557A8"/>
    <w:rsid w:val="00B55B04"/>
    <w:rsid w:val="00B55BC8"/>
    <w:rsid w:val="00B55D99"/>
    <w:rsid w:val="00B561CF"/>
    <w:rsid w:val="00B577C3"/>
    <w:rsid w:val="00B57E20"/>
    <w:rsid w:val="00B57FE6"/>
    <w:rsid w:val="00B60571"/>
    <w:rsid w:val="00B6119E"/>
    <w:rsid w:val="00B613B7"/>
    <w:rsid w:val="00B61D93"/>
    <w:rsid w:val="00B62176"/>
    <w:rsid w:val="00B6297A"/>
    <w:rsid w:val="00B62E42"/>
    <w:rsid w:val="00B63CCC"/>
    <w:rsid w:val="00B63E03"/>
    <w:rsid w:val="00B647D8"/>
    <w:rsid w:val="00B64963"/>
    <w:rsid w:val="00B65044"/>
    <w:rsid w:val="00B6510A"/>
    <w:rsid w:val="00B66CDD"/>
    <w:rsid w:val="00B66E39"/>
    <w:rsid w:val="00B66EEA"/>
    <w:rsid w:val="00B67182"/>
    <w:rsid w:val="00B672CB"/>
    <w:rsid w:val="00B67AC2"/>
    <w:rsid w:val="00B67C72"/>
    <w:rsid w:val="00B67C84"/>
    <w:rsid w:val="00B67E59"/>
    <w:rsid w:val="00B70517"/>
    <w:rsid w:val="00B70B5C"/>
    <w:rsid w:val="00B71335"/>
    <w:rsid w:val="00B715F0"/>
    <w:rsid w:val="00B71AD3"/>
    <w:rsid w:val="00B71DBE"/>
    <w:rsid w:val="00B71E64"/>
    <w:rsid w:val="00B7229D"/>
    <w:rsid w:val="00B7286F"/>
    <w:rsid w:val="00B7296F"/>
    <w:rsid w:val="00B72CD3"/>
    <w:rsid w:val="00B73526"/>
    <w:rsid w:val="00B736A5"/>
    <w:rsid w:val="00B73E4B"/>
    <w:rsid w:val="00B73FAA"/>
    <w:rsid w:val="00B74A78"/>
    <w:rsid w:val="00B74A84"/>
    <w:rsid w:val="00B7519B"/>
    <w:rsid w:val="00B75731"/>
    <w:rsid w:val="00B759A6"/>
    <w:rsid w:val="00B75C34"/>
    <w:rsid w:val="00B75C61"/>
    <w:rsid w:val="00B75CD6"/>
    <w:rsid w:val="00B75D0F"/>
    <w:rsid w:val="00B76943"/>
    <w:rsid w:val="00B76A50"/>
    <w:rsid w:val="00B76C6A"/>
    <w:rsid w:val="00B76DE3"/>
    <w:rsid w:val="00B77DC4"/>
    <w:rsid w:val="00B800AD"/>
    <w:rsid w:val="00B80579"/>
    <w:rsid w:val="00B807D2"/>
    <w:rsid w:val="00B80C06"/>
    <w:rsid w:val="00B80F88"/>
    <w:rsid w:val="00B824DA"/>
    <w:rsid w:val="00B8276D"/>
    <w:rsid w:val="00B82787"/>
    <w:rsid w:val="00B83598"/>
    <w:rsid w:val="00B83BBB"/>
    <w:rsid w:val="00B83F2E"/>
    <w:rsid w:val="00B845D9"/>
    <w:rsid w:val="00B845EC"/>
    <w:rsid w:val="00B8511C"/>
    <w:rsid w:val="00B85F4E"/>
    <w:rsid w:val="00B8670B"/>
    <w:rsid w:val="00B8687B"/>
    <w:rsid w:val="00B86934"/>
    <w:rsid w:val="00B86C01"/>
    <w:rsid w:val="00B87016"/>
    <w:rsid w:val="00B871B8"/>
    <w:rsid w:val="00B8725F"/>
    <w:rsid w:val="00B90180"/>
    <w:rsid w:val="00B90238"/>
    <w:rsid w:val="00B90485"/>
    <w:rsid w:val="00B90AD3"/>
    <w:rsid w:val="00B91619"/>
    <w:rsid w:val="00B922CB"/>
    <w:rsid w:val="00B92934"/>
    <w:rsid w:val="00B941A4"/>
    <w:rsid w:val="00B942F2"/>
    <w:rsid w:val="00B94D31"/>
    <w:rsid w:val="00B954F5"/>
    <w:rsid w:val="00B959B2"/>
    <w:rsid w:val="00B95A85"/>
    <w:rsid w:val="00B96372"/>
    <w:rsid w:val="00B9650C"/>
    <w:rsid w:val="00B96593"/>
    <w:rsid w:val="00B9662E"/>
    <w:rsid w:val="00B9672D"/>
    <w:rsid w:val="00B96C58"/>
    <w:rsid w:val="00B96D61"/>
    <w:rsid w:val="00B96ED8"/>
    <w:rsid w:val="00B96EFF"/>
    <w:rsid w:val="00B972C5"/>
    <w:rsid w:val="00B978FF"/>
    <w:rsid w:val="00B97D14"/>
    <w:rsid w:val="00BA0538"/>
    <w:rsid w:val="00BA09BA"/>
    <w:rsid w:val="00BA0AB5"/>
    <w:rsid w:val="00BA0BD6"/>
    <w:rsid w:val="00BA0D11"/>
    <w:rsid w:val="00BA0DEE"/>
    <w:rsid w:val="00BA1869"/>
    <w:rsid w:val="00BA19DD"/>
    <w:rsid w:val="00BA1F57"/>
    <w:rsid w:val="00BA1F99"/>
    <w:rsid w:val="00BA24E3"/>
    <w:rsid w:val="00BA25C7"/>
    <w:rsid w:val="00BA2752"/>
    <w:rsid w:val="00BA27CD"/>
    <w:rsid w:val="00BA2AB6"/>
    <w:rsid w:val="00BA30D2"/>
    <w:rsid w:val="00BA30F4"/>
    <w:rsid w:val="00BA354F"/>
    <w:rsid w:val="00BA3B42"/>
    <w:rsid w:val="00BA3D97"/>
    <w:rsid w:val="00BA4058"/>
    <w:rsid w:val="00BA4A09"/>
    <w:rsid w:val="00BA57C8"/>
    <w:rsid w:val="00BA5C9E"/>
    <w:rsid w:val="00BA5E16"/>
    <w:rsid w:val="00BA663A"/>
    <w:rsid w:val="00BA6833"/>
    <w:rsid w:val="00BA68A7"/>
    <w:rsid w:val="00BA6CBA"/>
    <w:rsid w:val="00BA779D"/>
    <w:rsid w:val="00BA7DB5"/>
    <w:rsid w:val="00BA7F45"/>
    <w:rsid w:val="00BB05AB"/>
    <w:rsid w:val="00BB0D6D"/>
    <w:rsid w:val="00BB0F43"/>
    <w:rsid w:val="00BB197A"/>
    <w:rsid w:val="00BB1B93"/>
    <w:rsid w:val="00BB1E4F"/>
    <w:rsid w:val="00BB284D"/>
    <w:rsid w:val="00BB2E73"/>
    <w:rsid w:val="00BB336E"/>
    <w:rsid w:val="00BB4378"/>
    <w:rsid w:val="00BB44D1"/>
    <w:rsid w:val="00BB4793"/>
    <w:rsid w:val="00BB4AAA"/>
    <w:rsid w:val="00BB4C3E"/>
    <w:rsid w:val="00BB4D27"/>
    <w:rsid w:val="00BB4E6C"/>
    <w:rsid w:val="00BB56B6"/>
    <w:rsid w:val="00BB6393"/>
    <w:rsid w:val="00BB6695"/>
    <w:rsid w:val="00BB72F6"/>
    <w:rsid w:val="00BB7903"/>
    <w:rsid w:val="00BB7DC7"/>
    <w:rsid w:val="00BC00B9"/>
    <w:rsid w:val="00BC0153"/>
    <w:rsid w:val="00BC0620"/>
    <w:rsid w:val="00BC073B"/>
    <w:rsid w:val="00BC1033"/>
    <w:rsid w:val="00BC1A7C"/>
    <w:rsid w:val="00BC1D51"/>
    <w:rsid w:val="00BC2277"/>
    <w:rsid w:val="00BC311D"/>
    <w:rsid w:val="00BC3237"/>
    <w:rsid w:val="00BC3AD0"/>
    <w:rsid w:val="00BC3C98"/>
    <w:rsid w:val="00BC3F5D"/>
    <w:rsid w:val="00BC41F8"/>
    <w:rsid w:val="00BC426D"/>
    <w:rsid w:val="00BC4811"/>
    <w:rsid w:val="00BC4C7F"/>
    <w:rsid w:val="00BC4E2C"/>
    <w:rsid w:val="00BC56F2"/>
    <w:rsid w:val="00BC5971"/>
    <w:rsid w:val="00BC5EBA"/>
    <w:rsid w:val="00BC5FC0"/>
    <w:rsid w:val="00BC60AE"/>
    <w:rsid w:val="00BC6332"/>
    <w:rsid w:val="00BC6A7B"/>
    <w:rsid w:val="00BC6FBC"/>
    <w:rsid w:val="00BC7A98"/>
    <w:rsid w:val="00BC7E40"/>
    <w:rsid w:val="00BC7FA6"/>
    <w:rsid w:val="00BD044B"/>
    <w:rsid w:val="00BD064B"/>
    <w:rsid w:val="00BD0738"/>
    <w:rsid w:val="00BD09C5"/>
    <w:rsid w:val="00BD0AE9"/>
    <w:rsid w:val="00BD18DA"/>
    <w:rsid w:val="00BD1A72"/>
    <w:rsid w:val="00BD1E1D"/>
    <w:rsid w:val="00BD2490"/>
    <w:rsid w:val="00BD2B2C"/>
    <w:rsid w:val="00BD2C4F"/>
    <w:rsid w:val="00BD2C60"/>
    <w:rsid w:val="00BD2F48"/>
    <w:rsid w:val="00BD31E0"/>
    <w:rsid w:val="00BD3CDC"/>
    <w:rsid w:val="00BD400E"/>
    <w:rsid w:val="00BD41B0"/>
    <w:rsid w:val="00BD4FE4"/>
    <w:rsid w:val="00BD5C37"/>
    <w:rsid w:val="00BD5ED8"/>
    <w:rsid w:val="00BD6032"/>
    <w:rsid w:val="00BD61B6"/>
    <w:rsid w:val="00BD63D7"/>
    <w:rsid w:val="00BD660B"/>
    <w:rsid w:val="00BD6802"/>
    <w:rsid w:val="00BD7452"/>
    <w:rsid w:val="00BD74B0"/>
    <w:rsid w:val="00BD764E"/>
    <w:rsid w:val="00BD76D0"/>
    <w:rsid w:val="00BD7BA6"/>
    <w:rsid w:val="00BD7E5D"/>
    <w:rsid w:val="00BE0ABD"/>
    <w:rsid w:val="00BE0E02"/>
    <w:rsid w:val="00BE13C0"/>
    <w:rsid w:val="00BE16FA"/>
    <w:rsid w:val="00BE1A67"/>
    <w:rsid w:val="00BE1DE1"/>
    <w:rsid w:val="00BE3062"/>
    <w:rsid w:val="00BE3385"/>
    <w:rsid w:val="00BE3A52"/>
    <w:rsid w:val="00BE3C0E"/>
    <w:rsid w:val="00BE3FD9"/>
    <w:rsid w:val="00BE41E3"/>
    <w:rsid w:val="00BE44CE"/>
    <w:rsid w:val="00BE5223"/>
    <w:rsid w:val="00BE5A84"/>
    <w:rsid w:val="00BE5CC0"/>
    <w:rsid w:val="00BE6381"/>
    <w:rsid w:val="00BE6921"/>
    <w:rsid w:val="00BE6F5D"/>
    <w:rsid w:val="00BE72ED"/>
    <w:rsid w:val="00BE7881"/>
    <w:rsid w:val="00BE7E52"/>
    <w:rsid w:val="00BF002C"/>
    <w:rsid w:val="00BF0383"/>
    <w:rsid w:val="00BF054E"/>
    <w:rsid w:val="00BF067E"/>
    <w:rsid w:val="00BF14DF"/>
    <w:rsid w:val="00BF15FC"/>
    <w:rsid w:val="00BF1B5E"/>
    <w:rsid w:val="00BF206D"/>
    <w:rsid w:val="00BF2A58"/>
    <w:rsid w:val="00BF2CB2"/>
    <w:rsid w:val="00BF2D0F"/>
    <w:rsid w:val="00BF2DDA"/>
    <w:rsid w:val="00BF387A"/>
    <w:rsid w:val="00BF3D66"/>
    <w:rsid w:val="00BF3DEB"/>
    <w:rsid w:val="00BF3FB7"/>
    <w:rsid w:val="00BF490E"/>
    <w:rsid w:val="00BF4AFC"/>
    <w:rsid w:val="00BF4BE1"/>
    <w:rsid w:val="00BF4E8F"/>
    <w:rsid w:val="00BF55D6"/>
    <w:rsid w:val="00BF60BE"/>
    <w:rsid w:val="00BF610B"/>
    <w:rsid w:val="00BF64B8"/>
    <w:rsid w:val="00BF6611"/>
    <w:rsid w:val="00BF6771"/>
    <w:rsid w:val="00BF67FD"/>
    <w:rsid w:val="00BF6FE0"/>
    <w:rsid w:val="00BF726C"/>
    <w:rsid w:val="00BF7CE4"/>
    <w:rsid w:val="00C000E6"/>
    <w:rsid w:val="00C00178"/>
    <w:rsid w:val="00C00441"/>
    <w:rsid w:val="00C008A9"/>
    <w:rsid w:val="00C00BE4"/>
    <w:rsid w:val="00C00F98"/>
    <w:rsid w:val="00C00FC2"/>
    <w:rsid w:val="00C0108B"/>
    <w:rsid w:val="00C01F15"/>
    <w:rsid w:val="00C02277"/>
    <w:rsid w:val="00C02306"/>
    <w:rsid w:val="00C0275C"/>
    <w:rsid w:val="00C02DE9"/>
    <w:rsid w:val="00C038A2"/>
    <w:rsid w:val="00C03CD5"/>
    <w:rsid w:val="00C03FCB"/>
    <w:rsid w:val="00C0430B"/>
    <w:rsid w:val="00C0475D"/>
    <w:rsid w:val="00C0497E"/>
    <w:rsid w:val="00C04FF3"/>
    <w:rsid w:val="00C05354"/>
    <w:rsid w:val="00C0568A"/>
    <w:rsid w:val="00C057F0"/>
    <w:rsid w:val="00C058B3"/>
    <w:rsid w:val="00C058B9"/>
    <w:rsid w:val="00C05DB0"/>
    <w:rsid w:val="00C05E68"/>
    <w:rsid w:val="00C061ED"/>
    <w:rsid w:val="00C0682A"/>
    <w:rsid w:val="00C06939"/>
    <w:rsid w:val="00C06991"/>
    <w:rsid w:val="00C06CDB"/>
    <w:rsid w:val="00C07957"/>
    <w:rsid w:val="00C10138"/>
    <w:rsid w:val="00C10472"/>
    <w:rsid w:val="00C10A63"/>
    <w:rsid w:val="00C10B44"/>
    <w:rsid w:val="00C116B9"/>
    <w:rsid w:val="00C11B19"/>
    <w:rsid w:val="00C1265F"/>
    <w:rsid w:val="00C1266B"/>
    <w:rsid w:val="00C12922"/>
    <w:rsid w:val="00C12FE0"/>
    <w:rsid w:val="00C1347F"/>
    <w:rsid w:val="00C13FD1"/>
    <w:rsid w:val="00C146DC"/>
    <w:rsid w:val="00C14E20"/>
    <w:rsid w:val="00C152B0"/>
    <w:rsid w:val="00C15863"/>
    <w:rsid w:val="00C15897"/>
    <w:rsid w:val="00C162AB"/>
    <w:rsid w:val="00C16307"/>
    <w:rsid w:val="00C164D2"/>
    <w:rsid w:val="00C164DA"/>
    <w:rsid w:val="00C16971"/>
    <w:rsid w:val="00C17701"/>
    <w:rsid w:val="00C177FC"/>
    <w:rsid w:val="00C17AD8"/>
    <w:rsid w:val="00C17D9E"/>
    <w:rsid w:val="00C203A3"/>
    <w:rsid w:val="00C20F31"/>
    <w:rsid w:val="00C21015"/>
    <w:rsid w:val="00C214B9"/>
    <w:rsid w:val="00C21597"/>
    <w:rsid w:val="00C2162F"/>
    <w:rsid w:val="00C21955"/>
    <w:rsid w:val="00C21DB2"/>
    <w:rsid w:val="00C226E5"/>
    <w:rsid w:val="00C22B4F"/>
    <w:rsid w:val="00C22EFE"/>
    <w:rsid w:val="00C230B6"/>
    <w:rsid w:val="00C23148"/>
    <w:rsid w:val="00C2316C"/>
    <w:rsid w:val="00C231F0"/>
    <w:rsid w:val="00C23E30"/>
    <w:rsid w:val="00C23F68"/>
    <w:rsid w:val="00C24291"/>
    <w:rsid w:val="00C24EF8"/>
    <w:rsid w:val="00C252F5"/>
    <w:rsid w:val="00C25433"/>
    <w:rsid w:val="00C25793"/>
    <w:rsid w:val="00C25896"/>
    <w:rsid w:val="00C25C70"/>
    <w:rsid w:val="00C25F21"/>
    <w:rsid w:val="00C2617F"/>
    <w:rsid w:val="00C2649E"/>
    <w:rsid w:val="00C26946"/>
    <w:rsid w:val="00C26ABD"/>
    <w:rsid w:val="00C27B65"/>
    <w:rsid w:val="00C301C4"/>
    <w:rsid w:val="00C3034C"/>
    <w:rsid w:val="00C30B06"/>
    <w:rsid w:val="00C30DE2"/>
    <w:rsid w:val="00C31049"/>
    <w:rsid w:val="00C310D2"/>
    <w:rsid w:val="00C31133"/>
    <w:rsid w:val="00C320F5"/>
    <w:rsid w:val="00C3239F"/>
    <w:rsid w:val="00C3267A"/>
    <w:rsid w:val="00C32B55"/>
    <w:rsid w:val="00C32DE8"/>
    <w:rsid w:val="00C333D4"/>
    <w:rsid w:val="00C33A61"/>
    <w:rsid w:val="00C34001"/>
    <w:rsid w:val="00C34566"/>
    <w:rsid w:val="00C348C2"/>
    <w:rsid w:val="00C34A2F"/>
    <w:rsid w:val="00C34B79"/>
    <w:rsid w:val="00C35409"/>
    <w:rsid w:val="00C35985"/>
    <w:rsid w:val="00C35AF3"/>
    <w:rsid w:val="00C361D7"/>
    <w:rsid w:val="00C3629A"/>
    <w:rsid w:val="00C36749"/>
    <w:rsid w:val="00C36CA1"/>
    <w:rsid w:val="00C37A97"/>
    <w:rsid w:val="00C37AA7"/>
    <w:rsid w:val="00C37E2C"/>
    <w:rsid w:val="00C4088C"/>
    <w:rsid w:val="00C40D4F"/>
    <w:rsid w:val="00C40DA1"/>
    <w:rsid w:val="00C412B3"/>
    <w:rsid w:val="00C41525"/>
    <w:rsid w:val="00C415D0"/>
    <w:rsid w:val="00C429CD"/>
    <w:rsid w:val="00C42F2B"/>
    <w:rsid w:val="00C43183"/>
    <w:rsid w:val="00C434E5"/>
    <w:rsid w:val="00C43622"/>
    <w:rsid w:val="00C43AF3"/>
    <w:rsid w:val="00C4405E"/>
    <w:rsid w:val="00C44723"/>
    <w:rsid w:val="00C44804"/>
    <w:rsid w:val="00C44C7D"/>
    <w:rsid w:val="00C44D2C"/>
    <w:rsid w:val="00C45745"/>
    <w:rsid w:val="00C45E6F"/>
    <w:rsid w:val="00C461DC"/>
    <w:rsid w:val="00C46744"/>
    <w:rsid w:val="00C46917"/>
    <w:rsid w:val="00C47082"/>
    <w:rsid w:val="00C4747B"/>
    <w:rsid w:val="00C475A6"/>
    <w:rsid w:val="00C51847"/>
    <w:rsid w:val="00C51A44"/>
    <w:rsid w:val="00C52691"/>
    <w:rsid w:val="00C52840"/>
    <w:rsid w:val="00C52B15"/>
    <w:rsid w:val="00C52CEE"/>
    <w:rsid w:val="00C53083"/>
    <w:rsid w:val="00C5310D"/>
    <w:rsid w:val="00C53B24"/>
    <w:rsid w:val="00C53FC0"/>
    <w:rsid w:val="00C54272"/>
    <w:rsid w:val="00C54466"/>
    <w:rsid w:val="00C545C8"/>
    <w:rsid w:val="00C54FBE"/>
    <w:rsid w:val="00C551E1"/>
    <w:rsid w:val="00C55807"/>
    <w:rsid w:val="00C55D5B"/>
    <w:rsid w:val="00C562EA"/>
    <w:rsid w:val="00C568F5"/>
    <w:rsid w:val="00C56B6C"/>
    <w:rsid w:val="00C56E51"/>
    <w:rsid w:val="00C574BC"/>
    <w:rsid w:val="00C575FF"/>
    <w:rsid w:val="00C57AC1"/>
    <w:rsid w:val="00C57E61"/>
    <w:rsid w:val="00C60398"/>
    <w:rsid w:val="00C6045C"/>
    <w:rsid w:val="00C60B7D"/>
    <w:rsid w:val="00C61733"/>
    <w:rsid w:val="00C61810"/>
    <w:rsid w:val="00C61BDF"/>
    <w:rsid w:val="00C61D5D"/>
    <w:rsid w:val="00C61E5E"/>
    <w:rsid w:val="00C62781"/>
    <w:rsid w:val="00C62A84"/>
    <w:rsid w:val="00C6301A"/>
    <w:rsid w:val="00C63434"/>
    <w:rsid w:val="00C6381A"/>
    <w:rsid w:val="00C63A80"/>
    <w:rsid w:val="00C63A84"/>
    <w:rsid w:val="00C63DD9"/>
    <w:rsid w:val="00C63E99"/>
    <w:rsid w:val="00C63FF4"/>
    <w:rsid w:val="00C64906"/>
    <w:rsid w:val="00C64CD7"/>
    <w:rsid w:val="00C64E32"/>
    <w:rsid w:val="00C6518C"/>
    <w:rsid w:val="00C652F0"/>
    <w:rsid w:val="00C65610"/>
    <w:rsid w:val="00C659C5"/>
    <w:rsid w:val="00C65B23"/>
    <w:rsid w:val="00C661E1"/>
    <w:rsid w:val="00C662AF"/>
    <w:rsid w:val="00C672CF"/>
    <w:rsid w:val="00C7013D"/>
    <w:rsid w:val="00C70548"/>
    <w:rsid w:val="00C70908"/>
    <w:rsid w:val="00C7165B"/>
    <w:rsid w:val="00C71BA8"/>
    <w:rsid w:val="00C7214F"/>
    <w:rsid w:val="00C72789"/>
    <w:rsid w:val="00C727C0"/>
    <w:rsid w:val="00C727E7"/>
    <w:rsid w:val="00C72B61"/>
    <w:rsid w:val="00C72B75"/>
    <w:rsid w:val="00C72BFB"/>
    <w:rsid w:val="00C72EB2"/>
    <w:rsid w:val="00C730D7"/>
    <w:rsid w:val="00C731C7"/>
    <w:rsid w:val="00C73B05"/>
    <w:rsid w:val="00C74572"/>
    <w:rsid w:val="00C74623"/>
    <w:rsid w:val="00C74F2F"/>
    <w:rsid w:val="00C74F95"/>
    <w:rsid w:val="00C750AC"/>
    <w:rsid w:val="00C7571D"/>
    <w:rsid w:val="00C75ABE"/>
    <w:rsid w:val="00C75AC5"/>
    <w:rsid w:val="00C76ACE"/>
    <w:rsid w:val="00C76D03"/>
    <w:rsid w:val="00C772A3"/>
    <w:rsid w:val="00C774F9"/>
    <w:rsid w:val="00C77E45"/>
    <w:rsid w:val="00C8035C"/>
    <w:rsid w:val="00C80A27"/>
    <w:rsid w:val="00C8108C"/>
    <w:rsid w:val="00C81154"/>
    <w:rsid w:val="00C812D9"/>
    <w:rsid w:val="00C81768"/>
    <w:rsid w:val="00C818ED"/>
    <w:rsid w:val="00C82049"/>
    <w:rsid w:val="00C82526"/>
    <w:rsid w:val="00C82827"/>
    <w:rsid w:val="00C82982"/>
    <w:rsid w:val="00C82A4C"/>
    <w:rsid w:val="00C82D95"/>
    <w:rsid w:val="00C83850"/>
    <w:rsid w:val="00C83928"/>
    <w:rsid w:val="00C83D30"/>
    <w:rsid w:val="00C83E60"/>
    <w:rsid w:val="00C83EA5"/>
    <w:rsid w:val="00C846F6"/>
    <w:rsid w:val="00C84B41"/>
    <w:rsid w:val="00C84BBB"/>
    <w:rsid w:val="00C84C75"/>
    <w:rsid w:val="00C85742"/>
    <w:rsid w:val="00C8595C"/>
    <w:rsid w:val="00C85E25"/>
    <w:rsid w:val="00C864FD"/>
    <w:rsid w:val="00C86D66"/>
    <w:rsid w:val="00C86F8D"/>
    <w:rsid w:val="00C87324"/>
    <w:rsid w:val="00C875CD"/>
    <w:rsid w:val="00C87D84"/>
    <w:rsid w:val="00C9083D"/>
    <w:rsid w:val="00C909A4"/>
    <w:rsid w:val="00C90A04"/>
    <w:rsid w:val="00C90DFF"/>
    <w:rsid w:val="00C90EC0"/>
    <w:rsid w:val="00C91067"/>
    <w:rsid w:val="00C910CF"/>
    <w:rsid w:val="00C91342"/>
    <w:rsid w:val="00C91616"/>
    <w:rsid w:val="00C916D3"/>
    <w:rsid w:val="00C91A17"/>
    <w:rsid w:val="00C91B35"/>
    <w:rsid w:val="00C91DE2"/>
    <w:rsid w:val="00C9209B"/>
    <w:rsid w:val="00C92C9C"/>
    <w:rsid w:val="00C93041"/>
    <w:rsid w:val="00C9304D"/>
    <w:rsid w:val="00C93106"/>
    <w:rsid w:val="00C932FE"/>
    <w:rsid w:val="00C934D4"/>
    <w:rsid w:val="00C93C1D"/>
    <w:rsid w:val="00C9448B"/>
    <w:rsid w:val="00C9485D"/>
    <w:rsid w:val="00C94E84"/>
    <w:rsid w:val="00C95257"/>
    <w:rsid w:val="00C956D1"/>
    <w:rsid w:val="00C95C40"/>
    <w:rsid w:val="00C95F34"/>
    <w:rsid w:val="00C9606F"/>
    <w:rsid w:val="00C9632B"/>
    <w:rsid w:val="00C96616"/>
    <w:rsid w:val="00C968BE"/>
    <w:rsid w:val="00C96BA7"/>
    <w:rsid w:val="00C96FFC"/>
    <w:rsid w:val="00C9704A"/>
    <w:rsid w:val="00C976A9"/>
    <w:rsid w:val="00C9780A"/>
    <w:rsid w:val="00C979E9"/>
    <w:rsid w:val="00C97D93"/>
    <w:rsid w:val="00C97DB3"/>
    <w:rsid w:val="00CA1F89"/>
    <w:rsid w:val="00CA20E7"/>
    <w:rsid w:val="00CA2B14"/>
    <w:rsid w:val="00CA2DD7"/>
    <w:rsid w:val="00CA327D"/>
    <w:rsid w:val="00CA33B4"/>
    <w:rsid w:val="00CA3D19"/>
    <w:rsid w:val="00CA43FF"/>
    <w:rsid w:val="00CA4428"/>
    <w:rsid w:val="00CA46BE"/>
    <w:rsid w:val="00CA5490"/>
    <w:rsid w:val="00CA5723"/>
    <w:rsid w:val="00CA593D"/>
    <w:rsid w:val="00CA6044"/>
    <w:rsid w:val="00CA64FD"/>
    <w:rsid w:val="00CA6B27"/>
    <w:rsid w:val="00CA6BDE"/>
    <w:rsid w:val="00CA6CFF"/>
    <w:rsid w:val="00CA7163"/>
    <w:rsid w:val="00CA764F"/>
    <w:rsid w:val="00CB0CAB"/>
    <w:rsid w:val="00CB10F2"/>
    <w:rsid w:val="00CB13C2"/>
    <w:rsid w:val="00CB15F6"/>
    <w:rsid w:val="00CB1818"/>
    <w:rsid w:val="00CB232F"/>
    <w:rsid w:val="00CB23AD"/>
    <w:rsid w:val="00CB2C54"/>
    <w:rsid w:val="00CB2F8C"/>
    <w:rsid w:val="00CB396F"/>
    <w:rsid w:val="00CB3E2E"/>
    <w:rsid w:val="00CB42B9"/>
    <w:rsid w:val="00CB4320"/>
    <w:rsid w:val="00CB43E3"/>
    <w:rsid w:val="00CB44C7"/>
    <w:rsid w:val="00CB46D9"/>
    <w:rsid w:val="00CB4E51"/>
    <w:rsid w:val="00CB5541"/>
    <w:rsid w:val="00CB58C6"/>
    <w:rsid w:val="00CB61BC"/>
    <w:rsid w:val="00CB6601"/>
    <w:rsid w:val="00CB692D"/>
    <w:rsid w:val="00CB6A23"/>
    <w:rsid w:val="00CB743A"/>
    <w:rsid w:val="00CB7621"/>
    <w:rsid w:val="00CB7E9B"/>
    <w:rsid w:val="00CC02F9"/>
    <w:rsid w:val="00CC047C"/>
    <w:rsid w:val="00CC07CC"/>
    <w:rsid w:val="00CC0D38"/>
    <w:rsid w:val="00CC1D60"/>
    <w:rsid w:val="00CC204F"/>
    <w:rsid w:val="00CC20A4"/>
    <w:rsid w:val="00CC231E"/>
    <w:rsid w:val="00CC3555"/>
    <w:rsid w:val="00CC37F2"/>
    <w:rsid w:val="00CC3ABC"/>
    <w:rsid w:val="00CC4233"/>
    <w:rsid w:val="00CC4388"/>
    <w:rsid w:val="00CC4950"/>
    <w:rsid w:val="00CC4ABE"/>
    <w:rsid w:val="00CC4D10"/>
    <w:rsid w:val="00CC5102"/>
    <w:rsid w:val="00CC5B4F"/>
    <w:rsid w:val="00CC6234"/>
    <w:rsid w:val="00CC6676"/>
    <w:rsid w:val="00CC67D2"/>
    <w:rsid w:val="00CC7AE8"/>
    <w:rsid w:val="00CD21FB"/>
    <w:rsid w:val="00CD2468"/>
    <w:rsid w:val="00CD25CC"/>
    <w:rsid w:val="00CD2EB0"/>
    <w:rsid w:val="00CD3C42"/>
    <w:rsid w:val="00CD3DC7"/>
    <w:rsid w:val="00CD40BF"/>
    <w:rsid w:val="00CD4148"/>
    <w:rsid w:val="00CD414D"/>
    <w:rsid w:val="00CD4354"/>
    <w:rsid w:val="00CD4C80"/>
    <w:rsid w:val="00CD57BD"/>
    <w:rsid w:val="00CD63AC"/>
    <w:rsid w:val="00CD6A2C"/>
    <w:rsid w:val="00CD6C8B"/>
    <w:rsid w:val="00CD6E84"/>
    <w:rsid w:val="00CD6FCD"/>
    <w:rsid w:val="00CD721F"/>
    <w:rsid w:val="00CD7786"/>
    <w:rsid w:val="00CD78C1"/>
    <w:rsid w:val="00CD7A4E"/>
    <w:rsid w:val="00CD7C79"/>
    <w:rsid w:val="00CD7F87"/>
    <w:rsid w:val="00CE0076"/>
    <w:rsid w:val="00CE037D"/>
    <w:rsid w:val="00CE042F"/>
    <w:rsid w:val="00CE061D"/>
    <w:rsid w:val="00CE0866"/>
    <w:rsid w:val="00CE0CEE"/>
    <w:rsid w:val="00CE11FB"/>
    <w:rsid w:val="00CE13CB"/>
    <w:rsid w:val="00CE17C1"/>
    <w:rsid w:val="00CE1916"/>
    <w:rsid w:val="00CE2365"/>
    <w:rsid w:val="00CE2B5D"/>
    <w:rsid w:val="00CE36DA"/>
    <w:rsid w:val="00CE4072"/>
    <w:rsid w:val="00CE40C3"/>
    <w:rsid w:val="00CE4E88"/>
    <w:rsid w:val="00CE5293"/>
    <w:rsid w:val="00CE5298"/>
    <w:rsid w:val="00CE52CB"/>
    <w:rsid w:val="00CE5BEF"/>
    <w:rsid w:val="00CE5D9E"/>
    <w:rsid w:val="00CE6CFF"/>
    <w:rsid w:val="00CE6DE5"/>
    <w:rsid w:val="00CE7843"/>
    <w:rsid w:val="00CF0EB1"/>
    <w:rsid w:val="00CF0EE6"/>
    <w:rsid w:val="00CF157B"/>
    <w:rsid w:val="00CF1F53"/>
    <w:rsid w:val="00CF25F6"/>
    <w:rsid w:val="00CF2B1C"/>
    <w:rsid w:val="00CF2BF7"/>
    <w:rsid w:val="00CF2C67"/>
    <w:rsid w:val="00CF314A"/>
    <w:rsid w:val="00CF376D"/>
    <w:rsid w:val="00CF3C93"/>
    <w:rsid w:val="00CF3F60"/>
    <w:rsid w:val="00CF3FFB"/>
    <w:rsid w:val="00CF4507"/>
    <w:rsid w:val="00CF5165"/>
    <w:rsid w:val="00CF58BC"/>
    <w:rsid w:val="00CF5A92"/>
    <w:rsid w:val="00CF725F"/>
    <w:rsid w:val="00CF73BC"/>
    <w:rsid w:val="00CF743D"/>
    <w:rsid w:val="00CF796B"/>
    <w:rsid w:val="00CF7C95"/>
    <w:rsid w:val="00D003FA"/>
    <w:rsid w:val="00D01008"/>
    <w:rsid w:val="00D012B8"/>
    <w:rsid w:val="00D014E9"/>
    <w:rsid w:val="00D01AAA"/>
    <w:rsid w:val="00D01D83"/>
    <w:rsid w:val="00D01F8F"/>
    <w:rsid w:val="00D025C8"/>
    <w:rsid w:val="00D02B78"/>
    <w:rsid w:val="00D03164"/>
    <w:rsid w:val="00D033BD"/>
    <w:rsid w:val="00D037C3"/>
    <w:rsid w:val="00D03D1D"/>
    <w:rsid w:val="00D03F7C"/>
    <w:rsid w:val="00D04154"/>
    <w:rsid w:val="00D04196"/>
    <w:rsid w:val="00D04198"/>
    <w:rsid w:val="00D046DF"/>
    <w:rsid w:val="00D0472F"/>
    <w:rsid w:val="00D04FC5"/>
    <w:rsid w:val="00D05459"/>
    <w:rsid w:val="00D06028"/>
    <w:rsid w:val="00D060B4"/>
    <w:rsid w:val="00D06270"/>
    <w:rsid w:val="00D066C5"/>
    <w:rsid w:val="00D06B62"/>
    <w:rsid w:val="00D07090"/>
    <w:rsid w:val="00D070C2"/>
    <w:rsid w:val="00D0796B"/>
    <w:rsid w:val="00D079B5"/>
    <w:rsid w:val="00D07B2E"/>
    <w:rsid w:val="00D07CB5"/>
    <w:rsid w:val="00D10227"/>
    <w:rsid w:val="00D10621"/>
    <w:rsid w:val="00D107FB"/>
    <w:rsid w:val="00D10B9B"/>
    <w:rsid w:val="00D11C9E"/>
    <w:rsid w:val="00D11F9C"/>
    <w:rsid w:val="00D1260E"/>
    <w:rsid w:val="00D12639"/>
    <w:rsid w:val="00D12E5B"/>
    <w:rsid w:val="00D13048"/>
    <w:rsid w:val="00D132F4"/>
    <w:rsid w:val="00D133D1"/>
    <w:rsid w:val="00D13A8F"/>
    <w:rsid w:val="00D1407F"/>
    <w:rsid w:val="00D14161"/>
    <w:rsid w:val="00D147DF"/>
    <w:rsid w:val="00D147FC"/>
    <w:rsid w:val="00D15244"/>
    <w:rsid w:val="00D15252"/>
    <w:rsid w:val="00D15DC0"/>
    <w:rsid w:val="00D15FF5"/>
    <w:rsid w:val="00D161B4"/>
    <w:rsid w:val="00D16223"/>
    <w:rsid w:val="00D163A2"/>
    <w:rsid w:val="00D1645C"/>
    <w:rsid w:val="00D16743"/>
    <w:rsid w:val="00D16A7D"/>
    <w:rsid w:val="00D16D65"/>
    <w:rsid w:val="00D171D4"/>
    <w:rsid w:val="00D17C2A"/>
    <w:rsid w:val="00D17DA5"/>
    <w:rsid w:val="00D20E14"/>
    <w:rsid w:val="00D21392"/>
    <w:rsid w:val="00D21B42"/>
    <w:rsid w:val="00D21CF9"/>
    <w:rsid w:val="00D223FF"/>
    <w:rsid w:val="00D22B2D"/>
    <w:rsid w:val="00D22B8D"/>
    <w:rsid w:val="00D22BC3"/>
    <w:rsid w:val="00D22E60"/>
    <w:rsid w:val="00D23760"/>
    <w:rsid w:val="00D23E81"/>
    <w:rsid w:val="00D24062"/>
    <w:rsid w:val="00D24A13"/>
    <w:rsid w:val="00D2596A"/>
    <w:rsid w:val="00D25FD1"/>
    <w:rsid w:val="00D25FE4"/>
    <w:rsid w:val="00D262B5"/>
    <w:rsid w:val="00D26461"/>
    <w:rsid w:val="00D26774"/>
    <w:rsid w:val="00D26DF7"/>
    <w:rsid w:val="00D26E35"/>
    <w:rsid w:val="00D26E95"/>
    <w:rsid w:val="00D2764E"/>
    <w:rsid w:val="00D277FC"/>
    <w:rsid w:val="00D2793C"/>
    <w:rsid w:val="00D27BB3"/>
    <w:rsid w:val="00D27D0A"/>
    <w:rsid w:val="00D27DA7"/>
    <w:rsid w:val="00D3010E"/>
    <w:rsid w:val="00D301F9"/>
    <w:rsid w:val="00D305EA"/>
    <w:rsid w:val="00D30942"/>
    <w:rsid w:val="00D309B8"/>
    <w:rsid w:val="00D31B26"/>
    <w:rsid w:val="00D322F3"/>
    <w:rsid w:val="00D3257E"/>
    <w:rsid w:val="00D32B56"/>
    <w:rsid w:val="00D32BCF"/>
    <w:rsid w:val="00D32E0B"/>
    <w:rsid w:val="00D32F66"/>
    <w:rsid w:val="00D33007"/>
    <w:rsid w:val="00D337DF"/>
    <w:rsid w:val="00D33D66"/>
    <w:rsid w:val="00D340EA"/>
    <w:rsid w:val="00D3500F"/>
    <w:rsid w:val="00D350DD"/>
    <w:rsid w:val="00D354B7"/>
    <w:rsid w:val="00D354F9"/>
    <w:rsid w:val="00D35F72"/>
    <w:rsid w:val="00D367BA"/>
    <w:rsid w:val="00D36B9E"/>
    <w:rsid w:val="00D4082A"/>
    <w:rsid w:val="00D40ACD"/>
    <w:rsid w:val="00D40B76"/>
    <w:rsid w:val="00D40D78"/>
    <w:rsid w:val="00D419F3"/>
    <w:rsid w:val="00D41A52"/>
    <w:rsid w:val="00D42248"/>
    <w:rsid w:val="00D42464"/>
    <w:rsid w:val="00D434EB"/>
    <w:rsid w:val="00D43AA8"/>
    <w:rsid w:val="00D43EB5"/>
    <w:rsid w:val="00D4488E"/>
    <w:rsid w:val="00D44C81"/>
    <w:rsid w:val="00D44E97"/>
    <w:rsid w:val="00D45404"/>
    <w:rsid w:val="00D45674"/>
    <w:rsid w:val="00D45AD3"/>
    <w:rsid w:val="00D45CF4"/>
    <w:rsid w:val="00D45D38"/>
    <w:rsid w:val="00D4612D"/>
    <w:rsid w:val="00D4672F"/>
    <w:rsid w:val="00D46B92"/>
    <w:rsid w:val="00D47316"/>
    <w:rsid w:val="00D477CE"/>
    <w:rsid w:val="00D47809"/>
    <w:rsid w:val="00D47CF3"/>
    <w:rsid w:val="00D47FD5"/>
    <w:rsid w:val="00D50391"/>
    <w:rsid w:val="00D503C5"/>
    <w:rsid w:val="00D5052E"/>
    <w:rsid w:val="00D50E12"/>
    <w:rsid w:val="00D5116B"/>
    <w:rsid w:val="00D511DF"/>
    <w:rsid w:val="00D512A9"/>
    <w:rsid w:val="00D51F23"/>
    <w:rsid w:val="00D52722"/>
    <w:rsid w:val="00D52C66"/>
    <w:rsid w:val="00D53306"/>
    <w:rsid w:val="00D53462"/>
    <w:rsid w:val="00D53727"/>
    <w:rsid w:val="00D53E05"/>
    <w:rsid w:val="00D5425A"/>
    <w:rsid w:val="00D544B6"/>
    <w:rsid w:val="00D544C9"/>
    <w:rsid w:val="00D5483E"/>
    <w:rsid w:val="00D54CC2"/>
    <w:rsid w:val="00D54E41"/>
    <w:rsid w:val="00D5557A"/>
    <w:rsid w:val="00D567D7"/>
    <w:rsid w:val="00D56858"/>
    <w:rsid w:val="00D57064"/>
    <w:rsid w:val="00D5787C"/>
    <w:rsid w:val="00D57B03"/>
    <w:rsid w:val="00D6063E"/>
    <w:rsid w:val="00D607AF"/>
    <w:rsid w:val="00D609FE"/>
    <w:rsid w:val="00D60A26"/>
    <w:rsid w:val="00D60B51"/>
    <w:rsid w:val="00D60E0D"/>
    <w:rsid w:val="00D60E1D"/>
    <w:rsid w:val="00D60E98"/>
    <w:rsid w:val="00D616F9"/>
    <w:rsid w:val="00D61875"/>
    <w:rsid w:val="00D61DB7"/>
    <w:rsid w:val="00D622AC"/>
    <w:rsid w:val="00D62D4B"/>
    <w:rsid w:val="00D62F47"/>
    <w:rsid w:val="00D63295"/>
    <w:rsid w:val="00D636C8"/>
    <w:rsid w:val="00D63957"/>
    <w:rsid w:val="00D63DD3"/>
    <w:rsid w:val="00D63F29"/>
    <w:rsid w:val="00D641AE"/>
    <w:rsid w:val="00D641F8"/>
    <w:rsid w:val="00D6458E"/>
    <w:rsid w:val="00D649F9"/>
    <w:rsid w:val="00D64B7E"/>
    <w:rsid w:val="00D64F33"/>
    <w:rsid w:val="00D65DA5"/>
    <w:rsid w:val="00D6683D"/>
    <w:rsid w:val="00D66DE0"/>
    <w:rsid w:val="00D674ED"/>
    <w:rsid w:val="00D6783D"/>
    <w:rsid w:val="00D67CF5"/>
    <w:rsid w:val="00D67DE4"/>
    <w:rsid w:val="00D702E6"/>
    <w:rsid w:val="00D705F9"/>
    <w:rsid w:val="00D70A73"/>
    <w:rsid w:val="00D70D69"/>
    <w:rsid w:val="00D70ECC"/>
    <w:rsid w:val="00D71A4A"/>
    <w:rsid w:val="00D7209E"/>
    <w:rsid w:val="00D722C8"/>
    <w:rsid w:val="00D72737"/>
    <w:rsid w:val="00D7280A"/>
    <w:rsid w:val="00D72891"/>
    <w:rsid w:val="00D7299C"/>
    <w:rsid w:val="00D72FBC"/>
    <w:rsid w:val="00D73619"/>
    <w:rsid w:val="00D73938"/>
    <w:rsid w:val="00D73C5D"/>
    <w:rsid w:val="00D7416E"/>
    <w:rsid w:val="00D74364"/>
    <w:rsid w:val="00D74963"/>
    <w:rsid w:val="00D74EF4"/>
    <w:rsid w:val="00D75311"/>
    <w:rsid w:val="00D755DB"/>
    <w:rsid w:val="00D755DF"/>
    <w:rsid w:val="00D75747"/>
    <w:rsid w:val="00D758B5"/>
    <w:rsid w:val="00D75CE9"/>
    <w:rsid w:val="00D76986"/>
    <w:rsid w:val="00D76A97"/>
    <w:rsid w:val="00D76E3A"/>
    <w:rsid w:val="00D7705E"/>
    <w:rsid w:val="00D7761B"/>
    <w:rsid w:val="00D77AFB"/>
    <w:rsid w:val="00D77F69"/>
    <w:rsid w:val="00D80110"/>
    <w:rsid w:val="00D80194"/>
    <w:rsid w:val="00D80255"/>
    <w:rsid w:val="00D8028B"/>
    <w:rsid w:val="00D807BB"/>
    <w:rsid w:val="00D80AB0"/>
    <w:rsid w:val="00D80D65"/>
    <w:rsid w:val="00D80E45"/>
    <w:rsid w:val="00D82230"/>
    <w:rsid w:val="00D823F4"/>
    <w:rsid w:val="00D82913"/>
    <w:rsid w:val="00D82BCA"/>
    <w:rsid w:val="00D82C0D"/>
    <w:rsid w:val="00D83025"/>
    <w:rsid w:val="00D83584"/>
    <w:rsid w:val="00D839AF"/>
    <w:rsid w:val="00D83CFF"/>
    <w:rsid w:val="00D843BC"/>
    <w:rsid w:val="00D85828"/>
    <w:rsid w:val="00D85C28"/>
    <w:rsid w:val="00D86275"/>
    <w:rsid w:val="00D86345"/>
    <w:rsid w:val="00D86367"/>
    <w:rsid w:val="00D86E8B"/>
    <w:rsid w:val="00D8720A"/>
    <w:rsid w:val="00D8749E"/>
    <w:rsid w:val="00D875E5"/>
    <w:rsid w:val="00D876A1"/>
    <w:rsid w:val="00D8779C"/>
    <w:rsid w:val="00D87FD5"/>
    <w:rsid w:val="00D9004E"/>
    <w:rsid w:val="00D90192"/>
    <w:rsid w:val="00D903AA"/>
    <w:rsid w:val="00D90958"/>
    <w:rsid w:val="00D91044"/>
    <w:rsid w:val="00D911DF"/>
    <w:rsid w:val="00D91290"/>
    <w:rsid w:val="00D91583"/>
    <w:rsid w:val="00D91A01"/>
    <w:rsid w:val="00D91FAB"/>
    <w:rsid w:val="00D920BE"/>
    <w:rsid w:val="00D9314E"/>
    <w:rsid w:val="00D931CC"/>
    <w:rsid w:val="00D93980"/>
    <w:rsid w:val="00D93A36"/>
    <w:rsid w:val="00D93DF6"/>
    <w:rsid w:val="00D94091"/>
    <w:rsid w:val="00D94194"/>
    <w:rsid w:val="00D9478B"/>
    <w:rsid w:val="00D94DC1"/>
    <w:rsid w:val="00D95243"/>
    <w:rsid w:val="00D957F3"/>
    <w:rsid w:val="00D95AB4"/>
    <w:rsid w:val="00D95BE5"/>
    <w:rsid w:val="00D95C04"/>
    <w:rsid w:val="00D95D2B"/>
    <w:rsid w:val="00D95F9C"/>
    <w:rsid w:val="00D9722C"/>
    <w:rsid w:val="00D974B6"/>
    <w:rsid w:val="00D97AC9"/>
    <w:rsid w:val="00D97C07"/>
    <w:rsid w:val="00D97EFF"/>
    <w:rsid w:val="00DA052A"/>
    <w:rsid w:val="00DA082E"/>
    <w:rsid w:val="00DA0B40"/>
    <w:rsid w:val="00DA0D68"/>
    <w:rsid w:val="00DA0DC9"/>
    <w:rsid w:val="00DA1038"/>
    <w:rsid w:val="00DA10BD"/>
    <w:rsid w:val="00DA14C3"/>
    <w:rsid w:val="00DA1763"/>
    <w:rsid w:val="00DA189D"/>
    <w:rsid w:val="00DA1970"/>
    <w:rsid w:val="00DA25C4"/>
    <w:rsid w:val="00DA2A6E"/>
    <w:rsid w:val="00DA2C75"/>
    <w:rsid w:val="00DA2F53"/>
    <w:rsid w:val="00DA3185"/>
    <w:rsid w:val="00DA31EA"/>
    <w:rsid w:val="00DA324C"/>
    <w:rsid w:val="00DA34EB"/>
    <w:rsid w:val="00DA3761"/>
    <w:rsid w:val="00DA3B4F"/>
    <w:rsid w:val="00DA3C3A"/>
    <w:rsid w:val="00DA43F2"/>
    <w:rsid w:val="00DA470A"/>
    <w:rsid w:val="00DA49C3"/>
    <w:rsid w:val="00DA50A5"/>
    <w:rsid w:val="00DA5C02"/>
    <w:rsid w:val="00DA5C7F"/>
    <w:rsid w:val="00DA5F71"/>
    <w:rsid w:val="00DA6075"/>
    <w:rsid w:val="00DA7C38"/>
    <w:rsid w:val="00DA7D9B"/>
    <w:rsid w:val="00DB1493"/>
    <w:rsid w:val="00DB1936"/>
    <w:rsid w:val="00DB1AE7"/>
    <w:rsid w:val="00DB210D"/>
    <w:rsid w:val="00DB2339"/>
    <w:rsid w:val="00DB270A"/>
    <w:rsid w:val="00DB2A71"/>
    <w:rsid w:val="00DB3293"/>
    <w:rsid w:val="00DB33D2"/>
    <w:rsid w:val="00DB3904"/>
    <w:rsid w:val="00DB4044"/>
    <w:rsid w:val="00DB4229"/>
    <w:rsid w:val="00DB433F"/>
    <w:rsid w:val="00DB4487"/>
    <w:rsid w:val="00DB500B"/>
    <w:rsid w:val="00DB5DF3"/>
    <w:rsid w:val="00DB6987"/>
    <w:rsid w:val="00DB6C6B"/>
    <w:rsid w:val="00DB6D41"/>
    <w:rsid w:val="00DB71B5"/>
    <w:rsid w:val="00DB73B4"/>
    <w:rsid w:val="00DB7F3D"/>
    <w:rsid w:val="00DC00D8"/>
    <w:rsid w:val="00DC013B"/>
    <w:rsid w:val="00DC01EF"/>
    <w:rsid w:val="00DC0407"/>
    <w:rsid w:val="00DC0BB4"/>
    <w:rsid w:val="00DC0EAA"/>
    <w:rsid w:val="00DC1170"/>
    <w:rsid w:val="00DC1605"/>
    <w:rsid w:val="00DC21F8"/>
    <w:rsid w:val="00DC2515"/>
    <w:rsid w:val="00DC2ACC"/>
    <w:rsid w:val="00DC36B3"/>
    <w:rsid w:val="00DC3A08"/>
    <w:rsid w:val="00DC3B9F"/>
    <w:rsid w:val="00DC4076"/>
    <w:rsid w:val="00DC4843"/>
    <w:rsid w:val="00DC4853"/>
    <w:rsid w:val="00DC49F4"/>
    <w:rsid w:val="00DC4C19"/>
    <w:rsid w:val="00DC4D30"/>
    <w:rsid w:val="00DC4F74"/>
    <w:rsid w:val="00DC53B8"/>
    <w:rsid w:val="00DC57D6"/>
    <w:rsid w:val="00DC58EB"/>
    <w:rsid w:val="00DC59B7"/>
    <w:rsid w:val="00DC5A4E"/>
    <w:rsid w:val="00DC5D3E"/>
    <w:rsid w:val="00DC5EFF"/>
    <w:rsid w:val="00DC5F18"/>
    <w:rsid w:val="00DC6499"/>
    <w:rsid w:val="00DC680B"/>
    <w:rsid w:val="00DC6870"/>
    <w:rsid w:val="00DC6964"/>
    <w:rsid w:val="00DC6C31"/>
    <w:rsid w:val="00DC78A2"/>
    <w:rsid w:val="00DC78C4"/>
    <w:rsid w:val="00DC7C7D"/>
    <w:rsid w:val="00DC7ED1"/>
    <w:rsid w:val="00DD00B9"/>
    <w:rsid w:val="00DD0AFE"/>
    <w:rsid w:val="00DD1971"/>
    <w:rsid w:val="00DD1AA5"/>
    <w:rsid w:val="00DD1B51"/>
    <w:rsid w:val="00DD1BBC"/>
    <w:rsid w:val="00DD2BD1"/>
    <w:rsid w:val="00DD460B"/>
    <w:rsid w:val="00DD47C2"/>
    <w:rsid w:val="00DD50A3"/>
    <w:rsid w:val="00DD5254"/>
    <w:rsid w:val="00DD7085"/>
    <w:rsid w:val="00DD70B9"/>
    <w:rsid w:val="00DD71E4"/>
    <w:rsid w:val="00DD727F"/>
    <w:rsid w:val="00DD79C9"/>
    <w:rsid w:val="00DE0098"/>
    <w:rsid w:val="00DE01B3"/>
    <w:rsid w:val="00DE0500"/>
    <w:rsid w:val="00DE06EC"/>
    <w:rsid w:val="00DE085E"/>
    <w:rsid w:val="00DE0884"/>
    <w:rsid w:val="00DE09FA"/>
    <w:rsid w:val="00DE136B"/>
    <w:rsid w:val="00DE14B7"/>
    <w:rsid w:val="00DE16D9"/>
    <w:rsid w:val="00DE1A7D"/>
    <w:rsid w:val="00DE1BE9"/>
    <w:rsid w:val="00DE21EA"/>
    <w:rsid w:val="00DE2407"/>
    <w:rsid w:val="00DE295C"/>
    <w:rsid w:val="00DE2A26"/>
    <w:rsid w:val="00DE35E3"/>
    <w:rsid w:val="00DE36E3"/>
    <w:rsid w:val="00DE3EA1"/>
    <w:rsid w:val="00DE40C7"/>
    <w:rsid w:val="00DE472E"/>
    <w:rsid w:val="00DE4DAA"/>
    <w:rsid w:val="00DE4E13"/>
    <w:rsid w:val="00DE4F3B"/>
    <w:rsid w:val="00DE567C"/>
    <w:rsid w:val="00DE5A87"/>
    <w:rsid w:val="00DE5ED2"/>
    <w:rsid w:val="00DE6F87"/>
    <w:rsid w:val="00DE768C"/>
    <w:rsid w:val="00DE7CA9"/>
    <w:rsid w:val="00DE7D10"/>
    <w:rsid w:val="00DF061F"/>
    <w:rsid w:val="00DF06C1"/>
    <w:rsid w:val="00DF09B0"/>
    <w:rsid w:val="00DF0BC3"/>
    <w:rsid w:val="00DF0BF2"/>
    <w:rsid w:val="00DF0DCE"/>
    <w:rsid w:val="00DF161F"/>
    <w:rsid w:val="00DF169B"/>
    <w:rsid w:val="00DF1AE1"/>
    <w:rsid w:val="00DF1E77"/>
    <w:rsid w:val="00DF21DF"/>
    <w:rsid w:val="00DF272B"/>
    <w:rsid w:val="00DF294C"/>
    <w:rsid w:val="00DF3AAF"/>
    <w:rsid w:val="00DF4850"/>
    <w:rsid w:val="00DF522C"/>
    <w:rsid w:val="00DF5961"/>
    <w:rsid w:val="00DF5C99"/>
    <w:rsid w:val="00DF5E3E"/>
    <w:rsid w:val="00DF6273"/>
    <w:rsid w:val="00DF6602"/>
    <w:rsid w:val="00DF6D2C"/>
    <w:rsid w:val="00DF761D"/>
    <w:rsid w:val="00DF7944"/>
    <w:rsid w:val="00DF7B39"/>
    <w:rsid w:val="00DF7E5F"/>
    <w:rsid w:val="00DF7F1E"/>
    <w:rsid w:val="00E0009A"/>
    <w:rsid w:val="00E00204"/>
    <w:rsid w:val="00E00BFB"/>
    <w:rsid w:val="00E00E78"/>
    <w:rsid w:val="00E00FE2"/>
    <w:rsid w:val="00E01421"/>
    <w:rsid w:val="00E01929"/>
    <w:rsid w:val="00E01A2B"/>
    <w:rsid w:val="00E01B3A"/>
    <w:rsid w:val="00E022A7"/>
    <w:rsid w:val="00E02C73"/>
    <w:rsid w:val="00E02FBB"/>
    <w:rsid w:val="00E03108"/>
    <w:rsid w:val="00E033BB"/>
    <w:rsid w:val="00E03762"/>
    <w:rsid w:val="00E03955"/>
    <w:rsid w:val="00E039B5"/>
    <w:rsid w:val="00E03A0C"/>
    <w:rsid w:val="00E03B00"/>
    <w:rsid w:val="00E03B3C"/>
    <w:rsid w:val="00E043F7"/>
    <w:rsid w:val="00E048B9"/>
    <w:rsid w:val="00E05012"/>
    <w:rsid w:val="00E0591B"/>
    <w:rsid w:val="00E05E79"/>
    <w:rsid w:val="00E065CA"/>
    <w:rsid w:val="00E066EF"/>
    <w:rsid w:val="00E06750"/>
    <w:rsid w:val="00E06F80"/>
    <w:rsid w:val="00E07364"/>
    <w:rsid w:val="00E077A9"/>
    <w:rsid w:val="00E07DF7"/>
    <w:rsid w:val="00E07F26"/>
    <w:rsid w:val="00E102EF"/>
    <w:rsid w:val="00E10364"/>
    <w:rsid w:val="00E10672"/>
    <w:rsid w:val="00E106D0"/>
    <w:rsid w:val="00E11BD6"/>
    <w:rsid w:val="00E120D1"/>
    <w:rsid w:val="00E12104"/>
    <w:rsid w:val="00E127B4"/>
    <w:rsid w:val="00E13DF0"/>
    <w:rsid w:val="00E13E6D"/>
    <w:rsid w:val="00E13FB1"/>
    <w:rsid w:val="00E145B3"/>
    <w:rsid w:val="00E14796"/>
    <w:rsid w:val="00E15786"/>
    <w:rsid w:val="00E15AFE"/>
    <w:rsid w:val="00E16F2F"/>
    <w:rsid w:val="00E17669"/>
    <w:rsid w:val="00E17672"/>
    <w:rsid w:val="00E1776F"/>
    <w:rsid w:val="00E17DA1"/>
    <w:rsid w:val="00E17EC8"/>
    <w:rsid w:val="00E20087"/>
    <w:rsid w:val="00E2012D"/>
    <w:rsid w:val="00E204B4"/>
    <w:rsid w:val="00E206AC"/>
    <w:rsid w:val="00E206E9"/>
    <w:rsid w:val="00E208D0"/>
    <w:rsid w:val="00E20A08"/>
    <w:rsid w:val="00E210F3"/>
    <w:rsid w:val="00E2115A"/>
    <w:rsid w:val="00E21546"/>
    <w:rsid w:val="00E215F1"/>
    <w:rsid w:val="00E222DA"/>
    <w:rsid w:val="00E22C38"/>
    <w:rsid w:val="00E230B8"/>
    <w:rsid w:val="00E234B3"/>
    <w:rsid w:val="00E23D59"/>
    <w:rsid w:val="00E23D93"/>
    <w:rsid w:val="00E23EC7"/>
    <w:rsid w:val="00E2410F"/>
    <w:rsid w:val="00E24201"/>
    <w:rsid w:val="00E24C11"/>
    <w:rsid w:val="00E24CBC"/>
    <w:rsid w:val="00E24E62"/>
    <w:rsid w:val="00E259CE"/>
    <w:rsid w:val="00E25ADE"/>
    <w:rsid w:val="00E25C89"/>
    <w:rsid w:val="00E27893"/>
    <w:rsid w:val="00E2797F"/>
    <w:rsid w:val="00E27BB8"/>
    <w:rsid w:val="00E27E7D"/>
    <w:rsid w:val="00E30483"/>
    <w:rsid w:val="00E309C8"/>
    <w:rsid w:val="00E30FBB"/>
    <w:rsid w:val="00E3190B"/>
    <w:rsid w:val="00E31941"/>
    <w:rsid w:val="00E32511"/>
    <w:rsid w:val="00E32EC7"/>
    <w:rsid w:val="00E32FF8"/>
    <w:rsid w:val="00E33125"/>
    <w:rsid w:val="00E33262"/>
    <w:rsid w:val="00E336D2"/>
    <w:rsid w:val="00E339DC"/>
    <w:rsid w:val="00E33C30"/>
    <w:rsid w:val="00E33FDA"/>
    <w:rsid w:val="00E34F11"/>
    <w:rsid w:val="00E35135"/>
    <w:rsid w:val="00E35D23"/>
    <w:rsid w:val="00E36142"/>
    <w:rsid w:val="00E36608"/>
    <w:rsid w:val="00E366F3"/>
    <w:rsid w:val="00E36868"/>
    <w:rsid w:val="00E37121"/>
    <w:rsid w:val="00E3732C"/>
    <w:rsid w:val="00E377B1"/>
    <w:rsid w:val="00E37A09"/>
    <w:rsid w:val="00E37BC6"/>
    <w:rsid w:val="00E40664"/>
    <w:rsid w:val="00E40FD3"/>
    <w:rsid w:val="00E41364"/>
    <w:rsid w:val="00E418D9"/>
    <w:rsid w:val="00E41E8B"/>
    <w:rsid w:val="00E4283B"/>
    <w:rsid w:val="00E42F11"/>
    <w:rsid w:val="00E42F26"/>
    <w:rsid w:val="00E42F4D"/>
    <w:rsid w:val="00E431CA"/>
    <w:rsid w:val="00E4349E"/>
    <w:rsid w:val="00E43DA3"/>
    <w:rsid w:val="00E43E10"/>
    <w:rsid w:val="00E44071"/>
    <w:rsid w:val="00E44164"/>
    <w:rsid w:val="00E443C6"/>
    <w:rsid w:val="00E4477F"/>
    <w:rsid w:val="00E44936"/>
    <w:rsid w:val="00E44DE9"/>
    <w:rsid w:val="00E44E52"/>
    <w:rsid w:val="00E45976"/>
    <w:rsid w:val="00E459FA"/>
    <w:rsid w:val="00E45AD8"/>
    <w:rsid w:val="00E45B16"/>
    <w:rsid w:val="00E46191"/>
    <w:rsid w:val="00E4686D"/>
    <w:rsid w:val="00E46D14"/>
    <w:rsid w:val="00E46F3A"/>
    <w:rsid w:val="00E47119"/>
    <w:rsid w:val="00E47664"/>
    <w:rsid w:val="00E47802"/>
    <w:rsid w:val="00E47D3B"/>
    <w:rsid w:val="00E500EF"/>
    <w:rsid w:val="00E50458"/>
    <w:rsid w:val="00E506E5"/>
    <w:rsid w:val="00E506FA"/>
    <w:rsid w:val="00E5084B"/>
    <w:rsid w:val="00E50958"/>
    <w:rsid w:val="00E51B5F"/>
    <w:rsid w:val="00E51DB2"/>
    <w:rsid w:val="00E521F0"/>
    <w:rsid w:val="00E5324D"/>
    <w:rsid w:val="00E537DD"/>
    <w:rsid w:val="00E53F63"/>
    <w:rsid w:val="00E54B2E"/>
    <w:rsid w:val="00E54C43"/>
    <w:rsid w:val="00E54E33"/>
    <w:rsid w:val="00E55335"/>
    <w:rsid w:val="00E55802"/>
    <w:rsid w:val="00E55C3F"/>
    <w:rsid w:val="00E56340"/>
    <w:rsid w:val="00E565E2"/>
    <w:rsid w:val="00E56C44"/>
    <w:rsid w:val="00E577DA"/>
    <w:rsid w:val="00E57BBD"/>
    <w:rsid w:val="00E57D80"/>
    <w:rsid w:val="00E57E2F"/>
    <w:rsid w:val="00E60450"/>
    <w:rsid w:val="00E60BB3"/>
    <w:rsid w:val="00E613DC"/>
    <w:rsid w:val="00E6147C"/>
    <w:rsid w:val="00E618F7"/>
    <w:rsid w:val="00E619F9"/>
    <w:rsid w:val="00E61A75"/>
    <w:rsid w:val="00E61FCC"/>
    <w:rsid w:val="00E6215A"/>
    <w:rsid w:val="00E6293C"/>
    <w:rsid w:val="00E63722"/>
    <w:rsid w:val="00E638E3"/>
    <w:rsid w:val="00E642C4"/>
    <w:rsid w:val="00E647A5"/>
    <w:rsid w:val="00E648F9"/>
    <w:rsid w:val="00E64CDD"/>
    <w:rsid w:val="00E65508"/>
    <w:rsid w:val="00E65A7D"/>
    <w:rsid w:val="00E65B06"/>
    <w:rsid w:val="00E667DB"/>
    <w:rsid w:val="00E66B89"/>
    <w:rsid w:val="00E66DA4"/>
    <w:rsid w:val="00E67218"/>
    <w:rsid w:val="00E6755E"/>
    <w:rsid w:val="00E67568"/>
    <w:rsid w:val="00E679E1"/>
    <w:rsid w:val="00E67EC2"/>
    <w:rsid w:val="00E7064B"/>
    <w:rsid w:val="00E7079D"/>
    <w:rsid w:val="00E709E3"/>
    <w:rsid w:val="00E70CC1"/>
    <w:rsid w:val="00E712BF"/>
    <w:rsid w:val="00E71704"/>
    <w:rsid w:val="00E7190E"/>
    <w:rsid w:val="00E71AB7"/>
    <w:rsid w:val="00E72A60"/>
    <w:rsid w:val="00E72A8A"/>
    <w:rsid w:val="00E73599"/>
    <w:rsid w:val="00E7386D"/>
    <w:rsid w:val="00E73990"/>
    <w:rsid w:val="00E73FB2"/>
    <w:rsid w:val="00E74447"/>
    <w:rsid w:val="00E74468"/>
    <w:rsid w:val="00E744CE"/>
    <w:rsid w:val="00E7457A"/>
    <w:rsid w:val="00E748C7"/>
    <w:rsid w:val="00E74A6D"/>
    <w:rsid w:val="00E757AC"/>
    <w:rsid w:val="00E75D31"/>
    <w:rsid w:val="00E75D36"/>
    <w:rsid w:val="00E75D9E"/>
    <w:rsid w:val="00E76439"/>
    <w:rsid w:val="00E764A7"/>
    <w:rsid w:val="00E76527"/>
    <w:rsid w:val="00E7665A"/>
    <w:rsid w:val="00E76F85"/>
    <w:rsid w:val="00E774D2"/>
    <w:rsid w:val="00E7775A"/>
    <w:rsid w:val="00E80157"/>
    <w:rsid w:val="00E801CE"/>
    <w:rsid w:val="00E80861"/>
    <w:rsid w:val="00E80C1B"/>
    <w:rsid w:val="00E80CDF"/>
    <w:rsid w:val="00E80D0B"/>
    <w:rsid w:val="00E82BBB"/>
    <w:rsid w:val="00E82FD8"/>
    <w:rsid w:val="00E83335"/>
    <w:rsid w:val="00E839A7"/>
    <w:rsid w:val="00E83B0E"/>
    <w:rsid w:val="00E83B4E"/>
    <w:rsid w:val="00E83EE7"/>
    <w:rsid w:val="00E83F44"/>
    <w:rsid w:val="00E84375"/>
    <w:rsid w:val="00E85AE0"/>
    <w:rsid w:val="00E861B6"/>
    <w:rsid w:val="00E863F7"/>
    <w:rsid w:val="00E865EE"/>
    <w:rsid w:val="00E86F6C"/>
    <w:rsid w:val="00E8719A"/>
    <w:rsid w:val="00E873A8"/>
    <w:rsid w:val="00E87AD7"/>
    <w:rsid w:val="00E902D9"/>
    <w:rsid w:val="00E904C4"/>
    <w:rsid w:val="00E9080F"/>
    <w:rsid w:val="00E91069"/>
    <w:rsid w:val="00E911AA"/>
    <w:rsid w:val="00E9164B"/>
    <w:rsid w:val="00E91776"/>
    <w:rsid w:val="00E91830"/>
    <w:rsid w:val="00E91D83"/>
    <w:rsid w:val="00E91F5B"/>
    <w:rsid w:val="00E920D1"/>
    <w:rsid w:val="00E925AB"/>
    <w:rsid w:val="00E92F17"/>
    <w:rsid w:val="00E93811"/>
    <w:rsid w:val="00E940FD"/>
    <w:rsid w:val="00E941EA"/>
    <w:rsid w:val="00E9453A"/>
    <w:rsid w:val="00E9483A"/>
    <w:rsid w:val="00E9495C"/>
    <w:rsid w:val="00E94C3F"/>
    <w:rsid w:val="00E95505"/>
    <w:rsid w:val="00E957DB"/>
    <w:rsid w:val="00E95AA5"/>
    <w:rsid w:val="00E96B87"/>
    <w:rsid w:val="00E96CF9"/>
    <w:rsid w:val="00E96D24"/>
    <w:rsid w:val="00E96E1C"/>
    <w:rsid w:val="00E970B7"/>
    <w:rsid w:val="00E97519"/>
    <w:rsid w:val="00E9790F"/>
    <w:rsid w:val="00E979B4"/>
    <w:rsid w:val="00EA0029"/>
    <w:rsid w:val="00EA00E1"/>
    <w:rsid w:val="00EA01F9"/>
    <w:rsid w:val="00EA053C"/>
    <w:rsid w:val="00EA0626"/>
    <w:rsid w:val="00EA0C8A"/>
    <w:rsid w:val="00EA11D2"/>
    <w:rsid w:val="00EA1A39"/>
    <w:rsid w:val="00EA20F7"/>
    <w:rsid w:val="00EA2731"/>
    <w:rsid w:val="00EA2F79"/>
    <w:rsid w:val="00EA3870"/>
    <w:rsid w:val="00EA4228"/>
    <w:rsid w:val="00EA422B"/>
    <w:rsid w:val="00EA475F"/>
    <w:rsid w:val="00EA4EEE"/>
    <w:rsid w:val="00EA50E9"/>
    <w:rsid w:val="00EA5648"/>
    <w:rsid w:val="00EA5776"/>
    <w:rsid w:val="00EA5C83"/>
    <w:rsid w:val="00EA5C96"/>
    <w:rsid w:val="00EA5FF7"/>
    <w:rsid w:val="00EA6442"/>
    <w:rsid w:val="00EA65B9"/>
    <w:rsid w:val="00EA68CC"/>
    <w:rsid w:val="00EA7017"/>
    <w:rsid w:val="00EA7593"/>
    <w:rsid w:val="00EA7B6D"/>
    <w:rsid w:val="00EA7E60"/>
    <w:rsid w:val="00EB0445"/>
    <w:rsid w:val="00EB0A64"/>
    <w:rsid w:val="00EB0B39"/>
    <w:rsid w:val="00EB0F26"/>
    <w:rsid w:val="00EB12E4"/>
    <w:rsid w:val="00EB15E6"/>
    <w:rsid w:val="00EB1D2A"/>
    <w:rsid w:val="00EB1DD9"/>
    <w:rsid w:val="00EB204B"/>
    <w:rsid w:val="00EB21FC"/>
    <w:rsid w:val="00EB3962"/>
    <w:rsid w:val="00EB3C54"/>
    <w:rsid w:val="00EB4695"/>
    <w:rsid w:val="00EB4AD6"/>
    <w:rsid w:val="00EB4BF9"/>
    <w:rsid w:val="00EB4C85"/>
    <w:rsid w:val="00EB4D20"/>
    <w:rsid w:val="00EB55C2"/>
    <w:rsid w:val="00EB5BEB"/>
    <w:rsid w:val="00EB612A"/>
    <w:rsid w:val="00EB6C3D"/>
    <w:rsid w:val="00EB706F"/>
    <w:rsid w:val="00EB7199"/>
    <w:rsid w:val="00EB79EA"/>
    <w:rsid w:val="00EB7DF8"/>
    <w:rsid w:val="00EC0225"/>
    <w:rsid w:val="00EC0259"/>
    <w:rsid w:val="00EC0420"/>
    <w:rsid w:val="00EC0609"/>
    <w:rsid w:val="00EC08EC"/>
    <w:rsid w:val="00EC0DF4"/>
    <w:rsid w:val="00EC1218"/>
    <w:rsid w:val="00EC1492"/>
    <w:rsid w:val="00EC1C9F"/>
    <w:rsid w:val="00EC1CCA"/>
    <w:rsid w:val="00EC26A7"/>
    <w:rsid w:val="00EC28B3"/>
    <w:rsid w:val="00EC2D07"/>
    <w:rsid w:val="00EC2F14"/>
    <w:rsid w:val="00EC3033"/>
    <w:rsid w:val="00EC34F1"/>
    <w:rsid w:val="00EC385B"/>
    <w:rsid w:val="00EC3C77"/>
    <w:rsid w:val="00EC4C48"/>
    <w:rsid w:val="00EC4FFE"/>
    <w:rsid w:val="00EC52ED"/>
    <w:rsid w:val="00EC5339"/>
    <w:rsid w:val="00EC5703"/>
    <w:rsid w:val="00EC5745"/>
    <w:rsid w:val="00EC5B95"/>
    <w:rsid w:val="00EC5F6A"/>
    <w:rsid w:val="00EC6022"/>
    <w:rsid w:val="00EC6E00"/>
    <w:rsid w:val="00ED02DD"/>
    <w:rsid w:val="00ED05D4"/>
    <w:rsid w:val="00ED07E6"/>
    <w:rsid w:val="00ED09EE"/>
    <w:rsid w:val="00ED1123"/>
    <w:rsid w:val="00ED1294"/>
    <w:rsid w:val="00ED1843"/>
    <w:rsid w:val="00ED1A47"/>
    <w:rsid w:val="00ED28B1"/>
    <w:rsid w:val="00ED2ABA"/>
    <w:rsid w:val="00ED3631"/>
    <w:rsid w:val="00ED3FDB"/>
    <w:rsid w:val="00ED483A"/>
    <w:rsid w:val="00ED4A90"/>
    <w:rsid w:val="00ED4C89"/>
    <w:rsid w:val="00ED500D"/>
    <w:rsid w:val="00ED51FA"/>
    <w:rsid w:val="00ED5458"/>
    <w:rsid w:val="00ED5F46"/>
    <w:rsid w:val="00ED6073"/>
    <w:rsid w:val="00ED6451"/>
    <w:rsid w:val="00ED67BA"/>
    <w:rsid w:val="00ED6A90"/>
    <w:rsid w:val="00ED6B3D"/>
    <w:rsid w:val="00ED6E11"/>
    <w:rsid w:val="00ED7651"/>
    <w:rsid w:val="00ED7773"/>
    <w:rsid w:val="00ED7815"/>
    <w:rsid w:val="00ED7B28"/>
    <w:rsid w:val="00EE05B2"/>
    <w:rsid w:val="00EE0AC9"/>
    <w:rsid w:val="00EE0C62"/>
    <w:rsid w:val="00EE0F52"/>
    <w:rsid w:val="00EE1194"/>
    <w:rsid w:val="00EE12FA"/>
    <w:rsid w:val="00EE1300"/>
    <w:rsid w:val="00EE139E"/>
    <w:rsid w:val="00EE1672"/>
    <w:rsid w:val="00EE1B39"/>
    <w:rsid w:val="00EE22F1"/>
    <w:rsid w:val="00EE2FE7"/>
    <w:rsid w:val="00EE39BA"/>
    <w:rsid w:val="00EE4B02"/>
    <w:rsid w:val="00EE557D"/>
    <w:rsid w:val="00EE57B6"/>
    <w:rsid w:val="00EE595B"/>
    <w:rsid w:val="00EE5A70"/>
    <w:rsid w:val="00EE6242"/>
    <w:rsid w:val="00EE644E"/>
    <w:rsid w:val="00EE72E9"/>
    <w:rsid w:val="00EE73DB"/>
    <w:rsid w:val="00EE7AAD"/>
    <w:rsid w:val="00EE7C05"/>
    <w:rsid w:val="00EE7DD4"/>
    <w:rsid w:val="00EF036B"/>
    <w:rsid w:val="00EF05C4"/>
    <w:rsid w:val="00EF0D99"/>
    <w:rsid w:val="00EF107A"/>
    <w:rsid w:val="00EF108C"/>
    <w:rsid w:val="00EF1C8F"/>
    <w:rsid w:val="00EF211D"/>
    <w:rsid w:val="00EF29A0"/>
    <w:rsid w:val="00EF2BDC"/>
    <w:rsid w:val="00EF2E4A"/>
    <w:rsid w:val="00EF3312"/>
    <w:rsid w:val="00EF37F7"/>
    <w:rsid w:val="00EF45EF"/>
    <w:rsid w:val="00EF491E"/>
    <w:rsid w:val="00EF4D68"/>
    <w:rsid w:val="00EF5899"/>
    <w:rsid w:val="00EF5959"/>
    <w:rsid w:val="00EF64B1"/>
    <w:rsid w:val="00EF6508"/>
    <w:rsid w:val="00EF6AD9"/>
    <w:rsid w:val="00EF6B9E"/>
    <w:rsid w:val="00EF7D66"/>
    <w:rsid w:val="00F0014F"/>
    <w:rsid w:val="00F004AE"/>
    <w:rsid w:val="00F00877"/>
    <w:rsid w:val="00F00A04"/>
    <w:rsid w:val="00F00AF9"/>
    <w:rsid w:val="00F00EC4"/>
    <w:rsid w:val="00F01790"/>
    <w:rsid w:val="00F01B2A"/>
    <w:rsid w:val="00F01C29"/>
    <w:rsid w:val="00F02420"/>
    <w:rsid w:val="00F024A9"/>
    <w:rsid w:val="00F0254C"/>
    <w:rsid w:val="00F02B3F"/>
    <w:rsid w:val="00F02C26"/>
    <w:rsid w:val="00F02C93"/>
    <w:rsid w:val="00F03001"/>
    <w:rsid w:val="00F032A7"/>
    <w:rsid w:val="00F0341B"/>
    <w:rsid w:val="00F036FB"/>
    <w:rsid w:val="00F041A4"/>
    <w:rsid w:val="00F04370"/>
    <w:rsid w:val="00F046DA"/>
    <w:rsid w:val="00F04B87"/>
    <w:rsid w:val="00F04D2B"/>
    <w:rsid w:val="00F04D7C"/>
    <w:rsid w:val="00F04FCF"/>
    <w:rsid w:val="00F0505A"/>
    <w:rsid w:val="00F05115"/>
    <w:rsid w:val="00F05F84"/>
    <w:rsid w:val="00F060BA"/>
    <w:rsid w:val="00F06C06"/>
    <w:rsid w:val="00F06F1C"/>
    <w:rsid w:val="00F075A2"/>
    <w:rsid w:val="00F07AD4"/>
    <w:rsid w:val="00F1010B"/>
    <w:rsid w:val="00F105DE"/>
    <w:rsid w:val="00F108F2"/>
    <w:rsid w:val="00F10C2E"/>
    <w:rsid w:val="00F10F18"/>
    <w:rsid w:val="00F10F6C"/>
    <w:rsid w:val="00F10F98"/>
    <w:rsid w:val="00F112AA"/>
    <w:rsid w:val="00F11320"/>
    <w:rsid w:val="00F120AE"/>
    <w:rsid w:val="00F1221B"/>
    <w:rsid w:val="00F12507"/>
    <w:rsid w:val="00F129FD"/>
    <w:rsid w:val="00F12B17"/>
    <w:rsid w:val="00F12B7E"/>
    <w:rsid w:val="00F12DD2"/>
    <w:rsid w:val="00F13001"/>
    <w:rsid w:val="00F13004"/>
    <w:rsid w:val="00F1320D"/>
    <w:rsid w:val="00F13453"/>
    <w:rsid w:val="00F137F0"/>
    <w:rsid w:val="00F138BF"/>
    <w:rsid w:val="00F13B38"/>
    <w:rsid w:val="00F1491A"/>
    <w:rsid w:val="00F14DF2"/>
    <w:rsid w:val="00F14F99"/>
    <w:rsid w:val="00F15311"/>
    <w:rsid w:val="00F15CDE"/>
    <w:rsid w:val="00F16718"/>
    <w:rsid w:val="00F1693B"/>
    <w:rsid w:val="00F16B4D"/>
    <w:rsid w:val="00F16CD0"/>
    <w:rsid w:val="00F16E02"/>
    <w:rsid w:val="00F170A7"/>
    <w:rsid w:val="00F17B23"/>
    <w:rsid w:val="00F17D34"/>
    <w:rsid w:val="00F17F2A"/>
    <w:rsid w:val="00F21275"/>
    <w:rsid w:val="00F2133D"/>
    <w:rsid w:val="00F214FD"/>
    <w:rsid w:val="00F2196B"/>
    <w:rsid w:val="00F21C44"/>
    <w:rsid w:val="00F228DE"/>
    <w:rsid w:val="00F2292C"/>
    <w:rsid w:val="00F22C87"/>
    <w:rsid w:val="00F22D11"/>
    <w:rsid w:val="00F22EBD"/>
    <w:rsid w:val="00F240AF"/>
    <w:rsid w:val="00F24811"/>
    <w:rsid w:val="00F25A4C"/>
    <w:rsid w:val="00F26230"/>
    <w:rsid w:val="00F2639A"/>
    <w:rsid w:val="00F274D0"/>
    <w:rsid w:val="00F275F6"/>
    <w:rsid w:val="00F2760C"/>
    <w:rsid w:val="00F277B9"/>
    <w:rsid w:val="00F278E5"/>
    <w:rsid w:val="00F27CE6"/>
    <w:rsid w:val="00F27ECE"/>
    <w:rsid w:val="00F30012"/>
    <w:rsid w:val="00F30A6F"/>
    <w:rsid w:val="00F30C89"/>
    <w:rsid w:val="00F31074"/>
    <w:rsid w:val="00F329D6"/>
    <w:rsid w:val="00F32B01"/>
    <w:rsid w:val="00F33259"/>
    <w:rsid w:val="00F33873"/>
    <w:rsid w:val="00F33B26"/>
    <w:rsid w:val="00F33B8A"/>
    <w:rsid w:val="00F33C52"/>
    <w:rsid w:val="00F34234"/>
    <w:rsid w:val="00F34A8F"/>
    <w:rsid w:val="00F34F97"/>
    <w:rsid w:val="00F351DB"/>
    <w:rsid w:val="00F351FB"/>
    <w:rsid w:val="00F354E0"/>
    <w:rsid w:val="00F35949"/>
    <w:rsid w:val="00F364DF"/>
    <w:rsid w:val="00F36D92"/>
    <w:rsid w:val="00F36DDE"/>
    <w:rsid w:val="00F36E30"/>
    <w:rsid w:val="00F36FA0"/>
    <w:rsid w:val="00F370D8"/>
    <w:rsid w:val="00F372A2"/>
    <w:rsid w:val="00F37324"/>
    <w:rsid w:val="00F37796"/>
    <w:rsid w:val="00F379C7"/>
    <w:rsid w:val="00F37B48"/>
    <w:rsid w:val="00F37CD2"/>
    <w:rsid w:val="00F37D68"/>
    <w:rsid w:val="00F404CA"/>
    <w:rsid w:val="00F407F3"/>
    <w:rsid w:val="00F408CF"/>
    <w:rsid w:val="00F40C34"/>
    <w:rsid w:val="00F41398"/>
    <w:rsid w:val="00F419B9"/>
    <w:rsid w:val="00F41C27"/>
    <w:rsid w:val="00F42466"/>
    <w:rsid w:val="00F4274B"/>
    <w:rsid w:val="00F42AA7"/>
    <w:rsid w:val="00F42B69"/>
    <w:rsid w:val="00F43076"/>
    <w:rsid w:val="00F4330A"/>
    <w:rsid w:val="00F43446"/>
    <w:rsid w:val="00F43567"/>
    <w:rsid w:val="00F436F1"/>
    <w:rsid w:val="00F43BF9"/>
    <w:rsid w:val="00F43C61"/>
    <w:rsid w:val="00F43E69"/>
    <w:rsid w:val="00F44007"/>
    <w:rsid w:val="00F44068"/>
    <w:rsid w:val="00F44235"/>
    <w:rsid w:val="00F44354"/>
    <w:rsid w:val="00F4506B"/>
    <w:rsid w:val="00F4593F"/>
    <w:rsid w:val="00F45EC8"/>
    <w:rsid w:val="00F50155"/>
    <w:rsid w:val="00F51048"/>
    <w:rsid w:val="00F51138"/>
    <w:rsid w:val="00F51494"/>
    <w:rsid w:val="00F51D91"/>
    <w:rsid w:val="00F51EF6"/>
    <w:rsid w:val="00F5210F"/>
    <w:rsid w:val="00F52152"/>
    <w:rsid w:val="00F525D3"/>
    <w:rsid w:val="00F53203"/>
    <w:rsid w:val="00F53D82"/>
    <w:rsid w:val="00F541F9"/>
    <w:rsid w:val="00F542A3"/>
    <w:rsid w:val="00F546A5"/>
    <w:rsid w:val="00F54874"/>
    <w:rsid w:val="00F54A22"/>
    <w:rsid w:val="00F54FB7"/>
    <w:rsid w:val="00F5520C"/>
    <w:rsid w:val="00F55295"/>
    <w:rsid w:val="00F55460"/>
    <w:rsid w:val="00F55710"/>
    <w:rsid w:val="00F5577E"/>
    <w:rsid w:val="00F55B1A"/>
    <w:rsid w:val="00F55E09"/>
    <w:rsid w:val="00F55E13"/>
    <w:rsid w:val="00F5612F"/>
    <w:rsid w:val="00F561CA"/>
    <w:rsid w:val="00F563DF"/>
    <w:rsid w:val="00F56705"/>
    <w:rsid w:val="00F56867"/>
    <w:rsid w:val="00F56A17"/>
    <w:rsid w:val="00F56E07"/>
    <w:rsid w:val="00F56FFA"/>
    <w:rsid w:val="00F5724C"/>
    <w:rsid w:val="00F57406"/>
    <w:rsid w:val="00F57519"/>
    <w:rsid w:val="00F5751F"/>
    <w:rsid w:val="00F576D0"/>
    <w:rsid w:val="00F57A5A"/>
    <w:rsid w:val="00F57BC2"/>
    <w:rsid w:val="00F57D08"/>
    <w:rsid w:val="00F609CD"/>
    <w:rsid w:val="00F60BE6"/>
    <w:rsid w:val="00F6111A"/>
    <w:rsid w:val="00F61403"/>
    <w:rsid w:val="00F61509"/>
    <w:rsid w:val="00F62076"/>
    <w:rsid w:val="00F62077"/>
    <w:rsid w:val="00F62692"/>
    <w:rsid w:val="00F62847"/>
    <w:rsid w:val="00F62B10"/>
    <w:rsid w:val="00F62F38"/>
    <w:rsid w:val="00F630D0"/>
    <w:rsid w:val="00F63550"/>
    <w:rsid w:val="00F63587"/>
    <w:rsid w:val="00F641A0"/>
    <w:rsid w:val="00F642F8"/>
    <w:rsid w:val="00F652BC"/>
    <w:rsid w:val="00F65394"/>
    <w:rsid w:val="00F653ED"/>
    <w:rsid w:val="00F65820"/>
    <w:rsid w:val="00F65E66"/>
    <w:rsid w:val="00F660E7"/>
    <w:rsid w:val="00F66210"/>
    <w:rsid w:val="00F663D0"/>
    <w:rsid w:val="00F66582"/>
    <w:rsid w:val="00F665B0"/>
    <w:rsid w:val="00F66A06"/>
    <w:rsid w:val="00F66DEE"/>
    <w:rsid w:val="00F67235"/>
    <w:rsid w:val="00F672C1"/>
    <w:rsid w:val="00F67B31"/>
    <w:rsid w:val="00F7009A"/>
    <w:rsid w:val="00F70A38"/>
    <w:rsid w:val="00F70A73"/>
    <w:rsid w:val="00F71150"/>
    <w:rsid w:val="00F71489"/>
    <w:rsid w:val="00F7149B"/>
    <w:rsid w:val="00F715C5"/>
    <w:rsid w:val="00F71B32"/>
    <w:rsid w:val="00F71C0C"/>
    <w:rsid w:val="00F71E44"/>
    <w:rsid w:val="00F72019"/>
    <w:rsid w:val="00F7222B"/>
    <w:rsid w:val="00F723D6"/>
    <w:rsid w:val="00F736A6"/>
    <w:rsid w:val="00F73BB5"/>
    <w:rsid w:val="00F74391"/>
    <w:rsid w:val="00F748A2"/>
    <w:rsid w:val="00F7547B"/>
    <w:rsid w:val="00F75712"/>
    <w:rsid w:val="00F76168"/>
    <w:rsid w:val="00F76336"/>
    <w:rsid w:val="00F7653F"/>
    <w:rsid w:val="00F770E3"/>
    <w:rsid w:val="00F778C7"/>
    <w:rsid w:val="00F8014B"/>
    <w:rsid w:val="00F80AB5"/>
    <w:rsid w:val="00F80DF3"/>
    <w:rsid w:val="00F81232"/>
    <w:rsid w:val="00F812C5"/>
    <w:rsid w:val="00F816DE"/>
    <w:rsid w:val="00F816EA"/>
    <w:rsid w:val="00F81C97"/>
    <w:rsid w:val="00F823A5"/>
    <w:rsid w:val="00F824FA"/>
    <w:rsid w:val="00F82682"/>
    <w:rsid w:val="00F82DF1"/>
    <w:rsid w:val="00F837E1"/>
    <w:rsid w:val="00F838B5"/>
    <w:rsid w:val="00F83FEA"/>
    <w:rsid w:val="00F841DC"/>
    <w:rsid w:val="00F84786"/>
    <w:rsid w:val="00F848A0"/>
    <w:rsid w:val="00F84D63"/>
    <w:rsid w:val="00F858F8"/>
    <w:rsid w:val="00F860B2"/>
    <w:rsid w:val="00F86181"/>
    <w:rsid w:val="00F8672C"/>
    <w:rsid w:val="00F868B4"/>
    <w:rsid w:val="00F869D8"/>
    <w:rsid w:val="00F87632"/>
    <w:rsid w:val="00F87DCE"/>
    <w:rsid w:val="00F87EAC"/>
    <w:rsid w:val="00F90174"/>
    <w:rsid w:val="00F90A80"/>
    <w:rsid w:val="00F90FD8"/>
    <w:rsid w:val="00F91591"/>
    <w:rsid w:val="00F91E28"/>
    <w:rsid w:val="00F91E2D"/>
    <w:rsid w:val="00F92168"/>
    <w:rsid w:val="00F92701"/>
    <w:rsid w:val="00F92D19"/>
    <w:rsid w:val="00F92E37"/>
    <w:rsid w:val="00F933D5"/>
    <w:rsid w:val="00F93E87"/>
    <w:rsid w:val="00F93FEA"/>
    <w:rsid w:val="00F940B2"/>
    <w:rsid w:val="00F9487B"/>
    <w:rsid w:val="00F94910"/>
    <w:rsid w:val="00F94E37"/>
    <w:rsid w:val="00F94F2B"/>
    <w:rsid w:val="00F952EC"/>
    <w:rsid w:val="00F953D3"/>
    <w:rsid w:val="00F954DC"/>
    <w:rsid w:val="00F958C4"/>
    <w:rsid w:val="00F95F0E"/>
    <w:rsid w:val="00F95F32"/>
    <w:rsid w:val="00F95F38"/>
    <w:rsid w:val="00F96390"/>
    <w:rsid w:val="00F96805"/>
    <w:rsid w:val="00FA00D4"/>
    <w:rsid w:val="00FA0705"/>
    <w:rsid w:val="00FA09A7"/>
    <w:rsid w:val="00FA0A29"/>
    <w:rsid w:val="00FA1371"/>
    <w:rsid w:val="00FA1681"/>
    <w:rsid w:val="00FA1B0B"/>
    <w:rsid w:val="00FA1D68"/>
    <w:rsid w:val="00FA1DD3"/>
    <w:rsid w:val="00FA1E47"/>
    <w:rsid w:val="00FA20F5"/>
    <w:rsid w:val="00FA219A"/>
    <w:rsid w:val="00FA2630"/>
    <w:rsid w:val="00FA29A4"/>
    <w:rsid w:val="00FA3668"/>
    <w:rsid w:val="00FA3B58"/>
    <w:rsid w:val="00FA3ECD"/>
    <w:rsid w:val="00FA3F46"/>
    <w:rsid w:val="00FA5269"/>
    <w:rsid w:val="00FA570A"/>
    <w:rsid w:val="00FA59AB"/>
    <w:rsid w:val="00FA5D27"/>
    <w:rsid w:val="00FA6B46"/>
    <w:rsid w:val="00FA6E74"/>
    <w:rsid w:val="00FA6EC8"/>
    <w:rsid w:val="00FA704C"/>
    <w:rsid w:val="00FA73B0"/>
    <w:rsid w:val="00FA7621"/>
    <w:rsid w:val="00FA7922"/>
    <w:rsid w:val="00FA7A8D"/>
    <w:rsid w:val="00FA7CA9"/>
    <w:rsid w:val="00FA7FC0"/>
    <w:rsid w:val="00FB0415"/>
    <w:rsid w:val="00FB088C"/>
    <w:rsid w:val="00FB08E1"/>
    <w:rsid w:val="00FB0DED"/>
    <w:rsid w:val="00FB12D8"/>
    <w:rsid w:val="00FB1415"/>
    <w:rsid w:val="00FB14B8"/>
    <w:rsid w:val="00FB1F5D"/>
    <w:rsid w:val="00FB2597"/>
    <w:rsid w:val="00FB26EE"/>
    <w:rsid w:val="00FB274D"/>
    <w:rsid w:val="00FB2A78"/>
    <w:rsid w:val="00FB3290"/>
    <w:rsid w:val="00FB3414"/>
    <w:rsid w:val="00FB343E"/>
    <w:rsid w:val="00FB3885"/>
    <w:rsid w:val="00FB3DD9"/>
    <w:rsid w:val="00FB45CA"/>
    <w:rsid w:val="00FB5012"/>
    <w:rsid w:val="00FB5603"/>
    <w:rsid w:val="00FB5828"/>
    <w:rsid w:val="00FB5F04"/>
    <w:rsid w:val="00FB614C"/>
    <w:rsid w:val="00FB6A08"/>
    <w:rsid w:val="00FB6B95"/>
    <w:rsid w:val="00FB6E18"/>
    <w:rsid w:val="00FB7036"/>
    <w:rsid w:val="00FB73DB"/>
    <w:rsid w:val="00FB7577"/>
    <w:rsid w:val="00FB7730"/>
    <w:rsid w:val="00FC0B25"/>
    <w:rsid w:val="00FC0E1B"/>
    <w:rsid w:val="00FC12EA"/>
    <w:rsid w:val="00FC177D"/>
    <w:rsid w:val="00FC1AF7"/>
    <w:rsid w:val="00FC2038"/>
    <w:rsid w:val="00FC24AB"/>
    <w:rsid w:val="00FC29D1"/>
    <w:rsid w:val="00FC2D99"/>
    <w:rsid w:val="00FC2F25"/>
    <w:rsid w:val="00FC3317"/>
    <w:rsid w:val="00FC3AA4"/>
    <w:rsid w:val="00FC439E"/>
    <w:rsid w:val="00FC4568"/>
    <w:rsid w:val="00FC458C"/>
    <w:rsid w:val="00FC471F"/>
    <w:rsid w:val="00FC474A"/>
    <w:rsid w:val="00FC4B9E"/>
    <w:rsid w:val="00FC4FCF"/>
    <w:rsid w:val="00FC517F"/>
    <w:rsid w:val="00FC56CC"/>
    <w:rsid w:val="00FC6034"/>
    <w:rsid w:val="00FC6345"/>
    <w:rsid w:val="00FC6736"/>
    <w:rsid w:val="00FC6988"/>
    <w:rsid w:val="00FC6F12"/>
    <w:rsid w:val="00FC7063"/>
    <w:rsid w:val="00FC77AD"/>
    <w:rsid w:val="00FD02D0"/>
    <w:rsid w:val="00FD0517"/>
    <w:rsid w:val="00FD0D81"/>
    <w:rsid w:val="00FD106B"/>
    <w:rsid w:val="00FD11E6"/>
    <w:rsid w:val="00FD18BA"/>
    <w:rsid w:val="00FD19C2"/>
    <w:rsid w:val="00FD1CE6"/>
    <w:rsid w:val="00FD1D27"/>
    <w:rsid w:val="00FD200A"/>
    <w:rsid w:val="00FD2202"/>
    <w:rsid w:val="00FD231C"/>
    <w:rsid w:val="00FD2B07"/>
    <w:rsid w:val="00FD2FAE"/>
    <w:rsid w:val="00FD31E8"/>
    <w:rsid w:val="00FD3321"/>
    <w:rsid w:val="00FD33B7"/>
    <w:rsid w:val="00FD40EA"/>
    <w:rsid w:val="00FD4695"/>
    <w:rsid w:val="00FD4D6D"/>
    <w:rsid w:val="00FD634A"/>
    <w:rsid w:val="00FD6A61"/>
    <w:rsid w:val="00FD6AD3"/>
    <w:rsid w:val="00FD7046"/>
    <w:rsid w:val="00FD7620"/>
    <w:rsid w:val="00FE011F"/>
    <w:rsid w:val="00FE0136"/>
    <w:rsid w:val="00FE01CB"/>
    <w:rsid w:val="00FE03D5"/>
    <w:rsid w:val="00FE053B"/>
    <w:rsid w:val="00FE0749"/>
    <w:rsid w:val="00FE0C85"/>
    <w:rsid w:val="00FE115D"/>
    <w:rsid w:val="00FE1169"/>
    <w:rsid w:val="00FE1490"/>
    <w:rsid w:val="00FE2111"/>
    <w:rsid w:val="00FE2E31"/>
    <w:rsid w:val="00FE312C"/>
    <w:rsid w:val="00FE3223"/>
    <w:rsid w:val="00FE3C89"/>
    <w:rsid w:val="00FE3D74"/>
    <w:rsid w:val="00FE3DA0"/>
    <w:rsid w:val="00FE3EDB"/>
    <w:rsid w:val="00FE4074"/>
    <w:rsid w:val="00FE46B3"/>
    <w:rsid w:val="00FE495D"/>
    <w:rsid w:val="00FE5408"/>
    <w:rsid w:val="00FE54E1"/>
    <w:rsid w:val="00FE59C4"/>
    <w:rsid w:val="00FE5D1C"/>
    <w:rsid w:val="00FE5D7E"/>
    <w:rsid w:val="00FE77C4"/>
    <w:rsid w:val="00FE7CDE"/>
    <w:rsid w:val="00FF006A"/>
    <w:rsid w:val="00FF15BC"/>
    <w:rsid w:val="00FF1B90"/>
    <w:rsid w:val="00FF23B2"/>
    <w:rsid w:val="00FF261A"/>
    <w:rsid w:val="00FF2B6C"/>
    <w:rsid w:val="00FF2B73"/>
    <w:rsid w:val="00FF2F92"/>
    <w:rsid w:val="00FF31B2"/>
    <w:rsid w:val="00FF324E"/>
    <w:rsid w:val="00FF39CF"/>
    <w:rsid w:val="00FF4DE4"/>
    <w:rsid w:val="00FF4F6F"/>
    <w:rsid w:val="00FF5825"/>
    <w:rsid w:val="00FF5891"/>
    <w:rsid w:val="00FF5CA3"/>
    <w:rsid w:val="00FF6686"/>
    <w:rsid w:val="00FF71A0"/>
    <w:rsid w:val="00FF732D"/>
    <w:rsid w:val="00FF7548"/>
    <w:rsid w:val="00FF7856"/>
    <w:rsid w:val="00FF7B4A"/>
    <w:rsid w:val="00FF7BB2"/>
    <w:rsid w:val="00FF7D4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625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292"/>
    <w:pPr>
      <w:spacing w:after="0" w:line="240" w:lineRule="auto"/>
    </w:pPr>
    <w:rPr>
      <w:rFonts w:eastAsia="Times New Roman" w:cs="Times New Roman"/>
      <w:szCs w:val="24"/>
    </w:rPr>
  </w:style>
  <w:style w:type="paragraph" w:styleId="Heading1">
    <w:name w:val="heading 1"/>
    <w:basedOn w:val="Normal"/>
    <w:next w:val="Normal"/>
    <w:link w:val="Heading1Char"/>
    <w:qFormat/>
    <w:rsid w:val="008E229F"/>
    <w:pPr>
      <w:keepNext/>
      <w:shd w:val="clear" w:color="auto" w:fill="FFFFFF"/>
      <w:jc w:val="both"/>
      <w:outlineLvl w:val="0"/>
    </w:pPr>
    <w:rPr>
      <w:b/>
      <w:snapToGrid w:val="0"/>
      <w:color w:val="000000"/>
      <w:sz w:val="28"/>
      <w:szCs w:val="20"/>
    </w:rPr>
  </w:style>
  <w:style w:type="paragraph" w:styleId="Heading2">
    <w:name w:val="heading 2"/>
    <w:basedOn w:val="Normal"/>
    <w:next w:val="Normal"/>
    <w:link w:val="Heading2Char"/>
    <w:uiPriority w:val="9"/>
    <w:semiHidden/>
    <w:unhideWhenUsed/>
    <w:qFormat/>
    <w:rsid w:val="009C591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C591A"/>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C591A"/>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C591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C591A"/>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C591A"/>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C591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C591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847292"/>
    <w:pPr>
      <w:jc w:val="right"/>
    </w:pPr>
    <w:rPr>
      <w:rFonts w:ascii="Garamond" w:hAnsi="Garamond"/>
      <w:sz w:val="28"/>
      <w:szCs w:val="28"/>
    </w:rPr>
  </w:style>
  <w:style w:type="character" w:customStyle="1" w:styleId="BodyText2Char">
    <w:name w:val="Body Text 2 Char"/>
    <w:basedOn w:val="DefaultParagraphFont"/>
    <w:link w:val="BodyText2"/>
    <w:rsid w:val="00847292"/>
    <w:rPr>
      <w:rFonts w:ascii="Garamond" w:eastAsia="Times New Roman" w:hAnsi="Garamond" w:cs="Times New Roman"/>
      <w:sz w:val="28"/>
      <w:szCs w:val="28"/>
    </w:rPr>
  </w:style>
  <w:style w:type="character" w:customStyle="1" w:styleId="sb8d990e2">
    <w:name w:val="sb8d990e2"/>
    <w:rsid w:val="00847292"/>
  </w:style>
  <w:style w:type="character" w:styleId="CommentReference">
    <w:name w:val="annotation reference"/>
    <w:basedOn w:val="DefaultParagraphFont"/>
    <w:uiPriority w:val="99"/>
    <w:semiHidden/>
    <w:unhideWhenUsed/>
    <w:rsid w:val="000454DE"/>
    <w:rPr>
      <w:sz w:val="16"/>
      <w:szCs w:val="16"/>
    </w:rPr>
  </w:style>
  <w:style w:type="paragraph" w:styleId="CommentText">
    <w:name w:val="annotation text"/>
    <w:basedOn w:val="Normal"/>
    <w:link w:val="CommentTextChar"/>
    <w:uiPriority w:val="99"/>
    <w:unhideWhenUsed/>
    <w:rsid w:val="000454DE"/>
    <w:rPr>
      <w:sz w:val="20"/>
      <w:szCs w:val="20"/>
    </w:rPr>
  </w:style>
  <w:style w:type="character" w:customStyle="1" w:styleId="CommentTextChar">
    <w:name w:val="Comment Text Char"/>
    <w:basedOn w:val="DefaultParagraphFont"/>
    <w:link w:val="CommentText"/>
    <w:uiPriority w:val="99"/>
    <w:rsid w:val="000454D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54DE"/>
    <w:rPr>
      <w:b/>
      <w:bCs/>
    </w:rPr>
  </w:style>
  <w:style w:type="character" w:customStyle="1" w:styleId="CommentSubjectChar">
    <w:name w:val="Comment Subject Char"/>
    <w:basedOn w:val="CommentTextChar"/>
    <w:link w:val="CommentSubject"/>
    <w:uiPriority w:val="99"/>
    <w:semiHidden/>
    <w:rsid w:val="000454DE"/>
    <w:rPr>
      <w:rFonts w:eastAsia="Times New Roman" w:cs="Times New Roman"/>
      <w:b/>
      <w:bCs/>
      <w:sz w:val="20"/>
      <w:szCs w:val="20"/>
    </w:rPr>
  </w:style>
  <w:style w:type="paragraph" w:styleId="BalloonText">
    <w:name w:val="Balloon Text"/>
    <w:basedOn w:val="Normal"/>
    <w:link w:val="BalloonTextChar"/>
    <w:uiPriority w:val="99"/>
    <w:semiHidden/>
    <w:unhideWhenUsed/>
    <w:rsid w:val="000454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4DE"/>
    <w:rPr>
      <w:rFonts w:ascii="Segoe UI" w:eastAsia="Times New Roman" w:hAnsi="Segoe UI" w:cs="Segoe UI"/>
      <w:sz w:val="18"/>
      <w:szCs w:val="18"/>
    </w:rPr>
  </w:style>
  <w:style w:type="paragraph" w:styleId="Revision">
    <w:name w:val="Revision"/>
    <w:hidden/>
    <w:uiPriority w:val="99"/>
    <w:semiHidden/>
    <w:rsid w:val="000454DE"/>
    <w:pPr>
      <w:spacing w:after="0" w:line="240" w:lineRule="auto"/>
    </w:pPr>
    <w:rPr>
      <w:rFonts w:eastAsia="Times New Roman" w:cs="Times New Roman"/>
      <w:szCs w:val="24"/>
    </w:rPr>
  </w:style>
  <w:style w:type="paragraph" w:styleId="Header">
    <w:name w:val="header"/>
    <w:basedOn w:val="Normal"/>
    <w:link w:val="HeaderChar"/>
    <w:uiPriority w:val="99"/>
    <w:unhideWhenUsed/>
    <w:rsid w:val="00F954DC"/>
    <w:pPr>
      <w:tabs>
        <w:tab w:val="center" w:pos="4153"/>
        <w:tab w:val="right" w:pos="8306"/>
      </w:tabs>
    </w:pPr>
  </w:style>
  <w:style w:type="character" w:customStyle="1" w:styleId="HeaderChar">
    <w:name w:val="Header Char"/>
    <w:basedOn w:val="DefaultParagraphFont"/>
    <w:link w:val="Header"/>
    <w:uiPriority w:val="99"/>
    <w:rsid w:val="00F954DC"/>
    <w:rPr>
      <w:rFonts w:eastAsia="Times New Roman" w:cs="Times New Roman"/>
      <w:szCs w:val="24"/>
    </w:rPr>
  </w:style>
  <w:style w:type="paragraph" w:styleId="Footer">
    <w:name w:val="footer"/>
    <w:basedOn w:val="Normal"/>
    <w:link w:val="FooterChar"/>
    <w:uiPriority w:val="99"/>
    <w:unhideWhenUsed/>
    <w:rsid w:val="00F954DC"/>
    <w:pPr>
      <w:tabs>
        <w:tab w:val="center" w:pos="4153"/>
        <w:tab w:val="right" w:pos="8306"/>
      </w:tabs>
    </w:pPr>
  </w:style>
  <w:style w:type="character" w:customStyle="1" w:styleId="FooterChar">
    <w:name w:val="Footer Char"/>
    <w:basedOn w:val="DefaultParagraphFont"/>
    <w:link w:val="Footer"/>
    <w:uiPriority w:val="99"/>
    <w:rsid w:val="00F954DC"/>
    <w:rPr>
      <w:rFonts w:eastAsia="Times New Roman" w:cs="Times New Roman"/>
      <w:szCs w:val="24"/>
    </w:rPr>
  </w:style>
  <w:style w:type="paragraph" w:styleId="ListParagraph">
    <w:name w:val="List Paragraph"/>
    <w:basedOn w:val="Normal"/>
    <w:uiPriority w:val="34"/>
    <w:qFormat/>
    <w:rsid w:val="000B34AA"/>
    <w:pPr>
      <w:ind w:left="720"/>
      <w:contextualSpacing/>
    </w:pPr>
  </w:style>
  <w:style w:type="table" w:styleId="TableGrid">
    <w:name w:val="Table Grid"/>
    <w:basedOn w:val="TableNormal"/>
    <w:uiPriority w:val="39"/>
    <w:rsid w:val="004807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EE0F52"/>
    <w:pPr>
      <w:spacing w:before="100" w:beforeAutospacing="1" w:after="100" w:afterAutospacing="1"/>
    </w:pPr>
    <w:rPr>
      <w:lang w:eastAsia="lv-LV"/>
    </w:rPr>
  </w:style>
  <w:style w:type="character" w:styleId="Hyperlink">
    <w:name w:val="Hyperlink"/>
    <w:basedOn w:val="DefaultParagraphFont"/>
    <w:uiPriority w:val="99"/>
    <w:unhideWhenUsed/>
    <w:rsid w:val="00BC5FC0"/>
    <w:rPr>
      <w:color w:val="0563C1" w:themeColor="hyperlink"/>
      <w:u w:val="single"/>
    </w:rPr>
  </w:style>
  <w:style w:type="paragraph" w:styleId="NoSpacing">
    <w:name w:val="No Spacing"/>
    <w:uiPriority w:val="1"/>
    <w:qFormat/>
    <w:rsid w:val="006A0850"/>
    <w:pPr>
      <w:spacing w:after="0" w:line="240" w:lineRule="auto"/>
    </w:pPr>
    <w:rPr>
      <w:rFonts w:asciiTheme="minorHAnsi" w:hAnsiTheme="minorHAnsi"/>
      <w:sz w:val="22"/>
    </w:rPr>
  </w:style>
  <w:style w:type="character" w:styleId="UnresolvedMention">
    <w:name w:val="Unresolved Mention"/>
    <w:basedOn w:val="DefaultParagraphFont"/>
    <w:uiPriority w:val="99"/>
    <w:semiHidden/>
    <w:unhideWhenUsed/>
    <w:rsid w:val="00A162B4"/>
    <w:rPr>
      <w:color w:val="605E5C"/>
      <w:shd w:val="clear" w:color="auto" w:fill="E1DFDD"/>
    </w:rPr>
  </w:style>
  <w:style w:type="character" w:customStyle="1" w:styleId="Heading1Char">
    <w:name w:val="Heading 1 Char"/>
    <w:basedOn w:val="DefaultParagraphFont"/>
    <w:link w:val="Heading1"/>
    <w:rsid w:val="008E229F"/>
    <w:rPr>
      <w:rFonts w:eastAsia="Times New Roman" w:cs="Times New Roman"/>
      <w:b/>
      <w:snapToGrid w:val="0"/>
      <w:color w:val="000000"/>
      <w:sz w:val="28"/>
      <w:szCs w:val="20"/>
      <w:shd w:val="clear" w:color="auto" w:fill="FFFFFF"/>
    </w:rPr>
  </w:style>
  <w:style w:type="paragraph" w:styleId="FootnoteText">
    <w:name w:val="footnote text"/>
    <w:basedOn w:val="Normal"/>
    <w:link w:val="FootnoteTextChar"/>
    <w:uiPriority w:val="99"/>
    <w:unhideWhenUsed/>
    <w:rsid w:val="00872A0F"/>
    <w:rPr>
      <w:rFonts w:eastAsiaTheme="minorHAnsi" w:cstheme="minorBidi"/>
      <w:sz w:val="20"/>
      <w:szCs w:val="20"/>
      <w:lang w:val="en-US"/>
    </w:rPr>
  </w:style>
  <w:style w:type="character" w:customStyle="1" w:styleId="FootnoteTextChar">
    <w:name w:val="Footnote Text Char"/>
    <w:basedOn w:val="DefaultParagraphFont"/>
    <w:link w:val="FootnoteText"/>
    <w:uiPriority w:val="99"/>
    <w:rsid w:val="00872A0F"/>
    <w:rPr>
      <w:sz w:val="20"/>
      <w:szCs w:val="20"/>
      <w:lang w:val="en-US"/>
    </w:rPr>
  </w:style>
  <w:style w:type="character" w:styleId="FootnoteReference">
    <w:name w:val="footnote reference"/>
    <w:basedOn w:val="DefaultParagraphFont"/>
    <w:uiPriority w:val="99"/>
    <w:unhideWhenUsed/>
    <w:rsid w:val="00872A0F"/>
    <w:rPr>
      <w:vertAlign w:val="superscript"/>
    </w:rPr>
  </w:style>
  <w:style w:type="character" w:styleId="FollowedHyperlink">
    <w:name w:val="FollowedHyperlink"/>
    <w:basedOn w:val="DefaultParagraphFont"/>
    <w:uiPriority w:val="99"/>
    <w:semiHidden/>
    <w:unhideWhenUsed/>
    <w:rsid w:val="00904F41"/>
    <w:rPr>
      <w:color w:val="954F72" w:themeColor="followedHyperlink"/>
      <w:u w:val="single"/>
    </w:rPr>
  </w:style>
  <w:style w:type="paragraph" w:styleId="BodyTextIndent">
    <w:name w:val="Body Text Indent"/>
    <w:basedOn w:val="Normal"/>
    <w:link w:val="BodyTextIndentChar"/>
    <w:unhideWhenUsed/>
    <w:rsid w:val="00082256"/>
    <w:pPr>
      <w:spacing w:after="120"/>
      <w:ind w:left="283"/>
    </w:pPr>
  </w:style>
  <w:style w:type="character" w:customStyle="1" w:styleId="BodyTextIndentChar">
    <w:name w:val="Body Text Indent Char"/>
    <w:basedOn w:val="DefaultParagraphFont"/>
    <w:link w:val="BodyTextIndent"/>
    <w:rsid w:val="00082256"/>
    <w:rPr>
      <w:rFonts w:eastAsia="Times New Roman" w:cs="Times New Roman"/>
      <w:szCs w:val="24"/>
    </w:rPr>
  </w:style>
  <w:style w:type="character" w:customStyle="1" w:styleId="Heading2Char">
    <w:name w:val="Heading 2 Char"/>
    <w:basedOn w:val="DefaultParagraphFont"/>
    <w:link w:val="Heading2"/>
    <w:uiPriority w:val="9"/>
    <w:semiHidden/>
    <w:rsid w:val="009C591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C591A"/>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semiHidden/>
    <w:rsid w:val="009C591A"/>
    <w:rPr>
      <w:rFonts w:asciiTheme="majorHAnsi" w:eastAsiaTheme="majorEastAsia" w:hAnsiTheme="majorHAnsi" w:cstheme="majorBidi"/>
      <w:i/>
      <w:iCs/>
      <w:color w:val="2E74B5" w:themeColor="accent1" w:themeShade="BF"/>
      <w:szCs w:val="24"/>
    </w:rPr>
  </w:style>
  <w:style w:type="character" w:customStyle="1" w:styleId="Heading5Char">
    <w:name w:val="Heading 5 Char"/>
    <w:basedOn w:val="DefaultParagraphFont"/>
    <w:link w:val="Heading5"/>
    <w:uiPriority w:val="9"/>
    <w:semiHidden/>
    <w:rsid w:val="009C591A"/>
    <w:rPr>
      <w:rFonts w:asciiTheme="majorHAnsi" w:eastAsiaTheme="majorEastAsia" w:hAnsiTheme="majorHAnsi" w:cstheme="majorBidi"/>
      <w:color w:val="2E74B5" w:themeColor="accent1" w:themeShade="BF"/>
      <w:szCs w:val="24"/>
    </w:rPr>
  </w:style>
  <w:style w:type="character" w:customStyle="1" w:styleId="Heading6Char">
    <w:name w:val="Heading 6 Char"/>
    <w:basedOn w:val="DefaultParagraphFont"/>
    <w:link w:val="Heading6"/>
    <w:uiPriority w:val="9"/>
    <w:semiHidden/>
    <w:rsid w:val="009C591A"/>
    <w:rPr>
      <w:rFonts w:asciiTheme="majorHAnsi" w:eastAsiaTheme="majorEastAsia" w:hAnsiTheme="majorHAnsi" w:cstheme="majorBidi"/>
      <w:color w:val="1F4D78" w:themeColor="accent1" w:themeShade="7F"/>
      <w:szCs w:val="24"/>
    </w:rPr>
  </w:style>
  <w:style w:type="character" w:customStyle="1" w:styleId="Heading7Char">
    <w:name w:val="Heading 7 Char"/>
    <w:basedOn w:val="DefaultParagraphFont"/>
    <w:link w:val="Heading7"/>
    <w:uiPriority w:val="9"/>
    <w:semiHidden/>
    <w:rsid w:val="009C591A"/>
    <w:rPr>
      <w:rFonts w:asciiTheme="majorHAnsi" w:eastAsiaTheme="majorEastAsia" w:hAnsiTheme="majorHAnsi" w:cstheme="majorBidi"/>
      <w:i/>
      <w:iCs/>
      <w:color w:val="1F4D78" w:themeColor="accent1" w:themeShade="7F"/>
      <w:szCs w:val="24"/>
    </w:rPr>
  </w:style>
  <w:style w:type="character" w:customStyle="1" w:styleId="Heading8Char">
    <w:name w:val="Heading 8 Char"/>
    <w:basedOn w:val="DefaultParagraphFont"/>
    <w:link w:val="Heading8"/>
    <w:uiPriority w:val="9"/>
    <w:semiHidden/>
    <w:rsid w:val="009C59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C591A"/>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semiHidden/>
    <w:unhideWhenUsed/>
    <w:qFormat/>
    <w:rsid w:val="009C591A"/>
    <w:pPr>
      <w:keepLines/>
      <w:shd w:val="clear" w:color="auto" w:fill="auto"/>
      <w:spacing w:before="240"/>
      <w:jc w:val="left"/>
      <w:outlineLvl w:val="9"/>
    </w:pPr>
    <w:rPr>
      <w:rFonts w:asciiTheme="majorHAnsi" w:eastAsiaTheme="majorEastAsia" w:hAnsiTheme="majorHAnsi" w:cstheme="majorBidi"/>
      <w:b w:val="0"/>
      <w:snapToGrid/>
      <w:color w:val="2E74B5" w:themeColor="accent1" w:themeShade="BF"/>
      <w:sz w:val="32"/>
      <w:szCs w:val="32"/>
    </w:rPr>
  </w:style>
  <w:style w:type="paragraph" w:styleId="Bibliography">
    <w:name w:val="Bibliography"/>
    <w:basedOn w:val="Normal"/>
    <w:next w:val="Normal"/>
    <w:uiPriority w:val="37"/>
    <w:semiHidden/>
    <w:unhideWhenUsed/>
    <w:rsid w:val="009C591A"/>
  </w:style>
  <w:style w:type="character" w:styleId="BookTitle">
    <w:name w:val="Book Title"/>
    <w:basedOn w:val="DefaultParagraphFont"/>
    <w:uiPriority w:val="33"/>
    <w:qFormat/>
    <w:rsid w:val="009C591A"/>
    <w:rPr>
      <w:b/>
      <w:bCs/>
      <w:i/>
      <w:iCs/>
      <w:spacing w:val="5"/>
    </w:rPr>
  </w:style>
  <w:style w:type="character" w:styleId="IntenseReference">
    <w:name w:val="Intense Reference"/>
    <w:basedOn w:val="DefaultParagraphFont"/>
    <w:uiPriority w:val="32"/>
    <w:qFormat/>
    <w:rsid w:val="009C591A"/>
    <w:rPr>
      <w:b/>
      <w:bCs/>
      <w:smallCaps/>
      <w:color w:val="5B9BD5" w:themeColor="accent1"/>
      <w:spacing w:val="5"/>
    </w:rPr>
  </w:style>
  <w:style w:type="character" w:styleId="SubtleReference">
    <w:name w:val="Subtle Reference"/>
    <w:basedOn w:val="DefaultParagraphFont"/>
    <w:uiPriority w:val="31"/>
    <w:qFormat/>
    <w:rsid w:val="009C591A"/>
    <w:rPr>
      <w:smallCaps/>
      <w:color w:val="5A5A5A" w:themeColor="text1" w:themeTint="A5"/>
    </w:rPr>
  </w:style>
  <w:style w:type="character" w:styleId="IntenseEmphasis">
    <w:name w:val="Intense Emphasis"/>
    <w:basedOn w:val="DefaultParagraphFont"/>
    <w:uiPriority w:val="21"/>
    <w:qFormat/>
    <w:rsid w:val="009C591A"/>
    <w:rPr>
      <w:i/>
      <w:iCs/>
      <w:color w:val="5B9BD5" w:themeColor="accent1"/>
    </w:rPr>
  </w:style>
  <w:style w:type="character" w:styleId="SubtleEmphasis">
    <w:name w:val="Subtle Emphasis"/>
    <w:basedOn w:val="DefaultParagraphFont"/>
    <w:uiPriority w:val="19"/>
    <w:qFormat/>
    <w:rsid w:val="009C591A"/>
    <w:rPr>
      <w:i/>
      <w:iCs/>
      <w:color w:val="404040" w:themeColor="text1" w:themeTint="BF"/>
    </w:rPr>
  </w:style>
  <w:style w:type="paragraph" w:styleId="IntenseQuote">
    <w:name w:val="Intense Quote"/>
    <w:basedOn w:val="Normal"/>
    <w:next w:val="Normal"/>
    <w:link w:val="IntenseQuoteChar"/>
    <w:uiPriority w:val="30"/>
    <w:qFormat/>
    <w:rsid w:val="009C591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C591A"/>
    <w:rPr>
      <w:rFonts w:eastAsia="Times New Roman" w:cs="Times New Roman"/>
      <w:i/>
      <w:iCs/>
      <w:color w:val="5B9BD5" w:themeColor="accent1"/>
      <w:szCs w:val="24"/>
    </w:rPr>
  </w:style>
  <w:style w:type="paragraph" w:styleId="Quote">
    <w:name w:val="Quote"/>
    <w:basedOn w:val="Normal"/>
    <w:next w:val="Normal"/>
    <w:link w:val="QuoteChar"/>
    <w:uiPriority w:val="29"/>
    <w:qFormat/>
    <w:rsid w:val="009C591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C591A"/>
    <w:rPr>
      <w:rFonts w:eastAsia="Times New Roman" w:cs="Times New Roman"/>
      <w:i/>
      <w:iCs/>
      <w:color w:val="404040" w:themeColor="text1" w:themeTint="BF"/>
      <w:szCs w:val="24"/>
    </w:rPr>
  </w:style>
  <w:style w:type="table" w:styleId="MediumList1-Accent1">
    <w:name w:val="Medium List 1 Accent 1"/>
    <w:basedOn w:val="TableNormal"/>
    <w:uiPriority w:val="65"/>
    <w:semiHidden/>
    <w:unhideWhenUsed/>
    <w:rsid w:val="009C591A"/>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Shading2-Accent1">
    <w:name w:val="Medium Shading 2 Accent 1"/>
    <w:basedOn w:val="TableNormal"/>
    <w:uiPriority w:val="64"/>
    <w:semiHidden/>
    <w:unhideWhenUsed/>
    <w:rsid w:val="009C591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semiHidden/>
    <w:unhideWhenUsed/>
    <w:rsid w:val="009C591A"/>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semiHidden/>
    <w:unhideWhenUsed/>
    <w:rsid w:val="009C591A"/>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List-Accent1">
    <w:name w:val="Light List Accent 1"/>
    <w:basedOn w:val="TableNormal"/>
    <w:uiPriority w:val="61"/>
    <w:semiHidden/>
    <w:unhideWhenUsed/>
    <w:rsid w:val="009C591A"/>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Shading-Accent1">
    <w:name w:val="Light Shading Accent 1"/>
    <w:basedOn w:val="TableNormal"/>
    <w:uiPriority w:val="60"/>
    <w:semiHidden/>
    <w:unhideWhenUsed/>
    <w:rsid w:val="009C591A"/>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ColorfulGrid">
    <w:name w:val="Colorful Grid"/>
    <w:basedOn w:val="TableNormal"/>
    <w:uiPriority w:val="73"/>
    <w:semiHidden/>
    <w:unhideWhenUsed/>
    <w:rsid w:val="009C591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
    <w:name w:val="Colorful List"/>
    <w:basedOn w:val="TableNormal"/>
    <w:uiPriority w:val="72"/>
    <w:semiHidden/>
    <w:unhideWhenUsed/>
    <w:rsid w:val="009C591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
    <w:name w:val="Colorful Shading"/>
    <w:basedOn w:val="TableNormal"/>
    <w:uiPriority w:val="71"/>
    <w:semiHidden/>
    <w:unhideWhenUsed/>
    <w:rsid w:val="009C591A"/>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9C591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3">
    <w:name w:val="Medium Grid 3"/>
    <w:basedOn w:val="TableNormal"/>
    <w:uiPriority w:val="69"/>
    <w:semiHidden/>
    <w:unhideWhenUsed/>
    <w:rsid w:val="009C591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2">
    <w:name w:val="Medium Grid 2"/>
    <w:basedOn w:val="TableNormal"/>
    <w:uiPriority w:val="68"/>
    <w:semiHidden/>
    <w:unhideWhenUsed/>
    <w:rsid w:val="009C591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1">
    <w:name w:val="Medium Grid 1"/>
    <w:basedOn w:val="TableNormal"/>
    <w:uiPriority w:val="67"/>
    <w:semiHidden/>
    <w:unhideWhenUsed/>
    <w:rsid w:val="009C591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2">
    <w:name w:val="Medium List 2"/>
    <w:basedOn w:val="TableNormal"/>
    <w:uiPriority w:val="66"/>
    <w:semiHidden/>
    <w:unhideWhenUsed/>
    <w:rsid w:val="009C591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
    <w:name w:val="Medium List 1"/>
    <w:basedOn w:val="TableNormal"/>
    <w:uiPriority w:val="65"/>
    <w:semiHidden/>
    <w:unhideWhenUsed/>
    <w:rsid w:val="009C591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
    <w:name w:val="Medium Shading 2"/>
    <w:basedOn w:val="TableNormal"/>
    <w:uiPriority w:val="64"/>
    <w:semiHidden/>
    <w:unhideWhenUsed/>
    <w:rsid w:val="009C591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
    <w:name w:val="Medium Shading 1"/>
    <w:basedOn w:val="TableNormal"/>
    <w:uiPriority w:val="63"/>
    <w:semiHidden/>
    <w:unhideWhenUsed/>
    <w:rsid w:val="009C591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semiHidden/>
    <w:unhideWhenUsed/>
    <w:rsid w:val="009C591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semiHidden/>
    <w:unhideWhenUsed/>
    <w:rsid w:val="009C591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semiHidden/>
    <w:unhideWhenUsed/>
    <w:rsid w:val="009C591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Variable">
    <w:name w:val="HTML Variable"/>
    <w:basedOn w:val="DefaultParagraphFont"/>
    <w:uiPriority w:val="99"/>
    <w:semiHidden/>
    <w:unhideWhenUsed/>
    <w:rsid w:val="009C591A"/>
    <w:rPr>
      <w:i/>
      <w:iCs/>
    </w:rPr>
  </w:style>
  <w:style w:type="character" w:styleId="HTMLTypewriter">
    <w:name w:val="HTML Typewriter"/>
    <w:basedOn w:val="DefaultParagraphFont"/>
    <w:uiPriority w:val="99"/>
    <w:semiHidden/>
    <w:unhideWhenUsed/>
    <w:rsid w:val="009C591A"/>
    <w:rPr>
      <w:rFonts w:ascii="Consolas" w:hAnsi="Consolas"/>
      <w:sz w:val="20"/>
      <w:szCs w:val="20"/>
    </w:rPr>
  </w:style>
  <w:style w:type="character" w:styleId="HTMLSample">
    <w:name w:val="HTML Sample"/>
    <w:basedOn w:val="DefaultParagraphFont"/>
    <w:uiPriority w:val="99"/>
    <w:semiHidden/>
    <w:unhideWhenUsed/>
    <w:rsid w:val="009C591A"/>
    <w:rPr>
      <w:rFonts w:ascii="Consolas" w:hAnsi="Consolas"/>
      <w:sz w:val="24"/>
      <w:szCs w:val="24"/>
    </w:rPr>
  </w:style>
  <w:style w:type="paragraph" w:styleId="HTMLPreformatted">
    <w:name w:val="HTML Preformatted"/>
    <w:basedOn w:val="Normal"/>
    <w:link w:val="HTMLPreformattedChar"/>
    <w:uiPriority w:val="99"/>
    <w:semiHidden/>
    <w:unhideWhenUsed/>
    <w:rsid w:val="009C591A"/>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C591A"/>
    <w:rPr>
      <w:rFonts w:ascii="Consolas" w:eastAsia="Times New Roman" w:hAnsi="Consolas" w:cs="Times New Roman"/>
      <w:sz w:val="20"/>
      <w:szCs w:val="20"/>
    </w:rPr>
  </w:style>
  <w:style w:type="character" w:styleId="HTMLKeyboard">
    <w:name w:val="HTML Keyboard"/>
    <w:basedOn w:val="DefaultParagraphFont"/>
    <w:uiPriority w:val="99"/>
    <w:semiHidden/>
    <w:unhideWhenUsed/>
    <w:rsid w:val="009C591A"/>
    <w:rPr>
      <w:rFonts w:ascii="Consolas" w:hAnsi="Consolas"/>
      <w:sz w:val="20"/>
      <w:szCs w:val="20"/>
    </w:rPr>
  </w:style>
  <w:style w:type="character" w:styleId="HTMLDefinition">
    <w:name w:val="HTML Definition"/>
    <w:basedOn w:val="DefaultParagraphFont"/>
    <w:uiPriority w:val="99"/>
    <w:semiHidden/>
    <w:unhideWhenUsed/>
    <w:rsid w:val="009C591A"/>
    <w:rPr>
      <w:i/>
      <w:iCs/>
    </w:rPr>
  </w:style>
  <w:style w:type="character" w:styleId="HTMLCode">
    <w:name w:val="HTML Code"/>
    <w:basedOn w:val="DefaultParagraphFont"/>
    <w:uiPriority w:val="99"/>
    <w:semiHidden/>
    <w:unhideWhenUsed/>
    <w:rsid w:val="009C591A"/>
    <w:rPr>
      <w:rFonts w:ascii="Consolas" w:hAnsi="Consolas"/>
      <w:sz w:val="20"/>
      <w:szCs w:val="20"/>
    </w:rPr>
  </w:style>
  <w:style w:type="character" w:styleId="HTMLCite">
    <w:name w:val="HTML Cite"/>
    <w:basedOn w:val="DefaultParagraphFont"/>
    <w:uiPriority w:val="99"/>
    <w:semiHidden/>
    <w:unhideWhenUsed/>
    <w:rsid w:val="009C591A"/>
    <w:rPr>
      <w:i/>
      <w:iCs/>
    </w:rPr>
  </w:style>
  <w:style w:type="paragraph" w:styleId="HTMLAddress">
    <w:name w:val="HTML Address"/>
    <w:basedOn w:val="Normal"/>
    <w:link w:val="HTMLAddressChar"/>
    <w:uiPriority w:val="99"/>
    <w:semiHidden/>
    <w:unhideWhenUsed/>
    <w:rsid w:val="009C591A"/>
    <w:rPr>
      <w:i/>
      <w:iCs/>
    </w:rPr>
  </w:style>
  <w:style w:type="character" w:customStyle="1" w:styleId="HTMLAddressChar">
    <w:name w:val="HTML Address Char"/>
    <w:basedOn w:val="DefaultParagraphFont"/>
    <w:link w:val="HTMLAddress"/>
    <w:uiPriority w:val="99"/>
    <w:semiHidden/>
    <w:rsid w:val="009C591A"/>
    <w:rPr>
      <w:rFonts w:eastAsia="Times New Roman" w:cs="Times New Roman"/>
      <w:i/>
      <w:iCs/>
      <w:szCs w:val="24"/>
    </w:rPr>
  </w:style>
  <w:style w:type="character" w:styleId="HTMLAcronym">
    <w:name w:val="HTML Acronym"/>
    <w:basedOn w:val="DefaultParagraphFont"/>
    <w:uiPriority w:val="99"/>
    <w:semiHidden/>
    <w:unhideWhenUsed/>
    <w:rsid w:val="009C591A"/>
  </w:style>
  <w:style w:type="paragraph" w:styleId="NormalWeb">
    <w:name w:val="Normal (Web)"/>
    <w:basedOn w:val="Normal"/>
    <w:uiPriority w:val="99"/>
    <w:unhideWhenUsed/>
    <w:rsid w:val="009C591A"/>
  </w:style>
  <w:style w:type="paragraph" w:styleId="PlainText">
    <w:name w:val="Plain Text"/>
    <w:basedOn w:val="Normal"/>
    <w:link w:val="PlainTextChar"/>
    <w:uiPriority w:val="99"/>
    <w:semiHidden/>
    <w:unhideWhenUsed/>
    <w:rsid w:val="009C591A"/>
    <w:rPr>
      <w:rFonts w:ascii="Consolas" w:hAnsi="Consolas"/>
      <w:sz w:val="21"/>
      <w:szCs w:val="21"/>
    </w:rPr>
  </w:style>
  <w:style w:type="character" w:customStyle="1" w:styleId="PlainTextChar">
    <w:name w:val="Plain Text Char"/>
    <w:basedOn w:val="DefaultParagraphFont"/>
    <w:link w:val="PlainText"/>
    <w:uiPriority w:val="99"/>
    <w:semiHidden/>
    <w:rsid w:val="009C591A"/>
    <w:rPr>
      <w:rFonts w:ascii="Consolas" w:eastAsia="Times New Roman" w:hAnsi="Consolas" w:cs="Times New Roman"/>
      <w:sz w:val="21"/>
      <w:szCs w:val="21"/>
    </w:rPr>
  </w:style>
  <w:style w:type="paragraph" w:styleId="DocumentMap">
    <w:name w:val="Document Map"/>
    <w:basedOn w:val="Normal"/>
    <w:link w:val="DocumentMapChar"/>
    <w:uiPriority w:val="99"/>
    <w:semiHidden/>
    <w:unhideWhenUsed/>
    <w:rsid w:val="009C591A"/>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C591A"/>
    <w:rPr>
      <w:rFonts w:ascii="Segoe UI" w:eastAsia="Times New Roman" w:hAnsi="Segoe UI" w:cs="Segoe UI"/>
      <w:sz w:val="16"/>
      <w:szCs w:val="16"/>
    </w:rPr>
  </w:style>
  <w:style w:type="character" w:styleId="Emphasis">
    <w:name w:val="Emphasis"/>
    <w:basedOn w:val="DefaultParagraphFont"/>
    <w:uiPriority w:val="20"/>
    <w:qFormat/>
    <w:rsid w:val="009C591A"/>
    <w:rPr>
      <w:i/>
      <w:iCs/>
    </w:rPr>
  </w:style>
  <w:style w:type="character" w:styleId="Strong">
    <w:name w:val="Strong"/>
    <w:basedOn w:val="DefaultParagraphFont"/>
    <w:uiPriority w:val="22"/>
    <w:qFormat/>
    <w:rsid w:val="009C591A"/>
    <w:rPr>
      <w:b/>
      <w:bCs/>
    </w:rPr>
  </w:style>
  <w:style w:type="paragraph" w:styleId="BlockText">
    <w:name w:val="Block Text"/>
    <w:basedOn w:val="Normal"/>
    <w:uiPriority w:val="99"/>
    <w:semiHidden/>
    <w:unhideWhenUsed/>
    <w:rsid w:val="009C591A"/>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Indent3">
    <w:name w:val="Body Text Indent 3"/>
    <w:basedOn w:val="Normal"/>
    <w:link w:val="BodyTextIndent3Char"/>
    <w:uiPriority w:val="99"/>
    <w:semiHidden/>
    <w:unhideWhenUsed/>
    <w:rsid w:val="009C59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C591A"/>
    <w:rPr>
      <w:rFonts w:eastAsia="Times New Roman" w:cs="Times New Roman"/>
      <w:sz w:val="16"/>
      <w:szCs w:val="16"/>
    </w:rPr>
  </w:style>
  <w:style w:type="paragraph" w:styleId="BodyTextIndent2">
    <w:name w:val="Body Text Indent 2"/>
    <w:basedOn w:val="Normal"/>
    <w:link w:val="BodyTextIndent2Char"/>
    <w:uiPriority w:val="99"/>
    <w:semiHidden/>
    <w:unhideWhenUsed/>
    <w:rsid w:val="009C591A"/>
    <w:pPr>
      <w:spacing w:after="120" w:line="480" w:lineRule="auto"/>
      <w:ind w:left="283"/>
    </w:pPr>
  </w:style>
  <w:style w:type="character" w:customStyle="1" w:styleId="BodyTextIndent2Char">
    <w:name w:val="Body Text Indent 2 Char"/>
    <w:basedOn w:val="DefaultParagraphFont"/>
    <w:link w:val="BodyTextIndent2"/>
    <w:uiPriority w:val="99"/>
    <w:semiHidden/>
    <w:rsid w:val="009C591A"/>
    <w:rPr>
      <w:rFonts w:eastAsia="Times New Roman" w:cs="Times New Roman"/>
      <w:szCs w:val="24"/>
    </w:rPr>
  </w:style>
  <w:style w:type="paragraph" w:styleId="BodyText3">
    <w:name w:val="Body Text 3"/>
    <w:basedOn w:val="Normal"/>
    <w:link w:val="BodyText3Char"/>
    <w:uiPriority w:val="99"/>
    <w:semiHidden/>
    <w:unhideWhenUsed/>
    <w:rsid w:val="009C591A"/>
    <w:pPr>
      <w:spacing w:after="120"/>
    </w:pPr>
    <w:rPr>
      <w:sz w:val="16"/>
      <w:szCs w:val="16"/>
    </w:rPr>
  </w:style>
  <w:style w:type="character" w:customStyle="1" w:styleId="BodyText3Char">
    <w:name w:val="Body Text 3 Char"/>
    <w:basedOn w:val="DefaultParagraphFont"/>
    <w:link w:val="BodyText3"/>
    <w:uiPriority w:val="99"/>
    <w:semiHidden/>
    <w:rsid w:val="009C591A"/>
    <w:rPr>
      <w:rFonts w:eastAsia="Times New Roman" w:cs="Times New Roman"/>
      <w:sz w:val="16"/>
      <w:szCs w:val="16"/>
    </w:rPr>
  </w:style>
  <w:style w:type="paragraph" w:styleId="NoteHeading">
    <w:name w:val="Note Heading"/>
    <w:basedOn w:val="Normal"/>
    <w:next w:val="Normal"/>
    <w:link w:val="NoteHeadingChar"/>
    <w:uiPriority w:val="99"/>
    <w:semiHidden/>
    <w:unhideWhenUsed/>
    <w:rsid w:val="009C591A"/>
  </w:style>
  <w:style w:type="character" w:customStyle="1" w:styleId="NoteHeadingChar">
    <w:name w:val="Note Heading Char"/>
    <w:basedOn w:val="DefaultParagraphFont"/>
    <w:link w:val="NoteHeading"/>
    <w:uiPriority w:val="99"/>
    <w:semiHidden/>
    <w:rsid w:val="009C591A"/>
    <w:rPr>
      <w:rFonts w:eastAsia="Times New Roman" w:cs="Times New Roman"/>
      <w:szCs w:val="24"/>
    </w:rPr>
  </w:style>
  <w:style w:type="paragraph" w:styleId="BodyTextFirstIndent2">
    <w:name w:val="Body Text First Indent 2"/>
    <w:basedOn w:val="BodyTextIndent"/>
    <w:link w:val="BodyTextFirstIndent2Char"/>
    <w:uiPriority w:val="99"/>
    <w:semiHidden/>
    <w:unhideWhenUsed/>
    <w:rsid w:val="009C591A"/>
    <w:pPr>
      <w:spacing w:after="0"/>
      <w:ind w:left="360" w:firstLine="360"/>
    </w:pPr>
  </w:style>
  <w:style w:type="character" w:customStyle="1" w:styleId="BodyTextFirstIndent2Char">
    <w:name w:val="Body Text First Indent 2 Char"/>
    <w:basedOn w:val="BodyTextIndentChar"/>
    <w:link w:val="BodyTextFirstIndent2"/>
    <w:uiPriority w:val="99"/>
    <w:semiHidden/>
    <w:rsid w:val="009C591A"/>
    <w:rPr>
      <w:rFonts w:eastAsia="Times New Roman" w:cs="Times New Roman"/>
      <w:szCs w:val="24"/>
    </w:rPr>
  </w:style>
  <w:style w:type="paragraph" w:styleId="BodyText">
    <w:name w:val="Body Text"/>
    <w:basedOn w:val="Normal"/>
    <w:link w:val="BodyTextChar"/>
    <w:uiPriority w:val="99"/>
    <w:semiHidden/>
    <w:unhideWhenUsed/>
    <w:rsid w:val="009C591A"/>
    <w:pPr>
      <w:spacing w:after="120"/>
    </w:pPr>
  </w:style>
  <w:style w:type="character" w:customStyle="1" w:styleId="BodyTextChar">
    <w:name w:val="Body Text Char"/>
    <w:basedOn w:val="DefaultParagraphFont"/>
    <w:link w:val="BodyText"/>
    <w:uiPriority w:val="99"/>
    <w:semiHidden/>
    <w:rsid w:val="009C591A"/>
    <w:rPr>
      <w:rFonts w:eastAsia="Times New Roman" w:cs="Times New Roman"/>
      <w:szCs w:val="24"/>
    </w:rPr>
  </w:style>
  <w:style w:type="paragraph" w:styleId="BodyTextFirstIndent">
    <w:name w:val="Body Text First Indent"/>
    <w:basedOn w:val="BodyText"/>
    <w:link w:val="BodyTextFirstIndentChar"/>
    <w:uiPriority w:val="99"/>
    <w:semiHidden/>
    <w:unhideWhenUsed/>
    <w:rsid w:val="009C591A"/>
    <w:pPr>
      <w:spacing w:after="0"/>
      <w:ind w:firstLine="360"/>
    </w:pPr>
  </w:style>
  <w:style w:type="character" w:customStyle="1" w:styleId="BodyTextFirstIndentChar">
    <w:name w:val="Body Text First Indent Char"/>
    <w:basedOn w:val="BodyTextChar"/>
    <w:link w:val="BodyTextFirstIndent"/>
    <w:uiPriority w:val="99"/>
    <w:semiHidden/>
    <w:rsid w:val="009C591A"/>
    <w:rPr>
      <w:rFonts w:eastAsia="Times New Roman" w:cs="Times New Roman"/>
      <w:szCs w:val="24"/>
    </w:rPr>
  </w:style>
  <w:style w:type="paragraph" w:styleId="Date">
    <w:name w:val="Date"/>
    <w:basedOn w:val="Normal"/>
    <w:next w:val="Normal"/>
    <w:link w:val="DateChar"/>
    <w:uiPriority w:val="99"/>
    <w:semiHidden/>
    <w:unhideWhenUsed/>
    <w:rsid w:val="009C591A"/>
  </w:style>
  <w:style w:type="character" w:customStyle="1" w:styleId="DateChar">
    <w:name w:val="Date Char"/>
    <w:basedOn w:val="DefaultParagraphFont"/>
    <w:link w:val="Date"/>
    <w:uiPriority w:val="99"/>
    <w:semiHidden/>
    <w:rsid w:val="009C591A"/>
    <w:rPr>
      <w:rFonts w:eastAsia="Times New Roman" w:cs="Times New Roman"/>
      <w:szCs w:val="24"/>
    </w:rPr>
  </w:style>
  <w:style w:type="paragraph" w:styleId="Salutation">
    <w:name w:val="Salutation"/>
    <w:basedOn w:val="Normal"/>
    <w:next w:val="Normal"/>
    <w:link w:val="SalutationChar"/>
    <w:uiPriority w:val="99"/>
    <w:semiHidden/>
    <w:unhideWhenUsed/>
    <w:rsid w:val="009C591A"/>
  </w:style>
  <w:style w:type="character" w:customStyle="1" w:styleId="SalutationChar">
    <w:name w:val="Salutation Char"/>
    <w:basedOn w:val="DefaultParagraphFont"/>
    <w:link w:val="Salutation"/>
    <w:uiPriority w:val="99"/>
    <w:semiHidden/>
    <w:rsid w:val="009C591A"/>
    <w:rPr>
      <w:rFonts w:eastAsia="Times New Roman" w:cs="Times New Roman"/>
      <w:szCs w:val="24"/>
    </w:rPr>
  </w:style>
  <w:style w:type="paragraph" w:styleId="Subtitle">
    <w:name w:val="Subtitle"/>
    <w:basedOn w:val="Normal"/>
    <w:next w:val="Normal"/>
    <w:link w:val="SubtitleChar"/>
    <w:uiPriority w:val="11"/>
    <w:qFormat/>
    <w:rsid w:val="009C591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C591A"/>
    <w:rPr>
      <w:rFonts w:asciiTheme="minorHAnsi" w:eastAsiaTheme="minorEastAsia" w:hAnsiTheme="minorHAnsi"/>
      <w:color w:val="5A5A5A" w:themeColor="text1" w:themeTint="A5"/>
      <w:spacing w:val="15"/>
      <w:sz w:val="22"/>
    </w:rPr>
  </w:style>
  <w:style w:type="paragraph" w:styleId="MessageHeader">
    <w:name w:val="Message Header"/>
    <w:basedOn w:val="Normal"/>
    <w:link w:val="MessageHeaderChar"/>
    <w:uiPriority w:val="99"/>
    <w:semiHidden/>
    <w:unhideWhenUsed/>
    <w:rsid w:val="009C591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9C591A"/>
    <w:rPr>
      <w:rFonts w:asciiTheme="majorHAnsi" w:eastAsiaTheme="majorEastAsia" w:hAnsiTheme="majorHAnsi" w:cstheme="majorBidi"/>
      <w:szCs w:val="24"/>
      <w:shd w:val="pct20" w:color="auto" w:fill="auto"/>
    </w:rPr>
  </w:style>
  <w:style w:type="paragraph" w:styleId="ListContinue5">
    <w:name w:val="List Continue 5"/>
    <w:basedOn w:val="Normal"/>
    <w:uiPriority w:val="99"/>
    <w:semiHidden/>
    <w:unhideWhenUsed/>
    <w:rsid w:val="009C591A"/>
    <w:pPr>
      <w:spacing w:after="120"/>
      <w:ind w:left="1415"/>
      <w:contextualSpacing/>
    </w:pPr>
  </w:style>
  <w:style w:type="paragraph" w:styleId="ListContinue4">
    <w:name w:val="List Continue 4"/>
    <w:basedOn w:val="Normal"/>
    <w:uiPriority w:val="99"/>
    <w:semiHidden/>
    <w:unhideWhenUsed/>
    <w:rsid w:val="009C591A"/>
    <w:pPr>
      <w:spacing w:after="120"/>
      <w:ind w:left="1132"/>
      <w:contextualSpacing/>
    </w:pPr>
  </w:style>
  <w:style w:type="paragraph" w:styleId="ListContinue3">
    <w:name w:val="List Continue 3"/>
    <w:basedOn w:val="Normal"/>
    <w:uiPriority w:val="99"/>
    <w:semiHidden/>
    <w:unhideWhenUsed/>
    <w:rsid w:val="009C591A"/>
    <w:pPr>
      <w:spacing w:after="120"/>
      <w:ind w:left="849"/>
      <w:contextualSpacing/>
    </w:pPr>
  </w:style>
  <w:style w:type="paragraph" w:styleId="ListContinue2">
    <w:name w:val="List Continue 2"/>
    <w:basedOn w:val="Normal"/>
    <w:uiPriority w:val="99"/>
    <w:semiHidden/>
    <w:unhideWhenUsed/>
    <w:rsid w:val="009C591A"/>
    <w:pPr>
      <w:spacing w:after="120"/>
      <w:ind w:left="566"/>
      <w:contextualSpacing/>
    </w:pPr>
  </w:style>
  <w:style w:type="paragraph" w:styleId="ListContinue">
    <w:name w:val="List Continue"/>
    <w:basedOn w:val="Normal"/>
    <w:uiPriority w:val="99"/>
    <w:semiHidden/>
    <w:unhideWhenUsed/>
    <w:rsid w:val="009C591A"/>
    <w:pPr>
      <w:spacing w:after="120"/>
      <w:ind w:left="283"/>
      <w:contextualSpacing/>
    </w:pPr>
  </w:style>
  <w:style w:type="paragraph" w:styleId="Signature">
    <w:name w:val="Signature"/>
    <w:basedOn w:val="Normal"/>
    <w:link w:val="SignatureChar"/>
    <w:uiPriority w:val="99"/>
    <w:semiHidden/>
    <w:unhideWhenUsed/>
    <w:rsid w:val="009C591A"/>
    <w:pPr>
      <w:ind w:left="4252"/>
    </w:pPr>
  </w:style>
  <w:style w:type="character" w:customStyle="1" w:styleId="SignatureChar">
    <w:name w:val="Signature Char"/>
    <w:basedOn w:val="DefaultParagraphFont"/>
    <w:link w:val="Signature"/>
    <w:uiPriority w:val="99"/>
    <w:semiHidden/>
    <w:rsid w:val="009C591A"/>
    <w:rPr>
      <w:rFonts w:eastAsia="Times New Roman" w:cs="Times New Roman"/>
      <w:szCs w:val="24"/>
    </w:rPr>
  </w:style>
  <w:style w:type="paragraph" w:styleId="Closing">
    <w:name w:val="Closing"/>
    <w:basedOn w:val="Normal"/>
    <w:link w:val="ClosingChar"/>
    <w:uiPriority w:val="99"/>
    <w:semiHidden/>
    <w:unhideWhenUsed/>
    <w:rsid w:val="009C591A"/>
    <w:pPr>
      <w:ind w:left="4252"/>
    </w:pPr>
  </w:style>
  <w:style w:type="character" w:customStyle="1" w:styleId="ClosingChar">
    <w:name w:val="Closing Char"/>
    <w:basedOn w:val="DefaultParagraphFont"/>
    <w:link w:val="Closing"/>
    <w:uiPriority w:val="99"/>
    <w:semiHidden/>
    <w:rsid w:val="009C591A"/>
    <w:rPr>
      <w:rFonts w:eastAsia="Times New Roman" w:cs="Times New Roman"/>
      <w:szCs w:val="24"/>
    </w:rPr>
  </w:style>
  <w:style w:type="paragraph" w:styleId="Title">
    <w:name w:val="Title"/>
    <w:basedOn w:val="Normal"/>
    <w:next w:val="Normal"/>
    <w:link w:val="TitleChar"/>
    <w:uiPriority w:val="10"/>
    <w:qFormat/>
    <w:rsid w:val="009C591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591A"/>
    <w:rPr>
      <w:rFonts w:asciiTheme="majorHAnsi" w:eastAsiaTheme="majorEastAsia" w:hAnsiTheme="majorHAnsi" w:cstheme="majorBidi"/>
      <w:spacing w:val="-10"/>
      <w:kern w:val="28"/>
      <w:sz w:val="56"/>
      <w:szCs w:val="56"/>
    </w:rPr>
  </w:style>
  <w:style w:type="paragraph" w:styleId="ListNumber5">
    <w:name w:val="List Number 5"/>
    <w:basedOn w:val="Normal"/>
    <w:uiPriority w:val="99"/>
    <w:semiHidden/>
    <w:unhideWhenUsed/>
    <w:rsid w:val="009C591A"/>
    <w:pPr>
      <w:numPr>
        <w:numId w:val="16"/>
      </w:numPr>
      <w:contextualSpacing/>
    </w:pPr>
  </w:style>
  <w:style w:type="paragraph" w:styleId="ListNumber4">
    <w:name w:val="List Number 4"/>
    <w:basedOn w:val="Normal"/>
    <w:uiPriority w:val="99"/>
    <w:semiHidden/>
    <w:unhideWhenUsed/>
    <w:rsid w:val="009C591A"/>
    <w:pPr>
      <w:numPr>
        <w:numId w:val="17"/>
      </w:numPr>
      <w:contextualSpacing/>
    </w:pPr>
  </w:style>
  <w:style w:type="paragraph" w:styleId="ListNumber3">
    <w:name w:val="List Number 3"/>
    <w:basedOn w:val="Normal"/>
    <w:uiPriority w:val="99"/>
    <w:semiHidden/>
    <w:unhideWhenUsed/>
    <w:rsid w:val="009C591A"/>
    <w:pPr>
      <w:numPr>
        <w:numId w:val="18"/>
      </w:numPr>
      <w:contextualSpacing/>
    </w:pPr>
  </w:style>
  <w:style w:type="paragraph" w:styleId="ListNumber2">
    <w:name w:val="List Number 2"/>
    <w:basedOn w:val="Normal"/>
    <w:uiPriority w:val="99"/>
    <w:semiHidden/>
    <w:unhideWhenUsed/>
    <w:rsid w:val="009C591A"/>
    <w:pPr>
      <w:numPr>
        <w:numId w:val="19"/>
      </w:numPr>
      <w:contextualSpacing/>
    </w:pPr>
  </w:style>
  <w:style w:type="paragraph" w:styleId="ListBullet5">
    <w:name w:val="List Bullet 5"/>
    <w:basedOn w:val="Normal"/>
    <w:uiPriority w:val="99"/>
    <w:semiHidden/>
    <w:unhideWhenUsed/>
    <w:rsid w:val="009C591A"/>
    <w:pPr>
      <w:numPr>
        <w:numId w:val="20"/>
      </w:numPr>
      <w:contextualSpacing/>
    </w:pPr>
  </w:style>
  <w:style w:type="paragraph" w:styleId="ListBullet4">
    <w:name w:val="List Bullet 4"/>
    <w:basedOn w:val="Normal"/>
    <w:uiPriority w:val="99"/>
    <w:semiHidden/>
    <w:unhideWhenUsed/>
    <w:rsid w:val="009C591A"/>
    <w:pPr>
      <w:numPr>
        <w:numId w:val="21"/>
      </w:numPr>
      <w:contextualSpacing/>
    </w:pPr>
  </w:style>
  <w:style w:type="paragraph" w:styleId="ListBullet3">
    <w:name w:val="List Bullet 3"/>
    <w:basedOn w:val="Normal"/>
    <w:uiPriority w:val="99"/>
    <w:semiHidden/>
    <w:unhideWhenUsed/>
    <w:rsid w:val="009C591A"/>
    <w:pPr>
      <w:numPr>
        <w:numId w:val="22"/>
      </w:numPr>
      <w:contextualSpacing/>
    </w:pPr>
  </w:style>
  <w:style w:type="paragraph" w:styleId="ListBullet2">
    <w:name w:val="List Bullet 2"/>
    <w:basedOn w:val="Normal"/>
    <w:uiPriority w:val="99"/>
    <w:semiHidden/>
    <w:unhideWhenUsed/>
    <w:rsid w:val="009C591A"/>
    <w:pPr>
      <w:numPr>
        <w:numId w:val="23"/>
      </w:numPr>
      <w:contextualSpacing/>
    </w:pPr>
  </w:style>
  <w:style w:type="paragraph" w:styleId="List5">
    <w:name w:val="List 5"/>
    <w:basedOn w:val="Normal"/>
    <w:uiPriority w:val="99"/>
    <w:semiHidden/>
    <w:unhideWhenUsed/>
    <w:rsid w:val="009C591A"/>
    <w:pPr>
      <w:ind w:left="1415" w:hanging="283"/>
      <w:contextualSpacing/>
    </w:pPr>
  </w:style>
  <w:style w:type="paragraph" w:styleId="List4">
    <w:name w:val="List 4"/>
    <w:basedOn w:val="Normal"/>
    <w:uiPriority w:val="99"/>
    <w:semiHidden/>
    <w:unhideWhenUsed/>
    <w:rsid w:val="009C591A"/>
    <w:pPr>
      <w:ind w:left="1132" w:hanging="283"/>
      <w:contextualSpacing/>
    </w:pPr>
  </w:style>
  <w:style w:type="paragraph" w:styleId="List3">
    <w:name w:val="List 3"/>
    <w:basedOn w:val="Normal"/>
    <w:uiPriority w:val="99"/>
    <w:semiHidden/>
    <w:unhideWhenUsed/>
    <w:rsid w:val="009C591A"/>
    <w:pPr>
      <w:ind w:left="849" w:hanging="283"/>
      <w:contextualSpacing/>
    </w:pPr>
  </w:style>
  <w:style w:type="paragraph" w:styleId="List2">
    <w:name w:val="List 2"/>
    <w:basedOn w:val="Normal"/>
    <w:uiPriority w:val="99"/>
    <w:semiHidden/>
    <w:unhideWhenUsed/>
    <w:rsid w:val="009C591A"/>
    <w:pPr>
      <w:ind w:left="566" w:hanging="283"/>
      <w:contextualSpacing/>
    </w:pPr>
  </w:style>
  <w:style w:type="paragraph" w:styleId="ListNumber">
    <w:name w:val="List Number"/>
    <w:basedOn w:val="Normal"/>
    <w:uiPriority w:val="99"/>
    <w:semiHidden/>
    <w:unhideWhenUsed/>
    <w:rsid w:val="009C591A"/>
    <w:pPr>
      <w:numPr>
        <w:numId w:val="24"/>
      </w:numPr>
      <w:contextualSpacing/>
    </w:pPr>
  </w:style>
  <w:style w:type="paragraph" w:styleId="ListBullet">
    <w:name w:val="List Bullet"/>
    <w:basedOn w:val="Normal"/>
    <w:uiPriority w:val="99"/>
    <w:semiHidden/>
    <w:unhideWhenUsed/>
    <w:rsid w:val="009C591A"/>
    <w:pPr>
      <w:numPr>
        <w:numId w:val="25"/>
      </w:numPr>
      <w:contextualSpacing/>
    </w:pPr>
  </w:style>
  <w:style w:type="paragraph" w:styleId="List">
    <w:name w:val="List"/>
    <w:basedOn w:val="Normal"/>
    <w:uiPriority w:val="99"/>
    <w:semiHidden/>
    <w:unhideWhenUsed/>
    <w:rsid w:val="009C591A"/>
    <w:pPr>
      <w:ind w:left="283" w:hanging="283"/>
      <w:contextualSpacing/>
    </w:pPr>
  </w:style>
  <w:style w:type="paragraph" w:styleId="TOAHeading">
    <w:name w:val="toa heading"/>
    <w:basedOn w:val="Normal"/>
    <w:next w:val="Normal"/>
    <w:uiPriority w:val="99"/>
    <w:semiHidden/>
    <w:unhideWhenUsed/>
    <w:rsid w:val="009C591A"/>
    <w:pPr>
      <w:spacing w:before="120"/>
    </w:pPr>
    <w:rPr>
      <w:rFonts w:asciiTheme="majorHAnsi" w:eastAsiaTheme="majorEastAsia" w:hAnsiTheme="majorHAnsi" w:cstheme="majorBidi"/>
      <w:b/>
      <w:bCs/>
    </w:rPr>
  </w:style>
  <w:style w:type="paragraph" w:styleId="MacroText">
    <w:name w:val="macro"/>
    <w:link w:val="MacroTextChar"/>
    <w:uiPriority w:val="99"/>
    <w:semiHidden/>
    <w:unhideWhenUsed/>
    <w:rsid w:val="009C591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9C591A"/>
    <w:rPr>
      <w:rFonts w:ascii="Consolas" w:eastAsia="Times New Roman" w:hAnsi="Consolas" w:cs="Times New Roman"/>
      <w:sz w:val="20"/>
      <w:szCs w:val="20"/>
    </w:rPr>
  </w:style>
  <w:style w:type="paragraph" w:styleId="TableofAuthorities">
    <w:name w:val="table of authorities"/>
    <w:basedOn w:val="Normal"/>
    <w:next w:val="Normal"/>
    <w:uiPriority w:val="99"/>
    <w:semiHidden/>
    <w:unhideWhenUsed/>
    <w:rsid w:val="009C591A"/>
    <w:pPr>
      <w:ind w:left="240" w:hanging="240"/>
    </w:pPr>
  </w:style>
  <w:style w:type="paragraph" w:styleId="EndnoteText">
    <w:name w:val="endnote text"/>
    <w:basedOn w:val="Normal"/>
    <w:link w:val="EndnoteTextChar"/>
    <w:uiPriority w:val="99"/>
    <w:semiHidden/>
    <w:unhideWhenUsed/>
    <w:rsid w:val="009C591A"/>
    <w:rPr>
      <w:sz w:val="20"/>
      <w:szCs w:val="20"/>
    </w:rPr>
  </w:style>
  <w:style w:type="character" w:customStyle="1" w:styleId="EndnoteTextChar">
    <w:name w:val="Endnote Text Char"/>
    <w:basedOn w:val="DefaultParagraphFont"/>
    <w:link w:val="EndnoteText"/>
    <w:uiPriority w:val="99"/>
    <w:semiHidden/>
    <w:rsid w:val="009C591A"/>
    <w:rPr>
      <w:rFonts w:eastAsia="Times New Roman" w:cs="Times New Roman"/>
      <w:sz w:val="20"/>
      <w:szCs w:val="20"/>
    </w:rPr>
  </w:style>
  <w:style w:type="character" w:styleId="EndnoteReference">
    <w:name w:val="endnote reference"/>
    <w:basedOn w:val="DefaultParagraphFont"/>
    <w:uiPriority w:val="99"/>
    <w:semiHidden/>
    <w:unhideWhenUsed/>
    <w:rsid w:val="009C591A"/>
    <w:rPr>
      <w:vertAlign w:val="superscript"/>
    </w:rPr>
  </w:style>
  <w:style w:type="character" w:styleId="PageNumber">
    <w:name w:val="page number"/>
    <w:basedOn w:val="DefaultParagraphFont"/>
    <w:uiPriority w:val="99"/>
    <w:semiHidden/>
    <w:unhideWhenUsed/>
    <w:rsid w:val="009C591A"/>
  </w:style>
  <w:style w:type="character" w:styleId="LineNumber">
    <w:name w:val="line number"/>
    <w:basedOn w:val="DefaultParagraphFont"/>
    <w:uiPriority w:val="99"/>
    <w:semiHidden/>
    <w:unhideWhenUsed/>
    <w:rsid w:val="009C591A"/>
  </w:style>
  <w:style w:type="paragraph" w:styleId="EnvelopeReturn">
    <w:name w:val="envelope return"/>
    <w:basedOn w:val="Normal"/>
    <w:uiPriority w:val="99"/>
    <w:semiHidden/>
    <w:unhideWhenUsed/>
    <w:rsid w:val="009C591A"/>
    <w:rPr>
      <w:rFonts w:asciiTheme="majorHAnsi" w:eastAsiaTheme="majorEastAsia" w:hAnsiTheme="majorHAnsi" w:cstheme="majorBidi"/>
      <w:sz w:val="20"/>
      <w:szCs w:val="20"/>
    </w:rPr>
  </w:style>
  <w:style w:type="paragraph" w:styleId="EnvelopeAddress">
    <w:name w:val="envelope address"/>
    <w:basedOn w:val="Normal"/>
    <w:uiPriority w:val="99"/>
    <w:semiHidden/>
    <w:unhideWhenUsed/>
    <w:rsid w:val="009C591A"/>
    <w:pPr>
      <w:framePr w:w="7920" w:h="1980" w:hRule="exact" w:hSpace="180" w:wrap="auto" w:hAnchor="page" w:xAlign="center" w:yAlign="bottom"/>
      <w:ind w:left="2880"/>
    </w:pPr>
    <w:rPr>
      <w:rFonts w:asciiTheme="majorHAnsi" w:eastAsiaTheme="majorEastAsia" w:hAnsiTheme="majorHAnsi" w:cstheme="majorBidi"/>
    </w:rPr>
  </w:style>
  <w:style w:type="paragraph" w:styleId="TableofFigures">
    <w:name w:val="table of figures"/>
    <w:basedOn w:val="Normal"/>
    <w:next w:val="Normal"/>
    <w:uiPriority w:val="99"/>
    <w:semiHidden/>
    <w:unhideWhenUsed/>
    <w:rsid w:val="009C591A"/>
  </w:style>
  <w:style w:type="paragraph" w:styleId="Caption">
    <w:name w:val="caption"/>
    <w:basedOn w:val="Normal"/>
    <w:next w:val="Normal"/>
    <w:uiPriority w:val="35"/>
    <w:semiHidden/>
    <w:unhideWhenUsed/>
    <w:qFormat/>
    <w:rsid w:val="009C591A"/>
    <w:pPr>
      <w:spacing w:after="200"/>
    </w:pPr>
    <w:rPr>
      <w:i/>
      <w:iCs/>
      <w:color w:val="44546A" w:themeColor="text2"/>
      <w:sz w:val="18"/>
      <w:szCs w:val="18"/>
    </w:rPr>
  </w:style>
  <w:style w:type="paragraph" w:styleId="Index1">
    <w:name w:val="index 1"/>
    <w:basedOn w:val="Normal"/>
    <w:next w:val="Normal"/>
    <w:autoRedefine/>
    <w:uiPriority w:val="99"/>
    <w:semiHidden/>
    <w:unhideWhenUsed/>
    <w:rsid w:val="009C591A"/>
    <w:pPr>
      <w:ind w:left="240" w:hanging="240"/>
    </w:pPr>
  </w:style>
  <w:style w:type="paragraph" w:styleId="IndexHeading">
    <w:name w:val="index heading"/>
    <w:basedOn w:val="Normal"/>
    <w:next w:val="Index1"/>
    <w:uiPriority w:val="99"/>
    <w:semiHidden/>
    <w:unhideWhenUsed/>
    <w:rsid w:val="009C591A"/>
    <w:rPr>
      <w:rFonts w:asciiTheme="majorHAnsi" w:eastAsiaTheme="majorEastAsia" w:hAnsiTheme="majorHAnsi" w:cstheme="majorBidi"/>
      <w:b/>
      <w:bCs/>
    </w:rPr>
  </w:style>
  <w:style w:type="paragraph" w:styleId="NormalIndent">
    <w:name w:val="Normal Indent"/>
    <w:basedOn w:val="Normal"/>
    <w:uiPriority w:val="99"/>
    <w:semiHidden/>
    <w:unhideWhenUsed/>
    <w:rsid w:val="009C591A"/>
    <w:pPr>
      <w:ind w:left="720"/>
    </w:pPr>
  </w:style>
  <w:style w:type="paragraph" w:styleId="TOC9">
    <w:name w:val="toc 9"/>
    <w:basedOn w:val="Normal"/>
    <w:next w:val="Normal"/>
    <w:autoRedefine/>
    <w:uiPriority w:val="39"/>
    <w:semiHidden/>
    <w:unhideWhenUsed/>
    <w:rsid w:val="009C591A"/>
    <w:pPr>
      <w:spacing w:after="100"/>
      <w:ind w:left="1920"/>
    </w:pPr>
  </w:style>
  <w:style w:type="paragraph" w:styleId="TOC8">
    <w:name w:val="toc 8"/>
    <w:basedOn w:val="Normal"/>
    <w:next w:val="Normal"/>
    <w:autoRedefine/>
    <w:uiPriority w:val="39"/>
    <w:semiHidden/>
    <w:unhideWhenUsed/>
    <w:rsid w:val="009C591A"/>
    <w:pPr>
      <w:spacing w:after="100"/>
      <w:ind w:left="1680"/>
    </w:pPr>
  </w:style>
  <w:style w:type="paragraph" w:styleId="TOC7">
    <w:name w:val="toc 7"/>
    <w:basedOn w:val="Normal"/>
    <w:next w:val="Normal"/>
    <w:autoRedefine/>
    <w:uiPriority w:val="39"/>
    <w:semiHidden/>
    <w:unhideWhenUsed/>
    <w:rsid w:val="009C591A"/>
    <w:pPr>
      <w:spacing w:after="100"/>
      <w:ind w:left="1440"/>
    </w:pPr>
  </w:style>
  <w:style w:type="paragraph" w:styleId="TOC6">
    <w:name w:val="toc 6"/>
    <w:basedOn w:val="Normal"/>
    <w:next w:val="Normal"/>
    <w:autoRedefine/>
    <w:uiPriority w:val="39"/>
    <w:semiHidden/>
    <w:unhideWhenUsed/>
    <w:rsid w:val="009C591A"/>
    <w:pPr>
      <w:spacing w:after="100"/>
      <w:ind w:left="1200"/>
    </w:pPr>
  </w:style>
  <w:style w:type="paragraph" w:styleId="TOC5">
    <w:name w:val="toc 5"/>
    <w:basedOn w:val="Normal"/>
    <w:next w:val="Normal"/>
    <w:autoRedefine/>
    <w:uiPriority w:val="39"/>
    <w:semiHidden/>
    <w:unhideWhenUsed/>
    <w:rsid w:val="009C591A"/>
    <w:pPr>
      <w:spacing w:after="100"/>
      <w:ind w:left="960"/>
    </w:pPr>
  </w:style>
  <w:style w:type="paragraph" w:styleId="TOC4">
    <w:name w:val="toc 4"/>
    <w:basedOn w:val="Normal"/>
    <w:next w:val="Normal"/>
    <w:autoRedefine/>
    <w:uiPriority w:val="39"/>
    <w:semiHidden/>
    <w:unhideWhenUsed/>
    <w:rsid w:val="009C591A"/>
    <w:pPr>
      <w:spacing w:after="100"/>
      <w:ind w:left="720"/>
    </w:pPr>
  </w:style>
  <w:style w:type="paragraph" w:styleId="TOC3">
    <w:name w:val="toc 3"/>
    <w:basedOn w:val="Normal"/>
    <w:next w:val="Normal"/>
    <w:autoRedefine/>
    <w:uiPriority w:val="39"/>
    <w:semiHidden/>
    <w:unhideWhenUsed/>
    <w:rsid w:val="009C591A"/>
    <w:pPr>
      <w:spacing w:after="100"/>
      <w:ind w:left="480"/>
    </w:pPr>
  </w:style>
  <w:style w:type="paragraph" w:styleId="TOC2">
    <w:name w:val="toc 2"/>
    <w:basedOn w:val="Normal"/>
    <w:next w:val="Normal"/>
    <w:autoRedefine/>
    <w:uiPriority w:val="39"/>
    <w:semiHidden/>
    <w:unhideWhenUsed/>
    <w:rsid w:val="009C591A"/>
    <w:pPr>
      <w:spacing w:after="100"/>
      <w:ind w:left="240"/>
    </w:pPr>
  </w:style>
  <w:style w:type="paragraph" w:styleId="TOC1">
    <w:name w:val="toc 1"/>
    <w:basedOn w:val="Normal"/>
    <w:next w:val="Normal"/>
    <w:autoRedefine/>
    <w:uiPriority w:val="39"/>
    <w:semiHidden/>
    <w:unhideWhenUsed/>
    <w:rsid w:val="009C591A"/>
    <w:pPr>
      <w:spacing w:after="100"/>
    </w:pPr>
  </w:style>
  <w:style w:type="paragraph" w:styleId="Index9">
    <w:name w:val="index 9"/>
    <w:basedOn w:val="Normal"/>
    <w:next w:val="Normal"/>
    <w:autoRedefine/>
    <w:uiPriority w:val="99"/>
    <w:semiHidden/>
    <w:unhideWhenUsed/>
    <w:rsid w:val="009C591A"/>
    <w:pPr>
      <w:ind w:left="2160" w:hanging="240"/>
    </w:pPr>
  </w:style>
  <w:style w:type="paragraph" w:styleId="Index8">
    <w:name w:val="index 8"/>
    <w:basedOn w:val="Normal"/>
    <w:next w:val="Normal"/>
    <w:autoRedefine/>
    <w:uiPriority w:val="99"/>
    <w:semiHidden/>
    <w:unhideWhenUsed/>
    <w:rsid w:val="009C591A"/>
    <w:pPr>
      <w:ind w:left="1920" w:hanging="240"/>
    </w:pPr>
  </w:style>
  <w:style w:type="paragraph" w:styleId="Index7">
    <w:name w:val="index 7"/>
    <w:basedOn w:val="Normal"/>
    <w:next w:val="Normal"/>
    <w:autoRedefine/>
    <w:uiPriority w:val="99"/>
    <w:semiHidden/>
    <w:unhideWhenUsed/>
    <w:rsid w:val="009C591A"/>
    <w:pPr>
      <w:ind w:left="1680" w:hanging="240"/>
    </w:pPr>
  </w:style>
  <w:style w:type="paragraph" w:styleId="Index6">
    <w:name w:val="index 6"/>
    <w:basedOn w:val="Normal"/>
    <w:next w:val="Normal"/>
    <w:autoRedefine/>
    <w:uiPriority w:val="99"/>
    <w:semiHidden/>
    <w:unhideWhenUsed/>
    <w:rsid w:val="009C591A"/>
    <w:pPr>
      <w:ind w:left="1440" w:hanging="240"/>
    </w:pPr>
  </w:style>
  <w:style w:type="paragraph" w:styleId="Index5">
    <w:name w:val="index 5"/>
    <w:basedOn w:val="Normal"/>
    <w:next w:val="Normal"/>
    <w:autoRedefine/>
    <w:uiPriority w:val="99"/>
    <w:semiHidden/>
    <w:unhideWhenUsed/>
    <w:rsid w:val="009C591A"/>
    <w:pPr>
      <w:ind w:left="1200" w:hanging="240"/>
    </w:pPr>
  </w:style>
  <w:style w:type="paragraph" w:styleId="Index4">
    <w:name w:val="index 4"/>
    <w:basedOn w:val="Normal"/>
    <w:next w:val="Normal"/>
    <w:autoRedefine/>
    <w:uiPriority w:val="99"/>
    <w:semiHidden/>
    <w:unhideWhenUsed/>
    <w:rsid w:val="009C591A"/>
    <w:pPr>
      <w:ind w:left="960" w:hanging="240"/>
    </w:pPr>
  </w:style>
  <w:style w:type="paragraph" w:styleId="Index3">
    <w:name w:val="index 3"/>
    <w:basedOn w:val="Normal"/>
    <w:next w:val="Normal"/>
    <w:autoRedefine/>
    <w:uiPriority w:val="99"/>
    <w:semiHidden/>
    <w:unhideWhenUsed/>
    <w:rsid w:val="009C591A"/>
    <w:pPr>
      <w:ind w:left="720" w:hanging="240"/>
    </w:pPr>
  </w:style>
  <w:style w:type="paragraph" w:styleId="Index2">
    <w:name w:val="index 2"/>
    <w:basedOn w:val="Normal"/>
    <w:next w:val="Normal"/>
    <w:autoRedefine/>
    <w:uiPriority w:val="99"/>
    <w:semiHidden/>
    <w:unhideWhenUsed/>
    <w:rsid w:val="009C591A"/>
    <w:pPr>
      <w:ind w:left="480" w:hanging="240"/>
    </w:pPr>
  </w:style>
  <w:style w:type="paragraph" w:customStyle="1" w:styleId="CitaviBibliographyEntry">
    <w:name w:val="Citavi Bibliography Entry"/>
    <w:basedOn w:val="Normal"/>
    <w:link w:val="CitaviBibliographyEntryChar"/>
    <w:rsid w:val="009C591A"/>
    <w:pPr>
      <w:spacing w:after="120"/>
    </w:pPr>
  </w:style>
  <w:style w:type="character" w:customStyle="1" w:styleId="CitaviBibliographyEntryChar">
    <w:name w:val="Citavi Bibliography Entry Char"/>
    <w:basedOn w:val="DefaultParagraphFont"/>
    <w:link w:val="CitaviBibliographyEntry"/>
    <w:rsid w:val="009C591A"/>
    <w:rPr>
      <w:rFonts w:eastAsia="Times New Roman" w:cs="Times New Roman"/>
      <w:szCs w:val="24"/>
    </w:rPr>
  </w:style>
  <w:style w:type="paragraph" w:customStyle="1" w:styleId="CitaviBibliographyHeading">
    <w:name w:val="Citavi Bibliography Heading"/>
    <w:basedOn w:val="Heading1"/>
    <w:link w:val="CitaviBibliographyHeadingChar"/>
    <w:rsid w:val="009C591A"/>
    <w:pPr>
      <w:jc w:val="left"/>
    </w:pPr>
  </w:style>
  <w:style w:type="character" w:customStyle="1" w:styleId="CitaviBibliographyHeadingChar">
    <w:name w:val="Citavi Bibliography Heading Char"/>
    <w:basedOn w:val="DefaultParagraphFont"/>
    <w:link w:val="CitaviBibliographyHeading"/>
    <w:rsid w:val="009C591A"/>
    <w:rPr>
      <w:rFonts w:eastAsia="Times New Roman" w:cs="Times New Roman"/>
      <w:b/>
      <w:snapToGrid w:val="0"/>
      <w:color w:val="000000"/>
      <w:sz w:val="28"/>
      <w:szCs w:val="20"/>
      <w:shd w:val="clear" w:color="auto" w:fill="FFFFFF"/>
    </w:rPr>
  </w:style>
  <w:style w:type="paragraph" w:customStyle="1" w:styleId="CitaviBibliographySubheading1">
    <w:name w:val="Citavi Bibliography Subheading 1"/>
    <w:basedOn w:val="Heading2"/>
    <w:link w:val="CitaviBibliographySubheading1Char"/>
    <w:rsid w:val="009C591A"/>
    <w:pPr>
      <w:outlineLvl w:val="9"/>
    </w:pPr>
  </w:style>
  <w:style w:type="character" w:customStyle="1" w:styleId="CitaviBibliographySubheading1Char">
    <w:name w:val="Citavi Bibliography Subheading 1 Char"/>
    <w:basedOn w:val="DefaultParagraphFont"/>
    <w:link w:val="CitaviBibliographySubheading1"/>
    <w:rsid w:val="009C591A"/>
    <w:rPr>
      <w:rFonts w:asciiTheme="majorHAnsi" w:eastAsiaTheme="majorEastAsia" w:hAnsiTheme="majorHAnsi" w:cstheme="majorBidi"/>
      <w:color w:val="2E74B5" w:themeColor="accent1" w:themeShade="BF"/>
      <w:sz w:val="26"/>
      <w:szCs w:val="26"/>
    </w:rPr>
  </w:style>
  <w:style w:type="paragraph" w:customStyle="1" w:styleId="CitaviBibliographySubheading2">
    <w:name w:val="Citavi Bibliography Subheading 2"/>
    <w:basedOn w:val="Heading3"/>
    <w:link w:val="CitaviBibliographySubheading2Char"/>
    <w:rsid w:val="009C591A"/>
    <w:pPr>
      <w:outlineLvl w:val="9"/>
    </w:pPr>
  </w:style>
  <w:style w:type="character" w:customStyle="1" w:styleId="CitaviBibliographySubheading2Char">
    <w:name w:val="Citavi Bibliography Subheading 2 Char"/>
    <w:basedOn w:val="DefaultParagraphFont"/>
    <w:link w:val="CitaviBibliographySubheading2"/>
    <w:rsid w:val="009C591A"/>
    <w:rPr>
      <w:rFonts w:asciiTheme="majorHAnsi" w:eastAsiaTheme="majorEastAsia" w:hAnsiTheme="majorHAnsi" w:cstheme="majorBidi"/>
      <w:color w:val="1F4D78" w:themeColor="accent1" w:themeShade="7F"/>
      <w:szCs w:val="24"/>
    </w:rPr>
  </w:style>
  <w:style w:type="paragraph" w:customStyle="1" w:styleId="CitaviBibliographySubheading3">
    <w:name w:val="Citavi Bibliography Subheading 3"/>
    <w:basedOn w:val="Heading4"/>
    <w:link w:val="CitaviBibliographySubheading3Char"/>
    <w:rsid w:val="009C591A"/>
    <w:pPr>
      <w:outlineLvl w:val="9"/>
    </w:pPr>
  </w:style>
  <w:style w:type="character" w:customStyle="1" w:styleId="CitaviBibliographySubheading3Char">
    <w:name w:val="Citavi Bibliography Subheading 3 Char"/>
    <w:basedOn w:val="DefaultParagraphFont"/>
    <w:link w:val="CitaviBibliographySubheading3"/>
    <w:rsid w:val="009C591A"/>
    <w:rPr>
      <w:rFonts w:asciiTheme="majorHAnsi" w:eastAsiaTheme="majorEastAsia" w:hAnsiTheme="majorHAnsi" w:cstheme="majorBidi"/>
      <w:i/>
      <w:iCs/>
      <w:color w:val="2E74B5" w:themeColor="accent1" w:themeShade="BF"/>
      <w:szCs w:val="24"/>
    </w:rPr>
  </w:style>
  <w:style w:type="paragraph" w:customStyle="1" w:styleId="CitaviBibliographySubheading4">
    <w:name w:val="Citavi Bibliography Subheading 4"/>
    <w:basedOn w:val="Heading5"/>
    <w:link w:val="CitaviBibliographySubheading4Char"/>
    <w:rsid w:val="009C591A"/>
    <w:pPr>
      <w:outlineLvl w:val="9"/>
    </w:pPr>
  </w:style>
  <w:style w:type="character" w:customStyle="1" w:styleId="CitaviBibliographySubheading4Char">
    <w:name w:val="Citavi Bibliography Subheading 4 Char"/>
    <w:basedOn w:val="DefaultParagraphFont"/>
    <w:link w:val="CitaviBibliographySubheading4"/>
    <w:rsid w:val="009C591A"/>
    <w:rPr>
      <w:rFonts w:asciiTheme="majorHAnsi" w:eastAsiaTheme="majorEastAsia" w:hAnsiTheme="majorHAnsi" w:cstheme="majorBidi"/>
      <w:color w:val="2E74B5" w:themeColor="accent1" w:themeShade="BF"/>
      <w:szCs w:val="24"/>
    </w:rPr>
  </w:style>
  <w:style w:type="paragraph" w:customStyle="1" w:styleId="CitaviBibliographySubheading5">
    <w:name w:val="Citavi Bibliography Subheading 5"/>
    <w:basedOn w:val="Heading6"/>
    <w:link w:val="CitaviBibliographySubheading5Char"/>
    <w:rsid w:val="009C591A"/>
    <w:pPr>
      <w:outlineLvl w:val="9"/>
    </w:pPr>
  </w:style>
  <w:style w:type="character" w:customStyle="1" w:styleId="CitaviBibliographySubheading5Char">
    <w:name w:val="Citavi Bibliography Subheading 5 Char"/>
    <w:basedOn w:val="DefaultParagraphFont"/>
    <w:link w:val="CitaviBibliographySubheading5"/>
    <w:rsid w:val="009C591A"/>
    <w:rPr>
      <w:rFonts w:asciiTheme="majorHAnsi" w:eastAsiaTheme="majorEastAsia" w:hAnsiTheme="majorHAnsi" w:cstheme="majorBidi"/>
      <w:color w:val="1F4D78" w:themeColor="accent1" w:themeShade="7F"/>
      <w:szCs w:val="24"/>
    </w:rPr>
  </w:style>
  <w:style w:type="paragraph" w:customStyle="1" w:styleId="CitaviBibliographySubheading6">
    <w:name w:val="Citavi Bibliography Subheading 6"/>
    <w:basedOn w:val="Heading7"/>
    <w:link w:val="CitaviBibliographySubheading6Char"/>
    <w:rsid w:val="009C591A"/>
    <w:pPr>
      <w:outlineLvl w:val="9"/>
    </w:pPr>
  </w:style>
  <w:style w:type="character" w:customStyle="1" w:styleId="CitaviBibliographySubheading6Char">
    <w:name w:val="Citavi Bibliography Subheading 6 Char"/>
    <w:basedOn w:val="DefaultParagraphFont"/>
    <w:link w:val="CitaviBibliographySubheading6"/>
    <w:rsid w:val="009C591A"/>
    <w:rPr>
      <w:rFonts w:asciiTheme="majorHAnsi" w:eastAsiaTheme="majorEastAsia" w:hAnsiTheme="majorHAnsi" w:cstheme="majorBidi"/>
      <w:i/>
      <w:iCs/>
      <w:color w:val="1F4D78" w:themeColor="accent1" w:themeShade="7F"/>
      <w:szCs w:val="24"/>
    </w:rPr>
  </w:style>
  <w:style w:type="paragraph" w:customStyle="1" w:styleId="CitaviBibliographySubheading7">
    <w:name w:val="Citavi Bibliography Subheading 7"/>
    <w:basedOn w:val="Heading8"/>
    <w:link w:val="CitaviBibliographySubheading7Char"/>
    <w:rsid w:val="009C591A"/>
    <w:pPr>
      <w:outlineLvl w:val="9"/>
    </w:pPr>
  </w:style>
  <w:style w:type="character" w:customStyle="1" w:styleId="CitaviBibliographySubheading7Char">
    <w:name w:val="Citavi Bibliography Subheading 7 Char"/>
    <w:basedOn w:val="DefaultParagraphFont"/>
    <w:link w:val="CitaviBibliographySubheading7"/>
    <w:rsid w:val="009C591A"/>
    <w:rPr>
      <w:rFonts w:asciiTheme="majorHAnsi" w:eastAsiaTheme="majorEastAsia" w:hAnsiTheme="majorHAnsi" w:cstheme="majorBidi"/>
      <w:color w:val="272727" w:themeColor="text1" w:themeTint="D8"/>
      <w:sz w:val="21"/>
      <w:szCs w:val="21"/>
    </w:rPr>
  </w:style>
  <w:style w:type="paragraph" w:customStyle="1" w:styleId="CitaviBibliographySubheading8">
    <w:name w:val="Citavi Bibliography Subheading 8"/>
    <w:basedOn w:val="Heading9"/>
    <w:link w:val="CitaviBibliographySubheading8Char"/>
    <w:rsid w:val="009C591A"/>
    <w:pPr>
      <w:outlineLvl w:val="9"/>
    </w:pPr>
  </w:style>
  <w:style w:type="character" w:customStyle="1" w:styleId="CitaviBibliographySubheading8Char">
    <w:name w:val="Citavi Bibliography Subheading 8 Char"/>
    <w:basedOn w:val="DefaultParagraphFont"/>
    <w:link w:val="CitaviBibliographySubheading8"/>
    <w:rsid w:val="009C591A"/>
    <w:rPr>
      <w:rFonts w:asciiTheme="majorHAnsi" w:eastAsiaTheme="majorEastAsia" w:hAnsiTheme="majorHAnsi" w:cstheme="majorBidi"/>
      <w:i/>
      <w:iCs/>
      <w:color w:val="272727" w:themeColor="text1" w:themeTint="D8"/>
      <w:sz w:val="21"/>
      <w:szCs w:val="21"/>
    </w:rPr>
  </w:style>
  <w:style w:type="paragraph" w:customStyle="1" w:styleId="tv2132">
    <w:name w:val="tv2132"/>
    <w:basedOn w:val="Normal"/>
    <w:rsid w:val="009C591A"/>
    <w:pPr>
      <w:spacing w:line="360" w:lineRule="auto"/>
      <w:ind w:firstLine="300"/>
    </w:pPr>
    <w:rPr>
      <w:color w:val="414142"/>
      <w:sz w:val="20"/>
      <w:szCs w:val="20"/>
      <w:lang w:eastAsia="lv-LV"/>
    </w:rPr>
  </w:style>
  <w:style w:type="paragraph" w:customStyle="1" w:styleId="naisf">
    <w:name w:val="naisf"/>
    <w:basedOn w:val="Normal"/>
    <w:rsid w:val="009C591A"/>
    <w:pPr>
      <w:spacing w:before="100" w:beforeAutospacing="1" w:after="100" w:afterAutospacing="1"/>
      <w:jc w:val="both"/>
    </w:pPr>
    <w:rPr>
      <w:lang w:val="en-US"/>
    </w:rPr>
  </w:style>
  <w:style w:type="paragraph" w:customStyle="1" w:styleId="ML-4tx-2">
    <w:name w:val="ML-4tx-2"/>
    <w:basedOn w:val="Normal"/>
    <w:link w:val="ML-4tx-2Char"/>
    <w:qFormat/>
    <w:rsid w:val="009C591A"/>
    <w:pPr>
      <w:tabs>
        <w:tab w:val="left" w:pos="851"/>
      </w:tabs>
      <w:spacing w:before="60"/>
      <w:ind w:firstLine="567"/>
      <w:jc w:val="both"/>
    </w:pPr>
    <w:rPr>
      <w:spacing w:val="-3"/>
      <w:sz w:val="21"/>
      <w:szCs w:val="21"/>
      <w:lang w:eastAsia="lv-LV"/>
    </w:rPr>
  </w:style>
  <w:style w:type="character" w:customStyle="1" w:styleId="ML-4tx-2Char">
    <w:name w:val="ML-4tx-2 Char"/>
    <w:basedOn w:val="DefaultParagraphFont"/>
    <w:link w:val="ML-4tx-2"/>
    <w:rsid w:val="009C591A"/>
    <w:rPr>
      <w:rFonts w:eastAsia="Times New Roman" w:cs="Times New Roman"/>
      <w:spacing w:val="-3"/>
      <w:sz w:val="21"/>
      <w:szCs w:val="21"/>
      <w:lang w:eastAsia="lv-LV"/>
    </w:rPr>
  </w:style>
  <w:style w:type="paragraph" w:customStyle="1" w:styleId="ML-5tx-pti">
    <w:name w:val="ML-5tx-pti"/>
    <w:basedOn w:val="ListParagraph"/>
    <w:link w:val="ML-5tx-ptiChar"/>
    <w:qFormat/>
    <w:rsid w:val="009C591A"/>
    <w:pPr>
      <w:numPr>
        <w:numId w:val="30"/>
      </w:numPr>
      <w:spacing w:before="60"/>
      <w:ind w:left="568" w:hanging="284"/>
      <w:contextualSpacing w:val="0"/>
      <w:jc w:val="both"/>
    </w:pPr>
    <w:rPr>
      <w:spacing w:val="-3"/>
      <w:sz w:val="21"/>
      <w:szCs w:val="21"/>
      <w:lang w:eastAsia="lv-LV"/>
    </w:rPr>
  </w:style>
  <w:style w:type="character" w:customStyle="1" w:styleId="ML-5tx-ptiChar">
    <w:name w:val="ML-5tx-pti Char"/>
    <w:basedOn w:val="DefaultParagraphFont"/>
    <w:link w:val="ML-5tx-pti"/>
    <w:rsid w:val="009C591A"/>
    <w:rPr>
      <w:rFonts w:eastAsia="Times New Roman" w:cs="Times New Roman"/>
      <w:spacing w:val="-3"/>
      <w:sz w:val="21"/>
      <w:szCs w:val="21"/>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2624">
      <w:bodyDiv w:val="1"/>
      <w:marLeft w:val="0"/>
      <w:marRight w:val="0"/>
      <w:marTop w:val="0"/>
      <w:marBottom w:val="0"/>
      <w:divBdr>
        <w:top w:val="none" w:sz="0" w:space="0" w:color="auto"/>
        <w:left w:val="none" w:sz="0" w:space="0" w:color="auto"/>
        <w:bottom w:val="none" w:sz="0" w:space="0" w:color="auto"/>
        <w:right w:val="none" w:sz="0" w:space="0" w:color="auto"/>
      </w:divBdr>
    </w:div>
    <w:div w:id="37704241">
      <w:bodyDiv w:val="1"/>
      <w:marLeft w:val="0"/>
      <w:marRight w:val="0"/>
      <w:marTop w:val="0"/>
      <w:marBottom w:val="0"/>
      <w:divBdr>
        <w:top w:val="none" w:sz="0" w:space="0" w:color="auto"/>
        <w:left w:val="none" w:sz="0" w:space="0" w:color="auto"/>
        <w:bottom w:val="none" w:sz="0" w:space="0" w:color="auto"/>
        <w:right w:val="none" w:sz="0" w:space="0" w:color="auto"/>
      </w:divBdr>
    </w:div>
    <w:div w:id="44254079">
      <w:bodyDiv w:val="1"/>
      <w:marLeft w:val="0"/>
      <w:marRight w:val="0"/>
      <w:marTop w:val="0"/>
      <w:marBottom w:val="0"/>
      <w:divBdr>
        <w:top w:val="none" w:sz="0" w:space="0" w:color="auto"/>
        <w:left w:val="none" w:sz="0" w:space="0" w:color="auto"/>
        <w:bottom w:val="none" w:sz="0" w:space="0" w:color="auto"/>
        <w:right w:val="none" w:sz="0" w:space="0" w:color="auto"/>
      </w:divBdr>
      <w:divsChild>
        <w:div w:id="2009672604">
          <w:marLeft w:val="0"/>
          <w:marRight w:val="0"/>
          <w:marTop w:val="0"/>
          <w:marBottom w:val="0"/>
          <w:divBdr>
            <w:top w:val="none" w:sz="0" w:space="0" w:color="auto"/>
            <w:left w:val="none" w:sz="0" w:space="0" w:color="auto"/>
            <w:bottom w:val="none" w:sz="0" w:space="0" w:color="auto"/>
            <w:right w:val="none" w:sz="0" w:space="0" w:color="auto"/>
          </w:divBdr>
        </w:div>
      </w:divsChild>
    </w:div>
    <w:div w:id="76901562">
      <w:bodyDiv w:val="1"/>
      <w:marLeft w:val="0"/>
      <w:marRight w:val="0"/>
      <w:marTop w:val="0"/>
      <w:marBottom w:val="0"/>
      <w:divBdr>
        <w:top w:val="none" w:sz="0" w:space="0" w:color="auto"/>
        <w:left w:val="none" w:sz="0" w:space="0" w:color="auto"/>
        <w:bottom w:val="none" w:sz="0" w:space="0" w:color="auto"/>
        <w:right w:val="none" w:sz="0" w:space="0" w:color="auto"/>
      </w:divBdr>
      <w:divsChild>
        <w:div w:id="39861301">
          <w:marLeft w:val="0"/>
          <w:marRight w:val="0"/>
          <w:marTop w:val="0"/>
          <w:marBottom w:val="0"/>
          <w:divBdr>
            <w:top w:val="none" w:sz="0" w:space="0" w:color="auto"/>
            <w:left w:val="none" w:sz="0" w:space="0" w:color="auto"/>
            <w:bottom w:val="none" w:sz="0" w:space="0" w:color="auto"/>
            <w:right w:val="none" w:sz="0" w:space="0" w:color="auto"/>
          </w:divBdr>
        </w:div>
      </w:divsChild>
    </w:div>
    <w:div w:id="107164428">
      <w:bodyDiv w:val="1"/>
      <w:marLeft w:val="0"/>
      <w:marRight w:val="0"/>
      <w:marTop w:val="0"/>
      <w:marBottom w:val="0"/>
      <w:divBdr>
        <w:top w:val="none" w:sz="0" w:space="0" w:color="auto"/>
        <w:left w:val="none" w:sz="0" w:space="0" w:color="auto"/>
        <w:bottom w:val="none" w:sz="0" w:space="0" w:color="auto"/>
        <w:right w:val="none" w:sz="0" w:space="0" w:color="auto"/>
      </w:divBdr>
    </w:div>
    <w:div w:id="148668316">
      <w:bodyDiv w:val="1"/>
      <w:marLeft w:val="0"/>
      <w:marRight w:val="0"/>
      <w:marTop w:val="0"/>
      <w:marBottom w:val="0"/>
      <w:divBdr>
        <w:top w:val="none" w:sz="0" w:space="0" w:color="auto"/>
        <w:left w:val="none" w:sz="0" w:space="0" w:color="auto"/>
        <w:bottom w:val="none" w:sz="0" w:space="0" w:color="auto"/>
        <w:right w:val="none" w:sz="0" w:space="0" w:color="auto"/>
      </w:divBdr>
    </w:div>
    <w:div w:id="190460471">
      <w:bodyDiv w:val="1"/>
      <w:marLeft w:val="0"/>
      <w:marRight w:val="0"/>
      <w:marTop w:val="0"/>
      <w:marBottom w:val="0"/>
      <w:divBdr>
        <w:top w:val="none" w:sz="0" w:space="0" w:color="auto"/>
        <w:left w:val="none" w:sz="0" w:space="0" w:color="auto"/>
        <w:bottom w:val="none" w:sz="0" w:space="0" w:color="auto"/>
        <w:right w:val="none" w:sz="0" w:space="0" w:color="auto"/>
      </w:divBdr>
    </w:div>
    <w:div w:id="193886320">
      <w:bodyDiv w:val="1"/>
      <w:marLeft w:val="0"/>
      <w:marRight w:val="0"/>
      <w:marTop w:val="0"/>
      <w:marBottom w:val="0"/>
      <w:divBdr>
        <w:top w:val="none" w:sz="0" w:space="0" w:color="auto"/>
        <w:left w:val="none" w:sz="0" w:space="0" w:color="auto"/>
        <w:bottom w:val="none" w:sz="0" w:space="0" w:color="auto"/>
        <w:right w:val="none" w:sz="0" w:space="0" w:color="auto"/>
      </w:divBdr>
    </w:div>
    <w:div w:id="213930447">
      <w:bodyDiv w:val="1"/>
      <w:marLeft w:val="0"/>
      <w:marRight w:val="0"/>
      <w:marTop w:val="0"/>
      <w:marBottom w:val="0"/>
      <w:divBdr>
        <w:top w:val="none" w:sz="0" w:space="0" w:color="auto"/>
        <w:left w:val="none" w:sz="0" w:space="0" w:color="auto"/>
        <w:bottom w:val="none" w:sz="0" w:space="0" w:color="auto"/>
        <w:right w:val="none" w:sz="0" w:space="0" w:color="auto"/>
      </w:divBdr>
    </w:div>
    <w:div w:id="270864663">
      <w:bodyDiv w:val="1"/>
      <w:marLeft w:val="0"/>
      <w:marRight w:val="0"/>
      <w:marTop w:val="0"/>
      <w:marBottom w:val="0"/>
      <w:divBdr>
        <w:top w:val="none" w:sz="0" w:space="0" w:color="auto"/>
        <w:left w:val="none" w:sz="0" w:space="0" w:color="auto"/>
        <w:bottom w:val="none" w:sz="0" w:space="0" w:color="auto"/>
        <w:right w:val="none" w:sz="0" w:space="0" w:color="auto"/>
      </w:divBdr>
    </w:div>
    <w:div w:id="308369623">
      <w:bodyDiv w:val="1"/>
      <w:marLeft w:val="0"/>
      <w:marRight w:val="0"/>
      <w:marTop w:val="0"/>
      <w:marBottom w:val="0"/>
      <w:divBdr>
        <w:top w:val="none" w:sz="0" w:space="0" w:color="auto"/>
        <w:left w:val="none" w:sz="0" w:space="0" w:color="auto"/>
        <w:bottom w:val="none" w:sz="0" w:space="0" w:color="auto"/>
        <w:right w:val="none" w:sz="0" w:space="0" w:color="auto"/>
      </w:divBdr>
      <w:divsChild>
        <w:div w:id="745959306">
          <w:marLeft w:val="0"/>
          <w:marRight w:val="0"/>
          <w:marTop w:val="0"/>
          <w:marBottom w:val="0"/>
          <w:divBdr>
            <w:top w:val="none" w:sz="0" w:space="0" w:color="auto"/>
            <w:left w:val="none" w:sz="0" w:space="0" w:color="auto"/>
            <w:bottom w:val="none" w:sz="0" w:space="0" w:color="auto"/>
            <w:right w:val="none" w:sz="0" w:space="0" w:color="auto"/>
          </w:divBdr>
        </w:div>
      </w:divsChild>
    </w:div>
    <w:div w:id="513036598">
      <w:bodyDiv w:val="1"/>
      <w:marLeft w:val="0"/>
      <w:marRight w:val="0"/>
      <w:marTop w:val="0"/>
      <w:marBottom w:val="0"/>
      <w:divBdr>
        <w:top w:val="none" w:sz="0" w:space="0" w:color="auto"/>
        <w:left w:val="none" w:sz="0" w:space="0" w:color="auto"/>
        <w:bottom w:val="none" w:sz="0" w:space="0" w:color="auto"/>
        <w:right w:val="none" w:sz="0" w:space="0" w:color="auto"/>
      </w:divBdr>
    </w:div>
    <w:div w:id="598830742">
      <w:bodyDiv w:val="1"/>
      <w:marLeft w:val="0"/>
      <w:marRight w:val="0"/>
      <w:marTop w:val="0"/>
      <w:marBottom w:val="0"/>
      <w:divBdr>
        <w:top w:val="none" w:sz="0" w:space="0" w:color="auto"/>
        <w:left w:val="none" w:sz="0" w:space="0" w:color="auto"/>
        <w:bottom w:val="none" w:sz="0" w:space="0" w:color="auto"/>
        <w:right w:val="none" w:sz="0" w:space="0" w:color="auto"/>
      </w:divBdr>
      <w:divsChild>
        <w:div w:id="2004048833">
          <w:marLeft w:val="0"/>
          <w:marRight w:val="0"/>
          <w:marTop w:val="0"/>
          <w:marBottom w:val="0"/>
          <w:divBdr>
            <w:top w:val="none" w:sz="0" w:space="0" w:color="auto"/>
            <w:left w:val="none" w:sz="0" w:space="0" w:color="auto"/>
            <w:bottom w:val="none" w:sz="0" w:space="0" w:color="auto"/>
            <w:right w:val="none" w:sz="0" w:space="0" w:color="auto"/>
          </w:divBdr>
        </w:div>
      </w:divsChild>
    </w:div>
    <w:div w:id="629629137">
      <w:bodyDiv w:val="1"/>
      <w:marLeft w:val="0"/>
      <w:marRight w:val="0"/>
      <w:marTop w:val="0"/>
      <w:marBottom w:val="0"/>
      <w:divBdr>
        <w:top w:val="none" w:sz="0" w:space="0" w:color="auto"/>
        <w:left w:val="none" w:sz="0" w:space="0" w:color="auto"/>
        <w:bottom w:val="none" w:sz="0" w:space="0" w:color="auto"/>
        <w:right w:val="none" w:sz="0" w:space="0" w:color="auto"/>
      </w:divBdr>
    </w:div>
    <w:div w:id="774980091">
      <w:bodyDiv w:val="1"/>
      <w:marLeft w:val="0"/>
      <w:marRight w:val="0"/>
      <w:marTop w:val="0"/>
      <w:marBottom w:val="0"/>
      <w:divBdr>
        <w:top w:val="none" w:sz="0" w:space="0" w:color="auto"/>
        <w:left w:val="none" w:sz="0" w:space="0" w:color="auto"/>
        <w:bottom w:val="none" w:sz="0" w:space="0" w:color="auto"/>
        <w:right w:val="none" w:sz="0" w:space="0" w:color="auto"/>
      </w:divBdr>
    </w:div>
    <w:div w:id="793715323">
      <w:bodyDiv w:val="1"/>
      <w:marLeft w:val="0"/>
      <w:marRight w:val="0"/>
      <w:marTop w:val="0"/>
      <w:marBottom w:val="0"/>
      <w:divBdr>
        <w:top w:val="none" w:sz="0" w:space="0" w:color="auto"/>
        <w:left w:val="none" w:sz="0" w:space="0" w:color="auto"/>
        <w:bottom w:val="none" w:sz="0" w:space="0" w:color="auto"/>
        <w:right w:val="none" w:sz="0" w:space="0" w:color="auto"/>
      </w:divBdr>
    </w:div>
    <w:div w:id="812059651">
      <w:bodyDiv w:val="1"/>
      <w:marLeft w:val="0"/>
      <w:marRight w:val="0"/>
      <w:marTop w:val="0"/>
      <w:marBottom w:val="0"/>
      <w:divBdr>
        <w:top w:val="none" w:sz="0" w:space="0" w:color="auto"/>
        <w:left w:val="none" w:sz="0" w:space="0" w:color="auto"/>
        <w:bottom w:val="none" w:sz="0" w:space="0" w:color="auto"/>
        <w:right w:val="none" w:sz="0" w:space="0" w:color="auto"/>
      </w:divBdr>
    </w:div>
    <w:div w:id="876431189">
      <w:bodyDiv w:val="1"/>
      <w:marLeft w:val="0"/>
      <w:marRight w:val="0"/>
      <w:marTop w:val="0"/>
      <w:marBottom w:val="0"/>
      <w:divBdr>
        <w:top w:val="none" w:sz="0" w:space="0" w:color="auto"/>
        <w:left w:val="none" w:sz="0" w:space="0" w:color="auto"/>
        <w:bottom w:val="none" w:sz="0" w:space="0" w:color="auto"/>
        <w:right w:val="none" w:sz="0" w:space="0" w:color="auto"/>
      </w:divBdr>
    </w:div>
    <w:div w:id="916859421">
      <w:bodyDiv w:val="1"/>
      <w:marLeft w:val="0"/>
      <w:marRight w:val="0"/>
      <w:marTop w:val="0"/>
      <w:marBottom w:val="0"/>
      <w:divBdr>
        <w:top w:val="none" w:sz="0" w:space="0" w:color="auto"/>
        <w:left w:val="none" w:sz="0" w:space="0" w:color="auto"/>
        <w:bottom w:val="none" w:sz="0" w:space="0" w:color="auto"/>
        <w:right w:val="none" w:sz="0" w:space="0" w:color="auto"/>
      </w:divBdr>
    </w:div>
    <w:div w:id="934433796">
      <w:bodyDiv w:val="1"/>
      <w:marLeft w:val="0"/>
      <w:marRight w:val="0"/>
      <w:marTop w:val="0"/>
      <w:marBottom w:val="0"/>
      <w:divBdr>
        <w:top w:val="none" w:sz="0" w:space="0" w:color="auto"/>
        <w:left w:val="none" w:sz="0" w:space="0" w:color="auto"/>
        <w:bottom w:val="none" w:sz="0" w:space="0" w:color="auto"/>
        <w:right w:val="none" w:sz="0" w:space="0" w:color="auto"/>
      </w:divBdr>
      <w:divsChild>
        <w:div w:id="541944624">
          <w:marLeft w:val="0"/>
          <w:marRight w:val="0"/>
          <w:marTop w:val="0"/>
          <w:marBottom w:val="0"/>
          <w:divBdr>
            <w:top w:val="none" w:sz="0" w:space="0" w:color="auto"/>
            <w:left w:val="none" w:sz="0" w:space="0" w:color="auto"/>
            <w:bottom w:val="none" w:sz="0" w:space="0" w:color="auto"/>
            <w:right w:val="none" w:sz="0" w:space="0" w:color="auto"/>
          </w:divBdr>
        </w:div>
      </w:divsChild>
    </w:div>
    <w:div w:id="935864781">
      <w:bodyDiv w:val="1"/>
      <w:marLeft w:val="0"/>
      <w:marRight w:val="0"/>
      <w:marTop w:val="0"/>
      <w:marBottom w:val="0"/>
      <w:divBdr>
        <w:top w:val="none" w:sz="0" w:space="0" w:color="auto"/>
        <w:left w:val="none" w:sz="0" w:space="0" w:color="auto"/>
        <w:bottom w:val="none" w:sz="0" w:space="0" w:color="auto"/>
        <w:right w:val="none" w:sz="0" w:space="0" w:color="auto"/>
      </w:divBdr>
    </w:div>
    <w:div w:id="1002708089">
      <w:bodyDiv w:val="1"/>
      <w:marLeft w:val="0"/>
      <w:marRight w:val="0"/>
      <w:marTop w:val="0"/>
      <w:marBottom w:val="0"/>
      <w:divBdr>
        <w:top w:val="none" w:sz="0" w:space="0" w:color="auto"/>
        <w:left w:val="none" w:sz="0" w:space="0" w:color="auto"/>
        <w:bottom w:val="none" w:sz="0" w:space="0" w:color="auto"/>
        <w:right w:val="none" w:sz="0" w:space="0" w:color="auto"/>
      </w:divBdr>
      <w:divsChild>
        <w:div w:id="578372535">
          <w:marLeft w:val="0"/>
          <w:marRight w:val="0"/>
          <w:marTop w:val="0"/>
          <w:marBottom w:val="0"/>
          <w:divBdr>
            <w:top w:val="none" w:sz="0" w:space="0" w:color="auto"/>
            <w:left w:val="none" w:sz="0" w:space="0" w:color="auto"/>
            <w:bottom w:val="none" w:sz="0" w:space="0" w:color="auto"/>
            <w:right w:val="none" w:sz="0" w:space="0" w:color="auto"/>
          </w:divBdr>
        </w:div>
      </w:divsChild>
    </w:div>
    <w:div w:id="1039236342">
      <w:bodyDiv w:val="1"/>
      <w:marLeft w:val="0"/>
      <w:marRight w:val="0"/>
      <w:marTop w:val="0"/>
      <w:marBottom w:val="0"/>
      <w:divBdr>
        <w:top w:val="none" w:sz="0" w:space="0" w:color="auto"/>
        <w:left w:val="none" w:sz="0" w:space="0" w:color="auto"/>
        <w:bottom w:val="none" w:sz="0" w:space="0" w:color="auto"/>
        <w:right w:val="none" w:sz="0" w:space="0" w:color="auto"/>
      </w:divBdr>
      <w:divsChild>
        <w:div w:id="1633824459">
          <w:marLeft w:val="0"/>
          <w:marRight w:val="0"/>
          <w:marTop w:val="240"/>
          <w:marBottom w:val="0"/>
          <w:divBdr>
            <w:top w:val="none" w:sz="0" w:space="0" w:color="auto"/>
            <w:left w:val="none" w:sz="0" w:space="0" w:color="auto"/>
            <w:bottom w:val="none" w:sz="0" w:space="0" w:color="auto"/>
            <w:right w:val="none" w:sz="0" w:space="0" w:color="auto"/>
          </w:divBdr>
          <w:divsChild>
            <w:div w:id="19346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14906">
      <w:bodyDiv w:val="1"/>
      <w:marLeft w:val="0"/>
      <w:marRight w:val="0"/>
      <w:marTop w:val="0"/>
      <w:marBottom w:val="0"/>
      <w:divBdr>
        <w:top w:val="none" w:sz="0" w:space="0" w:color="auto"/>
        <w:left w:val="none" w:sz="0" w:space="0" w:color="auto"/>
        <w:bottom w:val="none" w:sz="0" w:space="0" w:color="auto"/>
        <w:right w:val="none" w:sz="0" w:space="0" w:color="auto"/>
      </w:divBdr>
      <w:divsChild>
        <w:div w:id="1839230919">
          <w:marLeft w:val="0"/>
          <w:marRight w:val="0"/>
          <w:marTop w:val="0"/>
          <w:marBottom w:val="0"/>
          <w:divBdr>
            <w:top w:val="none" w:sz="0" w:space="0" w:color="auto"/>
            <w:left w:val="none" w:sz="0" w:space="0" w:color="auto"/>
            <w:bottom w:val="none" w:sz="0" w:space="0" w:color="auto"/>
            <w:right w:val="none" w:sz="0" w:space="0" w:color="auto"/>
          </w:divBdr>
        </w:div>
      </w:divsChild>
    </w:div>
    <w:div w:id="1099104910">
      <w:bodyDiv w:val="1"/>
      <w:marLeft w:val="0"/>
      <w:marRight w:val="0"/>
      <w:marTop w:val="0"/>
      <w:marBottom w:val="0"/>
      <w:divBdr>
        <w:top w:val="none" w:sz="0" w:space="0" w:color="auto"/>
        <w:left w:val="none" w:sz="0" w:space="0" w:color="auto"/>
        <w:bottom w:val="none" w:sz="0" w:space="0" w:color="auto"/>
        <w:right w:val="none" w:sz="0" w:space="0" w:color="auto"/>
      </w:divBdr>
    </w:div>
    <w:div w:id="1111242448">
      <w:bodyDiv w:val="1"/>
      <w:marLeft w:val="0"/>
      <w:marRight w:val="0"/>
      <w:marTop w:val="0"/>
      <w:marBottom w:val="0"/>
      <w:divBdr>
        <w:top w:val="none" w:sz="0" w:space="0" w:color="auto"/>
        <w:left w:val="none" w:sz="0" w:space="0" w:color="auto"/>
        <w:bottom w:val="none" w:sz="0" w:space="0" w:color="auto"/>
        <w:right w:val="none" w:sz="0" w:space="0" w:color="auto"/>
      </w:divBdr>
    </w:div>
    <w:div w:id="1207841182">
      <w:bodyDiv w:val="1"/>
      <w:marLeft w:val="0"/>
      <w:marRight w:val="0"/>
      <w:marTop w:val="0"/>
      <w:marBottom w:val="0"/>
      <w:divBdr>
        <w:top w:val="none" w:sz="0" w:space="0" w:color="auto"/>
        <w:left w:val="none" w:sz="0" w:space="0" w:color="auto"/>
        <w:bottom w:val="none" w:sz="0" w:space="0" w:color="auto"/>
        <w:right w:val="none" w:sz="0" w:space="0" w:color="auto"/>
      </w:divBdr>
      <w:divsChild>
        <w:div w:id="1680305403">
          <w:marLeft w:val="0"/>
          <w:marRight w:val="0"/>
          <w:marTop w:val="0"/>
          <w:marBottom w:val="0"/>
          <w:divBdr>
            <w:top w:val="none" w:sz="0" w:space="0" w:color="auto"/>
            <w:left w:val="none" w:sz="0" w:space="0" w:color="auto"/>
            <w:bottom w:val="none" w:sz="0" w:space="0" w:color="auto"/>
            <w:right w:val="none" w:sz="0" w:space="0" w:color="auto"/>
          </w:divBdr>
        </w:div>
      </w:divsChild>
    </w:div>
    <w:div w:id="1250583498">
      <w:bodyDiv w:val="1"/>
      <w:marLeft w:val="0"/>
      <w:marRight w:val="0"/>
      <w:marTop w:val="0"/>
      <w:marBottom w:val="0"/>
      <w:divBdr>
        <w:top w:val="none" w:sz="0" w:space="0" w:color="auto"/>
        <w:left w:val="none" w:sz="0" w:space="0" w:color="auto"/>
        <w:bottom w:val="none" w:sz="0" w:space="0" w:color="auto"/>
        <w:right w:val="none" w:sz="0" w:space="0" w:color="auto"/>
      </w:divBdr>
    </w:div>
    <w:div w:id="1318651356">
      <w:bodyDiv w:val="1"/>
      <w:marLeft w:val="0"/>
      <w:marRight w:val="0"/>
      <w:marTop w:val="0"/>
      <w:marBottom w:val="0"/>
      <w:divBdr>
        <w:top w:val="none" w:sz="0" w:space="0" w:color="auto"/>
        <w:left w:val="none" w:sz="0" w:space="0" w:color="auto"/>
        <w:bottom w:val="none" w:sz="0" w:space="0" w:color="auto"/>
        <w:right w:val="none" w:sz="0" w:space="0" w:color="auto"/>
      </w:divBdr>
      <w:divsChild>
        <w:div w:id="271673471">
          <w:marLeft w:val="0"/>
          <w:marRight w:val="0"/>
          <w:marTop w:val="480"/>
          <w:marBottom w:val="240"/>
          <w:divBdr>
            <w:top w:val="none" w:sz="0" w:space="0" w:color="auto"/>
            <w:left w:val="none" w:sz="0" w:space="0" w:color="auto"/>
            <w:bottom w:val="none" w:sz="0" w:space="0" w:color="auto"/>
            <w:right w:val="none" w:sz="0" w:space="0" w:color="auto"/>
          </w:divBdr>
        </w:div>
        <w:div w:id="1775634124">
          <w:marLeft w:val="0"/>
          <w:marRight w:val="0"/>
          <w:marTop w:val="0"/>
          <w:marBottom w:val="567"/>
          <w:divBdr>
            <w:top w:val="none" w:sz="0" w:space="0" w:color="auto"/>
            <w:left w:val="none" w:sz="0" w:space="0" w:color="auto"/>
            <w:bottom w:val="none" w:sz="0" w:space="0" w:color="auto"/>
            <w:right w:val="none" w:sz="0" w:space="0" w:color="auto"/>
          </w:divBdr>
        </w:div>
      </w:divsChild>
    </w:div>
    <w:div w:id="1332829801">
      <w:bodyDiv w:val="1"/>
      <w:marLeft w:val="0"/>
      <w:marRight w:val="0"/>
      <w:marTop w:val="0"/>
      <w:marBottom w:val="0"/>
      <w:divBdr>
        <w:top w:val="none" w:sz="0" w:space="0" w:color="auto"/>
        <w:left w:val="none" w:sz="0" w:space="0" w:color="auto"/>
        <w:bottom w:val="none" w:sz="0" w:space="0" w:color="auto"/>
        <w:right w:val="none" w:sz="0" w:space="0" w:color="auto"/>
      </w:divBdr>
    </w:div>
    <w:div w:id="1333491779">
      <w:bodyDiv w:val="1"/>
      <w:marLeft w:val="0"/>
      <w:marRight w:val="0"/>
      <w:marTop w:val="0"/>
      <w:marBottom w:val="0"/>
      <w:divBdr>
        <w:top w:val="none" w:sz="0" w:space="0" w:color="auto"/>
        <w:left w:val="none" w:sz="0" w:space="0" w:color="auto"/>
        <w:bottom w:val="none" w:sz="0" w:space="0" w:color="auto"/>
        <w:right w:val="none" w:sz="0" w:space="0" w:color="auto"/>
      </w:divBdr>
      <w:divsChild>
        <w:div w:id="705376675">
          <w:marLeft w:val="0"/>
          <w:marRight w:val="0"/>
          <w:marTop w:val="240"/>
          <w:marBottom w:val="0"/>
          <w:divBdr>
            <w:top w:val="none" w:sz="0" w:space="0" w:color="auto"/>
            <w:left w:val="none" w:sz="0" w:space="0" w:color="auto"/>
            <w:bottom w:val="none" w:sz="0" w:space="0" w:color="auto"/>
            <w:right w:val="none" w:sz="0" w:space="0" w:color="auto"/>
          </w:divBdr>
          <w:divsChild>
            <w:div w:id="83973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86719">
      <w:bodyDiv w:val="1"/>
      <w:marLeft w:val="0"/>
      <w:marRight w:val="0"/>
      <w:marTop w:val="0"/>
      <w:marBottom w:val="0"/>
      <w:divBdr>
        <w:top w:val="none" w:sz="0" w:space="0" w:color="auto"/>
        <w:left w:val="none" w:sz="0" w:space="0" w:color="auto"/>
        <w:bottom w:val="none" w:sz="0" w:space="0" w:color="auto"/>
        <w:right w:val="none" w:sz="0" w:space="0" w:color="auto"/>
      </w:divBdr>
    </w:div>
    <w:div w:id="1507792825">
      <w:bodyDiv w:val="1"/>
      <w:marLeft w:val="0"/>
      <w:marRight w:val="0"/>
      <w:marTop w:val="0"/>
      <w:marBottom w:val="0"/>
      <w:divBdr>
        <w:top w:val="none" w:sz="0" w:space="0" w:color="auto"/>
        <w:left w:val="none" w:sz="0" w:space="0" w:color="auto"/>
        <w:bottom w:val="none" w:sz="0" w:space="0" w:color="auto"/>
        <w:right w:val="none" w:sz="0" w:space="0" w:color="auto"/>
      </w:divBdr>
      <w:divsChild>
        <w:div w:id="1008213903">
          <w:marLeft w:val="0"/>
          <w:marRight w:val="0"/>
          <w:marTop w:val="0"/>
          <w:marBottom w:val="0"/>
          <w:divBdr>
            <w:top w:val="none" w:sz="0" w:space="0" w:color="auto"/>
            <w:left w:val="none" w:sz="0" w:space="0" w:color="auto"/>
            <w:bottom w:val="none" w:sz="0" w:space="0" w:color="auto"/>
            <w:right w:val="none" w:sz="0" w:space="0" w:color="auto"/>
          </w:divBdr>
        </w:div>
      </w:divsChild>
    </w:div>
    <w:div w:id="1542211282">
      <w:bodyDiv w:val="1"/>
      <w:marLeft w:val="0"/>
      <w:marRight w:val="0"/>
      <w:marTop w:val="0"/>
      <w:marBottom w:val="0"/>
      <w:divBdr>
        <w:top w:val="none" w:sz="0" w:space="0" w:color="auto"/>
        <w:left w:val="none" w:sz="0" w:space="0" w:color="auto"/>
        <w:bottom w:val="none" w:sz="0" w:space="0" w:color="auto"/>
        <w:right w:val="none" w:sz="0" w:space="0" w:color="auto"/>
      </w:divBdr>
    </w:div>
    <w:div w:id="1636763975">
      <w:bodyDiv w:val="1"/>
      <w:marLeft w:val="0"/>
      <w:marRight w:val="0"/>
      <w:marTop w:val="0"/>
      <w:marBottom w:val="0"/>
      <w:divBdr>
        <w:top w:val="none" w:sz="0" w:space="0" w:color="auto"/>
        <w:left w:val="none" w:sz="0" w:space="0" w:color="auto"/>
        <w:bottom w:val="none" w:sz="0" w:space="0" w:color="auto"/>
        <w:right w:val="none" w:sz="0" w:space="0" w:color="auto"/>
      </w:divBdr>
      <w:divsChild>
        <w:div w:id="717363850">
          <w:marLeft w:val="0"/>
          <w:marRight w:val="0"/>
          <w:marTop w:val="0"/>
          <w:marBottom w:val="0"/>
          <w:divBdr>
            <w:top w:val="none" w:sz="0" w:space="0" w:color="auto"/>
            <w:left w:val="none" w:sz="0" w:space="0" w:color="auto"/>
            <w:bottom w:val="none" w:sz="0" w:space="0" w:color="auto"/>
            <w:right w:val="none" w:sz="0" w:space="0" w:color="auto"/>
          </w:divBdr>
        </w:div>
      </w:divsChild>
    </w:div>
    <w:div w:id="1717046402">
      <w:bodyDiv w:val="1"/>
      <w:marLeft w:val="0"/>
      <w:marRight w:val="0"/>
      <w:marTop w:val="0"/>
      <w:marBottom w:val="0"/>
      <w:divBdr>
        <w:top w:val="none" w:sz="0" w:space="0" w:color="auto"/>
        <w:left w:val="none" w:sz="0" w:space="0" w:color="auto"/>
        <w:bottom w:val="none" w:sz="0" w:space="0" w:color="auto"/>
        <w:right w:val="none" w:sz="0" w:space="0" w:color="auto"/>
      </w:divBdr>
      <w:divsChild>
        <w:div w:id="990907688">
          <w:marLeft w:val="0"/>
          <w:marRight w:val="0"/>
          <w:marTop w:val="480"/>
          <w:marBottom w:val="240"/>
          <w:divBdr>
            <w:top w:val="none" w:sz="0" w:space="0" w:color="auto"/>
            <w:left w:val="none" w:sz="0" w:space="0" w:color="auto"/>
            <w:bottom w:val="none" w:sz="0" w:space="0" w:color="auto"/>
            <w:right w:val="none" w:sz="0" w:space="0" w:color="auto"/>
          </w:divBdr>
        </w:div>
        <w:div w:id="1284770793">
          <w:marLeft w:val="0"/>
          <w:marRight w:val="0"/>
          <w:marTop w:val="0"/>
          <w:marBottom w:val="567"/>
          <w:divBdr>
            <w:top w:val="none" w:sz="0" w:space="0" w:color="auto"/>
            <w:left w:val="none" w:sz="0" w:space="0" w:color="auto"/>
            <w:bottom w:val="none" w:sz="0" w:space="0" w:color="auto"/>
            <w:right w:val="none" w:sz="0" w:space="0" w:color="auto"/>
          </w:divBdr>
        </w:div>
      </w:divsChild>
    </w:div>
    <w:div w:id="1777209917">
      <w:bodyDiv w:val="1"/>
      <w:marLeft w:val="0"/>
      <w:marRight w:val="0"/>
      <w:marTop w:val="0"/>
      <w:marBottom w:val="0"/>
      <w:divBdr>
        <w:top w:val="none" w:sz="0" w:space="0" w:color="auto"/>
        <w:left w:val="none" w:sz="0" w:space="0" w:color="auto"/>
        <w:bottom w:val="none" w:sz="0" w:space="0" w:color="auto"/>
        <w:right w:val="none" w:sz="0" w:space="0" w:color="auto"/>
      </w:divBdr>
    </w:div>
    <w:div w:id="1830443002">
      <w:bodyDiv w:val="1"/>
      <w:marLeft w:val="0"/>
      <w:marRight w:val="0"/>
      <w:marTop w:val="0"/>
      <w:marBottom w:val="0"/>
      <w:divBdr>
        <w:top w:val="none" w:sz="0" w:space="0" w:color="auto"/>
        <w:left w:val="none" w:sz="0" w:space="0" w:color="auto"/>
        <w:bottom w:val="none" w:sz="0" w:space="0" w:color="auto"/>
        <w:right w:val="none" w:sz="0" w:space="0" w:color="auto"/>
      </w:divBdr>
      <w:divsChild>
        <w:div w:id="1492213141">
          <w:marLeft w:val="0"/>
          <w:marRight w:val="0"/>
          <w:marTop w:val="0"/>
          <w:marBottom w:val="0"/>
          <w:divBdr>
            <w:top w:val="none" w:sz="0" w:space="0" w:color="auto"/>
            <w:left w:val="none" w:sz="0" w:space="0" w:color="auto"/>
            <w:bottom w:val="none" w:sz="0" w:space="0" w:color="auto"/>
            <w:right w:val="none" w:sz="0" w:space="0" w:color="auto"/>
          </w:divBdr>
        </w:div>
      </w:divsChild>
    </w:div>
    <w:div w:id="1865557431">
      <w:bodyDiv w:val="1"/>
      <w:marLeft w:val="0"/>
      <w:marRight w:val="0"/>
      <w:marTop w:val="0"/>
      <w:marBottom w:val="0"/>
      <w:divBdr>
        <w:top w:val="none" w:sz="0" w:space="0" w:color="auto"/>
        <w:left w:val="none" w:sz="0" w:space="0" w:color="auto"/>
        <w:bottom w:val="none" w:sz="0" w:space="0" w:color="auto"/>
        <w:right w:val="none" w:sz="0" w:space="0" w:color="auto"/>
      </w:divBdr>
      <w:divsChild>
        <w:div w:id="244002591">
          <w:marLeft w:val="0"/>
          <w:marRight w:val="0"/>
          <w:marTop w:val="0"/>
          <w:marBottom w:val="0"/>
          <w:divBdr>
            <w:top w:val="none" w:sz="0" w:space="0" w:color="auto"/>
            <w:left w:val="none" w:sz="0" w:space="0" w:color="auto"/>
            <w:bottom w:val="none" w:sz="0" w:space="0" w:color="auto"/>
            <w:right w:val="none" w:sz="0" w:space="0" w:color="auto"/>
          </w:divBdr>
        </w:div>
      </w:divsChild>
    </w:div>
    <w:div w:id="1865942873">
      <w:bodyDiv w:val="1"/>
      <w:marLeft w:val="0"/>
      <w:marRight w:val="0"/>
      <w:marTop w:val="0"/>
      <w:marBottom w:val="0"/>
      <w:divBdr>
        <w:top w:val="none" w:sz="0" w:space="0" w:color="auto"/>
        <w:left w:val="none" w:sz="0" w:space="0" w:color="auto"/>
        <w:bottom w:val="none" w:sz="0" w:space="0" w:color="auto"/>
        <w:right w:val="none" w:sz="0" w:space="0" w:color="auto"/>
      </w:divBdr>
      <w:divsChild>
        <w:div w:id="520315044">
          <w:marLeft w:val="0"/>
          <w:marRight w:val="0"/>
          <w:marTop w:val="0"/>
          <w:marBottom w:val="0"/>
          <w:divBdr>
            <w:top w:val="none" w:sz="0" w:space="0" w:color="auto"/>
            <w:left w:val="none" w:sz="0" w:space="0" w:color="auto"/>
            <w:bottom w:val="none" w:sz="0" w:space="0" w:color="auto"/>
            <w:right w:val="none" w:sz="0" w:space="0" w:color="auto"/>
          </w:divBdr>
        </w:div>
      </w:divsChild>
    </w:div>
    <w:div w:id="1887372668">
      <w:bodyDiv w:val="1"/>
      <w:marLeft w:val="0"/>
      <w:marRight w:val="0"/>
      <w:marTop w:val="0"/>
      <w:marBottom w:val="0"/>
      <w:divBdr>
        <w:top w:val="none" w:sz="0" w:space="0" w:color="auto"/>
        <w:left w:val="none" w:sz="0" w:space="0" w:color="auto"/>
        <w:bottom w:val="none" w:sz="0" w:space="0" w:color="auto"/>
        <w:right w:val="none" w:sz="0" w:space="0" w:color="auto"/>
      </w:divBdr>
    </w:div>
    <w:div w:id="1894803969">
      <w:bodyDiv w:val="1"/>
      <w:marLeft w:val="0"/>
      <w:marRight w:val="0"/>
      <w:marTop w:val="0"/>
      <w:marBottom w:val="0"/>
      <w:divBdr>
        <w:top w:val="none" w:sz="0" w:space="0" w:color="auto"/>
        <w:left w:val="none" w:sz="0" w:space="0" w:color="auto"/>
        <w:bottom w:val="none" w:sz="0" w:space="0" w:color="auto"/>
        <w:right w:val="none" w:sz="0" w:space="0" w:color="auto"/>
      </w:divBdr>
    </w:div>
    <w:div w:id="1901817584">
      <w:bodyDiv w:val="1"/>
      <w:marLeft w:val="0"/>
      <w:marRight w:val="0"/>
      <w:marTop w:val="0"/>
      <w:marBottom w:val="0"/>
      <w:divBdr>
        <w:top w:val="none" w:sz="0" w:space="0" w:color="auto"/>
        <w:left w:val="none" w:sz="0" w:space="0" w:color="auto"/>
        <w:bottom w:val="none" w:sz="0" w:space="0" w:color="auto"/>
        <w:right w:val="none" w:sz="0" w:space="0" w:color="auto"/>
      </w:divBdr>
    </w:div>
    <w:div w:id="1918398596">
      <w:bodyDiv w:val="1"/>
      <w:marLeft w:val="0"/>
      <w:marRight w:val="0"/>
      <w:marTop w:val="0"/>
      <w:marBottom w:val="0"/>
      <w:divBdr>
        <w:top w:val="none" w:sz="0" w:space="0" w:color="auto"/>
        <w:left w:val="none" w:sz="0" w:space="0" w:color="auto"/>
        <w:bottom w:val="none" w:sz="0" w:space="0" w:color="auto"/>
        <w:right w:val="none" w:sz="0" w:space="0" w:color="auto"/>
      </w:divBdr>
    </w:div>
    <w:div w:id="1942838781">
      <w:bodyDiv w:val="1"/>
      <w:marLeft w:val="0"/>
      <w:marRight w:val="0"/>
      <w:marTop w:val="0"/>
      <w:marBottom w:val="0"/>
      <w:divBdr>
        <w:top w:val="none" w:sz="0" w:space="0" w:color="auto"/>
        <w:left w:val="none" w:sz="0" w:space="0" w:color="auto"/>
        <w:bottom w:val="none" w:sz="0" w:space="0" w:color="auto"/>
        <w:right w:val="none" w:sz="0" w:space="0" w:color="auto"/>
      </w:divBdr>
    </w:div>
    <w:div w:id="1973975774">
      <w:bodyDiv w:val="1"/>
      <w:marLeft w:val="0"/>
      <w:marRight w:val="0"/>
      <w:marTop w:val="0"/>
      <w:marBottom w:val="0"/>
      <w:divBdr>
        <w:top w:val="none" w:sz="0" w:space="0" w:color="auto"/>
        <w:left w:val="none" w:sz="0" w:space="0" w:color="auto"/>
        <w:bottom w:val="none" w:sz="0" w:space="0" w:color="auto"/>
        <w:right w:val="none" w:sz="0" w:space="0" w:color="auto"/>
      </w:divBdr>
    </w:div>
    <w:div w:id="211497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46472.pdf" TargetMode="External"/><Relationship Id="rId13" Type="http://schemas.openxmlformats.org/officeDocument/2006/relationships/hyperlink" Target="http://www.lvs.lv" TargetMode="External"/><Relationship Id="rId18" Type="http://schemas.openxmlformats.org/officeDocument/2006/relationships/hyperlink" Target="https://www.at.gov.lv/files/uploads/files/docs/conferences/paraugi/kl-01%5b1%5d.07.08.doc" TargetMode="External"/><Relationship Id="rId26" Type="http://schemas.openxmlformats.org/officeDocument/2006/relationships/hyperlink" Target="https://www.at.gov.lv/downloadlawfile/5355" TargetMode="External"/><Relationship Id="rId3" Type="http://schemas.openxmlformats.org/officeDocument/2006/relationships/styles" Target="styles.xml"/><Relationship Id="rId21" Type="http://schemas.openxmlformats.org/officeDocument/2006/relationships/hyperlink" Target="https://www.at.gov.lv/downloadlawfile/3959" TargetMode="External"/><Relationship Id="rId7" Type="http://schemas.openxmlformats.org/officeDocument/2006/relationships/endnotes" Target="endnotes.xml"/><Relationship Id="rId12" Type="http://schemas.openxmlformats.org/officeDocument/2006/relationships/hyperlink" Target="https://www.at.gov.lv/downloadlawfile/8555" TargetMode="External"/><Relationship Id="rId17" Type="http://schemas.openxmlformats.org/officeDocument/2006/relationships/hyperlink" Target="https://www.at.gov.lv/downloadlawfile/9814" TargetMode="External"/><Relationship Id="rId25" Type="http://schemas.openxmlformats.org/officeDocument/2006/relationships/hyperlink" Target="https://www.at.gov.lv/downloadlawfile/5355" TargetMode="External"/><Relationship Id="rId2" Type="http://schemas.openxmlformats.org/officeDocument/2006/relationships/numbering" Target="numbering.xml"/><Relationship Id="rId16" Type="http://schemas.openxmlformats.org/officeDocument/2006/relationships/hyperlink" Target="https://www.at.gov.lv/downloadlawfile/5929" TargetMode="External"/><Relationship Id="rId20" Type="http://schemas.openxmlformats.org/officeDocument/2006/relationships/hyperlink" Target="https://www.at.gov.lv/downloadlawfile/3755"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5288" TargetMode="External"/><Relationship Id="rId24" Type="http://schemas.openxmlformats.org/officeDocument/2006/relationships/hyperlink" Target="https://eur-lex.europa.eu/legal-content/LV/TXT/?uri=CELEX:62015CJ0531" TargetMode="External"/><Relationship Id="rId5" Type="http://schemas.openxmlformats.org/officeDocument/2006/relationships/webSettings" Target="webSettings.xml"/><Relationship Id="rId15" Type="http://schemas.openxmlformats.org/officeDocument/2006/relationships/hyperlink" Target="https://www.at.gov.lv/downloadlawfile/8222" TargetMode="External"/><Relationship Id="rId23" Type="http://schemas.openxmlformats.org/officeDocument/2006/relationships/hyperlink" Target="https://curia.europa.eu/juris/document/document.jsf?text=&amp;docid=60993&amp;pageIndex=0&amp;doclang=LV&amp;mode=lst&amp;dir=&amp;occ=first&amp;part=1&amp;cid=839864" TargetMode="External"/><Relationship Id="rId28" Type="http://schemas.openxmlformats.org/officeDocument/2006/relationships/hyperlink" Target="https://www.at.gov.lv/downloadlawfile/8170" TargetMode="External"/><Relationship Id="rId10" Type="http://schemas.openxmlformats.org/officeDocument/2006/relationships/hyperlink" Target="https://www.at.gov.lv/downloadlawfile/9814" TargetMode="External"/><Relationship Id="rId19" Type="http://schemas.openxmlformats.org/officeDocument/2006/relationships/hyperlink" Target="https://www.at.gov.lv/downloadlawfile/4185"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t.gov.lv/downloadlawfile/5929" TargetMode="External"/><Relationship Id="rId14" Type="http://schemas.openxmlformats.org/officeDocument/2006/relationships/hyperlink" Target="https://www.at.gov.lv/downloadlawfile/7187" TargetMode="External"/><Relationship Id="rId22" Type="http://schemas.openxmlformats.org/officeDocument/2006/relationships/hyperlink" Target="https://www.at.gov.lv/downloadlawfile/5866" TargetMode="External"/><Relationship Id="rId27" Type="http://schemas.openxmlformats.org/officeDocument/2006/relationships/hyperlink" Target="https://www.at.gov.lv/downloadlawfile/8222"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C01F7-6D1E-45D2-91DB-CFFDABB17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145055</Words>
  <Characters>82682</Characters>
  <Application>Microsoft Office Word</Application>
  <DocSecurity>0</DocSecurity>
  <Lines>689</Lines>
  <Paragraphs>454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2024-12-19T07:40:00Z</dcterms:created>
  <dcterms:modified xsi:type="dcterms:W3CDTF">2025-01-23T09:35:00Z</dcterms:modified>
</cp:coreProperties>
</file>