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457E8" w14:textId="08FFF01C" w:rsidR="003047F5" w:rsidRDefault="00546B1F" w:rsidP="00546B1F">
      <w:pPr>
        <w:spacing w:line="276" w:lineRule="auto"/>
        <w:jc w:val="both"/>
        <w:rPr>
          <w:b/>
          <w:bCs/>
        </w:rPr>
      </w:pPr>
      <w:r>
        <w:rPr>
          <w:b/>
          <w:bCs/>
        </w:rPr>
        <w:t xml:space="preserve">Koncesijas līguma priekšmeta un līguma piešķiršanas kritēriju noteikšana atbilstoši vienlīdzīgas attieksmes un </w:t>
      </w:r>
      <w:proofErr w:type="spellStart"/>
      <w:r>
        <w:rPr>
          <w:b/>
          <w:bCs/>
        </w:rPr>
        <w:t>nediskriminācijas</w:t>
      </w:r>
      <w:proofErr w:type="spellEnd"/>
      <w:r>
        <w:rPr>
          <w:b/>
          <w:bCs/>
        </w:rPr>
        <w:t xml:space="preserve"> principiem un pārskatāmības pienākumam </w:t>
      </w:r>
    </w:p>
    <w:p w14:paraId="58A84697" w14:textId="77777777" w:rsidR="00546B1F" w:rsidRPr="00546B1F" w:rsidRDefault="00546B1F" w:rsidP="00546B1F">
      <w:pPr>
        <w:spacing w:line="276" w:lineRule="auto"/>
        <w:jc w:val="both"/>
        <w:rPr>
          <w:b/>
          <w:bCs/>
          <w:lang w:eastAsia="lv-LV"/>
        </w:rPr>
      </w:pPr>
    </w:p>
    <w:p w14:paraId="7A4BF774" w14:textId="0CA26A1E" w:rsidR="00546B1F" w:rsidRPr="004B7BFD" w:rsidRDefault="006B7BBC" w:rsidP="00546B1F">
      <w:pPr>
        <w:spacing w:line="276" w:lineRule="auto"/>
        <w:jc w:val="center"/>
        <w:rPr>
          <w:b/>
        </w:rPr>
      </w:pPr>
      <w:r w:rsidRPr="004B7BFD">
        <w:rPr>
          <w:b/>
        </w:rPr>
        <w:t>Latvijas Republikas Senāt</w:t>
      </w:r>
      <w:r w:rsidR="00546B1F">
        <w:rPr>
          <w:b/>
        </w:rPr>
        <w:t>a</w:t>
      </w:r>
      <w:r w:rsidR="00546B1F">
        <w:rPr>
          <w:b/>
        </w:rPr>
        <w:br/>
        <w:t xml:space="preserve">Administratīvo lietu departamenta </w:t>
      </w:r>
      <w:r w:rsidR="00546B1F">
        <w:rPr>
          <w:b/>
        </w:rPr>
        <w:br/>
        <w:t>2024.gada 24.aprīļa</w:t>
      </w:r>
    </w:p>
    <w:p w14:paraId="30B4B012" w14:textId="4AA36FFE" w:rsidR="006B7BBC" w:rsidRDefault="0089619C" w:rsidP="00546B1F">
      <w:pPr>
        <w:spacing w:line="276" w:lineRule="auto"/>
        <w:jc w:val="center"/>
        <w:rPr>
          <w:b/>
        </w:rPr>
      </w:pPr>
      <w:r w:rsidRPr="004B7BFD">
        <w:rPr>
          <w:b/>
        </w:rPr>
        <w:t>SPRIEDUMS</w:t>
      </w:r>
    </w:p>
    <w:p w14:paraId="3BB90F7B" w14:textId="77777777" w:rsidR="00546B1F" w:rsidRPr="00546B1F" w:rsidRDefault="00546B1F" w:rsidP="00546B1F">
      <w:pPr>
        <w:spacing w:line="276" w:lineRule="auto"/>
        <w:jc w:val="center"/>
        <w:rPr>
          <w:b/>
          <w:bCs/>
        </w:rPr>
      </w:pPr>
      <w:r w:rsidRPr="00546B1F">
        <w:rPr>
          <w:b/>
          <w:bCs/>
        </w:rPr>
        <w:t>Lieta Nr. </w:t>
      </w:r>
      <w:r w:rsidRPr="00546B1F">
        <w:rPr>
          <w:b/>
          <w:bCs/>
          <w:lang w:eastAsia="lv-LV"/>
        </w:rPr>
        <w:t xml:space="preserve">A420233422, </w:t>
      </w:r>
      <w:r w:rsidRPr="00546B1F">
        <w:rPr>
          <w:b/>
          <w:bCs/>
        </w:rPr>
        <w:t>SKA-503/2024</w:t>
      </w:r>
    </w:p>
    <w:p w14:paraId="19AF3C97" w14:textId="1B7B9003" w:rsidR="00546B1F" w:rsidRPr="004B7BFD" w:rsidRDefault="00546B1F" w:rsidP="00546B1F">
      <w:pPr>
        <w:spacing w:line="276" w:lineRule="auto"/>
        <w:jc w:val="center"/>
        <w:rPr>
          <w:b/>
        </w:rPr>
      </w:pPr>
      <w:hyperlink r:id="rId7" w:history="1">
        <w:r w:rsidRPr="00546B1F">
          <w:rPr>
            <w:rStyle w:val="Hyperlink"/>
            <w:rFonts w:ascii="TimesNewRomanPSMT" w:eastAsiaTheme="minorHAnsi" w:hAnsi="TimesNewRomanPSMT" w:cs="TimesNewRomanPSMT"/>
            <w:lang w:eastAsia="en-US"/>
          </w:rPr>
          <w:t>ECLI:LV:AT:2024:0424.A420233422.16.S</w:t>
        </w:r>
      </w:hyperlink>
    </w:p>
    <w:p w14:paraId="2F242BC5" w14:textId="77777777" w:rsidR="006B7BBC" w:rsidRDefault="006B7BBC" w:rsidP="00546B1F">
      <w:pPr>
        <w:spacing w:line="276" w:lineRule="auto"/>
        <w:ind w:firstLine="720"/>
        <w:jc w:val="both"/>
      </w:pPr>
    </w:p>
    <w:p w14:paraId="19AFEF33" w14:textId="23CF1EDB" w:rsidR="006B7BBC" w:rsidRDefault="00225297" w:rsidP="00546B1F">
      <w:pPr>
        <w:spacing w:line="276" w:lineRule="auto"/>
        <w:ind w:firstLine="720"/>
        <w:jc w:val="both"/>
      </w:pPr>
      <w:r>
        <w:t>Senāts</w:t>
      </w:r>
      <w:r w:rsidR="006B7BBC" w:rsidRPr="0015480A">
        <w:t xml:space="preserve"> </w:t>
      </w:r>
      <w:r w:rsidR="006B7BBC" w:rsidRPr="008B1F7D">
        <w:t>šādā sastāvā: senator</w:t>
      </w:r>
      <w:r w:rsidR="0065054A" w:rsidRPr="008B1F7D">
        <w:t>e referente</w:t>
      </w:r>
      <w:r w:rsidR="006B7BBC" w:rsidRPr="008B1F7D">
        <w:t xml:space="preserve"> </w:t>
      </w:r>
      <w:r w:rsidR="008B1F7D" w:rsidRPr="008B1F7D">
        <w:t>Ilze Freimane</w:t>
      </w:r>
      <w:r w:rsidR="006B7BBC" w:rsidRPr="008B1F7D">
        <w:t xml:space="preserve">, </w:t>
      </w:r>
      <w:r w:rsidR="0065054A" w:rsidRPr="008B1F7D">
        <w:t>senatores</w:t>
      </w:r>
      <w:r w:rsidR="0065054A">
        <w:t xml:space="preserve"> </w:t>
      </w:r>
      <w:r w:rsidR="008B1F7D">
        <w:t>Vēsma Kakste un Diāna Makarova</w:t>
      </w:r>
    </w:p>
    <w:p w14:paraId="3049557F" w14:textId="77777777" w:rsidR="003047F5" w:rsidRPr="0082381C" w:rsidRDefault="003047F5" w:rsidP="00546B1F">
      <w:pPr>
        <w:spacing w:line="276" w:lineRule="auto"/>
        <w:ind w:firstLine="720"/>
        <w:jc w:val="both"/>
      </w:pPr>
    </w:p>
    <w:p w14:paraId="45FEDFF2" w14:textId="7DAA69DE" w:rsidR="003047F5" w:rsidRPr="0082381C" w:rsidRDefault="00941626" w:rsidP="00546B1F">
      <w:pPr>
        <w:spacing w:line="276" w:lineRule="auto"/>
        <w:ind w:firstLine="720"/>
        <w:jc w:val="both"/>
      </w:pPr>
      <w:r w:rsidRPr="008B1F7D">
        <w:t xml:space="preserve">rakstveida procesā izskatīja administratīvo lietu, kas ierosināta, pamatojoties uz </w:t>
      </w:r>
      <w:r w:rsidR="008B1F7D" w:rsidRPr="008B1F7D">
        <w:t>SIA „Liepājas apbedīšanas birojs” pieteikumu par Liepājas valstspilsētas pašvaldības domes 2022.gada 19.maija lēmuma Nr. 192/9 atcelšanu</w:t>
      </w:r>
      <w:r w:rsidRPr="008B1F7D">
        <w:t>, s</w:t>
      </w:r>
      <w:r w:rsidR="008570F8" w:rsidRPr="008B1F7D">
        <w:t>a</w:t>
      </w:r>
      <w:r w:rsidRPr="008B1F7D">
        <w:t xml:space="preserve">karā ar </w:t>
      </w:r>
      <w:r w:rsidR="008B1F7D" w:rsidRPr="008B1F7D">
        <w:t>SIA „Liepājas apbedīšanas birojs”</w:t>
      </w:r>
      <w:r w:rsidRPr="008B1F7D">
        <w:t xml:space="preserve"> kasācijas sūdzību par </w:t>
      </w:r>
      <w:r w:rsidR="002663B3" w:rsidRPr="008B1F7D">
        <w:t>Administratīvās rajona tiesas</w:t>
      </w:r>
      <w:r w:rsidRPr="008B1F7D">
        <w:t xml:space="preserve"> </w:t>
      </w:r>
      <w:r w:rsidR="008B1F7D" w:rsidRPr="008B1F7D">
        <w:t>2024.gada 30.janvāra</w:t>
      </w:r>
      <w:r w:rsidRPr="008B1F7D">
        <w:t xml:space="preserve"> spriedumu.</w:t>
      </w:r>
    </w:p>
    <w:p w14:paraId="5DE22EF3" w14:textId="77777777" w:rsidR="00A6596A" w:rsidRPr="0082381C" w:rsidRDefault="00A6596A" w:rsidP="00546B1F">
      <w:pPr>
        <w:spacing w:line="276" w:lineRule="auto"/>
        <w:ind w:firstLine="720"/>
        <w:jc w:val="both"/>
      </w:pPr>
    </w:p>
    <w:p w14:paraId="49301551" w14:textId="77777777" w:rsidR="003047F5" w:rsidRPr="0082381C" w:rsidRDefault="003047F5" w:rsidP="00546B1F">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546B1F">
      <w:pPr>
        <w:spacing w:line="276" w:lineRule="auto"/>
        <w:ind w:firstLine="720"/>
        <w:jc w:val="both"/>
      </w:pPr>
    </w:p>
    <w:p w14:paraId="67BA2B61" w14:textId="15E9A74E" w:rsidR="000D58F9" w:rsidRPr="00F15103" w:rsidRDefault="003047F5" w:rsidP="00546B1F">
      <w:pPr>
        <w:spacing w:line="276" w:lineRule="auto"/>
        <w:ind w:firstLine="720"/>
        <w:jc w:val="both"/>
      </w:pPr>
      <w:r w:rsidRPr="0082381C">
        <w:t>[1] </w:t>
      </w:r>
      <w:r w:rsidR="000D58F9" w:rsidRPr="00F15103">
        <w:t xml:space="preserve">Ar Liepājas valstspilsētas pašvaldības domes 2022.gada 19.maija lēmumu Nr. 192/9 apstiprināti </w:t>
      </w:r>
      <w:bookmarkStart w:id="0" w:name="_Hlk162004652"/>
      <w:r w:rsidR="000D58F9" w:rsidRPr="00F15103">
        <w:t xml:space="preserve">pašvaldības nekustamā īpašuma – zemes vienības daļas </w:t>
      </w:r>
      <w:r w:rsidR="00546B1F">
        <w:t xml:space="preserve">[adrese] </w:t>
      </w:r>
      <w:r w:rsidR="000D58F9" w:rsidRPr="00F15103">
        <w:t>– apbūves tiesīb</w:t>
      </w:r>
      <w:r w:rsidR="0044212B">
        <w:t>as</w:t>
      </w:r>
      <w:r w:rsidR="000D58F9" w:rsidRPr="00F15103">
        <w:t xml:space="preserve"> izsoles noteikumi</w:t>
      </w:r>
      <w:bookmarkEnd w:id="0"/>
      <w:r w:rsidR="000D58F9" w:rsidRPr="00F15103">
        <w:t>. Tie paredz izsoles kārtībā piešķirt privātpersonai tiesības uz minētā zemesgabala uzbūvēt krematoriju un pēc tam to ekspluatēt, piedāvājot klientiem kremācijas pakalpojumus.</w:t>
      </w:r>
    </w:p>
    <w:p w14:paraId="6C1F08D2" w14:textId="77777777" w:rsidR="000D58F9" w:rsidRPr="00F15103" w:rsidRDefault="000D58F9" w:rsidP="00546B1F">
      <w:pPr>
        <w:spacing w:line="276" w:lineRule="auto"/>
        <w:ind w:firstLine="720"/>
        <w:jc w:val="both"/>
        <w:rPr>
          <w:shd w:val="clear" w:color="auto" w:fill="FFFFFF"/>
        </w:rPr>
      </w:pPr>
      <w:r w:rsidRPr="00F15103">
        <w:t xml:space="preserve">Pieteicēja SIA „Liepājas apbedīšanas birojs” iesniedza Administratīvajā rajona tiesā pieteikumu par minētā lēmuma atcelšanu, norādot, ka izsoles noteikumi nenodrošina objektīvu un atklātu procedūras norisi un ierobežo godīgu konkurenci. </w:t>
      </w:r>
    </w:p>
    <w:p w14:paraId="7B7447C9" w14:textId="77777777" w:rsidR="003047F5" w:rsidRPr="0082381C" w:rsidRDefault="003047F5" w:rsidP="00546B1F">
      <w:pPr>
        <w:spacing w:line="276" w:lineRule="auto"/>
        <w:jc w:val="both"/>
      </w:pPr>
    </w:p>
    <w:p w14:paraId="7C3A5AB5" w14:textId="77777777" w:rsidR="0061477E" w:rsidRDefault="003047F5" w:rsidP="00546B1F">
      <w:pPr>
        <w:pStyle w:val="NormalWeb"/>
        <w:shd w:val="clear" w:color="auto" w:fill="FFFFFF"/>
        <w:spacing w:before="0" w:beforeAutospacing="0" w:after="0" w:afterAutospacing="0" w:line="276" w:lineRule="auto"/>
        <w:ind w:firstLine="720"/>
        <w:jc w:val="both"/>
        <w:rPr>
          <w:bCs/>
        </w:rPr>
      </w:pPr>
      <w:r w:rsidRPr="0082381C">
        <w:t>[2] </w:t>
      </w:r>
      <w:r w:rsidR="0061477E" w:rsidRPr="00F15103">
        <w:rPr>
          <w:bCs/>
        </w:rPr>
        <w:t>Administratīvā rajona tiesa ar 202</w:t>
      </w:r>
      <w:r w:rsidR="0061477E">
        <w:rPr>
          <w:bCs/>
        </w:rPr>
        <w:t>4</w:t>
      </w:r>
      <w:r w:rsidR="0061477E" w:rsidRPr="00F15103">
        <w:rPr>
          <w:bCs/>
        </w:rPr>
        <w:t xml:space="preserve">.gada </w:t>
      </w:r>
      <w:r w:rsidR="0061477E">
        <w:rPr>
          <w:bCs/>
        </w:rPr>
        <w:t>30</w:t>
      </w:r>
      <w:r w:rsidR="0061477E" w:rsidRPr="00F15103">
        <w:rPr>
          <w:bCs/>
        </w:rPr>
        <w:t>.</w:t>
      </w:r>
      <w:r w:rsidR="0061477E">
        <w:rPr>
          <w:bCs/>
        </w:rPr>
        <w:t>janvāra</w:t>
      </w:r>
      <w:r w:rsidR="0061477E" w:rsidRPr="00F15103">
        <w:rPr>
          <w:bCs/>
        </w:rPr>
        <w:t xml:space="preserve"> spriedumu pieteikumu </w:t>
      </w:r>
      <w:r w:rsidR="0061477E">
        <w:rPr>
          <w:bCs/>
        </w:rPr>
        <w:t>noraidīja</w:t>
      </w:r>
      <w:r w:rsidR="0061477E" w:rsidRPr="00F15103">
        <w:rPr>
          <w:bCs/>
        </w:rPr>
        <w:t>.</w:t>
      </w:r>
      <w:r w:rsidR="0061477E">
        <w:rPr>
          <w:bCs/>
        </w:rPr>
        <w:t xml:space="preserve"> Spriedums pamatots ar turpmāk minētajiem argumentiem.</w:t>
      </w:r>
    </w:p>
    <w:p w14:paraId="341A39BD" w14:textId="7B4B8D1E" w:rsidR="000414A2" w:rsidRDefault="008B1F7D" w:rsidP="00546B1F">
      <w:pPr>
        <w:pStyle w:val="NormalWeb"/>
        <w:shd w:val="clear" w:color="auto" w:fill="FFFFFF"/>
        <w:spacing w:before="0" w:beforeAutospacing="0" w:after="0" w:afterAutospacing="0" w:line="276" w:lineRule="auto"/>
        <w:ind w:firstLine="720"/>
        <w:jc w:val="both"/>
        <w:rPr>
          <w:bCs/>
        </w:rPr>
      </w:pPr>
      <w:bookmarkStart w:id="1" w:name="_Hlk162004600"/>
      <w:r>
        <w:t>[2.1] </w:t>
      </w:r>
      <w:r w:rsidR="008D41FF">
        <w:t>Kaut arī pašvaldība, rīkojot izsoli</w:t>
      </w:r>
      <w:r>
        <w:t xml:space="preserve">, nepamatoti </w:t>
      </w:r>
      <w:r w:rsidR="008D41FF">
        <w:t xml:space="preserve">nav piemērojusi Publiskās un privātās partnerības likuma regulējumu, </w:t>
      </w:r>
      <w:r>
        <w:t>izsoles noteikumi</w:t>
      </w:r>
      <w:r w:rsidR="008D41FF">
        <w:t xml:space="preserve"> nodrošina objektīvu un atklātu procedūras norisi</w:t>
      </w:r>
      <w:r>
        <w:t>, kā arī godīgu konkurenci.</w:t>
      </w:r>
    </w:p>
    <w:bookmarkEnd w:id="1"/>
    <w:p w14:paraId="2874B0C5" w14:textId="4C1017D0" w:rsidR="0061477E" w:rsidRPr="00F62045" w:rsidRDefault="008D41FF" w:rsidP="00546B1F">
      <w:pPr>
        <w:pStyle w:val="NormalWeb"/>
        <w:shd w:val="clear" w:color="auto" w:fill="FFFFFF"/>
        <w:spacing w:before="0" w:beforeAutospacing="0" w:after="0" w:afterAutospacing="0" w:line="276" w:lineRule="auto"/>
        <w:ind w:firstLine="720"/>
        <w:jc w:val="both"/>
        <w:rPr>
          <w:bCs/>
        </w:rPr>
      </w:pPr>
      <w:r>
        <w:rPr>
          <w:bCs/>
        </w:rPr>
        <w:t>[</w:t>
      </w:r>
      <w:r w:rsidR="008B1F7D">
        <w:rPr>
          <w:bCs/>
        </w:rPr>
        <w:t>2.2</w:t>
      </w:r>
      <w:r>
        <w:rPr>
          <w:bCs/>
        </w:rPr>
        <w:t>] </w:t>
      </w:r>
      <w:r w:rsidR="005E5F91">
        <w:rPr>
          <w:bCs/>
        </w:rPr>
        <w:t>K</w:t>
      </w:r>
      <w:r w:rsidR="005E5F91" w:rsidRPr="005E5F91">
        <w:rPr>
          <w:bCs/>
        </w:rPr>
        <w:t xml:space="preserve">atram pretendentam ir jāveic </w:t>
      </w:r>
      <w:r w:rsidR="00803C6D">
        <w:rPr>
          <w:bCs/>
        </w:rPr>
        <w:t xml:space="preserve">savi </w:t>
      </w:r>
      <w:r w:rsidR="005E5F91" w:rsidRPr="005E5F91">
        <w:rPr>
          <w:bCs/>
        </w:rPr>
        <w:t xml:space="preserve">aprēķini, lai </w:t>
      </w:r>
      <w:r w:rsidR="005E5F91">
        <w:rPr>
          <w:bCs/>
        </w:rPr>
        <w:t>secinātu</w:t>
      </w:r>
      <w:r w:rsidR="005E5F91" w:rsidRPr="005E5F91">
        <w:rPr>
          <w:bCs/>
        </w:rPr>
        <w:t>, kādi ieguldījumi būs optimāli,</w:t>
      </w:r>
      <w:r w:rsidR="005E5F91">
        <w:rPr>
          <w:bCs/>
        </w:rPr>
        <w:t xml:space="preserve"> </w:t>
      </w:r>
      <w:r w:rsidR="005E5F91" w:rsidRPr="005E5F91">
        <w:rPr>
          <w:bCs/>
        </w:rPr>
        <w:t xml:space="preserve">lai izpildītu ar līgumu noteiktos pienākumus un vienlaikus atgūtu </w:t>
      </w:r>
      <w:r w:rsidR="005E5F91" w:rsidRPr="00F62045">
        <w:rPr>
          <w:bCs/>
        </w:rPr>
        <w:t>ieguldījumus.</w:t>
      </w:r>
    </w:p>
    <w:p w14:paraId="196A9700" w14:textId="172AB09E" w:rsidR="00DD1FEC" w:rsidRPr="00F62045" w:rsidRDefault="00803C6D" w:rsidP="00546B1F">
      <w:pPr>
        <w:spacing w:line="276" w:lineRule="auto"/>
        <w:ind w:firstLine="720"/>
        <w:jc w:val="both"/>
      </w:pPr>
      <w:r w:rsidRPr="00F62045">
        <w:t>[2.3] </w:t>
      </w:r>
      <w:r w:rsidR="00391872" w:rsidRPr="00F62045">
        <w:t>No i</w:t>
      </w:r>
      <w:r w:rsidRPr="00F62045">
        <w:t>zsoles noteikumu 3.5.punkt</w:t>
      </w:r>
      <w:r w:rsidR="00391872" w:rsidRPr="00F62045">
        <w:t>a un līguma par apbūves tiesību piešķiršanu 5.2.punkta</w:t>
      </w:r>
      <w:r w:rsidR="00DD1FEC" w:rsidRPr="00F62045">
        <w:t xml:space="preserve"> izriet, ka pretendent</w:t>
      </w:r>
      <w:r w:rsidR="00091BF8">
        <w:t>am</w:t>
      </w:r>
      <w:r w:rsidR="00DD1FEC" w:rsidRPr="00F62045">
        <w:t>, kas iegūs apbūves tiesības, būs iespēja tiešā veidā noteikt nolikuma prasības un kritērijus, kas var būt arī sagaidāmās būvniecības izmaksas.</w:t>
      </w:r>
    </w:p>
    <w:p w14:paraId="63B86CB6" w14:textId="2A0E0B8F" w:rsidR="00E70926" w:rsidRPr="00805A9B" w:rsidRDefault="00E70926" w:rsidP="00546B1F">
      <w:pPr>
        <w:spacing w:line="276" w:lineRule="auto"/>
        <w:ind w:firstLine="720"/>
        <w:jc w:val="both"/>
      </w:pPr>
      <w:r w:rsidRPr="00F62045">
        <w:t>[</w:t>
      </w:r>
      <w:r w:rsidR="008B1F7D" w:rsidRPr="00F62045">
        <w:t>2.</w:t>
      </w:r>
      <w:r w:rsidR="00803C6D" w:rsidRPr="00F62045">
        <w:t>5</w:t>
      </w:r>
      <w:r w:rsidRPr="00F62045">
        <w:t>] </w:t>
      </w:r>
      <w:r w:rsidR="008761E3" w:rsidRPr="00F62045">
        <w:t>Izsoles n</w:t>
      </w:r>
      <w:r w:rsidRPr="00F62045">
        <w:t>oteikumu 3.7.punk</w:t>
      </w:r>
      <w:r w:rsidR="00803C6D" w:rsidRPr="00F62045">
        <w:t>t</w:t>
      </w:r>
      <w:r w:rsidR="00091BF8">
        <w:t>ā minētais saskaņojums</w:t>
      </w:r>
      <w:r w:rsidR="008631AB" w:rsidRPr="00F62045">
        <w:t xml:space="preserve"> </w:t>
      </w:r>
      <w:r w:rsidR="003E17E8" w:rsidRPr="00F62045">
        <w:t xml:space="preserve">ar Liepājas </w:t>
      </w:r>
      <w:r w:rsidR="00091BF8">
        <w:t>K</w:t>
      </w:r>
      <w:r w:rsidR="003E17E8" w:rsidRPr="00F62045">
        <w:t xml:space="preserve">apsētu </w:t>
      </w:r>
      <w:r w:rsidR="003E17E8" w:rsidRPr="00805A9B">
        <w:t>pārvaldi</w:t>
      </w:r>
      <w:r w:rsidRPr="00805A9B">
        <w:t xml:space="preserve"> jāsaņem, izstrādājot būvniecības dokumentus, nevis perspektīvā objekta izvietojuma vizualizācij</w:t>
      </w:r>
      <w:r w:rsidR="00091BF8" w:rsidRPr="00805A9B">
        <w:t>u</w:t>
      </w:r>
      <w:r w:rsidRPr="00805A9B">
        <w:t xml:space="preserve">. </w:t>
      </w:r>
      <w:r w:rsidR="008B1F7D" w:rsidRPr="00805A9B">
        <w:t>Š</w:t>
      </w:r>
      <w:r w:rsidRPr="00805A9B">
        <w:t>āda prasība nevar ietekmēt izsoles norisi.</w:t>
      </w:r>
    </w:p>
    <w:p w14:paraId="0D7827B6" w14:textId="3F01327C" w:rsidR="006B7BBC" w:rsidRDefault="000414A2" w:rsidP="00546B1F">
      <w:pPr>
        <w:pStyle w:val="ATpamattesksts"/>
        <w:ind w:firstLine="720"/>
      </w:pPr>
      <w:r w:rsidRPr="00805A9B">
        <w:lastRenderedPageBreak/>
        <w:t>[</w:t>
      </w:r>
      <w:r w:rsidR="008B1F7D" w:rsidRPr="00805A9B">
        <w:t>2.</w:t>
      </w:r>
      <w:r w:rsidR="00803C6D" w:rsidRPr="00805A9B">
        <w:t>6</w:t>
      </w:r>
      <w:r w:rsidRPr="00805A9B">
        <w:t>] </w:t>
      </w:r>
      <w:r w:rsidR="008D41FF" w:rsidRPr="00805A9B">
        <w:t xml:space="preserve">Nevienam </w:t>
      </w:r>
      <w:r w:rsidRPr="00805A9B">
        <w:t>līdz piedāvājumu atvēršanas dienai nebūs zināma piedāvājumos norādītā līgumcena. Līdz ar to nav pamatotas pieteicējas šaubas, ka iesniegtie piedāvājumi varētu tikt samainīti.</w:t>
      </w:r>
    </w:p>
    <w:p w14:paraId="3F6FDF5A" w14:textId="77777777" w:rsidR="000414A2" w:rsidRDefault="000414A2" w:rsidP="00546B1F">
      <w:pPr>
        <w:pStyle w:val="ATpamattesksts"/>
        <w:ind w:firstLine="720"/>
      </w:pPr>
    </w:p>
    <w:p w14:paraId="21D969F8" w14:textId="42B1C4B1" w:rsidR="003047F5" w:rsidRPr="0082381C" w:rsidRDefault="003047F5" w:rsidP="00546B1F">
      <w:pPr>
        <w:spacing w:line="276" w:lineRule="auto"/>
        <w:ind w:firstLine="720"/>
        <w:jc w:val="both"/>
      </w:pPr>
      <w:r w:rsidRPr="0082381C">
        <w:t>[</w:t>
      </w:r>
      <w:r w:rsidR="006B7BBC">
        <w:t>3</w:t>
      </w:r>
      <w:r w:rsidRPr="0082381C">
        <w:t>] </w:t>
      </w:r>
      <w:r w:rsidR="00D843D5">
        <w:t>Pieteicēja par rajona tiesas spriedumu iesniedza kasācijas sūdzību, kas pamatota ar turpmāk minētajiem argumentiem.</w:t>
      </w:r>
    </w:p>
    <w:p w14:paraId="46F867B8" w14:textId="35DBEAE0" w:rsidR="00E16856" w:rsidRPr="00805A9B" w:rsidRDefault="006B7BBC" w:rsidP="00546B1F">
      <w:pPr>
        <w:spacing w:line="276" w:lineRule="auto"/>
        <w:ind w:firstLine="720"/>
        <w:jc w:val="both"/>
      </w:pPr>
      <w:r>
        <w:t>[3.1</w:t>
      </w:r>
      <w:r w:rsidR="003047F5" w:rsidRPr="0082381C">
        <w:t>] </w:t>
      </w:r>
      <w:r w:rsidR="00C132C6">
        <w:t xml:space="preserve">Tiesa nav piemērojusi </w:t>
      </w:r>
      <w:bookmarkStart w:id="2" w:name="_Hlk162006823"/>
      <w:r w:rsidR="00C132C6">
        <w:t>Publiskas personas finanšu līdzekļu un mantas izšķērdēšanas novēršanas likuma 3.pantu.</w:t>
      </w:r>
      <w:r w:rsidR="00334BE9">
        <w:t xml:space="preserve"> </w:t>
      </w:r>
      <w:r w:rsidR="00E16856" w:rsidRPr="00A570BC">
        <w:t>Saskaņā ar izsoles noteikumiem arhitektonisko risinājumu pēc izsoles noteiks pašvaldība, tāpēc izsoles dalībnieki nevar precīzi paredzēt nepieciešamos ieguldījumus krematorijas izveidei (un noteikt ekonomiski pamatotu izsoles cenu par apbūves tiesību). Attiecīgi izsoles noteikumi nenodrošin</w:t>
      </w:r>
      <w:r w:rsidR="00785A0D">
        <w:t>a</w:t>
      </w:r>
      <w:r w:rsidR="00E16856" w:rsidRPr="00A570BC">
        <w:t xml:space="preserve">, ka pašvaldība saņems augstāko cenu par apbūves tiesību piešķiršanu. Savukārt apstāklis, ka izsoles noteikumu dēļ pašvaldība nesaņems maksimāli augstāko cenu par apbūves tiesību </w:t>
      </w:r>
      <w:r w:rsidR="00E16856" w:rsidRPr="00805A9B">
        <w:t>piešķiršanu, liedz pieteicējai konkurēt ar cenu.</w:t>
      </w:r>
    </w:p>
    <w:p w14:paraId="575F8D7D" w14:textId="6F99DB9A" w:rsidR="00E16856" w:rsidRPr="00805A9B" w:rsidRDefault="00E16856" w:rsidP="00546B1F">
      <w:pPr>
        <w:spacing w:line="276" w:lineRule="auto"/>
        <w:ind w:firstLine="720"/>
        <w:jc w:val="both"/>
      </w:pPr>
      <w:r w:rsidRPr="00805A9B">
        <w:t>[3.2] Izsoles dalībniekam, kuram ir saistība ar pašvaldību, ir lielāka pārliecība un pat, iespējams, iepriekšējas norunas, ka šim dalībniekam netiks izvirzītas nesamērīgas prasības attiecībā uz iespējamiem arhitektūras risinājumiem</w:t>
      </w:r>
      <w:r w:rsidR="00433DE2" w:rsidRPr="00805A9B">
        <w:t>.</w:t>
      </w:r>
    </w:p>
    <w:bookmarkEnd w:id="2"/>
    <w:p w14:paraId="4C635850" w14:textId="401B4F75" w:rsidR="008C359E" w:rsidRPr="00805A9B" w:rsidRDefault="008C359E" w:rsidP="00546B1F">
      <w:pPr>
        <w:spacing w:line="276" w:lineRule="auto"/>
        <w:ind w:firstLine="720"/>
        <w:jc w:val="both"/>
      </w:pPr>
      <w:r w:rsidRPr="00805A9B">
        <w:t>[</w:t>
      </w:r>
      <w:r w:rsidR="00E16856" w:rsidRPr="00805A9B">
        <w:t>3.3</w:t>
      </w:r>
      <w:r w:rsidRPr="00805A9B">
        <w:t>] Par to, ka izsoles noteikumi nenodrošina godīgu konkurenci, liecina arī tas, ka izsolei ir pieteicies tikai viens dalībnieks.</w:t>
      </w:r>
    </w:p>
    <w:p w14:paraId="6CCE1DBA" w14:textId="1427D6D6" w:rsidR="00334BE9" w:rsidRDefault="008C359E" w:rsidP="00546B1F">
      <w:pPr>
        <w:spacing w:line="276" w:lineRule="auto"/>
        <w:ind w:firstLine="720"/>
        <w:jc w:val="both"/>
      </w:pPr>
      <w:r w:rsidRPr="00805A9B">
        <w:t>[</w:t>
      </w:r>
      <w:r w:rsidR="00E16856" w:rsidRPr="00805A9B">
        <w:t>3.4</w:t>
      </w:r>
      <w:r w:rsidRPr="00805A9B">
        <w:t>] </w:t>
      </w:r>
      <w:bookmarkStart w:id="3" w:name="_Hlk162009697"/>
      <w:r w:rsidRPr="00805A9B">
        <w:t>Tiesa nav</w:t>
      </w:r>
      <w:r w:rsidR="0048529F" w:rsidRPr="00805A9B">
        <w:t xml:space="preserve"> piemērojusi Ministru kabineta 2018.gada 19.jūnija noteikumus Nr. 350 „Publiskas personas zemes nomas un apbūves tiesības noteikumi”.</w:t>
      </w:r>
    </w:p>
    <w:p w14:paraId="1644F7D9" w14:textId="77777777" w:rsidR="00E16856" w:rsidRDefault="00E16856" w:rsidP="00546B1F">
      <w:pPr>
        <w:spacing w:line="276" w:lineRule="auto"/>
        <w:ind w:firstLine="720"/>
        <w:jc w:val="both"/>
      </w:pPr>
    </w:p>
    <w:p w14:paraId="2F8C3E4C" w14:textId="15BA9991" w:rsidR="00E16856" w:rsidRPr="0082381C" w:rsidRDefault="00E16856" w:rsidP="00546B1F">
      <w:pPr>
        <w:spacing w:line="276" w:lineRule="auto"/>
        <w:ind w:firstLine="720"/>
        <w:jc w:val="both"/>
      </w:pPr>
      <w:r>
        <w:t>[</w:t>
      </w:r>
      <w:r w:rsidR="0055362A">
        <w:t>4</w:t>
      </w:r>
      <w:r>
        <w:t>] </w:t>
      </w:r>
      <w:r w:rsidR="00AB4F70">
        <w:t>Pašvaldība paskaidrojumā norādīja, ka rajona tiesas spriedums ir pamatots.</w:t>
      </w:r>
    </w:p>
    <w:bookmarkEnd w:id="3"/>
    <w:p w14:paraId="51D5FABC" w14:textId="77777777" w:rsidR="003047F5" w:rsidRPr="0082381C" w:rsidRDefault="003047F5" w:rsidP="00546B1F">
      <w:pPr>
        <w:spacing w:line="276" w:lineRule="auto"/>
        <w:ind w:firstLine="720"/>
        <w:jc w:val="both"/>
      </w:pPr>
    </w:p>
    <w:p w14:paraId="1900DA50" w14:textId="77777777" w:rsidR="003047F5" w:rsidRPr="0082381C" w:rsidRDefault="003047F5" w:rsidP="00546B1F">
      <w:pPr>
        <w:spacing w:line="276" w:lineRule="auto"/>
        <w:jc w:val="center"/>
        <w:rPr>
          <w:b/>
        </w:rPr>
      </w:pPr>
      <w:r w:rsidRPr="0082381C">
        <w:rPr>
          <w:b/>
        </w:rPr>
        <w:t>Motīvu daļa</w:t>
      </w:r>
    </w:p>
    <w:p w14:paraId="3C8D6E43" w14:textId="77777777" w:rsidR="00A668FC" w:rsidRDefault="00A668FC" w:rsidP="00546B1F">
      <w:pPr>
        <w:spacing w:line="276" w:lineRule="auto"/>
        <w:jc w:val="both"/>
      </w:pPr>
    </w:p>
    <w:p w14:paraId="22FA88D4" w14:textId="17F4629A" w:rsidR="00AE30DB" w:rsidRPr="001E4B00" w:rsidRDefault="00A668FC" w:rsidP="00546B1F">
      <w:pPr>
        <w:spacing w:line="276" w:lineRule="auto"/>
        <w:ind w:firstLine="720"/>
        <w:jc w:val="both"/>
      </w:pPr>
      <w:r w:rsidRPr="001E4B00">
        <w:t>[</w:t>
      </w:r>
      <w:r w:rsidR="0055362A" w:rsidRPr="001E4B00">
        <w:t>5</w:t>
      </w:r>
      <w:r w:rsidRPr="001E4B00">
        <w:t>] </w:t>
      </w:r>
      <w:r w:rsidR="00AE30DB" w:rsidRPr="001E4B00">
        <w:t xml:space="preserve">Senāts </w:t>
      </w:r>
      <w:r w:rsidR="00F00A4B" w:rsidRPr="001E4B00">
        <w:t xml:space="preserve">jau iepriekš šajā </w:t>
      </w:r>
      <w:r w:rsidR="00F00A4B" w:rsidRPr="00491A9E">
        <w:t xml:space="preserve">lietā </w:t>
      </w:r>
      <w:r w:rsidR="00AE30DB" w:rsidRPr="00491A9E">
        <w:t>atzin</w:t>
      </w:r>
      <w:r w:rsidR="00F517A3" w:rsidRPr="00491A9E">
        <w:t>a</w:t>
      </w:r>
      <w:r w:rsidR="00AE30DB" w:rsidRPr="00491A9E">
        <w:t>, ka pēc būtības pašvaldības mērķis, rīkojot apbūves tiesības izsoli, bija piešķirt pakalpojuma koncesijas līguma slēgšanas tiesības, un šādai sadarbībai ir jānotiek Publiskās un privātās partnerības likuma kārtīb</w:t>
      </w:r>
      <w:r w:rsidR="004578AF" w:rsidRPr="00491A9E">
        <w:t>ā</w:t>
      </w:r>
      <w:r w:rsidR="00AE30DB" w:rsidRPr="00491A9E">
        <w:t xml:space="preserve"> (</w:t>
      </w:r>
      <w:r w:rsidR="00F00A4B" w:rsidRPr="00491A9E">
        <w:rPr>
          <w:i/>
          <w:iCs/>
        </w:rPr>
        <w:t xml:space="preserve">Senāta </w:t>
      </w:r>
      <w:r w:rsidR="00491A9E" w:rsidRPr="00491A9E">
        <w:rPr>
          <w:i/>
          <w:iCs/>
        </w:rPr>
        <w:t xml:space="preserve">2022.gada </w:t>
      </w:r>
      <w:r w:rsidR="00F00A4B" w:rsidRPr="00491A9E">
        <w:rPr>
          <w:i/>
          <w:iCs/>
        </w:rPr>
        <w:t xml:space="preserve">28.oktobra lēmuma šajā lietā (SKA-1055/2022, </w:t>
      </w:r>
      <w:hyperlink r:id="rId8" w:history="1">
        <w:r w:rsidR="00F00A4B" w:rsidRPr="00491A9E">
          <w:rPr>
            <w:rStyle w:val="Hyperlink"/>
            <w:i/>
            <w:iCs/>
          </w:rPr>
          <w:t>ECLI:LV:AT:2022:1028.A420233422.7.L</w:t>
        </w:r>
      </w:hyperlink>
      <w:r w:rsidR="00F00A4B" w:rsidRPr="00491A9E">
        <w:rPr>
          <w:i/>
          <w:iCs/>
        </w:rPr>
        <w:t>) 7., 8.punkts</w:t>
      </w:r>
      <w:r w:rsidR="00AE30DB" w:rsidRPr="00491A9E">
        <w:t>). Tāpat Senāts konstatēja, ka konkrētajā gadījumā minētajā likumā noteiktās prasības un procedūras nav ievērotas (</w:t>
      </w:r>
      <w:r w:rsidR="00F00A4B" w:rsidRPr="00491A9E">
        <w:rPr>
          <w:i/>
          <w:iCs/>
        </w:rPr>
        <w:t xml:space="preserve">minētā </w:t>
      </w:r>
      <w:r w:rsidR="00AE30DB" w:rsidRPr="00491A9E">
        <w:rPr>
          <w:i/>
          <w:iCs/>
        </w:rPr>
        <w:t>lēmuma 9.punkts</w:t>
      </w:r>
      <w:r w:rsidR="00AE30DB" w:rsidRPr="00491A9E">
        <w:t xml:space="preserve">). </w:t>
      </w:r>
      <w:r w:rsidR="004578AF" w:rsidRPr="00491A9E">
        <w:t>Pirmo reizi i</w:t>
      </w:r>
      <w:r w:rsidR="00AE30DB" w:rsidRPr="00491A9E">
        <w:t>zskatot šo lietu kasācijas kārtībā, Senāts norādīja</w:t>
      </w:r>
      <w:r w:rsidR="00805A9B" w:rsidRPr="00491A9E">
        <w:t>:</w:t>
      </w:r>
      <w:r w:rsidR="00805A9B">
        <w:t xml:space="preserve"> </w:t>
      </w:r>
      <w:r w:rsidR="00805A9B" w:rsidRPr="00805A9B">
        <w:t>tas, ka pašvaldība Publiskās un privātās partnerības likuma regulējumu nav tieši piemērojusi, pats par sevi neizslēdz, ka izsoles noteikumi pēc būtības atbilst šajā likumā izvirzītajām prasībām. Tāpēc tiesai pēc būtības jāpārbauda, vai pamatoti ir pieteicējas argumenti, ka izsoles noteikumi nenodrošina objektīvu un atklātu procedūras norisi un ierobežo godīgu konkurenci</w:t>
      </w:r>
      <w:r w:rsidR="00805A9B" w:rsidRPr="001E4B00" w:rsidDel="00805A9B">
        <w:t xml:space="preserve"> </w:t>
      </w:r>
      <w:r w:rsidR="00AE30DB" w:rsidRPr="004578AF">
        <w:t>(</w:t>
      </w:r>
      <w:r w:rsidR="00AE30DB" w:rsidRPr="004578AF">
        <w:rPr>
          <w:i/>
          <w:iCs/>
        </w:rPr>
        <w:t>Senāta 2023.gada 26.septembra spriedum</w:t>
      </w:r>
      <w:r w:rsidR="001E4B00" w:rsidRPr="004578AF">
        <w:rPr>
          <w:i/>
          <w:iCs/>
        </w:rPr>
        <w:t>a</w:t>
      </w:r>
      <w:r w:rsidR="00AE30DB" w:rsidRPr="004578AF">
        <w:rPr>
          <w:i/>
          <w:iCs/>
        </w:rPr>
        <w:t xml:space="preserve"> </w:t>
      </w:r>
      <w:r w:rsidR="00FB047D">
        <w:rPr>
          <w:i/>
          <w:iCs/>
        </w:rPr>
        <w:t>šajā lietā (</w:t>
      </w:r>
      <w:r w:rsidR="00AE30DB" w:rsidRPr="004578AF">
        <w:rPr>
          <w:i/>
          <w:iCs/>
        </w:rPr>
        <w:t>Nr.</w:t>
      </w:r>
      <w:r w:rsidR="001E4B00" w:rsidRPr="004578AF">
        <w:rPr>
          <w:i/>
          <w:iCs/>
        </w:rPr>
        <w:t> </w:t>
      </w:r>
      <w:r w:rsidR="00AE30DB" w:rsidRPr="004578AF">
        <w:rPr>
          <w:i/>
          <w:iCs/>
        </w:rPr>
        <w:t xml:space="preserve">SKA-702/2023, </w:t>
      </w:r>
      <w:hyperlink r:id="rId9" w:history="1">
        <w:r w:rsidR="00AE30DB" w:rsidRPr="004578AF">
          <w:rPr>
            <w:rStyle w:val="Hyperlink"/>
            <w:i/>
            <w:iCs/>
          </w:rPr>
          <w:t>ECLI:LV:AT:2023:0926.A420233422.12.S</w:t>
        </w:r>
      </w:hyperlink>
      <w:r w:rsidR="00FB047D">
        <w:rPr>
          <w:i/>
          <w:iCs/>
        </w:rPr>
        <w:t>)</w:t>
      </w:r>
      <w:r w:rsidR="00AE30DB" w:rsidRPr="004578AF">
        <w:rPr>
          <w:i/>
          <w:iCs/>
        </w:rPr>
        <w:t xml:space="preserve"> 6.punkts</w:t>
      </w:r>
      <w:r w:rsidR="00AE30DB" w:rsidRPr="004578AF">
        <w:t>).</w:t>
      </w:r>
    </w:p>
    <w:p w14:paraId="226BB26B" w14:textId="7B5E348B" w:rsidR="000A3F92" w:rsidRDefault="00126026" w:rsidP="00546B1F">
      <w:pPr>
        <w:spacing w:line="276" w:lineRule="auto"/>
        <w:ind w:firstLine="720"/>
        <w:jc w:val="both"/>
      </w:pPr>
      <w:r w:rsidRPr="001E4B00">
        <w:t>Senātam ir jānoskaidro</w:t>
      </w:r>
      <w:r w:rsidR="0055362A" w:rsidRPr="001E4B00">
        <w:t>, vai tiesa</w:t>
      </w:r>
      <w:r w:rsidR="004C62CE">
        <w:t xml:space="preserve"> </w:t>
      </w:r>
      <w:r w:rsidR="004C62CE" w:rsidRPr="001E4B00">
        <w:t>ir</w:t>
      </w:r>
      <w:r w:rsidR="004C62CE">
        <w:t xml:space="preserve"> izdarījusi pareizus apsvērumus, vērtējot pieteicējas argumentu pamatotību minētajos aspektos.</w:t>
      </w:r>
    </w:p>
    <w:p w14:paraId="7D718AA6" w14:textId="77777777" w:rsidR="0055362A" w:rsidRPr="001E4B00" w:rsidRDefault="0055362A" w:rsidP="00546B1F">
      <w:pPr>
        <w:spacing w:line="276" w:lineRule="auto"/>
        <w:ind w:firstLine="720"/>
        <w:jc w:val="both"/>
      </w:pPr>
    </w:p>
    <w:p w14:paraId="4CA8A216" w14:textId="2B321C22" w:rsidR="00906A58" w:rsidRDefault="0055362A" w:rsidP="00546B1F">
      <w:pPr>
        <w:spacing w:line="276" w:lineRule="auto"/>
        <w:ind w:firstLine="720"/>
        <w:jc w:val="both"/>
      </w:pPr>
      <w:r w:rsidRPr="001E4B00">
        <w:t>[</w:t>
      </w:r>
      <w:r w:rsidR="00F0204D" w:rsidRPr="001E4B00">
        <w:t>6</w:t>
      </w:r>
      <w:r w:rsidRPr="001E4B00">
        <w:t>] </w:t>
      </w:r>
      <w:r w:rsidR="00E46073" w:rsidRPr="00616D1B">
        <w:t>No Līguma par Eiropas Savienības darbību 49. un 56.panta izriet vienlīdzīgas attieksmes un nediskriminācijas princip</w:t>
      </w:r>
      <w:r w:rsidR="005912F5">
        <w:t>s</w:t>
      </w:r>
      <w:r w:rsidR="00E46073" w:rsidRPr="00616D1B">
        <w:t>, kā arī pārskatāmības pienākums</w:t>
      </w:r>
      <w:r w:rsidR="0008638C">
        <w:t xml:space="preserve"> (arī </w:t>
      </w:r>
      <w:r w:rsidR="0008638C" w:rsidRPr="0008638C">
        <w:t>Publiskās un privātās partnerības likum</w:t>
      </w:r>
      <w:r w:rsidR="0008638C">
        <w:t>a mērķis ir veicināt minēto principu ievērošanu (likuma 2.pants)</w:t>
      </w:r>
      <w:r w:rsidR="00805A9B">
        <w:t>)</w:t>
      </w:r>
      <w:r w:rsidR="0008638C">
        <w:t>.</w:t>
      </w:r>
      <w:r w:rsidR="00E46073" w:rsidRPr="00616D1B">
        <w:t xml:space="preserve"> </w:t>
      </w:r>
      <w:r w:rsidR="00822128" w:rsidRPr="00616D1B">
        <w:t xml:space="preserve">Eiropas Savienības Tiesa ir norādījusi, </w:t>
      </w:r>
      <w:r w:rsidR="0008638C">
        <w:t xml:space="preserve">ka </w:t>
      </w:r>
      <w:r w:rsidR="00822128" w:rsidRPr="00616D1B">
        <w:t xml:space="preserve">šie principi un šis pienākums it īpaši </w:t>
      </w:r>
      <w:r w:rsidR="00822128" w:rsidRPr="00616D1B">
        <w:lastRenderedPageBreak/>
        <w:t>prasa, lai pretendenti būtu vienlīdzīgā situācijā brīdī, kad tie gatavo savus piedāvājumus. Pārskatāmības pienākuma mērķis it īpaši ir nodrošināt, lai nebūtu līgumslēdzējas iestādes favorītisma un patvaļības riska</w:t>
      </w:r>
      <w:r w:rsidR="004748C8" w:rsidRPr="00616D1B">
        <w:t xml:space="preserve">. Minētie principi un pienākums prasa, lai attiecīgā </w:t>
      </w:r>
      <w:r w:rsidR="004748C8" w:rsidRPr="00805A9B">
        <w:t>iepirkuma priekšmets</w:t>
      </w:r>
      <w:r w:rsidR="004748C8" w:rsidRPr="00616D1B">
        <w:t xml:space="preserve"> un piešķiršanas kritēriji tiktu skaidri noteikti līguma slēgšanas tiesību piešķiršanas procedūras sākumā un lai piešķiršanas procedūras nosacījumi un kārtība skaidri, precīzi un nepārprotami tiktu formulēti uzaicinājumā iesniegt piedāvājumus vai specifikācijās tā, lai, pirmkārt, jebkurš saprātīgi informēts un parasti rūpīgs pretendents varētu skaidri saprast to precīzu saturu un tos interpretēt vienādi (</w:t>
      </w:r>
      <w:r w:rsidR="004725C3" w:rsidRPr="00616D1B">
        <w:rPr>
          <w:i/>
          <w:iCs/>
        </w:rPr>
        <w:t xml:space="preserve">Eiropas Savienības Tiesas </w:t>
      </w:r>
      <w:r w:rsidR="00616D1B" w:rsidRPr="00616D1B">
        <w:rPr>
          <w:i/>
          <w:iCs/>
        </w:rPr>
        <w:t xml:space="preserve">2017.gada 5.aprīļa sprieduma lietā „Borta”, C-298/15, </w:t>
      </w:r>
      <w:hyperlink r:id="rId10" w:history="1">
        <w:r w:rsidR="00616D1B" w:rsidRPr="00616D1B">
          <w:rPr>
            <w:rStyle w:val="Hyperlink"/>
            <w:i/>
            <w:iCs/>
          </w:rPr>
          <w:t>ECLI:EU:C:2017:266</w:t>
        </w:r>
      </w:hyperlink>
      <w:r w:rsidR="00616D1B" w:rsidRPr="00616D1B">
        <w:rPr>
          <w:i/>
          <w:iCs/>
        </w:rPr>
        <w:t xml:space="preserve">, </w:t>
      </w:r>
      <w:r w:rsidR="004748C8" w:rsidRPr="00616D1B">
        <w:rPr>
          <w:i/>
          <w:iCs/>
        </w:rPr>
        <w:t>67.–69.punkts un t</w:t>
      </w:r>
      <w:r w:rsidR="002D184A">
        <w:rPr>
          <w:i/>
          <w:iCs/>
        </w:rPr>
        <w:t>ur</w:t>
      </w:r>
      <w:r w:rsidR="004748C8" w:rsidRPr="00616D1B">
        <w:rPr>
          <w:i/>
          <w:iCs/>
        </w:rPr>
        <w:t xml:space="preserve"> norādītā judikatūra</w:t>
      </w:r>
      <w:r w:rsidR="004748C8" w:rsidRPr="00616D1B">
        <w:t>).</w:t>
      </w:r>
    </w:p>
    <w:p w14:paraId="2CC068A6" w14:textId="359E5507" w:rsidR="00906A58" w:rsidRDefault="00E46073" w:rsidP="00546B1F">
      <w:pPr>
        <w:spacing w:line="276" w:lineRule="auto"/>
        <w:ind w:firstLine="720"/>
        <w:jc w:val="both"/>
      </w:pPr>
      <w:r>
        <w:t xml:space="preserve">Tātad, </w:t>
      </w:r>
      <w:r w:rsidRPr="00805A9B">
        <w:t xml:space="preserve">konstatējot, ka </w:t>
      </w:r>
      <w:r w:rsidR="00906A58" w:rsidRPr="00805A9B">
        <w:t>līguma</w:t>
      </w:r>
      <w:r w:rsidRPr="00805A9B">
        <w:t xml:space="preserve"> priekšmets un piešķiršanas kritēriji nav noteikt</w:t>
      </w:r>
      <w:r w:rsidR="00CC4C35" w:rsidRPr="00805A9B">
        <w:t xml:space="preserve">i attiecīgās </w:t>
      </w:r>
      <w:r w:rsidRPr="00805A9B">
        <w:t>proce</w:t>
      </w:r>
      <w:r w:rsidR="00906A58" w:rsidRPr="00805A9B">
        <w:t>dūras</w:t>
      </w:r>
      <w:r w:rsidRPr="00805A9B">
        <w:t xml:space="preserve"> sākumā vai tie nav skaidri, tas var būt</w:t>
      </w:r>
      <w:r w:rsidR="00906A58" w:rsidRPr="00805A9B">
        <w:t xml:space="preserve"> pamats</w:t>
      </w:r>
      <w:r w:rsidR="00906A58">
        <w:t xml:space="preserve"> atzīt, ka </w:t>
      </w:r>
      <w:r w:rsidR="00CC4C35">
        <w:t xml:space="preserve">attiecīgā </w:t>
      </w:r>
      <w:r w:rsidR="00906A58">
        <w:t>procedūra nav notikusi atbilstoši minētajiem pamatprincipiem. Ja procesa dalībnieks par minētajiem aspektiem ir izteicis šaubas, tiesas pienākums ir to pārbaudīt.</w:t>
      </w:r>
    </w:p>
    <w:p w14:paraId="1751C868" w14:textId="77777777" w:rsidR="00616D1B" w:rsidRDefault="00616D1B" w:rsidP="00546B1F">
      <w:pPr>
        <w:spacing w:line="276" w:lineRule="auto"/>
        <w:ind w:firstLine="720"/>
        <w:jc w:val="both"/>
      </w:pPr>
    </w:p>
    <w:p w14:paraId="11956A63" w14:textId="0BFA6A6B" w:rsidR="00616D1B" w:rsidRPr="00616D1B" w:rsidRDefault="00616D1B" w:rsidP="00546B1F">
      <w:pPr>
        <w:spacing w:line="276" w:lineRule="auto"/>
        <w:ind w:firstLine="720"/>
        <w:jc w:val="both"/>
      </w:pPr>
      <w:r>
        <w:t>[7] </w:t>
      </w:r>
      <w:r w:rsidRPr="001E4B00">
        <w:t xml:space="preserve">Pieteicēja </w:t>
      </w:r>
      <w:r>
        <w:t>visā</w:t>
      </w:r>
      <w:r w:rsidRPr="001E4B00">
        <w:t xml:space="preserve"> lietas izskatīšanas gaitā savā argumentācijā ir likusi uzsvaru uz to, ka izsoles noteikumi nenodrošina pietiekamu informāciju </w:t>
      </w:r>
      <w:bookmarkStart w:id="4" w:name="_Hlk164412662"/>
      <w:r w:rsidRPr="00805A9B">
        <w:t>par izsoles rezultātā piešķiramā koncesijas līguma priekšmetu</w:t>
      </w:r>
      <w:bookmarkEnd w:id="4"/>
      <w:r w:rsidRPr="00805A9B">
        <w:t xml:space="preserve"> (kas lietā dēvēts par apbūves tiesību).</w:t>
      </w:r>
      <w:r>
        <w:t xml:space="preserve"> Pieteicējas iebildumu būtība ir par to, ka pieteicēja nevar aprēķināt cenu, ko tā būtu gatava solīt izsolē, lai iegūtu apbūves tiesīb</w:t>
      </w:r>
      <w:r w:rsidR="00491A9E">
        <w:t>u</w:t>
      </w:r>
      <w:r>
        <w:t xml:space="preserve">, jo nav iespējams aplēst, cik lieli finansiālie ieguldījumi pieteicējai būs nepieciešami krematorijas būvniecībai gadījumā, ja pieteicēja </w:t>
      </w:r>
      <w:r w:rsidRPr="00616D1B">
        <w:t>uzvarēs izsolē.</w:t>
      </w:r>
      <w:r>
        <w:t xml:space="preserve"> Šajā sakarā pieteicēja pēc būtības ir iebildusi noteikumu 3.5. un 3.7.punktam.</w:t>
      </w:r>
    </w:p>
    <w:p w14:paraId="74A1BD28" w14:textId="77777777" w:rsidR="00906A58" w:rsidRDefault="00906A58" w:rsidP="00546B1F">
      <w:pPr>
        <w:spacing w:line="276" w:lineRule="auto"/>
        <w:ind w:firstLine="720"/>
        <w:jc w:val="both"/>
      </w:pPr>
    </w:p>
    <w:p w14:paraId="064F48B5" w14:textId="7B262507" w:rsidR="00906A58" w:rsidRDefault="00906A58" w:rsidP="00546B1F">
      <w:pPr>
        <w:spacing w:line="276" w:lineRule="auto"/>
        <w:ind w:firstLine="720"/>
        <w:jc w:val="both"/>
      </w:pPr>
      <w:r>
        <w:t>[</w:t>
      </w:r>
      <w:r w:rsidR="00616D1B">
        <w:t>8</w:t>
      </w:r>
      <w:r>
        <w:t>] </w:t>
      </w:r>
      <w:r w:rsidRPr="00616D1B">
        <w:t>Izsoles noteikumu 3.5.punkts noteic, ka labākā arhitektonisk</w:t>
      </w:r>
      <w:r w:rsidR="00616D1B">
        <w:t>ā</w:t>
      </w:r>
      <w:r w:rsidRPr="00616D1B">
        <w:t xml:space="preserve"> risinājuma – krematorijas būves un tai piegulošās teritorijas iekārtojuma meta </w:t>
      </w:r>
      <w:r w:rsidR="00491A9E">
        <w:t xml:space="preserve">– </w:t>
      </w:r>
      <w:r w:rsidRPr="00616D1B">
        <w:t xml:space="preserve">iegūšanai rīkojams arhitektūras metu konkurss ar ne mazāk kā trīs dalībniekiem. Konkursa nolikuma un konkursa komisijas sastāvs saskaņojams ar būvvaldi. </w:t>
      </w:r>
      <w:r>
        <w:t>Savukārt atbilstoši l</w:t>
      </w:r>
      <w:r w:rsidRPr="00616D1B">
        <w:t>īguma par apbūves tiesīb</w:t>
      </w:r>
      <w:r w:rsidR="0044212B">
        <w:t>as</w:t>
      </w:r>
      <w:r w:rsidRPr="00616D1B">
        <w:t xml:space="preserve"> piešķiršanu 5.2.punkt</w:t>
      </w:r>
      <w:r>
        <w:t>am</w:t>
      </w:r>
      <w:r w:rsidRPr="00616D1B">
        <w:t xml:space="preserve"> metu konkursu ir pienākums rīkot apbūves tiesīgajam trīs mēnešu laikā no līguma noslēgšanas dienas.</w:t>
      </w:r>
    </w:p>
    <w:p w14:paraId="5AAE9FA6" w14:textId="1BFFC343" w:rsidR="00616D1B" w:rsidRDefault="00906A58" w:rsidP="00546B1F">
      <w:pPr>
        <w:spacing w:line="276" w:lineRule="auto"/>
        <w:ind w:firstLine="720"/>
        <w:jc w:val="both"/>
      </w:pPr>
      <w:r>
        <w:t xml:space="preserve">No </w:t>
      </w:r>
      <w:r w:rsidR="00CC4C35">
        <w:t>minēt</w:t>
      </w:r>
      <w:r w:rsidR="00616D1B">
        <w:t>ā</w:t>
      </w:r>
      <w:r w:rsidR="00CC4C35">
        <w:t xml:space="preserve"> </w:t>
      </w:r>
      <w:r>
        <w:t>tiesa ir secinājusi, ka pretendents, kas iegūs apbūves tiesīb</w:t>
      </w:r>
      <w:r w:rsidR="00491A9E">
        <w:t>u</w:t>
      </w:r>
      <w:r>
        <w:t>, būs metu konkursa rīkotājs un arī konkursa nolikuma izstrādātājs; līdz ar to pretendentam būs iespēja tiešā veidā noteikt nolikuma prasības un kritērijus, kas var būt arī sagaidāmās būvniecības izmaksas.</w:t>
      </w:r>
    </w:p>
    <w:p w14:paraId="0D5B82D1" w14:textId="676555D2" w:rsidR="003C12C0" w:rsidRDefault="00CC4C35" w:rsidP="00546B1F">
      <w:pPr>
        <w:spacing w:line="276" w:lineRule="auto"/>
        <w:ind w:firstLine="720"/>
        <w:jc w:val="both"/>
      </w:pPr>
      <w:r>
        <w:t>Senāts atzīst, ka</w:t>
      </w:r>
      <w:r w:rsidR="00906A58">
        <w:t xml:space="preserve"> ties</w:t>
      </w:r>
      <w:r>
        <w:t xml:space="preserve">a, izdarot minēto secinājumu, ir </w:t>
      </w:r>
      <w:r w:rsidR="00906A58">
        <w:t>ignorējusi pieteicējas centrālo argumentu</w:t>
      </w:r>
      <w:r>
        <w:t xml:space="preserve">, </w:t>
      </w:r>
      <w:r w:rsidR="00906A58">
        <w:t>ka pretendenta tiesības noteikt metu konkursa nolikuma prasības un kritērijus ierobežo pienākums k</w:t>
      </w:r>
      <w:r w:rsidR="00906A58" w:rsidRPr="00906A58">
        <w:t>onkursa nolikum</w:t>
      </w:r>
      <w:r w:rsidR="00906A58">
        <w:t>u</w:t>
      </w:r>
      <w:r w:rsidR="00906A58" w:rsidRPr="00906A58">
        <w:t xml:space="preserve"> un konkursa komisijas sastāv</w:t>
      </w:r>
      <w:r w:rsidR="00906A58">
        <w:t>u</w:t>
      </w:r>
      <w:r w:rsidR="00906A58" w:rsidRPr="00906A58">
        <w:t xml:space="preserve"> saska</w:t>
      </w:r>
      <w:r w:rsidR="00906A58">
        <w:t>ņot</w:t>
      </w:r>
      <w:r w:rsidR="00906A58" w:rsidRPr="00906A58">
        <w:t xml:space="preserve"> ar</w:t>
      </w:r>
      <w:r>
        <w:t xml:space="preserve"> pašvaldības</w:t>
      </w:r>
      <w:r w:rsidR="00906A58" w:rsidRPr="00906A58">
        <w:t xml:space="preserve"> būvvaldi</w:t>
      </w:r>
      <w:r w:rsidR="00906A58">
        <w:t>.</w:t>
      </w:r>
      <w:r w:rsidR="00DF4516">
        <w:t xml:space="preserve"> Visas tiesvedības gaitā pieteicēja ir norādījusi uz savām bažām</w:t>
      </w:r>
      <w:r>
        <w:t xml:space="preserve"> par </w:t>
      </w:r>
      <w:r w:rsidR="00DF4516">
        <w:t>neskaidrīb</w:t>
      </w:r>
      <w:r w:rsidR="00FB047D">
        <w:t>u</w:t>
      </w:r>
      <w:r w:rsidR="00DF4516">
        <w:t xml:space="preserve"> par pašvaldības redzējumu attiecībā uz arhitektonisko risinājumu </w:t>
      </w:r>
      <w:r>
        <w:t xml:space="preserve">un </w:t>
      </w:r>
      <w:r w:rsidR="00DF4516">
        <w:t xml:space="preserve">pašvaldības iestādes saskaņojuma </w:t>
      </w:r>
      <w:r>
        <w:t xml:space="preserve">ietekmi uz to, kādam </w:t>
      </w:r>
      <w:r w:rsidR="00616D1B">
        <w:t xml:space="preserve">būs jābūt būves arhitektoniskajam risinājumam. Tieši tas </w:t>
      </w:r>
      <w:r>
        <w:t>liedz</w:t>
      </w:r>
      <w:r w:rsidR="00AC0F2E">
        <w:t>ot</w:t>
      </w:r>
      <w:r>
        <w:t xml:space="preserve"> pieteicējai izdarīt aplēses par to, ar kādiem izdevumiem pieteicējai kopumā varētu būt jārēķinās</w:t>
      </w:r>
      <w:r w:rsidR="00616D1B">
        <w:t>, uzvarot izsolē</w:t>
      </w:r>
      <w:r>
        <w:t xml:space="preserve"> (un attiecīgi pieteicēja</w:t>
      </w:r>
      <w:r w:rsidR="00616D1B">
        <w:t xml:space="preserve"> arī</w:t>
      </w:r>
      <w:r>
        <w:t xml:space="preserve"> nevar</w:t>
      </w:r>
      <w:r w:rsidR="00AC0F2E">
        <w:t>ot</w:t>
      </w:r>
      <w:r>
        <w:t xml:space="preserve"> aprēķināt</w:t>
      </w:r>
      <w:r w:rsidR="00616D1B">
        <w:t xml:space="preserve"> cenu, kādu tā var atļauties</w:t>
      </w:r>
      <w:r>
        <w:t xml:space="preserve"> solīt izsolē, lai pretendētu uz apbūves tiesību piešķiršanu).</w:t>
      </w:r>
    </w:p>
    <w:p w14:paraId="67F69B4B" w14:textId="7441FC47" w:rsidR="00616D1B" w:rsidRDefault="00616D1B" w:rsidP="00546B1F">
      <w:pPr>
        <w:spacing w:line="276" w:lineRule="auto"/>
        <w:ind w:firstLine="720"/>
        <w:jc w:val="both"/>
      </w:pPr>
      <w:r>
        <w:t xml:space="preserve">Ievērojot šos pieteicējas argumentus, tiesa nepamatoti nav pievērsusies analīzei par to, cik minētajam pašvaldības būvvaldes saskaņojumam ir liela ietekme uz metu </w:t>
      </w:r>
      <w:r>
        <w:lastRenderedPageBreak/>
        <w:t>konkursa no</w:t>
      </w:r>
      <w:r w:rsidR="0044212B">
        <w:t>likum</w:t>
      </w:r>
      <w:r>
        <w:t>a izstrādi un būvniecības galaproduktu (tostarp tā izmaksām) kopumā. Tādējādi</w:t>
      </w:r>
      <w:r w:rsidR="00A32BCB">
        <w:t xml:space="preserve"> tiesa</w:t>
      </w:r>
      <w:r>
        <w:t xml:space="preserve"> arī</w:t>
      </w:r>
      <w:r w:rsidR="00A32BCB">
        <w:t xml:space="preserve"> nav </w:t>
      </w:r>
      <w:r>
        <w:t>pārliecinājusies</w:t>
      </w:r>
      <w:r w:rsidR="00A32BCB">
        <w:t>, vai</w:t>
      </w:r>
      <w:r w:rsidR="003C12C0">
        <w:t xml:space="preserve"> ir pamatots pieteicējas arguments, ka </w:t>
      </w:r>
      <w:r>
        <w:t xml:space="preserve">konkrētais izsoles noteikumu punkts liedz pieteicējai aprēķināt paredzamos izdevumus, kam savukārt ir izšķiroša nozīme, lai uzvarētu izsolē. </w:t>
      </w:r>
    </w:p>
    <w:p w14:paraId="7E2B2016" w14:textId="77777777" w:rsidR="0075668B" w:rsidRDefault="0075668B" w:rsidP="00546B1F">
      <w:pPr>
        <w:spacing w:line="276" w:lineRule="auto"/>
        <w:jc w:val="both"/>
      </w:pPr>
    </w:p>
    <w:p w14:paraId="3EE6B9AA" w14:textId="4636349F" w:rsidR="0075668B" w:rsidRPr="00616D1B" w:rsidRDefault="0075668B" w:rsidP="00546B1F">
      <w:pPr>
        <w:spacing w:line="276" w:lineRule="auto"/>
        <w:ind w:firstLine="720"/>
        <w:jc w:val="both"/>
      </w:pPr>
      <w:r w:rsidRPr="00A32BCB">
        <w:t>[</w:t>
      </w:r>
      <w:r w:rsidR="00616D1B">
        <w:t>9</w:t>
      </w:r>
      <w:r w:rsidRPr="00A32BCB">
        <w:t>] </w:t>
      </w:r>
      <w:r w:rsidR="003E63AB">
        <w:t>Izsoles noteikumu 3.3.punktā ir norādītas minimālās prasības krematorijai. Tomēr vienlaikus i</w:t>
      </w:r>
      <w:r w:rsidRPr="00616D1B">
        <w:t>zsoles noteikumu 3.7.punkt</w:t>
      </w:r>
      <w:r w:rsidR="00616D1B">
        <w:t xml:space="preserve">s </w:t>
      </w:r>
      <w:r w:rsidRPr="00616D1B">
        <w:t xml:space="preserve">noteic, ka krematorijas būvprogramma, telpu lielums, specifiskas funkcionālās prasības, nosacījumi teritorijas labiekārtojumam un citas detaļas precizējamas sadarbībā ar Liepājas </w:t>
      </w:r>
      <w:r w:rsidR="003C12C0">
        <w:t>K</w:t>
      </w:r>
      <w:r w:rsidRPr="00616D1B">
        <w:t xml:space="preserve">apsētu pārvaldi. </w:t>
      </w:r>
    </w:p>
    <w:p w14:paraId="31F821A8" w14:textId="288D9832" w:rsidR="00A32BCB" w:rsidRDefault="0075668B" w:rsidP="00546B1F">
      <w:pPr>
        <w:spacing w:line="276" w:lineRule="auto"/>
        <w:ind w:firstLine="720"/>
        <w:jc w:val="both"/>
      </w:pPr>
      <w:r w:rsidRPr="00616D1B">
        <w:t xml:space="preserve">Tiesa ir konstatējusi, ka </w:t>
      </w:r>
      <w:r w:rsidR="003E63AB">
        <w:t xml:space="preserve">izsoles </w:t>
      </w:r>
      <w:r w:rsidRPr="00616D1B">
        <w:t xml:space="preserve">noteikumu </w:t>
      </w:r>
      <w:r w:rsidR="003E63AB">
        <w:t>3.7.</w:t>
      </w:r>
      <w:r w:rsidRPr="00616D1B">
        <w:t>punkts ir ietverts</w:t>
      </w:r>
      <w:r w:rsidR="00A32BCB">
        <w:t xml:space="preserve"> noteikumu</w:t>
      </w:r>
      <w:r w:rsidRPr="00616D1B">
        <w:t xml:space="preserve"> nodaļā, kas noteic prasības, kādas jāizpilda, īstenojot apbūves tiesību. Līdz ar to tiesa ir secinājusi, ka minētais saskaņojums jāsaņem, izstrādājot būvniecības dokumentus</w:t>
      </w:r>
      <w:r w:rsidR="00616D1B">
        <w:t xml:space="preserve"> un </w:t>
      </w:r>
      <w:r w:rsidRPr="00616D1B">
        <w:t>tādējādi šāda prasība nevar ietekmēt izsoles norisi.</w:t>
      </w:r>
    </w:p>
    <w:p w14:paraId="38543796" w14:textId="05873D9E" w:rsidR="003E63AB" w:rsidRDefault="00A32BCB" w:rsidP="00546B1F">
      <w:pPr>
        <w:spacing w:line="276" w:lineRule="auto"/>
        <w:ind w:firstLine="720"/>
        <w:jc w:val="both"/>
      </w:pPr>
      <w:r>
        <w:t xml:space="preserve">Senāts </w:t>
      </w:r>
      <w:r w:rsidR="003C12C0">
        <w:t>atzīst, ka no izsoles noteikum</w:t>
      </w:r>
      <w:r w:rsidR="00616D1B">
        <w:t>iem</w:t>
      </w:r>
      <w:r w:rsidR="003C12C0">
        <w:t xml:space="preserve"> tiesas norādītais secinājums nav izdarāms</w:t>
      </w:r>
      <w:r w:rsidR="00616D1B">
        <w:t>,</w:t>
      </w:r>
      <w:r w:rsidR="003C12C0">
        <w:t xml:space="preserve"> jo</w:t>
      </w:r>
      <w:r w:rsidR="00616D1B">
        <w:t xml:space="preserve"> minētā noteikum</w:t>
      </w:r>
      <w:r w:rsidR="0044212B">
        <w:t>u</w:t>
      </w:r>
      <w:r w:rsidR="00616D1B">
        <w:t xml:space="preserve"> punkta atrašanās konkrētajā noteikumu nodaļā nepamato secinājumu, ka attiecīgā prasība nevar ietekmēt izsoles norisi.</w:t>
      </w:r>
      <w:r w:rsidR="00F62045">
        <w:t xml:space="preserve"> Šajā sakarā,</w:t>
      </w:r>
      <w:r w:rsidR="00616D1B">
        <w:t xml:space="preserve"> </w:t>
      </w:r>
      <w:r w:rsidR="00F62045">
        <w:t>l</w:t>
      </w:r>
      <w:r w:rsidR="00616D1B">
        <w:t>īdzīgi kā iepriekš,</w:t>
      </w:r>
      <w:r w:rsidR="003C12C0">
        <w:t xml:space="preserve"> tiesa</w:t>
      </w:r>
      <w:r w:rsidR="00F62045">
        <w:t xml:space="preserve"> arī</w:t>
      </w:r>
      <w:r w:rsidR="003C12C0">
        <w:t xml:space="preserve"> nav noskaidrojusi</w:t>
      </w:r>
      <w:r w:rsidR="00F62045">
        <w:t xml:space="preserve"> to</w:t>
      </w:r>
      <w:r w:rsidR="003C12C0">
        <w:t xml:space="preserve">, kādus ar krematorijas būvniecību saistītus aspektus minētais saskaņojums aptver un cik liela </w:t>
      </w:r>
      <w:r w:rsidR="005F528D">
        <w:t xml:space="preserve">ir tā </w:t>
      </w:r>
      <w:r w:rsidR="003C12C0">
        <w:t>nozīme attiecībā uz būvniecības gala</w:t>
      </w:r>
      <w:r w:rsidR="00616D1B">
        <w:t>produktu</w:t>
      </w:r>
      <w:r w:rsidR="003C12C0">
        <w:t>. Piemēram,</w:t>
      </w:r>
      <w:r w:rsidR="005F528D">
        <w:t xml:space="preserve"> Senāts atrod, ka</w:t>
      </w:r>
      <w:r w:rsidR="003C12C0">
        <w:t xml:space="preserve"> kādā mācību materiālā skaidrots, ka </w:t>
      </w:r>
      <w:r w:rsidR="003C12C0" w:rsidRPr="003C12C0">
        <w:t>darba uzdevumā dotā būvprogramma</w:t>
      </w:r>
      <w:r w:rsidR="003C12C0">
        <w:t xml:space="preserve"> nosaka telpu sastāvu un nepieciešamās platības projektējamā ēkā (</w:t>
      </w:r>
      <w:r w:rsidR="005F528D">
        <w:t xml:space="preserve">Rīgas </w:t>
      </w:r>
      <w:r w:rsidR="00AC0F2E">
        <w:t xml:space="preserve">Tehniskās </w:t>
      </w:r>
      <w:r w:rsidR="005F528D">
        <w:t xml:space="preserve">universitātes </w:t>
      </w:r>
      <w:hyperlink r:id="rId11" w:history="1">
        <w:r w:rsidR="005F528D" w:rsidRPr="005F528D">
          <w:rPr>
            <w:rStyle w:val="Hyperlink"/>
          </w:rPr>
          <w:t>metodiskais materiāls</w:t>
        </w:r>
      </w:hyperlink>
      <w:r w:rsidR="005F528D">
        <w:t xml:space="preserve"> „Arhitektūras bakalaura studiju programmas kurss „Arhitektūras projektēšana””</w:t>
      </w:r>
      <w:r w:rsidR="003C12C0">
        <w:t>)</w:t>
      </w:r>
      <w:r w:rsidR="005F528D">
        <w:t xml:space="preserve">. Tiesa nav </w:t>
      </w:r>
      <w:r w:rsidR="00616D1B">
        <w:t>vērtējusi,</w:t>
      </w:r>
      <w:r w:rsidR="005F528D">
        <w:t xml:space="preserve"> vai ar līdzīgu</w:t>
      </w:r>
      <w:r w:rsidR="00616D1B">
        <w:t xml:space="preserve"> (vai citādu)</w:t>
      </w:r>
      <w:r w:rsidR="005F528D">
        <w:t xml:space="preserve"> nozīmi minētais termins </w:t>
      </w:r>
      <w:r w:rsidR="00616D1B">
        <w:t xml:space="preserve">ir </w:t>
      </w:r>
      <w:r w:rsidR="005F528D">
        <w:t>lietots arī izsoles noteikumos</w:t>
      </w:r>
      <w:r w:rsidR="00616D1B">
        <w:t>, kā arī nav noskaidrojusi, kas ir „citas detaļas”, kas precizējamas ar minēto iestādi.</w:t>
      </w:r>
      <w:r w:rsidR="005F528D">
        <w:t xml:space="preserve"> </w:t>
      </w:r>
      <w:r w:rsidR="003E63AB">
        <w:t>Tādējādi tiesa nav noskaidrojusi, cik liela ietekme Liepājas Kapsēt</w:t>
      </w:r>
      <w:r w:rsidR="004A57C4">
        <w:t>u</w:t>
      </w:r>
      <w:r w:rsidR="003E63AB">
        <w:t xml:space="preserve"> pārvaldes saskaņojumam būs uz būvniecības galaproduktu</w:t>
      </w:r>
      <w:r w:rsidR="002C562C">
        <w:t xml:space="preserve"> un attiecīgi arī to, vai izsoles noteikumu prasības kopumā nodrošina pienācīgu informāciju par koncesijas līguma priekšmetu.</w:t>
      </w:r>
    </w:p>
    <w:p w14:paraId="2CDC7155" w14:textId="77777777" w:rsidR="005F528D" w:rsidRDefault="005F528D" w:rsidP="00546B1F">
      <w:pPr>
        <w:spacing w:line="276" w:lineRule="auto"/>
        <w:ind w:firstLine="720"/>
        <w:jc w:val="both"/>
      </w:pPr>
    </w:p>
    <w:p w14:paraId="7870168E" w14:textId="5E5C73BC" w:rsidR="002C562C" w:rsidRDefault="005F528D" w:rsidP="00546B1F">
      <w:pPr>
        <w:spacing w:line="276" w:lineRule="auto"/>
        <w:ind w:firstLine="720"/>
        <w:jc w:val="both"/>
      </w:pPr>
      <w:r>
        <w:t>[</w:t>
      </w:r>
      <w:r w:rsidR="00616D1B">
        <w:t>10</w:t>
      </w:r>
      <w:r>
        <w:t>] Tiesa ir konstatējusi, ka pieteicēja pēc izsoles noteikumu izsludināšanas neskaidros aspektus ir centusies noskaidrot, vēršoties pie pašvaldības ar jautājumiem citstarp par</w:t>
      </w:r>
      <w:r w:rsidRPr="0006598D">
        <w:t xml:space="preserve"> metu konkursa rīkošanu un izmaksu noteikšanu</w:t>
      </w:r>
      <w:r>
        <w:t>, objekta izvietojuma vizualizācijas iesniegšanu saskaņā ar izsoles noteikumu 6.3.1.punktu, saskaņojuma saņemšanu no Liepājas Kapsētu pārvaldes (</w:t>
      </w:r>
      <w:r w:rsidRPr="0066208D">
        <w:rPr>
          <w:i/>
          <w:iCs/>
        </w:rPr>
        <w:t>lietas 36.lapa</w:t>
      </w:r>
      <w:r>
        <w:t>). Tiesa ir secinājusi, ka pieteicējai tika sniegtas atbildes uz interesējošiem jautājumiem.</w:t>
      </w:r>
    </w:p>
    <w:p w14:paraId="13998905" w14:textId="71CDD043" w:rsidR="005F528D" w:rsidRDefault="005F528D" w:rsidP="00546B1F">
      <w:pPr>
        <w:spacing w:line="276" w:lineRule="auto"/>
        <w:ind w:firstLine="720"/>
        <w:jc w:val="both"/>
      </w:pPr>
      <w:r>
        <w:t>Senāts norāda, ka tas, ka pašvaldība pieteicējai vispār ir atbildējusi, nenozīmē, ka pašvaldība ir kliedējusi</w:t>
      </w:r>
      <w:r w:rsidR="00616D1B">
        <w:t xml:space="preserve"> pamatotas</w:t>
      </w:r>
      <w:r>
        <w:t xml:space="preserve"> bažas par līguma priekšmeta neskaidrību. </w:t>
      </w:r>
      <w:r w:rsidR="00616D1B">
        <w:t>P</w:t>
      </w:r>
      <w:r>
        <w:t>ašvaldība atbildē</w:t>
      </w:r>
      <w:r w:rsidR="00616D1B">
        <w:t xml:space="preserve"> pieteicējai (</w:t>
      </w:r>
      <w:r w:rsidR="00616D1B" w:rsidRPr="0066208D">
        <w:rPr>
          <w:i/>
          <w:iCs/>
        </w:rPr>
        <w:t>lietas 38.–39.lapa</w:t>
      </w:r>
      <w:r w:rsidR="00616D1B">
        <w:t>)</w:t>
      </w:r>
      <w:r>
        <w:t xml:space="preserve"> principā ir vēlreiz atkārtojusi izsoles noteikum</w:t>
      </w:r>
      <w:r w:rsidR="00616D1B">
        <w:t>os norādīto</w:t>
      </w:r>
      <w:r>
        <w:t xml:space="preserve">, turklāt apstiprinot, ka šajā stadijā iespējams noteikt ļoti aptuvenas izmaksas, savukārt izsoles pieteikumam </w:t>
      </w:r>
      <w:r w:rsidR="00616D1B">
        <w:t xml:space="preserve">sākotnēji </w:t>
      </w:r>
      <w:r>
        <w:t>pievienojam</w:t>
      </w:r>
      <w:r w:rsidR="00182B34">
        <w:t>ais</w:t>
      </w:r>
      <w:r>
        <w:t xml:space="preserve"> būves kopēj</w:t>
      </w:r>
      <w:r w:rsidR="00182B34">
        <w:t>ā</w:t>
      </w:r>
      <w:r>
        <w:t xml:space="preserve"> apjom</w:t>
      </w:r>
      <w:r w:rsidR="00182B34">
        <w:t>a</w:t>
      </w:r>
      <w:r>
        <w:t xml:space="preserve"> un būvniecības pamatprincipu vispārīg</w:t>
      </w:r>
      <w:r w:rsidR="00182B34">
        <w:t>a</w:t>
      </w:r>
      <w:r w:rsidR="00035D73">
        <w:t>i</w:t>
      </w:r>
      <w:r w:rsidR="00182B34">
        <w:t>s raksturojums</w:t>
      </w:r>
      <w:r>
        <w:t>, ir ilustratīvs materiāls, kas šajā stadijā nevar būt objektīva vērtējuma priekšmets.</w:t>
      </w:r>
      <w:r w:rsidR="00055A2D">
        <w:t xml:space="preserve"> </w:t>
      </w:r>
      <w:r w:rsidR="003046A5">
        <w:t xml:space="preserve">Pašvaldības atbildē arī norādīts, ka metu konkursa nolikums, uzdevums un citas detaļas precizējamas ar būvvaldi un saskaņojamas ar Latvijas Arhitektu </w:t>
      </w:r>
      <w:r w:rsidR="00FB047D">
        <w:t>s</w:t>
      </w:r>
      <w:r w:rsidR="003046A5">
        <w:t xml:space="preserve">avienību (izsolēs noteikumos uz saskaņojumu ar Latvijas Arhitektu </w:t>
      </w:r>
      <w:r w:rsidR="00FB047D">
        <w:t>s</w:t>
      </w:r>
      <w:r w:rsidR="003046A5">
        <w:t xml:space="preserve">avienību nav norādīts), kā arī norādīti piemēri, kādi kritēriji ņemami vērā metu priekšlikumu vērtējumā. Tiesa nav vērtējusi, vai pašvaldības atbilde kopsakarā ar </w:t>
      </w:r>
      <w:r w:rsidR="003046A5">
        <w:lastRenderedPageBreak/>
        <w:t>pārējiem izsoles dokumentiem, kas pieteicējai bija pieejami, nodrošināja pietiekam</w:t>
      </w:r>
      <w:r w:rsidR="00B424CB">
        <w:t>u</w:t>
      </w:r>
      <w:r w:rsidR="003046A5">
        <w:t xml:space="preserve"> skaidrību par </w:t>
      </w:r>
      <w:r w:rsidR="003046A5" w:rsidRPr="003046A5">
        <w:t>izsoles rezultātā piešķiramā koncesijas līguma priekšmetu</w:t>
      </w:r>
      <w:r w:rsidR="003046A5">
        <w:t>.</w:t>
      </w:r>
    </w:p>
    <w:p w14:paraId="15B2C48F" w14:textId="77777777" w:rsidR="008F5B74" w:rsidRPr="00403777" w:rsidRDefault="008F5B74" w:rsidP="00546B1F">
      <w:pPr>
        <w:spacing w:line="276" w:lineRule="auto"/>
        <w:jc w:val="both"/>
      </w:pPr>
    </w:p>
    <w:p w14:paraId="248AE22A" w14:textId="3B82B657" w:rsidR="003047F5" w:rsidRDefault="001E4B00" w:rsidP="00546B1F">
      <w:pPr>
        <w:spacing w:line="276" w:lineRule="auto"/>
        <w:ind w:firstLine="720"/>
        <w:jc w:val="both"/>
      </w:pPr>
      <w:r>
        <w:t>[</w:t>
      </w:r>
      <w:r w:rsidR="00F62045">
        <w:t>11</w:t>
      </w:r>
      <w:r>
        <w:t>]</w:t>
      </w:r>
      <w:r w:rsidR="004578AF">
        <w:t> </w:t>
      </w:r>
      <w:r w:rsidR="00F62045">
        <w:t>Spriedumā iepriekš minētās tiesas kļūdas varēja ietekmēt lietas iznākumu. Līdz ar to spriedums neatkarīgi no pārējiem kasācijas sūdzības argumentiem ir atceļams un lieta nododama jaunai izskatīšanai Administratīvajai rajona tiesai.</w:t>
      </w:r>
    </w:p>
    <w:p w14:paraId="13B7672B" w14:textId="77777777" w:rsidR="00F62045" w:rsidRDefault="00F62045" w:rsidP="00546B1F">
      <w:pPr>
        <w:spacing w:line="276" w:lineRule="auto"/>
        <w:jc w:val="both"/>
      </w:pPr>
    </w:p>
    <w:p w14:paraId="7F133DF8" w14:textId="77777777" w:rsidR="003047F5" w:rsidRPr="0082381C" w:rsidRDefault="003047F5" w:rsidP="00546B1F">
      <w:pPr>
        <w:spacing w:line="276" w:lineRule="auto"/>
        <w:jc w:val="center"/>
        <w:rPr>
          <w:b/>
        </w:rPr>
      </w:pPr>
      <w:r w:rsidRPr="0082381C">
        <w:rPr>
          <w:b/>
        </w:rPr>
        <w:t>Rezolutīvā daļa</w:t>
      </w:r>
    </w:p>
    <w:p w14:paraId="203D55B2" w14:textId="77777777" w:rsidR="003047F5" w:rsidRPr="0082381C" w:rsidRDefault="003047F5" w:rsidP="00546B1F">
      <w:pPr>
        <w:spacing w:line="276" w:lineRule="auto"/>
        <w:ind w:firstLine="720"/>
        <w:jc w:val="both"/>
        <w:rPr>
          <w:bCs/>
          <w:spacing w:val="70"/>
        </w:rPr>
      </w:pPr>
    </w:p>
    <w:p w14:paraId="6C0D5837" w14:textId="77C93645" w:rsidR="003047F5" w:rsidRPr="0082381C" w:rsidRDefault="003047F5" w:rsidP="00546B1F">
      <w:pPr>
        <w:spacing w:line="276" w:lineRule="auto"/>
        <w:ind w:firstLine="720"/>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055A2D">
        <w:rPr>
          <w:rFonts w:eastAsiaTheme="minorHAnsi"/>
          <w:lang w:eastAsia="en-US"/>
        </w:rPr>
        <w:t>129.</w:t>
      </w:r>
      <w:r w:rsidR="00AF2237" w:rsidRPr="00055A2D">
        <w:rPr>
          <w:rFonts w:eastAsiaTheme="minorHAnsi"/>
          <w:vertAlign w:val="superscript"/>
          <w:lang w:eastAsia="en-US"/>
        </w:rPr>
        <w:t>1</w:t>
      </w:r>
      <w:r w:rsidR="00AF2237" w:rsidRPr="00055A2D">
        <w:rPr>
          <w:rFonts w:eastAsiaTheme="minorHAnsi"/>
          <w:lang w:eastAsia="en-US"/>
        </w:rPr>
        <w:t>panta 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055A2D">
        <w:rPr>
          <w:rFonts w:eastAsiaTheme="minorHAnsi"/>
          <w:lang w:eastAsia="en-US"/>
        </w:rPr>
        <w:t xml:space="preserve">2.punktu </w:t>
      </w:r>
      <w:r w:rsidR="00AF2237" w:rsidRPr="00E63EC7">
        <w:rPr>
          <w:rFonts w:eastAsiaTheme="minorHAnsi"/>
          <w:lang w:eastAsia="en-US"/>
        </w:rPr>
        <w:t>un 351.pantu</w:t>
      </w:r>
      <w:r w:rsidRPr="0082381C">
        <w:t xml:space="preserve">, </w:t>
      </w:r>
      <w:r w:rsidR="006B7BBC" w:rsidRPr="00B75A4A">
        <w:t>Senāts</w:t>
      </w:r>
    </w:p>
    <w:p w14:paraId="56FE2BEB" w14:textId="77777777" w:rsidR="003047F5" w:rsidRPr="0082381C" w:rsidRDefault="003047F5" w:rsidP="00546B1F">
      <w:pPr>
        <w:spacing w:line="276" w:lineRule="auto"/>
        <w:ind w:firstLine="720"/>
        <w:jc w:val="both"/>
      </w:pPr>
    </w:p>
    <w:p w14:paraId="6FE7AC9C" w14:textId="268BB826" w:rsidR="003047F5" w:rsidRPr="0082381C" w:rsidRDefault="003047F5" w:rsidP="00546B1F">
      <w:pPr>
        <w:spacing w:line="276" w:lineRule="auto"/>
        <w:jc w:val="center"/>
        <w:rPr>
          <w:b/>
        </w:rPr>
      </w:pPr>
      <w:r w:rsidRPr="0082381C">
        <w:rPr>
          <w:b/>
        </w:rPr>
        <w:t>nosprieda</w:t>
      </w:r>
    </w:p>
    <w:p w14:paraId="25D5DF80" w14:textId="77777777" w:rsidR="00A6596A" w:rsidRPr="0082381C" w:rsidRDefault="00A6596A" w:rsidP="00546B1F">
      <w:pPr>
        <w:spacing w:line="276" w:lineRule="auto"/>
        <w:ind w:firstLine="720"/>
        <w:jc w:val="center"/>
        <w:rPr>
          <w:b/>
        </w:rPr>
      </w:pPr>
    </w:p>
    <w:p w14:paraId="1DD398A2" w14:textId="3862216B" w:rsidR="000A3F92" w:rsidRPr="0082381C" w:rsidRDefault="003E0FB5" w:rsidP="00546B1F">
      <w:pPr>
        <w:spacing w:line="276" w:lineRule="auto"/>
        <w:ind w:firstLine="720"/>
        <w:jc w:val="both"/>
      </w:pPr>
      <w:r>
        <w:t>a</w:t>
      </w:r>
      <w:r w:rsidR="00CD401A">
        <w:t xml:space="preserve">tcelt Administratīvās </w:t>
      </w:r>
      <w:r w:rsidR="00CD401A" w:rsidRPr="00055A2D">
        <w:t xml:space="preserve">rajona tiesas </w:t>
      </w:r>
      <w:r w:rsidR="00055A2D" w:rsidRPr="00055A2D">
        <w:t>2024.gada 30.janvāra</w:t>
      </w:r>
      <w:r w:rsidR="00CD401A" w:rsidRPr="00055A2D">
        <w:t xml:space="preserve"> spriedumu un nodot lietu jaunai izskatīšanai </w:t>
      </w:r>
      <w:r w:rsidR="009C3EB1" w:rsidRPr="00055A2D">
        <w:t>Administratīvajai rajona tiesai</w:t>
      </w:r>
      <w:r w:rsidRPr="00055A2D">
        <w:t>;</w:t>
      </w:r>
    </w:p>
    <w:p w14:paraId="2D9692AA" w14:textId="526D35FE" w:rsidR="00A6596A" w:rsidRDefault="003E0FB5" w:rsidP="00546B1F">
      <w:pPr>
        <w:spacing w:line="276" w:lineRule="auto"/>
        <w:ind w:firstLine="720"/>
        <w:jc w:val="both"/>
      </w:pPr>
      <w:r>
        <w:t>a</w:t>
      </w:r>
      <w:r w:rsidR="00CD401A">
        <w:t xml:space="preserve">tmaksāt </w:t>
      </w:r>
      <w:r w:rsidR="00055A2D">
        <w:t>SIA „Liepājas apbedīšanas birojs”</w:t>
      </w:r>
      <w:r w:rsidR="00CD401A">
        <w:t xml:space="preserve"> par kasācijas sūdzības iesniegšanu samaksāto drošības naudu 70 </w:t>
      </w:r>
      <w:r w:rsidR="00CD401A" w:rsidRPr="00CD401A">
        <w:rPr>
          <w:i/>
        </w:rPr>
        <w:t>euro</w:t>
      </w:r>
      <w:r w:rsidR="00CD401A">
        <w:t>.</w:t>
      </w:r>
    </w:p>
    <w:p w14:paraId="260576E5" w14:textId="77777777" w:rsidR="003E0FB5" w:rsidRPr="0082381C" w:rsidRDefault="003E0FB5" w:rsidP="00546B1F">
      <w:pPr>
        <w:spacing w:line="276" w:lineRule="auto"/>
        <w:ind w:firstLine="720"/>
        <w:jc w:val="both"/>
      </w:pPr>
    </w:p>
    <w:p w14:paraId="342CDE45" w14:textId="77777777" w:rsidR="00801CD9" w:rsidRDefault="00941626" w:rsidP="00546B1F">
      <w:pPr>
        <w:spacing w:line="276" w:lineRule="auto"/>
        <w:ind w:firstLine="720"/>
        <w:jc w:val="both"/>
      </w:pPr>
      <w:r w:rsidRPr="0082381C">
        <w:t xml:space="preserve">Spriedums </w:t>
      </w:r>
      <w:r w:rsidR="00801CD9" w:rsidRPr="001F40A0">
        <w:t>nav pārsūdzams.</w:t>
      </w:r>
    </w:p>
    <w:p w14:paraId="2DD25EEE" w14:textId="77777777" w:rsidR="00FB383D" w:rsidRDefault="00FB383D" w:rsidP="004B7BFD">
      <w:pPr>
        <w:spacing w:line="276" w:lineRule="auto"/>
        <w:ind w:firstLine="720"/>
        <w:jc w:val="both"/>
      </w:pPr>
    </w:p>
    <w:p w14:paraId="0FF14F5A" w14:textId="77777777" w:rsidR="00D22271" w:rsidRDefault="00D22271" w:rsidP="004B7BFD">
      <w:pPr>
        <w:spacing w:line="276" w:lineRule="auto"/>
        <w:ind w:firstLine="720"/>
        <w:jc w:val="both"/>
      </w:pPr>
    </w:p>
    <w:p w14:paraId="418CFF33" w14:textId="77777777" w:rsidR="003E0FB5" w:rsidRDefault="003E0FB5" w:rsidP="004B7BFD">
      <w:pPr>
        <w:spacing w:line="276" w:lineRule="auto"/>
        <w:ind w:firstLine="720"/>
        <w:jc w:val="both"/>
      </w:pPr>
    </w:p>
    <w:p w14:paraId="13FFBBB1" w14:textId="77777777" w:rsidR="003E0FB5" w:rsidRDefault="003E0FB5" w:rsidP="004B7BFD">
      <w:pPr>
        <w:spacing w:line="276" w:lineRule="auto"/>
        <w:ind w:firstLine="720"/>
        <w:jc w:val="both"/>
      </w:pPr>
    </w:p>
    <w:p w14:paraId="4FF9EDC9" w14:textId="3C0F1B5B" w:rsidR="006B7BBC" w:rsidRDefault="006B7BBC" w:rsidP="004B7BFD">
      <w:pPr>
        <w:tabs>
          <w:tab w:val="center" w:pos="1276"/>
          <w:tab w:val="center" w:pos="4678"/>
          <w:tab w:val="center" w:pos="8080"/>
        </w:tabs>
        <w:spacing w:line="276" w:lineRule="auto"/>
        <w:ind w:firstLine="720"/>
        <w:jc w:val="both"/>
        <w:rPr>
          <w:color w:val="000000"/>
        </w:rPr>
      </w:pPr>
    </w:p>
    <w:sectPr w:rsidR="006B7BBC" w:rsidSect="00D46458">
      <w:footerReference w:type="default" r:id="rId12"/>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6EA4F" w14:textId="77777777" w:rsidR="00D46458" w:rsidRDefault="00D46458" w:rsidP="003047F5">
      <w:r>
        <w:separator/>
      </w:r>
    </w:p>
  </w:endnote>
  <w:endnote w:type="continuationSeparator" w:id="0">
    <w:p w14:paraId="49E5409F" w14:textId="77777777" w:rsidR="00D46458" w:rsidRDefault="00D4645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67D0A1B7"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65054A">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406384">
      <w:rPr>
        <w:rStyle w:val="PageNumber"/>
        <w:noProof/>
        <w:sz w:val="20"/>
        <w:szCs w:val="20"/>
      </w:rPr>
      <w:t>5</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1CD74" w14:textId="77777777" w:rsidR="00D46458" w:rsidRDefault="00D46458" w:rsidP="003047F5">
      <w:r>
        <w:separator/>
      </w:r>
    </w:p>
  </w:footnote>
  <w:footnote w:type="continuationSeparator" w:id="0">
    <w:p w14:paraId="64C95FD8" w14:textId="77777777" w:rsidR="00D46458" w:rsidRDefault="00D46458"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33D56"/>
    <w:rsid w:val="00035D73"/>
    <w:rsid w:val="000414A2"/>
    <w:rsid w:val="00041978"/>
    <w:rsid w:val="00053253"/>
    <w:rsid w:val="00055A2D"/>
    <w:rsid w:val="0006598D"/>
    <w:rsid w:val="000708AF"/>
    <w:rsid w:val="00072833"/>
    <w:rsid w:val="00075676"/>
    <w:rsid w:val="0008638C"/>
    <w:rsid w:val="00086EB0"/>
    <w:rsid w:val="00091BF8"/>
    <w:rsid w:val="000A3F92"/>
    <w:rsid w:val="000B0A3A"/>
    <w:rsid w:val="000C593E"/>
    <w:rsid w:val="000D58F9"/>
    <w:rsid w:val="000F3172"/>
    <w:rsid w:val="001108D8"/>
    <w:rsid w:val="00126026"/>
    <w:rsid w:val="0014709E"/>
    <w:rsid w:val="0016381F"/>
    <w:rsid w:val="001646E9"/>
    <w:rsid w:val="0017173D"/>
    <w:rsid w:val="00182B34"/>
    <w:rsid w:val="0019238A"/>
    <w:rsid w:val="00196BAA"/>
    <w:rsid w:val="001A0495"/>
    <w:rsid w:val="001A2974"/>
    <w:rsid w:val="001E3A09"/>
    <w:rsid w:val="001E4B00"/>
    <w:rsid w:val="001F4FB1"/>
    <w:rsid w:val="001F685C"/>
    <w:rsid w:val="00212054"/>
    <w:rsid w:val="00215A28"/>
    <w:rsid w:val="00222AA9"/>
    <w:rsid w:val="00225297"/>
    <w:rsid w:val="0023114F"/>
    <w:rsid w:val="00236E52"/>
    <w:rsid w:val="00237F92"/>
    <w:rsid w:val="00261165"/>
    <w:rsid w:val="002663B3"/>
    <w:rsid w:val="0027469B"/>
    <w:rsid w:val="00293462"/>
    <w:rsid w:val="002C562C"/>
    <w:rsid w:val="002D184A"/>
    <w:rsid w:val="00301A51"/>
    <w:rsid w:val="003046A5"/>
    <w:rsid w:val="003047F5"/>
    <w:rsid w:val="00334BE9"/>
    <w:rsid w:val="0035346E"/>
    <w:rsid w:val="003562D0"/>
    <w:rsid w:val="00357F99"/>
    <w:rsid w:val="00391872"/>
    <w:rsid w:val="003A5B69"/>
    <w:rsid w:val="003C12C0"/>
    <w:rsid w:val="003C1D16"/>
    <w:rsid w:val="003E0FB5"/>
    <w:rsid w:val="003E17E8"/>
    <w:rsid w:val="003E63AB"/>
    <w:rsid w:val="003E6AC8"/>
    <w:rsid w:val="003E73F4"/>
    <w:rsid w:val="00403777"/>
    <w:rsid w:val="00406384"/>
    <w:rsid w:val="004143A6"/>
    <w:rsid w:val="00417C77"/>
    <w:rsid w:val="00424B84"/>
    <w:rsid w:val="00427AB0"/>
    <w:rsid w:val="0043182C"/>
    <w:rsid w:val="0043387D"/>
    <w:rsid w:val="00433DE2"/>
    <w:rsid w:val="0044212B"/>
    <w:rsid w:val="00453BBA"/>
    <w:rsid w:val="004578AF"/>
    <w:rsid w:val="004725C3"/>
    <w:rsid w:val="004748C8"/>
    <w:rsid w:val="00481A14"/>
    <w:rsid w:val="0048529F"/>
    <w:rsid w:val="00490E36"/>
    <w:rsid w:val="00491A9E"/>
    <w:rsid w:val="00491DEC"/>
    <w:rsid w:val="004A0332"/>
    <w:rsid w:val="004A4903"/>
    <w:rsid w:val="004A57C4"/>
    <w:rsid w:val="004B7BFD"/>
    <w:rsid w:val="004C62CE"/>
    <w:rsid w:val="0050148F"/>
    <w:rsid w:val="00515298"/>
    <w:rsid w:val="00521A02"/>
    <w:rsid w:val="00543E46"/>
    <w:rsid w:val="00546B1F"/>
    <w:rsid w:val="0055362A"/>
    <w:rsid w:val="00570C77"/>
    <w:rsid w:val="005912F5"/>
    <w:rsid w:val="005E5F91"/>
    <w:rsid w:val="005F528D"/>
    <w:rsid w:val="0061477E"/>
    <w:rsid w:val="00615050"/>
    <w:rsid w:val="00616D1B"/>
    <w:rsid w:val="0065054A"/>
    <w:rsid w:val="00652AAD"/>
    <w:rsid w:val="00691F1C"/>
    <w:rsid w:val="006B7BBC"/>
    <w:rsid w:val="006C6135"/>
    <w:rsid w:val="006D22E0"/>
    <w:rsid w:val="006F5D3B"/>
    <w:rsid w:val="00702D65"/>
    <w:rsid w:val="007058DB"/>
    <w:rsid w:val="007224CF"/>
    <w:rsid w:val="0075668B"/>
    <w:rsid w:val="007709C7"/>
    <w:rsid w:val="007721FF"/>
    <w:rsid w:val="0077509E"/>
    <w:rsid w:val="00785A0D"/>
    <w:rsid w:val="007C1579"/>
    <w:rsid w:val="0080049A"/>
    <w:rsid w:val="00801CD9"/>
    <w:rsid w:val="00803C6D"/>
    <w:rsid w:val="00805A9B"/>
    <w:rsid w:val="00822128"/>
    <w:rsid w:val="0082381C"/>
    <w:rsid w:val="00833668"/>
    <w:rsid w:val="008570F8"/>
    <w:rsid w:val="008631AB"/>
    <w:rsid w:val="008761E3"/>
    <w:rsid w:val="00877AD7"/>
    <w:rsid w:val="0089619C"/>
    <w:rsid w:val="008A1678"/>
    <w:rsid w:val="008B1F7D"/>
    <w:rsid w:val="008B4B99"/>
    <w:rsid w:val="008B7DDA"/>
    <w:rsid w:val="008C359E"/>
    <w:rsid w:val="008C3728"/>
    <w:rsid w:val="008D41FF"/>
    <w:rsid w:val="008F5B74"/>
    <w:rsid w:val="00906A58"/>
    <w:rsid w:val="009229FE"/>
    <w:rsid w:val="009260C7"/>
    <w:rsid w:val="00941626"/>
    <w:rsid w:val="00946A06"/>
    <w:rsid w:val="009639F7"/>
    <w:rsid w:val="00965EC6"/>
    <w:rsid w:val="00967746"/>
    <w:rsid w:val="00971E1D"/>
    <w:rsid w:val="00980C1B"/>
    <w:rsid w:val="009A029D"/>
    <w:rsid w:val="009A4F1B"/>
    <w:rsid w:val="009C3EB1"/>
    <w:rsid w:val="00A00062"/>
    <w:rsid w:val="00A014D8"/>
    <w:rsid w:val="00A02A55"/>
    <w:rsid w:val="00A03179"/>
    <w:rsid w:val="00A32BCB"/>
    <w:rsid w:val="00A6596A"/>
    <w:rsid w:val="00A668FC"/>
    <w:rsid w:val="00A831F1"/>
    <w:rsid w:val="00AB4F70"/>
    <w:rsid w:val="00AC0F2E"/>
    <w:rsid w:val="00AE30DB"/>
    <w:rsid w:val="00AF2237"/>
    <w:rsid w:val="00B35553"/>
    <w:rsid w:val="00B424CB"/>
    <w:rsid w:val="00B4460B"/>
    <w:rsid w:val="00B460C2"/>
    <w:rsid w:val="00B47244"/>
    <w:rsid w:val="00B75A4A"/>
    <w:rsid w:val="00BB229E"/>
    <w:rsid w:val="00BB4182"/>
    <w:rsid w:val="00BB5382"/>
    <w:rsid w:val="00BF5376"/>
    <w:rsid w:val="00BF6AFE"/>
    <w:rsid w:val="00C00414"/>
    <w:rsid w:val="00C01FAD"/>
    <w:rsid w:val="00C04780"/>
    <w:rsid w:val="00C104DF"/>
    <w:rsid w:val="00C132C6"/>
    <w:rsid w:val="00C371D5"/>
    <w:rsid w:val="00C51D3B"/>
    <w:rsid w:val="00C638BE"/>
    <w:rsid w:val="00C64F38"/>
    <w:rsid w:val="00C71736"/>
    <w:rsid w:val="00C95A62"/>
    <w:rsid w:val="00CA7F3C"/>
    <w:rsid w:val="00CC2A43"/>
    <w:rsid w:val="00CC4C35"/>
    <w:rsid w:val="00CD401A"/>
    <w:rsid w:val="00D22271"/>
    <w:rsid w:val="00D27CE6"/>
    <w:rsid w:val="00D27E67"/>
    <w:rsid w:val="00D3210B"/>
    <w:rsid w:val="00D46458"/>
    <w:rsid w:val="00D7028E"/>
    <w:rsid w:val="00D71427"/>
    <w:rsid w:val="00D7177F"/>
    <w:rsid w:val="00D843D5"/>
    <w:rsid w:val="00DA6179"/>
    <w:rsid w:val="00DC61C6"/>
    <w:rsid w:val="00DD1A3D"/>
    <w:rsid w:val="00DD1FEC"/>
    <w:rsid w:val="00DF4516"/>
    <w:rsid w:val="00E16856"/>
    <w:rsid w:val="00E34FE8"/>
    <w:rsid w:val="00E354D5"/>
    <w:rsid w:val="00E46073"/>
    <w:rsid w:val="00E5068A"/>
    <w:rsid w:val="00E5207C"/>
    <w:rsid w:val="00E65750"/>
    <w:rsid w:val="00E70926"/>
    <w:rsid w:val="00EA5AA5"/>
    <w:rsid w:val="00EC421F"/>
    <w:rsid w:val="00EE24B2"/>
    <w:rsid w:val="00EE683F"/>
    <w:rsid w:val="00EF05DA"/>
    <w:rsid w:val="00F00A4B"/>
    <w:rsid w:val="00F0204D"/>
    <w:rsid w:val="00F2317B"/>
    <w:rsid w:val="00F42E13"/>
    <w:rsid w:val="00F43FAD"/>
    <w:rsid w:val="00F517A3"/>
    <w:rsid w:val="00F62045"/>
    <w:rsid w:val="00F81367"/>
    <w:rsid w:val="00F85B70"/>
    <w:rsid w:val="00FB047D"/>
    <w:rsid w:val="00FB383D"/>
    <w:rsid w:val="00FC0AE5"/>
    <w:rsid w:val="00FC19A2"/>
    <w:rsid w:val="00FC5AE2"/>
    <w:rsid w:val="00FD047F"/>
    <w:rsid w:val="00FD25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1477E"/>
    <w:pPr>
      <w:spacing w:before="100" w:beforeAutospacing="1" w:after="100" w:afterAutospacing="1"/>
    </w:pPr>
    <w:rPr>
      <w:lang w:eastAsia="lv-LV"/>
    </w:rPr>
  </w:style>
  <w:style w:type="character" w:styleId="Hyperlink">
    <w:name w:val="Hyperlink"/>
    <w:basedOn w:val="DefaultParagraphFont"/>
    <w:uiPriority w:val="99"/>
    <w:unhideWhenUsed/>
    <w:rsid w:val="0055362A"/>
    <w:rPr>
      <w:color w:val="0563C1" w:themeColor="hyperlink"/>
      <w:u w:val="single"/>
    </w:rPr>
  </w:style>
  <w:style w:type="character" w:styleId="FollowedHyperlink">
    <w:name w:val="FollowedHyperlink"/>
    <w:basedOn w:val="DefaultParagraphFont"/>
    <w:uiPriority w:val="99"/>
    <w:semiHidden/>
    <w:unhideWhenUsed/>
    <w:rsid w:val="0055362A"/>
    <w:rPr>
      <w:color w:val="954F72" w:themeColor="followedHyperlink"/>
      <w:u w:val="single"/>
    </w:rPr>
  </w:style>
  <w:style w:type="character" w:styleId="UnresolvedMention">
    <w:name w:val="Unresolved Mention"/>
    <w:basedOn w:val="DefaultParagraphFont"/>
    <w:uiPriority w:val="99"/>
    <w:semiHidden/>
    <w:unhideWhenUsed/>
    <w:rsid w:val="004578AF"/>
    <w:rPr>
      <w:color w:val="605E5C"/>
      <w:shd w:val="clear" w:color="auto" w:fill="E1DFDD"/>
    </w:rPr>
  </w:style>
  <w:style w:type="paragraph" w:styleId="Revision">
    <w:name w:val="Revision"/>
    <w:hidden/>
    <w:uiPriority w:val="99"/>
    <w:semiHidden/>
    <w:rsid w:val="00391872"/>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893320">
      <w:bodyDiv w:val="1"/>
      <w:marLeft w:val="0"/>
      <w:marRight w:val="0"/>
      <w:marTop w:val="0"/>
      <w:marBottom w:val="0"/>
      <w:divBdr>
        <w:top w:val="none" w:sz="0" w:space="0" w:color="auto"/>
        <w:left w:val="none" w:sz="0" w:space="0" w:color="auto"/>
        <w:bottom w:val="none" w:sz="0" w:space="0" w:color="auto"/>
        <w:right w:val="none" w:sz="0" w:space="0" w:color="auto"/>
      </w:divBdr>
    </w:div>
    <w:div w:id="552237764">
      <w:bodyDiv w:val="1"/>
      <w:marLeft w:val="0"/>
      <w:marRight w:val="0"/>
      <w:marTop w:val="0"/>
      <w:marBottom w:val="0"/>
      <w:divBdr>
        <w:top w:val="none" w:sz="0" w:space="0" w:color="auto"/>
        <w:left w:val="none" w:sz="0" w:space="0" w:color="auto"/>
        <w:bottom w:val="none" w:sz="0" w:space="0" w:color="auto"/>
        <w:right w:val="none" w:sz="0" w:space="0" w:color="auto"/>
      </w:divBdr>
    </w:div>
    <w:div w:id="1021474257">
      <w:bodyDiv w:val="1"/>
      <w:marLeft w:val="0"/>
      <w:marRight w:val="0"/>
      <w:marTop w:val="0"/>
      <w:marBottom w:val="0"/>
      <w:divBdr>
        <w:top w:val="none" w:sz="0" w:space="0" w:color="auto"/>
        <w:left w:val="none" w:sz="0" w:space="0" w:color="auto"/>
        <w:bottom w:val="none" w:sz="0" w:space="0" w:color="auto"/>
        <w:right w:val="none" w:sz="0" w:space="0" w:color="auto"/>
      </w:divBdr>
      <w:divsChild>
        <w:div w:id="1325158768">
          <w:marLeft w:val="0"/>
          <w:marRight w:val="0"/>
          <w:marTop w:val="0"/>
          <w:marBottom w:val="0"/>
          <w:divBdr>
            <w:top w:val="none" w:sz="0" w:space="0" w:color="auto"/>
            <w:left w:val="none" w:sz="0" w:space="0" w:color="auto"/>
            <w:bottom w:val="none" w:sz="0" w:space="0" w:color="auto"/>
            <w:right w:val="none" w:sz="0" w:space="0" w:color="auto"/>
          </w:divBdr>
          <w:divsChild>
            <w:div w:id="1668484416">
              <w:marLeft w:val="0"/>
              <w:marRight w:val="0"/>
              <w:marTop w:val="0"/>
              <w:marBottom w:val="0"/>
              <w:divBdr>
                <w:top w:val="none" w:sz="0" w:space="0" w:color="auto"/>
                <w:left w:val="none" w:sz="0" w:space="0" w:color="auto"/>
                <w:bottom w:val="none" w:sz="0" w:space="0" w:color="auto"/>
                <w:right w:val="none" w:sz="0" w:space="0" w:color="auto"/>
              </w:divBdr>
            </w:div>
          </w:divsChild>
        </w:div>
        <w:div w:id="1906494">
          <w:marLeft w:val="0"/>
          <w:marRight w:val="0"/>
          <w:marTop w:val="0"/>
          <w:marBottom w:val="0"/>
          <w:divBdr>
            <w:top w:val="none" w:sz="0" w:space="0" w:color="auto"/>
            <w:left w:val="none" w:sz="0" w:space="0" w:color="auto"/>
            <w:bottom w:val="none" w:sz="0" w:space="0" w:color="auto"/>
            <w:right w:val="none" w:sz="0" w:space="0" w:color="auto"/>
          </w:divBdr>
          <w:divsChild>
            <w:div w:id="155106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185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30308.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tu.lv/writable/public_files/RTU_metodiskie_noradijumi_arhproj_2018.pdf" TargetMode="External"/><Relationship Id="rId5" Type="http://schemas.openxmlformats.org/officeDocument/2006/relationships/footnotes" Target="footnotes.xml"/><Relationship Id="rId10" Type="http://schemas.openxmlformats.org/officeDocument/2006/relationships/hyperlink" Target="https://e-justice.europa.eu/ecli/beta/EU001/lv/ECLI:EU:C:2017:266.html?index=0&amp;text=%22ECLI%3AEU%3AC%3A2017%3A266%22&amp;ascending=false&amp;lang=en" TargetMode="External"/><Relationship Id="rId4" Type="http://schemas.openxmlformats.org/officeDocument/2006/relationships/webSettings" Target="webSettings.xml"/><Relationship Id="rId9" Type="http://schemas.openxmlformats.org/officeDocument/2006/relationships/hyperlink" Target="https://manas.tiesas.lv/eTiesasMvc/nolemumi/pdf/51428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03F3-97C5-4515-B4DB-D9C84FAF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8835</Words>
  <Characters>5037</Characters>
  <Application>Microsoft Office Word</Application>
  <DocSecurity>0</DocSecurity>
  <Lines>41</Lines>
  <Paragraphs>27</Paragraphs>
  <ScaleCrop>false</ScaleCrop>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2024-11-27T14:05:00Z</dcterms:created>
  <dcterms:modified xsi:type="dcterms:W3CDTF">2024-11-27T14:05:00Z</dcterms:modified>
</cp:coreProperties>
</file>