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EE941" w14:textId="46D0E2F8" w:rsidR="00D974FC" w:rsidRPr="00F13E32" w:rsidRDefault="00F13E32" w:rsidP="00F13E32">
      <w:pPr>
        <w:tabs>
          <w:tab w:val="left" w:pos="0"/>
        </w:tabs>
        <w:spacing w:line="276" w:lineRule="auto"/>
        <w:jc w:val="both"/>
        <w:rPr>
          <w:rFonts w:asciiTheme="majorBidi" w:hAnsiTheme="majorBidi" w:cstheme="majorBidi"/>
        </w:rPr>
      </w:pPr>
      <w:r w:rsidRPr="00F13E32">
        <w:rPr>
          <w:rFonts w:asciiTheme="majorBidi" w:hAnsiTheme="majorBidi" w:cstheme="majorBidi"/>
          <w:b/>
          <w:bCs/>
        </w:rPr>
        <w:t>Tiesas pienākums ievērot prasījuma</w:t>
      </w:r>
      <w:r w:rsidRPr="00F13E32">
        <w:rPr>
          <w:rFonts w:asciiTheme="majorBidi" w:hAnsiTheme="majorBidi" w:cstheme="majorBidi"/>
          <w:b/>
          <w:bCs/>
        </w:rPr>
        <w:t xml:space="preserve"> robežas</w:t>
      </w:r>
    </w:p>
    <w:p w14:paraId="72A71D94" w14:textId="05E8DF6C" w:rsidR="00D974FC" w:rsidRPr="00F13E32" w:rsidRDefault="00D974FC" w:rsidP="00F13E32">
      <w:pPr>
        <w:pStyle w:val="BodyText2"/>
        <w:spacing w:line="276" w:lineRule="auto"/>
        <w:jc w:val="center"/>
        <w:rPr>
          <w:rFonts w:asciiTheme="majorBidi" w:hAnsiTheme="majorBidi" w:cstheme="majorBidi"/>
          <w:sz w:val="24"/>
          <w:szCs w:val="24"/>
        </w:rPr>
      </w:pPr>
    </w:p>
    <w:p w14:paraId="1026B519" w14:textId="02DCD94B" w:rsidR="00D974FC" w:rsidRPr="00F13E32" w:rsidRDefault="00D974FC" w:rsidP="00F13E32">
      <w:pPr>
        <w:tabs>
          <w:tab w:val="left" w:pos="0"/>
        </w:tabs>
        <w:spacing w:line="276" w:lineRule="auto"/>
        <w:jc w:val="center"/>
        <w:rPr>
          <w:rFonts w:asciiTheme="majorBidi" w:hAnsiTheme="majorBidi" w:cstheme="majorBidi"/>
          <w:b/>
        </w:rPr>
      </w:pPr>
      <w:r w:rsidRPr="00F13E32">
        <w:rPr>
          <w:rFonts w:asciiTheme="majorBidi" w:hAnsiTheme="majorBidi" w:cstheme="majorBidi"/>
          <w:b/>
        </w:rPr>
        <w:t>Latvijas Republikas Senāt</w:t>
      </w:r>
      <w:r w:rsidR="00B92F08" w:rsidRPr="00F13E32">
        <w:rPr>
          <w:rFonts w:asciiTheme="majorBidi" w:hAnsiTheme="majorBidi" w:cstheme="majorBidi"/>
          <w:b/>
        </w:rPr>
        <w:t>a</w:t>
      </w:r>
    </w:p>
    <w:p w14:paraId="64CBFEDE" w14:textId="57625235" w:rsidR="00B92F08" w:rsidRPr="00F13E32" w:rsidRDefault="00B92F08" w:rsidP="00F13E32">
      <w:pPr>
        <w:tabs>
          <w:tab w:val="left" w:pos="0"/>
        </w:tabs>
        <w:spacing w:line="276" w:lineRule="auto"/>
        <w:jc w:val="center"/>
        <w:rPr>
          <w:rFonts w:asciiTheme="majorBidi" w:hAnsiTheme="majorBidi" w:cstheme="majorBidi"/>
          <w:b/>
        </w:rPr>
      </w:pPr>
      <w:r w:rsidRPr="00F13E32">
        <w:rPr>
          <w:rFonts w:asciiTheme="majorBidi" w:hAnsiTheme="majorBidi" w:cstheme="majorBidi"/>
          <w:b/>
        </w:rPr>
        <w:t>Civillietu departamenta</w:t>
      </w:r>
    </w:p>
    <w:p w14:paraId="57283E2C" w14:textId="185574FE" w:rsidR="00B92F08" w:rsidRPr="00F13E32" w:rsidRDefault="00B92F08" w:rsidP="00F13E32">
      <w:pPr>
        <w:tabs>
          <w:tab w:val="left" w:pos="0"/>
        </w:tabs>
        <w:spacing w:line="276" w:lineRule="auto"/>
        <w:jc w:val="center"/>
        <w:rPr>
          <w:rFonts w:asciiTheme="majorBidi" w:hAnsiTheme="majorBidi" w:cstheme="majorBidi"/>
          <w:b/>
          <w:bCs/>
        </w:rPr>
      </w:pPr>
      <w:r w:rsidRPr="00F13E32">
        <w:rPr>
          <w:rFonts w:asciiTheme="majorBidi" w:hAnsiTheme="majorBidi" w:cstheme="majorBidi"/>
          <w:b/>
          <w:bCs/>
        </w:rPr>
        <w:t>2024. gada 17. oktobra</w:t>
      </w:r>
    </w:p>
    <w:p w14:paraId="37FE3D26" w14:textId="77777777" w:rsidR="00D974FC" w:rsidRPr="00F13E32" w:rsidRDefault="00D974FC" w:rsidP="00F13E32">
      <w:pPr>
        <w:tabs>
          <w:tab w:val="left" w:pos="0"/>
        </w:tabs>
        <w:spacing w:line="276" w:lineRule="auto"/>
        <w:jc w:val="center"/>
        <w:rPr>
          <w:rFonts w:asciiTheme="majorBidi" w:hAnsiTheme="majorBidi" w:cstheme="majorBidi"/>
          <w:b/>
          <w:bCs/>
        </w:rPr>
      </w:pPr>
      <w:r w:rsidRPr="00F13E32">
        <w:rPr>
          <w:rFonts w:asciiTheme="majorBidi" w:hAnsiTheme="majorBidi" w:cstheme="majorBidi"/>
          <w:b/>
          <w:bCs/>
        </w:rPr>
        <w:t>SPRIEDUMS</w:t>
      </w:r>
    </w:p>
    <w:p w14:paraId="6236E566" w14:textId="4E46D98F" w:rsidR="00B92F08" w:rsidRPr="00F13E32" w:rsidRDefault="00B92F08" w:rsidP="00F13E32">
      <w:pPr>
        <w:spacing w:line="276" w:lineRule="auto"/>
        <w:jc w:val="center"/>
        <w:rPr>
          <w:rFonts w:asciiTheme="majorBidi" w:hAnsiTheme="majorBidi" w:cstheme="majorBidi"/>
          <w:b/>
          <w:bCs/>
        </w:rPr>
      </w:pPr>
      <w:r w:rsidRPr="00F13E32">
        <w:rPr>
          <w:rFonts w:asciiTheme="majorBidi" w:hAnsiTheme="majorBidi" w:cstheme="majorBidi"/>
          <w:b/>
          <w:bCs/>
        </w:rPr>
        <w:t>Lieta Nr. C33548318, Nr. SKC-627/2024</w:t>
      </w:r>
    </w:p>
    <w:p w14:paraId="52BE71D8" w14:textId="309BCE14" w:rsidR="00B92F08" w:rsidRPr="00F13E32" w:rsidRDefault="000B7024" w:rsidP="00F13E32">
      <w:pPr>
        <w:tabs>
          <w:tab w:val="left" w:pos="0"/>
        </w:tabs>
        <w:spacing w:line="276" w:lineRule="auto"/>
        <w:jc w:val="center"/>
        <w:rPr>
          <w:rFonts w:asciiTheme="majorBidi" w:hAnsiTheme="majorBidi" w:cstheme="majorBidi"/>
          <w:b/>
          <w:bCs/>
        </w:rPr>
      </w:pPr>
      <w:hyperlink r:id="rId8" w:history="1">
        <w:r w:rsidRPr="00F13E32">
          <w:rPr>
            <w:rStyle w:val="Hyperlink"/>
            <w:rFonts w:asciiTheme="majorBidi" w:hAnsiTheme="majorBidi" w:cstheme="majorBidi"/>
          </w:rPr>
          <w:t>ECLI:LV:AT:2024:1017.C33548318.13.S</w:t>
        </w:r>
      </w:hyperlink>
    </w:p>
    <w:p w14:paraId="5E618D28" w14:textId="77777777" w:rsidR="00D974FC" w:rsidRPr="00F13E32" w:rsidRDefault="00D974FC" w:rsidP="00F13E32">
      <w:pPr>
        <w:spacing w:line="276" w:lineRule="auto"/>
        <w:ind w:firstLine="709"/>
        <w:rPr>
          <w:rFonts w:asciiTheme="majorBidi" w:hAnsiTheme="majorBidi" w:cstheme="majorBidi"/>
        </w:rPr>
      </w:pPr>
    </w:p>
    <w:p w14:paraId="1EC6D95F" w14:textId="3C885371" w:rsidR="00944F83" w:rsidRPr="00F13E32" w:rsidRDefault="00D974FC" w:rsidP="00F13E32">
      <w:pPr>
        <w:spacing w:line="276" w:lineRule="auto"/>
        <w:ind w:firstLine="709"/>
        <w:jc w:val="both"/>
        <w:rPr>
          <w:rFonts w:asciiTheme="majorBidi" w:hAnsiTheme="majorBidi" w:cstheme="majorBidi"/>
        </w:rPr>
      </w:pPr>
      <w:r w:rsidRPr="00F13E32">
        <w:rPr>
          <w:rFonts w:asciiTheme="majorBidi" w:hAnsiTheme="majorBidi" w:cstheme="majorBidi"/>
        </w:rPr>
        <w:t>Senāts šādā sastāvā:</w:t>
      </w:r>
      <w:r w:rsidR="00625B81" w:rsidRPr="00F13E32">
        <w:rPr>
          <w:rFonts w:asciiTheme="majorBidi" w:hAnsiTheme="majorBidi" w:cstheme="majorBidi"/>
        </w:rPr>
        <w:t xml:space="preserve"> </w:t>
      </w:r>
      <w:r w:rsidRPr="00F13E32">
        <w:rPr>
          <w:rFonts w:asciiTheme="majorBidi" w:hAnsiTheme="majorBidi" w:cstheme="majorBidi"/>
        </w:rPr>
        <w:t>senator</w:t>
      </w:r>
      <w:r w:rsidR="00DE2C4E" w:rsidRPr="00F13E32">
        <w:rPr>
          <w:rFonts w:asciiTheme="majorBidi" w:hAnsiTheme="majorBidi" w:cstheme="majorBidi"/>
        </w:rPr>
        <w:t>s</w:t>
      </w:r>
      <w:r w:rsidRPr="00F13E32">
        <w:rPr>
          <w:rFonts w:asciiTheme="majorBidi" w:hAnsiTheme="majorBidi" w:cstheme="majorBidi"/>
        </w:rPr>
        <w:t xml:space="preserve"> referent</w:t>
      </w:r>
      <w:r w:rsidR="00DE2C4E" w:rsidRPr="00F13E32">
        <w:rPr>
          <w:rFonts w:asciiTheme="majorBidi" w:hAnsiTheme="majorBidi" w:cstheme="majorBidi"/>
        </w:rPr>
        <w:t>s</w:t>
      </w:r>
      <w:r w:rsidRPr="00F13E32">
        <w:rPr>
          <w:rFonts w:asciiTheme="majorBidi" w:hAnsiTheme="majorBidi" w:cstheme="majorBidi"/>
        </w:rPr>
        <w:t xml:space="preserve"> </w:t>
      </w:r>
      <w:r w:rsidR="00DE2C4E" w:rsidRPr="00F13E32">
        <w:rPr>
          <w:rFonts w:asciiTheme="majorBidi" w:hAnsiTheme="majorBidi" w:cstheme="majorBidi"/>
        </w:rPr>
        <w:t>Erlens Kalniņš</w:t>
      </w:r>
      <w:r w:rsidRPr="00F13E32">
        <w:rPr>
          <w:rFonts w:asciiTheme="majorBidi" w:hAnsiTheme="majorBidi" w:cstheme="majorBidi"/>
        </w:rPr>
        <w:t>,</w:t>
      </w:r>
      <w:r w:rsidR="00625B81" w:rsidRPr="00F13E32">
        <w:rPr>
          <w:rFonts w:asciiTheme="majorBidi" w:hAnsiTheme="majorBidi" w:cstheme="majorBidi"/>
        </w:rPr>
        <w:t xml:space="preserve"> </w:t>
      </w:r>
      <w:r w:rsidRPr="00F13E32">
        <w:rPr>
          <w:rFonts w:asciiTheme="majorBidi" w:hAnsiTheme="majorBidi" w:cstheme="majorBidi"/>
        </w:rPr>
        <w:t>senator</w:t>
      </w:r>
      <w:r w:rsidR="00DE2C4E" w:rsidRPr="00F13E32">
        <w:rPr>
          <w:rFonts w:asciiTheme="majorBidi" w:hAnsiTheme="majorBidi" w:cstheme="majorBidi"/>
        </w:rPr>
        <w:t>i</w:t>
      </w:r>
      <w:r w:rsidR="00625B81" w:rsidRPr="00F13E32">
        <w:rPr>
          <w:rFonts w:asciiTheme="majorBidi" w:hAnsiTheme="majorBidi" w:cstheme="majorBidi"/>
        </w:rPr>
        <w:t xml:space="preserve"> </w:t>
      </w:r>
      <w:r w:rsidR="007A58D1" w:rsidRPr="00F13E32">
        <w:rPr>
          <w:rFonts w:asciiTheme="majorBidi" w:hAnsiTheme="majorBidi" w:cstheme="majorBidi"/>
        </w:rPr>
        <w:t>Kaspars Balodis</w:t>
      </w:r>
      <w:r w:rsidR="00DE2C4E" w:rsidRPr="00F13E32">
        <w:rPr>
          <w:rFonts w:asciiTheme="majorBidi" w:hAnsiTheme="majorBidi" w:cstheme="majorBidi"/>
        </w:rPr>
        <w:t xml:space="preserve"> un</w:t>
      </w:r>
      <w:r w:rsidRPr="00F13E32">
        <w:rPr>
          <w:rFonts w:asciiTheme="majorBidi" w:hAnsiTheme="majorBidi" w:cstheme="majorBidi"/>
        </w:rPr>
        <w:t xml:space="preserve"> </w:t>
      </w:r>
      <w:r w:rsidR="00944F83" w:rsidRPr="00F13E32">
        <w:rPr>
          <w:rFonts w:asciiTheme="majorBidi" w:hAnsiTheme="majorBidi" w:cstheme="majorBidi"/>
        </w:rPr>
        <w:t>Inese Grauda</w:t>
      </w:r>
    </w:p>
    <w:p w14:paraId="4D8DCAAE" w14:textId="77777777" w:rsidR="00944F83" w:rsidRPr="00F13E32" w:rsidRDefault="00944F83" w:rsidP="00F13E32">
      <w:pPr>
        <w:spacing w:line="276" w:lineRule="auto"/>
        <w:ind w:firstLine="709"/>
        <w:jc w:val="both"/>
        <w:rPr>
          <w:rFonts w:asciiTheme="majorBidi" w:hAnsiTheme="majorBidi" w:cstheme="majorBidi"/>
        </w:rPr>
      </w:pPr>
    </w:p>
    <w:p w14:paraId="53A565C1" w14:textId="0B20E26C" w:rsidR="00944F83" w:rsidRPr="00F13E32" w:rsidRDefault="008571AD" w:rsidP="00F13E32">
      <w:pPr>
        <w:spacing w:line="276" w:lineRule="auto"/>
        <w:ind w:firstLine="709"/>
        <w:jc w:val="both"/>
        <w:rPr>
          <w:rFonts w:asciiTheme="majorBidi" w:hAnsiTheme="majorBidi" w:cstheme="majorBidi"/>
        </w:rPr>
      </w:pPr>
      <w:r w:rsidRPr="00F13E32">
        <w:rPr>
          <w:rFonts w:asciiTheme="majorBidi" w:hAnsiTheme="majorBidi" w:cstheme="majorBidi"/>
        </w:rPr>
        <w:t>rakstveida procesā</w:t>
      </w:r>
      <w:r w:rsidR="00944F83" w:rsidRPr="00F13E32">
        <w:rPr>
          <w:rFonts w:asciiTheme="majorBidi" w:hAnsiTheme="majorBidi" w:cstheme="majorBidi"/>
        </w:rPr>
        <w:t xml:space="preserve"> izskatīja civilliet</w:t>
      </w:r>
      <w:r w:rsidR="001003C7" w:rsidRPr="00F13E32">
        <w:rPr>
          <w:rFonts w:asciiTheme="majorBidi" w:hAnsiTheme="majorBidi" w:cstheme="majorBidi"/>
        </w:rPr>
        <w:t>u</w:t>
      </w:r>
      <w:r w:rsidR="00944F83" w:rsidRPr="00F13E32">
        <w:rPr>
          <w:rFonts w:asciiTheme="majorBidi" w:hAnsiTheme="majorBidi" w:cstheme="majorBidi"/>
        </w:rPr>
        <w:t xml:space="preserve"> </w:t>
      </w:r>
      <w:bookmarkStart w:id="0" w:name="_Hlk178592057"/>
      <w:r w:rsidR="00B92F08" w:rsidRPr="00F13E32">
        <w:rPr>
          <w:rFonts w:asciiTheme="majorBidi" w:hAnsiTheme="majorBidi" w:cstheme="majorBidi"/>
        </w:rPr>
        <w:t>[pers. A]</w:t>
      </w:r>
      <w:r w:rsidR="00944F83" w:rsidRPr="00F13E32">
        <w:rPr>
          <w:rFonts w:asciiTheme="majorBidi" w:hAnsiTheme="majorBidi" w:cstheme="majorBidi"/>
        </w:rPr>
        <w:t xml:space="preserve"> prasībā pret </w:t>
      </w:r>
      <w:r w:rsidR="00B92F08" w:rsidRPr="00F13E32">
        <w:rPr>
          <w:rFonts w:asciiTheme="majorBidi" w:hAnsiTheme="majorBidi" w:cstheme="majorBidi"/>
        </w:rPr>
        <w:t>[pers. B]</w:t>
      </w:r>
      <w:r w:rsidR="00944F83" w:rsidRPr="00F13E32">
        <w:rPr>
          <w:rFonts w:asciiTheme="majorBidi" w:hAnsiTheme="majorBidi" w:cstheme="majorBidi"/>
        </w:rPr>
        <w:t xml:space="preserve"> par mantojuma tiesības atzīšanu</w:t>
      </w:r>
      <w:bookmarkEnd w:id="0"/>
      <w:r w:rsidR="00944F83" w:rsidRPr="00F13E32">
        <w:rPr>
          <w:rFonts w:asciiTheme="majorBidi" w:hAnsiTheme="majorBidi" w:cstheme="majorBidi"/>
        </w:rPr>
        <w:t xml:space="preserve"> sakarā </w:t>
      </w:r>
      <w:bookmarkStart w:id="1" w:name="_Hlk178592024"/>
      <w:r w:rsidR="00B92F08" w:rsidRPr="00F13E32">
        <w:rPr>
          <w:rFonts w:asciiTheme="majorBidi" w:hAnsiTheme="majorBidi" w:cstheme="majorBidi"/>
        </w:rPr>
        <w:t xml:space="preserve">[pers. B] </w:t>
      </w:r>
      <w:r w:rsidR="00944F83" w:rsidRPr="00F13E32">
        <w:rPr>
          <w:rFonts w:asciiTheme="majorBidi" w:hAnsiTheme="majorBidi" w:cstheme="majorBidi"/>
        </w:rPr>
        <w:t>kasācijas sūdzību par Rīgas apgabaltiesas 2024. gada 19. marta spriedumu</w:t>
      </w:r>
      <w:bookmarkEnd w:id="1"/>
      <w:r w:rsidR="00944F83" w:rsidRPr="00F13E32">
        <w:rPr>
          <w:rFonts w:asciiTheme="majorBidi" w:hAnsiTheme="majorBidi" w:cstheme="majorBidi"/>
        </w:rPr>
        <w:t>.</w:t>
      </w:r>
    </w:p>
    <w:p w14:paraId="7D4D7A66" w14:textId="77777777" w:rsidR="004F17AD" w:rsidRPr="00F13E32" w:rsidRDefault="004F17AD" w:rsidP="00F13E32">
      <w:pPr>
        <w:spacing w:line="276" w:lineRule="auto"/>
        <w:jc w:val="center"/>
        <w:rPr>
          <w:rFonts w:asciiTheme="majorBidi" w:hAnsiTheme="majorBidi" w:cstheme="majorBidi"/>
          <w:bCs/>
        </w:rPr>
      </w:pPr>
    </w:p>
    <w:p w14:paraId="059A9FE8" w14:textId="388C683D" w:rsidR="004D45BB" w:rsidRPr="00F13E32" w:rsidRDefault="00D974FC" w:rsidP="00F13E32">
      <w:pPr>
        <w:spacing w:line="276" w:lineRule="auto"/>
        <w:jc w:val="center"/>
        <w:rPr>
          <w:rFonts w:asciiTheme="majorBidi" w:hAnsiTheme="majorBidi" w:cstheme="majorBidi"/>
          <w:b/>
          <w:bCs/>
        </w:rPr>
      </w:pPr>
      <w:r w:rsidRPr="00F13E32">
        <w:rPr>
          <w:rFonts w:asciiTheme="majorBidi" w:hAnsiTheme="majorBidi" w:cstheme="majorBidi"/>
          <w:b/>
          <w:bCs/>
        </w:rPr>
        <w:t>Aprakstošā daļa</w:t>
      </w:r>
    </w:p>
    <w:p w14:paraId="7D87B74F" w14:textId="77777777" w:rsidR="001A0FBA" w:rsidRPr="00F13E32" w:rsidRDefault="001A0FBA" w:rsidP="00F13E32">
      <w:pPr>
        <w:spacing w:line="276" w:lineRule="auto"/>
        <w:jc w:val="center"/>
        <w:rPr>
          <w:rFonts w:asciiTheme="majorBidi" w:hAnsiTheme="majorBidi" w:cstheme="majorBidi"/>
        </w:rPr>
      </w:pPr>
    </w:p>
    <w:p w14:paraId="498240D3" w14:textId="011B37CE" w:rsidR="00944F83" w:rsidRPr="00F13E32" w:rsidRDefault="00070E06" w:rsidP="00F13E32">
      <w:pPr>
        <w:spacing w:line="276" w:lineRule="auto"/>
        <w:ind w:firstLine="709"/>
        <w:jc w:val="both"/>
        <w:rPr>
          <w:rFonts w:asciiTheme="majorBidi" w:hAnsiTheme="majorBidi" w:cstheme="majorBidi"/>
        </w:rPr>
      </w:pPr>
      <w:r w:rsidRPr="00F13E32">
        <w:rPr>
          <w:rFonts w:asciiTheme="majorBidi" w:hAnsiTheme="majorBidi" w:cstheme="majorBidi"/>
        </w:rPr>
        <w:t>[1]</w:t>
      </w:r>
      <w:r w:rsidR="00E06EEB" w:rsidRPr="00F13E32">
        <w:rPr>
          <w:rFonts w:asciiTheme="majorBidi" w:hAnsiTheme="majorBidi" w:cstheme="majorBidi"/>
        </w:rPr>
        <w:t> </w:t>
      </w:r>
      <w:r w:rsidR="00854E08" w:rsidRPr="00F13E32">
        <w:rPr>
          <w:rFonts w:asciiTheme="majorBidi" w:hAnsiTheme="majorBidi" w:cstheme="majorBidi"/>
        </w:rPr>
        <w:t xml:space="preserve">[Pers. C] </w:t>
      </w:r>
      <w:r w:rsidR="00944F83" w:rsidRPr="00F13E32">
        <w:rPr>
          <w:rFonts w:asciiTheme="majorBidi" w:hAnsiTheme="majorBidi" w:cstheme="majorBidi"/>
        </w:rPr>
        <w:t xml:space="preserve">2017. gada 26. oktobrī taisījusi testamenta aktu (kas iereģistrēts zvērinātas notāres Renātes Rones aktu un apliecinājumu reģistrā ar Nr. 3548), ar kuru </w:t>
      </w:r>
      <w:r w:rsidR="00854E08" w:rsidRPr="00F13E32">
        <w:rPr>
          <w:rFonts w:asciiTheme="majorBidi" w:hAnsiTheme="majorBidi" w:cstheme="majorBidi"/>
        </w:rPr>
        <w:t xml:space="preserve">[pers. C] </w:t>
      </w:r>
      <w:r w:rsidR="00944F83" w:rsidRPr="00F13E32">
        <w:rPr>
          <w:rFonts w:asciiTheme="majorBidi" w:hAnsiTheme="majorBidi" w:cstheme="majorBidi"/>
        </w:rPr>
        <w:t xml:space="preserve">sev piederošo nekustamo īpašumu </w:t>
      </w:r>
      <w:r w:rsidR="00854E08" w:rsidRPr="00F13E32">
        <w:rPr>
          <w:rFonts w:asciiTheme="majorBidi" w:hAnsiTheme="majorBidi" w:cstheme="majorBidi"/>
        </w:rPr>
        <w:t>[Nosaukums]</w:t>
      </w:r>
      <w:r w:rsidR="00944F83" w:rsidRPr="00F13E32">
        <w:rPr>
          <w:rFonts w:asciiTheme="majorBidi" w:hAnsiTheme="majorBidi" w:cstheme="majorBidi"/>
        </w:rPr>
        <w:t xml:space="preserve">, </w:t>
      </w:r>
      <w:r w:rsidR="00854E08" w:rsidRPr="00F13E32">
        <w:rPr>
          <w:rFonts w:asciiTheme="majorBidi" w:hAnsiTheme="majorBidi" w:cstheme="majorBidi"/>
        </w:rPr>
        <w:t>[adrese]</w:t>
      </w:r>
      <w:r w:rsidR="00944F83" w:rsidRPr="00F13E32">
        <w:rPr>
          <w:rFonts w:asciiTheme="majorBidi" w:hAnsiTheme="majorBidi" w:cstheme="majorBidi"/>
        </w:rPr>
        <w:t>, kadastra Nr. </w:t>
      </w:r>
      <w:r w:rsidR="00854E08" w:rsidRPr="00F13E32">
        <w:rPr>
          <w:rFonts w:asciiTheme="majorBidi" w:hAnsiTheme="majorBidi" w:cstheme="majorBidi"/>
        </w:rPr>
        <w:t>[..]</w:t>
      </w:r>
      <w:r w:rsidR="00944F83" w:rsidRPr="00F13E32">
        <w:rPr>
          <w:rFonts w:asciiTheme="majorBidi" w:hAnsiTheme="majorBidi" w:cstheme="majorBidi"/>
        </w:rPr>
        <w:t xml:space="preserve">, ir novēlējusi meitai </w:t>
      </w:r>
      <w:r w:rsidR="00B92F08" w:rsidRPr="00F13E32">
        <w:rPr>
          <w:rFonts w:asciiTheme="majorBidi" w:hAnsiTheme="majorBidi" w:cstheme="majorBidi"/>
        </w:rPr>
        <w:t>[pers. B]</w:t>
      </w:r>
      <w:r w:rsidR="00944F83" w:rsidRPr="00F13E32">
        <w:rPr>
          <w:rFonts w:asciiTheme="majorBidi" w:hAnsiTheme="majorBidi" w:cstheme="majorBidi"/>
        </w:rPr>
        <w:t>, savukārt visu pārējo mantu, lai tā būtu, kāda būdama, un atrastos, kur atrazdamās</w:t>
      </w:r>
      <w:r w:rsidR="00854E08" w:rsidRPr="00F13E32">
        <w:rPr>
          <w:rFonts w:asciiTheme="majorBidi" w:hAnsiTheme="majorBidi" w:cstheme="majorBidi"/>
        </w:rPr>
        <w:t xml:space="preserve">[pers. C] </w:t>
      </w:r>
      <w:r w:rsidR="00944F83" w:rsidRPr="00F13E32">
        <w:rPr>
          <w:rFonts w:asciiTheme="majorBidi" w:hAnsiTheme="majorBidi" w:cstheme="majorBidi"/>
        </w:rPr>
        <w:t xml:space="preserve">novēlējusi līdzīgās daļās </w:t>
      </w:r>
      <w:r w:rsidR="00E76D0F" w:rsidRPr="00F13E32">
        <w:rPr>
          <w:rFonts w:asciiTheme="majorBidi" w:hAnsiTheme="majorBidi" w:cstheme="majorBidi"/>
        </w:rPr>
        <w:t xml:space="preserve">abām </w:t>
      </w:r>
      <w:r w:rsidR="00944F83" w:rsidRPr="00F13E32">
        <w:rPr>
          <w:rFonts w:asciiTheme="majorBidi" w:hAnsiTheme="majorBidi" w:cstheme="majorBidi"/>
        </w:rPr>
        <w:t xml:space="preserve">savām meitām – </w:t>
      </w:r>
      <w:r w:rsidR="00B92F08" w:rsidRPr="00F13E32">
        <w:rPr>
          <w:rFonts w:asciiTheme="majorBidi" w:hAnsiTheme="majorBidi" w:cstheme="majorBidi"/>
        </w:rPr>
        <w:t xml:space="preserve">[pers. A] </w:t>
      </w:r>
      <w:r w:rsidR="00944F83" w:rsidRPr="00F13E32">
        <w:rPr>
          <w:rFonts w:asciiTheme="majorBidi" w:hAnsiTheme="majorBidi" w:cstheme="majorBidi"/>
        </w:rPr>
        <w:t xml:space="preserve">un </w:t>
      </w:r>
      <w:r w:rsidR="00B92F08" w:rsidRPr="00F13E32">
        <w:rPr>
          <w:rFonts w:asciiTheme="majorBidi" w:hAnsiTheme="majorBidi" w:cstheme="majorBidi"/>
        </w:rPr>
        <w:t xml:space="preserve">[pers. B] </w:t>
      </w:r>
      <w:r w:rsidR="00944F83" w:rsidRPr="00F13E32">
        <w:rPr>
          <w:rFonts w:asciiTheme="majorBidi" w:hAnsiTheme="majorBidi" w:cstheme="majorBidi"/>
        </w:rPr>
        <w:t>(</w:t>
      </w:r>
      <w:r w:rsidR="00944F83" w:rsidRPr="00F13E32">
        <w:rPr>
          <w:rFonts w:asciiTheme="majorBidi" w:hAnsiTheme="majorBidi" w:cstheme="majorBidi"/>
          <w:i/>
          <w:iCs/>
        </w:rPr>
        <w:t>lietas 17.–18. lapa</w:t>
      </w:r>
      <w:r w:rsidR="00944F83" w:rsidRPr="00F13E32">
        <w:rPr>
          <w:rFonts w:asciiTheme="majorBidi" w:hAnsiTheme="majorBidi" w:cstheme="majorBidi"/>
        </w:rPr>
        <w:t>).</w:t>
      </w:r>
    </w:p>
    <w:p w14:paraId="63F32BB2" w14:textId="6DE8FDF7" w:rsidR="006663F1" w:rsidRPr="00F13E32" w:rsidRDefault="00854E08" w:rsidP="00F13E32">
      <w:pPr>
        <w:spacing w:line="276" w:lineRule="auto"/>
        <w:ind w:firstLine="709"/>
        <w:jc w:val="both"/>
        <w:rPr>
          <w:rFonts w:asciiTheme="majorBidi" w:hAnsiTheme="majorBidi" w:cstheme="majorBidi"/>
        </w:rPr>
      </w:pPr>
      <w:r w:rsidRPr="00F13E32">
        <w:rPr>
          <w:rFonts w:asciiTheme="majorBidi" w:hAnsiTheme="majorBidi" w:cstheme="majorBidi"/>
        </w:rPr>
        <w:t xml:space="preserve">[Pers. C] </w:t>
      </w:r>
      <w:r w:rsidR="00726E9B" w:rsidRPr="00F13E32">
        <w:rPr>
          <w:rFonts w:asciiTheme="majorBidi" w:hAnsiTheme="majorBidi" w:cstheme="majorBidi"/>
        </w:rPr>
        <w:t xml:space="preserve">mirusi </w:t>
      </w:r>
      <w:r w:rsidR="000B7024" w:rsidRPr="00F13E32">
        <w:rPr>
          <w:rFonts w:asciiTheme="majorBidi" w:hAnsiTheme="majorBidi" w:cstheme="majorBidi"/>
        </w:rPr>
        <w:t>[datums]</w:t>
      </w:r>
      <w:r w:rsidR="00726E9B" w:rsidRPr="00F13E32">
        <w:rPr>
          <w:rFonts w:asciiTheme="majorBidi" w:hAnsiTheme="majorBidi" w:cstheme="majorBidi"/>
        </w:rPr>
        <w:t xml:space="preserve">. Pamatojoties uz </w:t>
      </w:r>
      <w:r w:rsidR="00B92F08" w:rsidRPr="00F13E32">
        <w:rPr>
          <w:rFonts w:asciiTheme="majorBidi" w:hAnsiTheme="majorBidi" w:cstheme="majorBidi"/>
        </w:rPr>
        <w:t xml:space="preserve">[pers. B] </w:t>
      </w:r>
      <w:r w:rsidR="00726E9B" w:rsidRPr="00F13E32">
        <w:rPr>
          <w:rFonts w:asciiTheme="majorBidi" w:hAnsiTheme="majorBidi" w:cstheme="majorBidi"/>
        </w:rPr>
        <w:t xml:space="preserve">2018. gada 8. marta iesniegumu par </w:t>
      </w:r>
      <w:r w:rsidRPr="00F13E32">
        <w:rPr>
          <w:rFonts w:asciiTheme="majorBidi" w:hAnsiTheme="majorBidi" w:cstheme="majorBidi"/>
        </w:rPr>
        <w:t xml:space="preserve">[pers. C] </w:t>
      </w:r>
      <w:r w:rsidR="00726E9B" w:rsidRPr="00F13E32">
        <w:rPr>
          <w:rFonts w:asciiTheme="majorBidi" w:hAnsiTheme="majorBidi" w:cstheme="majorBidi"/>
        </w:rPr>
        <w:t>pēdējās gribas rīkojuma akta stāšanos likumīgā spēkā, zvērināta notāre Renāte Rone uzsākusi mantojuma lietu</w:t>
      </w:r>
      <w:r w:rsidR="006663F1" w:rsidRPr="00F13E32">
        <w:rPr>
          <w:rFonts w:asciiTheme="majorBidi" w:hAnsiTheme="majorBidi" w:cstheme="majorBidi"/>
        </w:rPr>
        <w:t xml:space="preserve">, </w:t>
      </w:r>
      <w:r w:rsidR="00E76D0F" w:rsidRPr="00F13E32">
        <w:rPr>
          <w:rFonts w:asciiTheme="majorBidi" w:hAnsiTheme="majorBidi" w:cstheme="majorBidi"/>
        </w:rPr>
        <w:t xml:space="preserve">un </w:t>
      </w:r>
      <w:r w:rsidR="000B7024" w:rsidRPr="00F13E32">
        <w:rPr>
          <w:rFonts w:asciiTheme="majorBidi" w:hAnsiTheme="majorBidi" w:cstheme="majorBidi"/>
        </w:rPr>
        <w:t>[datums]</w:t>
      </w:r>
      <w:r w:rsidR="00E76D0F" w:rsidRPr="00F13E32">
        <w:rPr>
          <w:rFonts w:asciiTheme="majorBidi" w:hAnsiTheme="majorBidi" w:cstheme="majorBidi"/>
        </w:rPr>
        <w:t xml:space="preserve"> oficiālajā izdevumā „Latvijas Vēstnesis” publicēts sludinājums par mantojuma atklāšanos.</w:t>
      </w:r>
      <w:r w:rsidR="00911AFE" w:rsidRPr="00F13E32">
        <w:rPr>
          <w:rFonts w:asciiTheme="majorBidi" w:hAnsiTheme="majorBidi" w:cstheme="majorBidi"/>
        </w:rPr>
        <w:t xml:space="preserve"> </w:t>
      </w:r>
    </w:p>
    <w:p w14:paraId="52A2661A" w14:textId="01877D68" w:rsidR="006663F1" w:rsidRPr="00F13E32" w:rsidRDefault="00911AFE" w:rsidP="00F13E32">
      <w:pPr>
        <w:spacing w:line="276" w:lineRule="auto"/>
        <w:ind w:firstLine="709"/>
        <w:jc w:val="both"/>
        <w:rPr>
          <w:rFonts w:asciiTheme="majorBidi" w:hAnsiTheme="majorBidi" w:cstheme="majorBidi"/>
        </w:rPr>
      </w:pPr>
      <w:r w:rsidRPr="00F13E32">
        <w:rPr>
          <w:rFonts w:asciiTheme="majorBidi" w:hAnsiTheme="majorBidi" w:cstheme="majorBidi"/>
        </w:rPr>
        <w:t xml:space="preserve">Par </w:t>
      </w:r>
      <w:r w:rsidR="00854E08" w:rsidRPr="00F13E32">
        <w:rPr>
          <w:rFonts w:asciiTheme="majorBidi" w:hAnsiTheme="majorBidi" w:cstheme="majorBidi"/>
        </w:rPr>
        <w:t xml:space="preserve">[pers. C] </w:t>
      </w:r>
      <w:r w:rsidRPr="00F13E32">
        <w:rPr>
          <w:rFonts w:asciiTheme="majorBidi" w:hAnsiTheme="majorBidi" w:cstheme="majorBidi"/>
        </w:rPr>
        <w:t>testamenta akta nolasīšanu zvērināta notāre Renāte Rone 2018. gada 10. aprīlī taisījusi apliecību par pēdējās gribas rīkojuma akta nolasīšanu (</w:t>
      </w:r>
      <w:r w:rsidRPr="00F13E32">
        <w:rPr>
          <w:rFonts w:asciiTheme="majorBidi" w:hAnsiTheme="majorBidi" w:cstheme="majorBidi"/>
          <w:i/>
          <w:iCs/>
        </w:rPr>
        <w:t>lietas 14.–16. lapa</w:t>
      </w:r>
      <w:r w:rsidRPr="00F13E32">
        <w:rPr>
          <w:rFonts w:asciiTheme="majorBidi" w:hAnsiTheme="majorBidi" w:cstheme="majorBidi"/>
        </w:rPr>
        <w:t xml:space="preserve">). </w:t>
      </w:r>
    </w:p>
    <w:p w14:paraId="47538230" w14:textId="361E7C49" w:rsidR="00911AFE" w:rsidRPr="00F13E32" w:rsidRDefault="00911AFE" w:rsidP="00F13E32">
      <w:pPr>
        <w:spacing w:line="276" w:lineRule="auto"/>
        <w:ind w:firstLine="709"/>
        <w:jc w:val="both"/>
        <w:rPr>
          <w:rFonts w:asciiTheme="majorBidi" w:hAnsiTheme="majorBidi" w:cstheme="majorBidi"/>
        </w:rPr>
      </w:pPr>
      <w:r w:rsidRPr="00F13E32">
        <w:rPr>
          <w:rFonts w:asciiTheme="majorBidi" w:hAnsiTheme="majorBidi" w:cstheme="majorBidi"/>
        </w:rPr>
        <w:t xml:space="preserve">Savukārt 2018. gada 6. augustā zvērināta notāre Renāte Rone taisījusi aktu par pēdējās gribas rīkojuma akta stāšanos likumīgā spēkā (mantojuma apliecību), kurā norādīts, ka </w:t>
      </w:r>
      <w:r w:rsidR="00854E08" w:rsidRPr="00F13E32">
        <w:rPr>
          <w:rFonts w:asciiTheme="majorBidi" w:hAnsiTheme="majorBidi" w:cstheme="majorBidi"/>
        </w:rPr>
        <w:t xml:space="preserve">[pers. C] </w:t>
      </w:r>
      <w:r w:rsidR="008F2271" w:rsidRPr="00F13E32">
        <w:rPr>
          <w:rFonts w:asciiTheme="majorBidi" w:hAnsiTheme="majorBidi" w:cstheme="majorBidi"/>
        </w:rPr>
        <w:t xml:space="preserve">2017. gada 26. oktobrī taisītais testamenta akts atzīts par stājušos likumīgā spēkā kopumā un </w:t>
      </w:r>
      <w:r w:rsidRPr="00F13E32">
        <w:rPr>
          <w:rFonts w:asciiTheme="majorBidi" w:hAnsiTheme="majorBidi" w:cstheme="majorBidi"/>
        </w:rPr>
        <w:t xml:space="preserve">par </w:t>
      </w:r>
      <w:r w:rsidR="000B7024" w:rsidRPr="00F13E32">
        <w:rPr>
          <w:rFonts w:asciiTheme="majorBidi" w:hAnsiTheme="majorBidi" w:cstheme="majorBidi"/>
        </w:rPr>
        <w:t>[datums]</w:t>
      </w:r>
      <w:r w:rsidRPr="00F13E32">
        <w:rPr>
          <w:rFonts w:asciiTheme="majorBidi" w:hAnsiTheme="majorBidi" w:cstheme="majorBidi"/>
        </w:rPr>
        <w:t xml:space="preserve"> mirušās </w:t>
      </w:r>
      <w:r w:rsidR="00854E08" w:rsidRPr="00F13E32">
        <w:rPr>
          <w:rFonts w:asciiTheme="majorBidi" w:hAnsiTheme="majorBidi" w:cstheme="majorBidi"/>
        </w:rPr>
        <w:t xml:space="preserve">[pers. C] </w:t>
      </w:r>
      <w:r w:rsidRPr="00F13E32">
        <w:rPr>
          <w:rFonts w:asciiTheme="majorBidi" w:hAnsiTheme="majorBidi" w:cstheme="majorBidi"/>
        </w:rPr>
        <w:t xml:space="preserve">testamentāro mantinieci iecelta viņas meita (1. šķiras mantiniece) </w:t>
      </w:r>
      <w:r w:rsidR="00B92F08" w:rsidRPr="00F13E32">
        <w:rPr>
          <w:rFonts w:asciiTheme="majorBidi" w:hAnsiTheme="majorBidi" w:cstheme="majorBidi"/>
        </w:rPr>
        <w:t xml:space="preserve">[pers. B] </w:t>
      </w:r>
      <w:r w:rsidRPr="00F13E32">
        <w:rPr>
          <w:rFonts w:asciiTheme="majorBidi" w:hAnsiTheme="majorBidi" w:cstheme="majorBidi"/>
        </w:rPr>
        <w:t>uz visu atstāto mantojumu, pamatojoties uz pieauguma tiesību (</w:t>
      </w:r>
      <w:r w:rsidR="006663F1" w:rsidRPr="00F13E32">
        <w:rPr>
          <w:rFonts w:asciiTheme="majorBidi" w:hAnsiTheme="majorBidi" w:cstheme="majorBidi"/>
          <w:i/>
          <w:iCs/>
        </w:rPr>
        <w:t>lietas 19. lapa</w:t>
      </w:r>
      <w:r w:rsidR="006663F1" w:rsidRPr="00F13E32">
        <w:rPr>
          <w:rFonts w:asciiTheme="majorBidi" w:hAnsiTheme="majorBidi" w:cstheme="majorBidi"/>
        </w:rPr>
        <w:t>).</w:t>
      </w:r>
    </w:p>
    <w:p w14:paraId="24B4F2D7" w14:textId="77777777" w:rsidR="006663F1" w:rsidRPr="00F13E32" w:rsidRDefault="006663F1" w:rsidP="00F13E32">
      <w:pPr>
        <w:spacing w:line="276" w:lineRule="auto"/>
        <w:ind w:firstLine="709"/>
        <w:jc w:val="both"/>
        <w:rPr>
          <w:rFonts w:asciiTheme="majorBidi" w:hAnsiTheme="majorBidi" w:cstheme="majorBidi"/>
        </w:rPr>
      </w:pPr>
    </w:p>
    <w:p w14:paraId="7476C42D" w14:textId="6675A108" w:rsidR="00944F83" w:rsidRPr="00F13E32" w:rsidRDefault="006663F1" w:rsidP="00F13E32">
      <w:pPr>
        <w:spacing w:line="276" w:lineRule="auto"/>
        <w:ind w:firstLine="709"/>
        <w:jc w:val="both"/>
        <w:rPr>
          <w:rFonts w:asciiTheme="majorBidi" w:hAnsiTheme="majorBidi" w:cstheme="majorBidi"/>
        </w:rPr>
      </w:pPr>
      <w:r w:rsidRPr="00F13E32">
        <w:rPr>
          <w:rFonts w:asciiTheme="majorBidi" w:hAnsiTheme="majorBidi" w:cstheme="majorBidi"/>
        </w:rPr>
        <w:t>[2] </w:t>
      </w:r>
      <w:r w:rsidR="00B92F08" w:rsidRPr="00F13E32">
        <w:rPr>
          <w:rFonts w:asciiTheme="majorBidi" w:hAnsiTheme="majorBidi" w:cstheme="majorBidi"/>
        </w:rPr>
        <w:t xml:space="preserve">[Pers. A] </w:t>
      </w:r>
      <w:r w:rsidRPr="00F13E32">
        <w:rPr>
          <w:rFonts w:asciiTheme="majorBidi" w:hAnsiTheme="majorBidi" w:cstheme="majorBidi"/>
        </w:rPr>
        <w:t xml:space="preserve">2018. gada 4. oktobrī </w:t>
      </w:r>
      <w:r w:rsidR="00944F83" w:rsidRPr="00F13E32">
        <w:rPr>
          <w:rFonts w:asciiTheme="majorBidi" w:hAnsiTheme="majorBidi" w:cstheme="majorBidi"/>
        </w:rPr>
        <w:t xml:space="preserve">cēlusi tiesā prasību pret </w:t>
      </w:r>
      <w:r w:rsidR="00B92F08" w:rsidRPr="00F13E32">
        <w:rPr>
          <w:rFonts w:asciiTheme="majorBidi" w:hAnsiTheme="majorBidi" w:cstheme="majorBidi"/>
        </w:rPr>
        <w:t xml:space="preserve">[pers. B] </w:t>
      </w:r>
      <w:r w:rsidRPr="00F13E32">
        <w:rPr>
          <w:rFonts w:asciiTheme="majorBidi" w:hAnsiTheme="majorBidi" w:cstheme="majorBidi"/>
        </w:rPr>
        <w:t>par mantojuma tiesības atzīšanu</w:t>
      </w:r>
      <w:r w:rsidR="00944F83" w:rsidRPr="00F13E32">
        <w:rPr>
          <w:rFonts w:asciiTheme="majorBidi" w:hAnsiTheme="majorBidi" w:cstheme="majorBidi"/>
        </w:rPr>
        <w:t xml:space="preserve">, </w:t>
      </w:r>
      <w:r w:rsidRPr="00F13E32">
        <w:rPr>
          <w:rFonts w:asciiTheme="majorBidi" w:hAnsiTheme="majorBidi" w:cstheme="majorBidi"/>
        </w:rPr>
        <w:t xml:space="preserve">saskaņā ar prasības pieteikumu un tā precizējumiem </w:t>
      </w:r>
      <w:r w:rsidR="00944F83" w:rsidRPr="00F13E32">
        <w:rPr>
          <w:rFonts w:asciiTheme="majorBidi" w:hAnsiTheme="majorBidi" w:cstheme="majorBidi"/>
        </w:rPr>
        <w:t xml:space="preserve">lūdzot tiesu atzīt, ka </w:t>
      </w:r>
      <w:r w:rsidR="00B92F08" w:rsidRPr="00F13E32">
        <w:rPr>
          <w:rFonts w:asciiTheme="majorBidi" w:hAnsiTheme="majorBidi" w:cstheme="majorBidi"/>
        </w:rPr>
        <w:t xml:space="preserve">[pers. A] </w:t>
      </w:r>
      <w:r w:rsidR="00944F83" w:rsidRPr="00F13E32">
        <w:rPr>
          <w:rFonts w:asciiTheme="majorBidi" w:hAnsiTheme="majorBidi" w:cstheme="majorBidi"/>
        </w:rPr>
        <w:t xml:space="preserve">ir pieņēmusi mirušās </w:t>
      </w:r>
      <w:r w:rsidR="00854E08" w:rsidRPr="00F13E32">
        <w:rPr>
          <w:rFonts w:asciiTheme="majorBidi" w:hAnsiTheme="majorBidi" w:cstheme="majorBidi"/>
        </w:rPr>
        <w:t xml:space="preserve">[pers. C] </w:t>
      </w:r>
      <w:r w:rsidR="00944F83" w:rsidRPr="00F13E32">
        <w:rPr>
          <w:rFonts w:asciiTheme="majorBidi" w:hAnsiTheme="majorBidi" w:cstheme="majorBidi"/>
        </w:rPr>
        <w:t xml:space="preserve">atstāto mantojumu atbilstoši </w:t>
      </w:r>
      <w:r w:rsidR="00854E08" w:rsidRPr="00F13E32">
        <w:rPr>
          <w:rFonts w:asciiTheme="majorBidi" w:hAnsiTheme="majorBidi" w:cstheme="majorBidi"/>
        </w:rPr>
        <w:t xml:space="preserve">[pers. C] </w:t>
      </w:r>
      <w:r w:rsidR="00944F83" w:rsidRPr="00F13E32">
        <w:rPr>
          <w:rFonts w:asciiTheme="majorBidi" w:hAnsiTheme="majorBidi" w:cstheme="majorBidi"/>
        </w:rPr>
        <w:t xml:space="preserve">2017. gada 26. oktobrī taisītajā testamenta aktā norādītajam, atzīt </w:t>
      </w:r>
      <w:r w:rsidR="00B92F08" w:rsidRPr="00F13E32">
        <w:rPr>
          <w:rFonts w:asciiTheme="majorBidi" w:hAnsiTheme="majorBidi" w:cstheme="majorBidi"/>
        </w:rPr>
        <w:t xml:space="preserve">[pers. A] </w:t>
      </w:r>
      <w:r w:rsidR="00944F83" w:rsidRPr="00F13E32">
        <w:rPr>
          <w:rFonts w:asciiTheme="majorBidi" w:hAnsiTheme="majorBidi" w:cstheme="majorBidi"/>
        </w:rPr>
        <w:t xml:space="preserve">par mirušās </w:t>
      </w:r>
      <w:r w:rsidR="00854E08" w:rsidRPr="00F13E32">
        <w:rPr>
          <w:rFonts w:asciiTheme="majorBidi" w:hAnsiTheme="majorBidi" w:cstheme="majorBidi"/>
        </w:rPr>
        <w:t xml:space="preserve">[pers. C] </w:t>
      </w:r>
      <w:r w:rsidR="00944F83" w:rsidRPr="00F13E32">
        <w:rPr>
          <w:rFonts w:asciiTheme="majorBidi" w:hAnsiTheme="majorBidi" w:cstheme="majorBidi"/>
        </w:rPr>
        <w:t xml:space="preserve">līdzmantinieci un atzīt </w:t>
      </w:r>
      <w:r w:rsidR="00B92F08" w:rsidRPr="00F13E32">
        <w:rPr>
          <w:rFonts w:asciiTheme="majorBidi" w:hAnsiTheme="majorBidi" w:cstheme="majorBidi"/>
        </w:rPr>
        <w:t xml:space="preserve">[pers. A] </w:t>
      </w:r>
      <w:r w:rsidR="00944F83" w:rsidRPr="00F13E32">
        <w:rPr>
          <w:rFonts w:asciiTheme="majorBidi" w:hAnsiTheme="majorBidi" w:cstheme="majorBidi"/>
        </w:rPr>
        <w:t xml:space="preserve">mantojuma tiesību uz mirušās </w:t>
      </w:r>
      <w:r w:rsidR="00854E08" w:rsidRPr="00F13E32">
        <w:rPr>
          <w:rFonts w:asciiTheme="majorBidi" w:hAnsiTheme="majorBidi" w:cstheme="majorBidi"/>
        </w:rPr>
        <w:t xml:space="preserve">[pers. C] </w:t>
      </w:r>
      <w:r w:rsidR="00944F83" w:rsidRPr="00F13E32">
        <w:rPr>
          <w:rFonts w:asciiTheme="majorBidi" w:hAnsiTheme="majorBidi" w:cstheme="majorBidi"/>
        </w:rPr>
        <w:t xml:space="preserve">atstāto mantojumu, kas </w:t>
      </w:r>
      <w:r w:rsidR="00B92F08" w:rsidRPr="00F13E32">
        <w:rPr>
          <w:rFonts w:asciiTheme="majorBidi" w:hAnsiTheme="majorBidi" w:cstheme="majorBidi"/>
        </w:rPr>
        <w:t xml:space="preserve">[pers. A] </w:t>
      </w:r>
      <w:r w:rsidR="00944F83" w:rsidRPr="00F13E32">
        <w:rPr>
          <w:rFonts w:asciiTheme="majorBidi" w:hAnsiTheme="majorBidi" w:cstheme="majorBidi"/>
        </w:rPr>
        <w:t xml:space="preserve">novēlēts ar iepriekšminēto testamenta aktu, kā arī atzīt par spēkā neesošu zvērinātas notāres Renātes Rones 2018. gada 6. augustā </w:t>
      </w:r>
      <w:r w:rsidR="003C5BB3" w:rsidRPr="00F13E32">
        <w:rPr>
          <w:rFonts w:asciiTheme="majorBidi" w:hAnsiTheme="majorBidi" w:cstheme="majorBidi"/>
        </w:rPr>
        <w:t>izsniegto</w:t>
      </w:r>
      <w:r w:rsidR="00944F83" w:rsidRPr="00F13E32">
        <w:rPr>
          <w:rFonts w:asciiTheme="majorBidi" w:hAnsiTheme="majorBidi" w:cstheme="majorBidi"/>
        </w:rPr>
        <w:t xml:space="preserve"> </w:t>
      </w:r>
      <w:r w:rsidR="00944F83" w:rsidRPr="00F13E32">
        <w:rPr>
          <w:rFonts w:asciiTheme="majorBidi" w:hAnsiTheme="majorBidi" w:cstheme="majorBidi"/>
        </w:rPr>
        <w:lastRenderedPageBreak/>
        <w:t>mantojuma apliecību (aktu par pēdējās gribas rīkojuma akta stāšanos likumīgā spēkā</w:t>
      </w:r>
      <w:r w:rsidR="00E76D0F" w:rsidRPr="00F13E32">
        <w:rPr>
          <w:rFonts w:asciiTheme="majorBidi" w:hAnsiTheme="majorBidi" w:cstheme="majorBidi"/>
        </w:rPr>
        <w:t xml:space="preserve">) par </w:t>
      </w:r>
      <w:r w:rsidR="00854E08" w:rsidRPr="00F13E32">
        <w:rPr>
          <w:rFonts w:asciiTheme="majorBidi" w:hAnsiTheme="majorBidi" w:cstheme="majorBidi"/>
        </w:rPr>
        <w:t xml:space="preserve">[pers. C] </w:t>
      </w:r>
      <w:r w:rsidR="00E76D0F" w:rsidRPr="00F13E32">
        <w:rPr>
          <w:rFonts w:asciiTheme="majorBidi" w:hAnsiTheme="majorBidi" w:cstheme="majorBidi"/>
        </w:rPr>
        <w:t>atstāto mantojumu</w:t>
      </w:r>
      <w:r w:rsidR="00944F83" w:rsidRPr="00F13E32">
        <w:rPr>
          <w:rFonts w:asciiTheme="majorBidi" w:hAnsiTheme="majorBidi" w:cstheme="majorBidi"/>
        </w:rPr>
        <w:t xml:space="preserve">. </w:t>
      </w:r>
    </w:p>
    <w:p w14:paraId="0B50F33A" w14:textId="6155D836" w:rsidR="00944F83" w:rsidRPr="00F13E32" w:rsidRDefault="00944F83" w:rsidP="00F13E32">
      <w:pPr>
        <w:spacing w:line="276" w:lineRule="auto"/>
        <w:ind w:firstLine="709"/>
        <w:jc w:val="both"/>
        <w:rPr>
          <w:rFonts w:asciiTheme="majorBidi" w:hAnsiTheme="majorBidi" w:cstheme="majorBidi"/>
        </w:rPr>
      </w:pPr>
      <w:r w:rsidRPr="00F13E32">
        <w:rPr>
          <w:rFonts w:asciiTheme="majorBidi" w:hAnsiTheme="majorBidi" w:cstheme="majorBidi"/>
        </w:rPr>
        <w:t xml:space="preserve">Kā uzsvērts </w:t>
      </w:r>
      <w:r w:rsidR="00B92F08" w:rsidRPr="00F13E32">
        <w:rPr>
          <w:rFonts w:asciiTheme="majorBidi" w:hAnsiTheme="majorBidi" w:cstheme="majorBidi"/>
        </w:rPr>
        <w:t xml:space="preserve">[pers. A] </w:t>
      </w:r>
      <w:r w:rsidRPr="00F13E32">
        <w:rPr>
          <w:rFonts w:asciiTheme="majorBidi" w:hAnsiTheme="majorBidi" w:cstheme="majorBidi"/>
        </w:rPr>
        <w:t>prasības pieteikumā un tā precizējumos</w:t>
      </w:r>
      <w:r w:rsidR="00E76D0F" w:rsidRPr="00F13E32">
        <w:rPr>
          <w:rFonts w:asciiTheme="majorBidi" w:hAnsiTheme="majorBidi" w:cstheme="majorBidi"/>
        </w:rPr>
        <w:t xml:space="preserve"> (sk. </w:t>
      </w:r>
      <w:r w:rsidR="00E76D0F" w:rsidRPr="00F13E32">
        <w:rPr>
          <w:rFonts w:asciiTheme="majorBidi" w:hAnsiTheme="majorBidi" w:cstheme="majorBidi"/>
          <w:i/>
          <w:iCs/>
        </w:rPr>
        <w:t>lietas 9. un 34. lapu</w:t>
      </w:r>
      <w:r w:rsidR="00E76D0F" w:rsidRPr="00F13E32">
        <w:rPr>
          <w:rFonts w:asciiTheme="majorBidi" w:hAnsiTheme="majorBidi" w:cstheme="majorBidi"/>
        </w:rPr>
        <w:t>)</w:t>
      </w:r>
      <w:r w:rsidRPr="00F13E32">
        <w:rPr>
          <w:rFonts w:asciiTheme="majorBidi" w:hAnsiTheme="majorBidi" w:cstheme="majorBidi"/>
        </w:rPr>
        <w:t xml:space="preserve">, konkrētās prasības mērķis ir atzīt </w:t>
      </w:r>
      <w:r w:rsidR="00B92F08" w:rsidRPr="00F13E32">
        <w:rPr>
          <w:rFonts w:asciiTheme="majorBidi" w:hAnsiTheme="majorBidi" w:cstheme="majorBidi"/>
        </w:rPr>
        <w:t xml:space="preserve">[pers. A] </w:t>
      </w:r>
      <w:r w:rsidRPr="00F13E32">
        <w:rPr>
          <w:rFonts w:asciiTheme="majorBidi" w:hAnsiTheme="majorBidi" w:cstheme="majorBidi"/>
        </w:rPr>
        <w:t xml:space="preserve">kā testamentārās mantinieces mantojuma tiesību uz pusi no </w:t>
      </w:r>
      <w:r w:rsidR="000B7024" w:rsidRPr="00F13E32">
        <w:rPr>
          <w:rFonts w:asciiTheme="majorBidi" w:hAnsiTheme="majorBidi" w:cstheme="majorBidi"/>
        </w:rPr>
        <w:t>[datums]</w:t>
      </w:r>
      <w:r w:rsidRPr="00F13E32">
        <w:rPr>
          <w:rFonts w:asciiTheme="majorBidi" w:hAnsiTheme="majorBidi" w:cstheme="majorBidi"/>
        </w:rPr>
        <w:t xml:space="preserve"> mirušās </w:t>
      </w:r>
      <w:r w:rsidR="00854E08" w:rsidRPr="00F13E32">
        <w:rPr>
          <w:rFonts w:asciiTheme="majorBidi" w:hAnsiTheme="majorBidi" w:cstheme="majorBidi"/>
        </w:rPr>
        <w:t xml:space="preserve">[pers. C] </w:t>
      </w:r>
      <w:r w:rsidRPr="00F13E32">
        <w:rPr>
          <w:rFonts w:asciiTheme="majorBidi" w:hAnsiTheme="majorBidi" w:cstheme="majorBidi"/>
        </w:rPr>
        <w:t xml:space="preserve">atstātā mantojuma, izņemot nekustamo īpašumu </w:t>
      </w:r>
      <w:r w:rsidR="00854E08" w:rsidRPr="00F13E32">
        <w:rPr>
          <w:rFonts w:asciiTheme="majorBidi" w:hAnsiTheme="majorBidi" w:cstheme="majorBidi"/>
        </w:rPr>
        <w:t>[Nosaukums]</w:t>
      </w:r>
      <w:r w:rsidRPr="00F13E32">
        <w:rPr>
          <w:rFonts w:asciiTheme="majorBidi" w:hAnsiTheme="majorBidi" w:cstheme="majorBidi"/>
        </w:rPr>
        <w:t xml:space="preserve">, </w:t>
      </w:r>
      <w:r w:rsidR="00854E08" w:rsidRPr="00F13E32">
        <w:rPr>
          <w:rFonts w:asciiTheme="majorBidi" w:hAnsiTheme="majorBidi" w:cstheme="majorBidi"/>
        </w:rPr>
        <w:t>[adrese]</w:t>
      </w:r>
      <w:r w:rsidRPr="00F13E32">
        <w:rPr>
          <w:rFonts w:asciiTheme="majorBidi" w:hAnsiTheme="majorBidi" w:cstheme="majorBidi"/>
        </w:rPr>
        <w:t xml:space="preserve">, kas saskaņā ar </w:t>
      </w:r>
      <w:r w:rsidR="00854E08" w:rsidRPr="00F13E32">
        <w:rPr>
          <w:rFonts w:asciiTheme="majorBidi" w:hAnsiTheme="majorBidi" w:cstheme="majorBidi"/>
        </w:rPr>
        <w:t xml:space="preserve">[pers. C] </w:t>
      </w:r>
      <w:r w:rsidRPr="00F13E32">
        <w:rPr>
          <w:rFonts w:asciiTheme="majorBidi" w:hAnsiTheme="majorBidi" w:cstheme="majorBidi"/>
        </w:rPr>
        <w:t xml:space="preserve">2017. gada 26. oktobrī taisīto testamenta aktu ir novēlēts tikai </w:t>
      </w:r>
      <w:r w:rsidR="00B92F08" w:rsidRPr="00F13E32">
        <w:rPr>
          <w:rFonts w:asciiTheme="majorBidi" w:hAnsiTheme="majorBidi" w:cstheme="majorBidi"/>
        </w:rPr>
        <w:t>[pers. B]</w:t>
      </w:r>
      <w:r w:rsidRPr="00F13E32">
        <w:rPr>
          <w:rFonts w:asciiTheme="majorBidi" w:hAnsiTheme="majorBidi" w:cstheme="majorBidi"/>
        </w:rPr>
        <w:t xml:space="preserve">, visu pārējo mantu novēlot līdzīgās daļās abām testatores meitām: </w:t>
      </w:r>
      <w:r w:rsidR="00B92F08" w:rsidRPr="00F13E32">
        <w:rPr>
          <w:rFonts w:asciiTheme="majorBidi" w:hAnsiTheme="majorBidi" w:cstheme="majorBidi"/>
        </w:rPr>
        <w:t xml:space="preserve">[pers. A] </w:t>
      </w:r>
      <w:r w:rsidRPr="00F13E32">
        <w:rPr>
          <w:rFonts w:asciiTheme="majorBidi" w:hAnsiTheme="majorBidi" w:cstheme="majorBidi"/>
        </w:rPr>
        <w:t xml:space="preserve">un </w:t>
      </w:r>
      <w:r w:rsidR="00B92F08" w:rsidRPr="00F13E32">
        <w:rPr>
          <w:rFonts w:asciiTheme="majorBidi" w:hAnsiTheme="majorBidi" w:cstheme="majorBidi"/>
        </w:rPr>
        <w:t>[pers. B]</w:t>
      </w:r>
      <w:r w:rsidRPr="00F13E32">
        <w:rPr>
          <w:rFonts w:asciiTheme="majorBidi" w:hAnsiTheme="majorBidi" w:cstheme="majorBidi"/>
        </w:rPr>
        <w:t>.</w:t>
      </w:r>
    </w:p>
    <w:p w14:paraId="3D836A94" w14:textId="77777777" w:rsidR="003D2B20" w:rsidRPr="00F13E32" w:rsidRDefault="003D2B20" w:rsidP="00F13E32">
      <w:pPr>
        <w:spacing w:line="276" w:lineRule="auto"/>
        <w:ind w:firstLine="709"/>
        <w:jc w:val="both"/>
        <w:rPr>
          <w:rFonts w:asciiTheme="majorBidi" w:hAnsiTheme="majorBidi" w:cstheme="majorBidi"/>
        </w:rPr>
      </w:pPr>
    </w:p>
    <w:p w14:paraId="735CF7D4" w14:textId="07C6DB20" w:rsidR="003D2B20" w:rsidRPr="00F13E32" w:rsidRDefault="003D2B20" w:rsidP="00F13E32">
      <w:pPr>
        <w:spacing w:line="276" w:lineRule="auto"/>
        <w:ind w:firstLine="709"/>
        <w:jc w:val="both"/>
        <w:rPr>
          <w:rFonts w:asciiTheme="majorBidi" w:hAnsiTheme="majorBidi" w:cstheme="majorBidi"/>
        </w:rPr>
      </w:pPr>
      <w:r w:rsidRPr="00F13E32">
        <w:rPr>
          <w:rFonts w:asciiTheme="majorBidi" w:hAnsiTheme="majorBidi" w:cstheme="majorBidi"/>
        </w:rPr>
        <w:t xml:space="preserve">[3] Ar Rīgas rajona tiesas 2020. gada 14. decembra spriedumu </w:t>
      </w:r>
      <w:r w:rsidR="006E7CA1" w:rsidRPr="00F13E32">
        <w:rPr>
          <w:rFonts w:asciiTheme="majorBidi" w:hAnsiTheme="majorBidi" w:cstheme="majorBidi"/>
        </w:rPr>
        <w:t xml:space="preserve">un Rīgas apgabaltiesas 2021. gada 31. marta spriedumu </w:t>
      </w:r>
      <w:r w:rsidR="00B92F08" w:rsidRPr="00F13E32">
        <w:rPr>
          <w:rFonts w:asciiTheme="majorBidi" w:hAnsiTheme="majorBidi" w:cstheme="majorBidi"/>
        </w:rPr>
        <w:t xml:space="preserve">[pers. A] </w:t>
      </w:r>
      <w:r w:rsidRPr="00F13E32">
        <w:rPr>
          <w:rFonts w:asciiTheme="majorBidi" w:hAnsiTheme="majorBidi" w:cstheme="majorBidi"/>
        </w:rPr>
        <w:t>prasība noraidīta.</w:t>
      </w:r>
    </w:p>
    <w:p w14:paraId="6F1054C6" w14:textId="3B321FBA" w:rsidR="003D2B20" w:rsidRPr="00F13E32" w:rsidRDefault="003D2B20" w:rsidP="00F13E32">
      <w:pPr>
        <w:spacing w:line="276" w:lineRule="auto"/>
        <w:ind w:firstLine="709"/>
        <w:jc w:val="both"/>
        <w:rPr>
          <w:rFonts w:asciiTheme="majorBidi" w:hAnsiTheme="majorBidi" w:cstheme="majorBidi"/>
        </w:rPr>
      </w:pPr>
      <w:r w:rsidRPr="00F13E32">
        <w:rPr>
          <w:rFonts w:asciiTheme="majorBidi" w:hAnsiTheme="majorBidi" w:cstheme="majorBidi"/>
        </w:rPr>
        <w:t>Ar Senāta 2023. gada 25. septembra spriedumu atcelts Rīgas apgabaltiesas 2021. gada 31. marta spriedums un lieta nodota jaunai izskatīšanai Rīgas apgabaltiesā.</w:t>
      </w:r>
    </w:p>
    <w:p w14:paraId="3C4C7A5C" w14:textId="77777777" w:rsidR="003D2B20" w:rsidRPr="00F13E32" w:rsidRDefault="003D2B20" w:rsidP="00F13E32">
      <w:pPr>
        <w:spacing w:line="276" w:lineRule="auto"/>
        <w:ind w:firstLine="709"/>
        <w:jc w:val="both"/>
        <w:rPr>
          <w:rFonts w:asciiTheme="majorBidi" w:hAnsiTheme="majorBidi" w:cstheme="majorBidi"/>
        </w:rPr>
      </w:pPr>
    </w:p>
    <w:p w14:paraId="060B2041" w14:textId="6724D2C9" w:rsidR="003D2B20" w:rsidRPr="00F13E32" w:rsidRDefault="003D2B20" w:rsidP="00F13E32">
      <w:pPr>
        <w:spacing w:line="276" w:lineRule="auto"/>
        <w:ind w:firstLine="709"/>
        <w:jc w:val="both"/>
        <w:rPr>
          <w:rFonts w:asciiTheme="majorBidi" w:hAnsiTheme="majorBidi" w:cstheme="majorBidi"/>
        </w:rPr>
      </w:pPr>
      <w:r w:rsidRPr="00F13E32">
        <w:rPr>
          <w:rFonts w:asciiTheme="majorBidi" w:hAnsiTheme="majorBidi" w:cstheme="majorBidi"/>
        </w:rPr>
        <w:t xml:space="preserve">[4] Izskatot lietu </w:t>
      </w:r>
      <w:r w:rsidR="000545AF" w:rsidRPr="00F13E32">
        <w:rPr>
          <w:rFonts w:asciiTheme="majorBidi" w:hAnsiTheme="majorBidi" w:cstheme="majorBidi"/>
        </w:rPr>
        <w:t xml:space="preserve">no jauna </w:t>
      </w:r>
      <w:r w:rsidRPr="00F13E32">
        <w:rPr>
          <w:rFonts w:asciiTheme="majorBidi" w:hAnsiTheme="majorBidi" w:cstheme="majorBidi"/>
        </w:rPr>
        <w:t xml:space="preserve">sakarā ar </w:t>
      </w:r>
      <w:r w:rsidR="00B92F08" w:rsidRPr="00F13E32">
        <w:rPr>
          <w:rFonts w:asciiTheme="majorBidi" w:hAnsiTheme="majorBidi" w:cstheme="majorBidi"/>
        </w:rPr>
        <w:t xml:space="preserve">[pers. A] </w:t>
      </w:r>
      <w:r w:rsidRPr="00F13E32">
        <w:rPr>
          <w:rFonts w:asciiTheme="majorBidi" w:hAnsiTheme="majorBidi" w:cstheme="majorBidi"/>
        </w:rPr>
        <w:t xml:space="preserve">apelācijas sūdzību, </w:t>
      </w:r>
      <w:bookmarkStart w:id="2" w:name="_Hlk178592132"/>
      <w:r w:rsidRPr="00F13E32">
        <w:rPr>
          <w:rFonts w:asciiTheme="majorBidi" w:hAnsiTheme="majorBidi" w:cstheme="majorBidi"/>
        </w:rPr>
        <w:t xml:space="preserve">Rīgas apgabaltiesa ar 2024. gada 19. marta spriedumu apmierinājusi </w:t>
      </w:r>
      <w:r w:rsidR="00B92F08" w:rsidRPr="00F13E32">
        <w:rPr>
          <w:rFonts w:asciiTheme="majorBidi" w:hAnsiTheme="majorBidi" w:cstheme="majorBidi"/>
        </w:rPr>
        <w:t xml:space="preserve">[pers. A] </w:t>
      </w:r>
      <w:r w:rsidRPr="00F13E32">
        <w:rPr>
          <w:rFonts w:asciiTheme="majorBidi" w:hAnsiTheme="majorBidi" w:cstheme="majorBidi"/>
        </w:rPr>
        <w:t>prasību.</w:t>
      </w:r>
    </w:p>
    <w:bookmarkEnd w:id="2"/>
    <w:p w14:paraId="29B56190" w14:textId="311ED166" w:rsidR="003D2B20" w:rsidRPr="00F13E32" w:rsidRDefault="003D2B20" w:rsidP="00F13E32">
      <w:pPr>
        <w:spacing w:line="276" w:lineRule="auto"/>
        <w:ind w:firstLine="709"/>
        <w:jc w:val="both"/>
        <w:rPr>
          <w:rFonts w:asciiTheme="majorBidi" w:hAnsiTheme="majorBidi" w:cstheme="majorBidi"/>
        </w:rPr>
      </w:pPr>
      <w:r w:rsidRPr="00F13E32">
        <w:rPr>
          <w:rFonts w:asciiTheme="majorBidi" w:hAnsiTheme="majorBidi" w:cstheme="majorBidi"/>
        </w:rPr>
        <w:t xml:space="preserve">Novērtējot lietas apstākļus, apelācijas instances tiesa secinājusi, ka prasība ir pamatota un apmierināma, proti, Renātes Rones 2018. gada 6. augustā </w:t>
      </w:r>
      <w:r w:rsidR="003C5BB3" w:rsidRPr="00F13E32">
        <w:rPr>
          <w:rFonts w:asciiTheme="majorBidi" w:hAnsiTheme="majorBidi" w:cstheme="majorBidi"/>
        </w:rPr>
        <w:t>izsniegtā</w:t>
      </w:r>
      <w:r w:rsidRPr="00F13E32">
        <w:rPr>
          <w:rFonts w:asciiTheme="majorBidi" w:hAnsiTheme="majorBidi" w:cstheme="majorBidi"/>
        </w:rPr>
        <w:t xml:space="preserve"> mantojuma apliecība (akts par pēdējās gribas rīkojuma akta stāšanos likumīgā spēkā) ir atzīstama par spēkā neesošu, savukārt </w:t>
      </w:r>
      <w:r w:rsidR="00B92F08" w:rsidRPr="00F13E32">
        <w:rPr>
          <w:rFonts w:asciiTheme="majorBidi" w:hAnsiTheme="majorBidi" w:cstheme="majorBidi"/>
        </w:rPr>
        <w:t xml:space="preserve">[pers. A] </w:t>
      </w:r>
      <w:r w:rsidRPr="00F13E32">
        <w:rPr>
          <w:rFonts w:asciiTheme="majorBidi" w:hAnsiTheme="majorBidi" w:cstheme="majorBidi"/>
        </w:rPr>
        <w:t xml:space="preserve">atzīstama par līdzmantinieci un viņai – kā mantojuma atstājējas testamentārai pirmās šķiras mantiniecei – ir atzīstama mantojuma tiesība uz pusi no mātes </w:t>
      </w:r>
      <w:r w:rsidR="00854E08" w:rsidRPr="00F13E32">
        <w:rPr>
          <w:rFonts w:asciiTheme="majorBidi" w:hAnsiTheme="majorBidi" w:cstheme="majorBidi"/>
        </w:rPr>
        <w:t xml:space="preserve">[pers. C] </w:t>
      </w:r>
      <w:r w:rsidRPr="00F13E32">
        <w:rPr>
          <w:rFonts w:asciiTheme="majorBidi" w:hAnsiTheme="majorBidi" w:cstheme="majorBidi"/>
        </w:rPr>
        <w:t xml:space="preserve">atstātā mantojuma, kas novēlēts ar viņas 2017. gada 26. oktobrī taisīto testamenta aktu. </w:t>
      </w:r>
    </w:p>
    <w:p w14:paraId="2E6CAAC7" w14:textId="4FAD0479" w:rsidR="003D2B20" w:rsidRPr="00F13E32" w:rsidRDefault="000545AF" w:rsidP="00F13E32">
      <w:pPr>
        <w:spacing w:line="276" w:lineRule="auto"/>
        <w:ind w:firstLine="709"/>
        <w:jc w:val="both"/>
        <w:rPr>
          <w:rFonts w:asciiTheme="majorBidi" w:hAnsiTheme="majorBidi" w:cstheme="majorBidi"/>
        </w:rPr>
      </w:pPr>
      <w:r w:rsidRPr="00F13E32">
        <w:rPr>
          <w:rFonts w:asciiTheme="majorBidi" w:hAnsiTheme="majorBidi" w:cstheme="majorBidi"/>
        </w:rPr>
        <w:t>Rezultātā</w:t>
      </w:r>
      <w:r w:rsidR="003D2B20" w:rsidRPr="00F13E32">
        <w:rPr>
          <w:rFonts w:asciiTheme="majorBidi" w:hAnsiTheme="majorBidi" w:cstheme="majorBidi"/>
        </w:rPr>
        <w:t xml:space="preserve"> </w:t>
      </w:r>
      <w:bookmarkStart w:id="3" w:name="_Hlk178592438"/>
      <w:r w:rsidR="003D2B20" w:rsidRPr="00F13E32">
        <w:rPr>
          <w:rFonts w:asciiTheme="majorBidi" w:hAnsiTheme="majorBidi" w:cstheme="majorBidi"/>
        </w:rPr>
        <w:t xml:space="preserve">tiesa nospriedusi atzīt par spēkā neesošu Renātes Rones 2018. gada 6. augustā </w:t>
      </w:r>
      <w:r w:rsidR="003C5BB3" w:rsidRPr="00F13E32">
        <w:rPr>
          <w:rFonts w:asciiTheme="majorBidi" w:hAnsiTheme="majorBidi" w:cstheme="majorBidi"/>
        </w:rPr>
        <w:t>izsniegto</w:t>
      </w:r>
      <w:r w:rsidR="003D2B20" w:rsidRPr="00F13E32">
        <w:rPr>
          <w:rFonts w:asciiTheme="majorBidi" w:hAnsiTheme="majorBidi" w:cstheme="majorBidi"/>
        </w:rPr>
        <w:t xml:space="preserve"> mantojuma apliecību (aktu par pēdējās gribas rīkojuma akta stāšanos likumīgā spēkā)</w:t>
      </w:r>
      <w:r w:rsidR="0093443E" w:rsidRPr="00F13E32">
        <w:rPr>
          <w:rFonts w:asciiTheme="majorBidi" w:hAnsiTheme="majorBidi" w:cstheme="majorBidi"/>
        </w:rPr>
        <w:t xml:space="preserve"> par </w:t>
      </w:r>
      <w:r w:rsidR="00854E08" w:rsidRPr="00F13E32">
        <w:rPr>
          <w:rFonts w:asciiTheme="majorBidi" w:hAnsiTheme="majorBidi" w:cstheme="majorBidi"/>
        </w:rPr>
        <w:t xml:space="preserve">[pers. C] </w:t>
      </w:r>
      <w:r w:rsidR="0093443E" w:rsidRPr="00F13E32">
        <w:rPr>
          <w:rFonts w:asciiTheme="majorBidi" w:hAnsiTheme="majorBidi" w:cstheme="majorBidi"/>
        </w:rPr>
        <w:t>atstāto mantojumu</w:t>
      </w:r>
      <w:r w:rsidR="003D2B20" w:rsidRPr="00F13E32">
        <w:rPr>
          <w:rFonts w:asciiTheme="majorBidi" w:hAnsiTheme="majorBidi" w:cstheme="majorBidi"/>
        </w:rPr>
        <w:t xml:space="preserve">, </w:t>
      </w:r>
      <w:r w:rsidRPr="00F13E32">
        <w:rPr>
          <w:rFonts w:asciiTheme="majorBidi" w:hAnsiTheme="majorBidi" w:cstheme="majorBidi"/>
        </w:rPr>
        <w:t xml:space="preserve">atzīt, ka </w:t>
      </w:r>
      <w:r w:rsidR="00B92F08" w:rsidRPr="00F13E32">
        <w:rPr>
          <w:rFonts w:asciiTheme="majorBidi" w:hAnsiTheme="majorBidi" w:cstheme="majorBidi"/>
        </w:rPr>
        <w:t xml:space="preserve">[pers. A] </w:t>
      </w:r>
      <w:r w:rsidRPr="00F13E32">
        <w:rPr>
          <w:rFonts w:asciiTheme="majorBidi" w:hAnsiTheme="majorBidi" w:cstheme="majorBidi"/>
        </w:rPr>
        <w:t xml:space="preserve">ir pieņēmusi mirušās </w:t>
      </w:r>
      <w:r w:rsidR="00854E08" w:rsidRPr="00F13E32">
        <w:rPr>
          <w:rFonts w:asciiTheme="majorBidi" w:hAnsiTheme="majorBidi" w:cstheme="majorBidi"/>
        </w:rPr>
        <w:t xml:space="preserve">[pers. C] </w:t>
      </w:r>
      <w:r w:rsidRPr="00F13E32">
        <w:rPr>
          <w:rFonts w:asciiTheme="majorBidi" w:hAnsiTheme="majorBidi" w:cstheme="majorBidi"/>
        </w:rPr>
        <w:t xml:space="preserve">atstāto mantojumu, atzīt </w:t>
      </w:r>
      <w:r w:rsidR="00B92F08" w:rsidRPr="00F13E32">
        <w:rPr>
          <w:rFonts w:asciiTheme="majorBidi" w:hAnsiTheme="majorBidi" w:cstheme="majorBidi"/>
        </w:rPr>
        <w:t xml:space="preserve">[pers. A] </w:t>
      </w:r>
      <w:r w:rsidRPr="00F13E32">
        <w:rPr>
          <w:rFonts w:asciiTheme="majorBidi" w:hAnsiTheme="majorBidi" w:cstheme="majorBidi"/>
        </w:rPr>
        <w:t xml:space="preserve">par līdzmantinieci un atzīt viņas mantojuma tiesību uz 1/2 (vienu otro) domājamo daļu no </w:t>
      </w:r>
      <w:r w:rsidR="00854E08" w:rsidRPr="00F13E32">
        <w:rPr>
          <w:rFonts w:asciiTheme="majorBidi" w:hAnsiTheme="majorBidi" w:cstheme="majorBidi"/>
        </w:rPr>
        <w:t xml:space="preserve">[pers. C] </w:t>
      </w:r>
      <w:r w:rsidRPr="00F13E32">
        <w:rPr>
          <w:rFonts w:asciiTheme="majorBidi" w:hAnsiTheme="majorBidi" w:cstheme="majorBidi"/>
        </w:rPr>
        <w:t>atstātā mantojuma, kas novēlēts ar 2017. gada 26. oktobrī taisīto testamenta aktu.</w:t>
      </w:r>
    </w:p>
    <w:bookmarkEnd w:id="3"/>
    <w:p w14:paraId="5BE869D3" w14:textId="77777777" w:rsidR="003D2B20" w:rsidRPr="00F13E32" w:rsidRDefault="003D2B20" w:rsidP="00F13E32">
      <w:pPr>
        <w:spacing w:line="276" w:lineRule="auto"/>
        <w:ind w:firstLine="709"/>
        <w:jc w:val="both"/>
        <w:rPr>
          <w:rFonts w:asciiTheme="majorBidi" w:hAnsiTheme="majorBidi" w:cstheme="majorBidi"/>
        </w:rPr>
      </w:pPr>
    </w:p>
    <w:p w14:paraId="60912DE2" w14:textId="22508522" w:rsidR="003D2B20" w:rsidRPr="00F13E32" w:rsidRDefault="003D2B20" w:rsidP="00F13E32">
      <w:pPr>
        <w:spacing w:line="276" w:lineRule="auto"/>
        <w:ind w:firstLine="709"/>
        <w:jc w:val="both"/>
        <w:rPr>
          <w:rFonts w:asciiTheme="majorBidi" w:hAnsiTheme="majorBidi" w:cstheme="majorBidi"/>
        </w:rPr>
      </w:pPr>
      <w:r w:rsidRPr="00F13E32">
        <w:rPr>
          <w:rFonts w:asciiTheme="majorBidi" w:hAnsiTheme="majorBidi" w:cstheme="majorBidi"/>
        </w:rPr>
        <w:t>[5]</w:t>
      </w:r>
      <w:r w:rsidR="000545AF" w:rsidRPr="00F13E32">
        <w:rPr>
          <w:rFonts w:asciiTheme="majorBidi" w:hAnsiTheme="majorBidi" w:cstheme="majorBidi"/>
        </w:rPr>
        <w:t> </w:t>
      </w:r>
      <w:r w:rsidR="00B92F08" w:rsidRPr="00F13E32">
        <w:rPr>
          <w:rFonts w:asciiTheme="majorBidi" w:hAnsiTheme="majorBidi" w:cstheme="majorBidi"/>
        </w:rPr>
        <w:t xml:space="preserve">[Pers. B] </w:t>
      </w:r>
      <w:r w:rsidR="000545AF" w:rsidRPr="00F13E32">
        <w:rPr>
          <w:rFonts w:asciiTheme="majorBidi" w:hAnsiTheme="majorBidi" w:cstheme="majorBidi"/>
        </w:rPr>
        <w:t>iesniegusi kas</w:t>
      </w:r>
      <w:r w:rsidRPr="00F13E32">
        <w:rPr>
          <w:rFonts w:asciiTheme="majorBidi" w:hAnsiTheme="majorBidi" w:cstheme="majorBidi"/>
        </w:rPr>
        <w:t xml:space="preserve">ācijas sūdzību par Rīgas apgabaltiesas 2024. gada </w:t>
      </w:r>
      <w:r w:rsidR="000545AF" w:rsidRPr="00F13E32">
        <w:rPr>
          <w:rFonts w:asciiTheme="majorBidi" w:hAnsiTheme="majorBidi" w:cstheme="majorBidi"/>
        </w:rPr>
        <w:t>19. marta</w:t>
      </w:r>
      <w:r w:rsidRPr="00F13E32">
        <w:rPr>
          <w:rFonts w:asciiTheme="majorBidi" w:hAnsiTheme="majorBidi" w:cstheme="majorBidi"/>
        </w:rPr>
        <w:t xml:space="preserve"> spriedumu, pārsūdzot to pilnā apjomā</w:t>
      </w:r>
      <w:r w:rsidR="00F00434" w:rsidRPr="00F13E32">
        <w:rPr>
          <w:rFonts w:asciiTheme="majorBidi" w:hAnsiTheme="majorBidi" w:cstheme="majorBidi"/>
        </w:rPr>
        <w:t xml:space="preserve"> un </w:t>
      </w:r>
      <w:proofErr w:type="spellStart"/>
      <w:r w:rsidR="00F00434" w:rsidRPr="00F13E32">
        <w:rPr>
          <w:rFonts w:asciiTheme="majorBidi" w:hAnsiTheme="majorBidi" w:cstheme="majorBidi"/>
        </w:rPr>
        <w:t>citstarp</w:t>
      </w:r>
      <w:proofErr w:type="spellEnd"/>
      <w:r w:rsidR="00F00434" w:rsidRPr="00F13E32">
        <w:rPr>
          <w:rFonts w:asciiTheme="majorBidi" w:hAnsiTheme="majorBidi" w:cstheme="majorBidi"/>
        </w:rPr>
        <w:t xml:space="preserve"> aizrādot, ka </w:t>
      </w:r>
      <w:r w:rsidR="00336D8E" w:rsidRPr="00F13E32">
        <w:rPr>
          <w:rFonts w:asciiTheme="majorBidi" w:hAnsiTheme="majorBidi" w:cstheme="majorBidi"/>
        </w:rPr>
        <w:t>apelācijas instances tiesa</w:t>
      </w:r>
      <w:r w:rsidR="00F00434" w:rsidRPr="00F13E32">
        <w:rPr>
          <w:rFonts w:asciiTheme="majorBidi" w:hAnsiTheme="majorBidi" w:cstheme="majorBidi"/>
        </w:rPr>
        <w:t>, taisot spriedumu, ir pieļāvusi Civilprocesa likuma 192. panta pārkāpumu</w:t>
      </w:r>
      <w:r w:rsidRPr="00F13E32">
        <w:rPr>
          <w:rFonts w:asciiTheme="majorBidi" w:hAnsiTheme="majorBidi" w:cstheme="majorBidi"/>
        </w:rPr>
        <w:t>.</w:t>
      </w:r>
    </w:p>
    <w:p w14:paraId="4456EE07" w14:textId="3BD8901B" w:rsidR="000545AF" w:rsidRPr="00F13E32" w:rsidRDefault="000545AF" w:rsidP="00F13E32">
      <w:pPr>
        <w:spacing w:line="276" w:lineRule="auto"/>
        <w:ind w:firstLine="709"/>
        <w:jc w:val="both"/>
        <w:rPr>
          <w:rFonts w:asciiTheme="majorBidi" w:hAnsiTheme="majorBidi" w:cstheme="majorBidi"/>
        </w:rPr>
      </w:pPr>
      <w:r w:rsidRPr="00F13E32">
        <w:rPr>
          <w:rFonts w:asciiTheme="majorBidi" w:hAnsiTheme="majorBidi" w:cstheme="majorBidi"/>
        </w:rPr>
        <w:t xml:space="preserve">Ar Senāta 2024. gada </w:t>
      </w:r>
      <w:r w:rsidR="00792F6D" w:rsidRPr="00F13E32">
        <w:rPr>
          <w:rFonts w:asciiTheme="majorBidi" w:hAnsiTheme="majorBidi" w:cstheme="majorBidi"/>
        </w:rPr>
        <w:t>1. oktobra</w:t>
      </w:r>
      <w:r w:rsidRPr="00F13E32">
        <w:rPr>
          <w:rFonts w:asciiTheme="majorBidi" w:hAnsiTheme="majorBidi" w:cstheme="majorBidi"/>
        </w:rPr>
        <w:t xml:space="preserve"> rīcības sēdes lēmumu ierosināta kasācijas tiesvedība sakarā ar </w:t>
      </w:r>
      <w:r w:rsidR="00B92F08" w:rsidRPr="00F13E32">
        <w:rPr>
          <w:rFonts w:asciiTheme="majorBidi" w:hAnsiTheme="majorBidi" w:cstheme="majorBidi"/>
        </w:rPr>
        <w:t xml:space="preserve">[pers. B] </w:t>
      </w:r>
      <w:r w:rsidRPr="00F13E32">
        <w:rPr>
          <w:rFonts w:asciiTheme="majorBidi" w:hAnsiTheme="majorBidi" w:cstheme="majorBidi"/>
        </w:rPr>
        <w:t xml:space="preserve">kasācijas sūdzību </w:t>
      </w:r>
      <w:bookmarkStart w:id="4" w:name="_Hlk178592962"/>
      <w:r w:rsidRPr="00F13E32">
        <w:rPr>
          <w:rFonts w:asciiTheme="majorBidi" w:hAnsiTheme="majorBidi" w:cstheme="majorBidi"/>
        </w:rPr>
        <w:t xml:space="preserve">par </w:t>
      </w:r>
      <w:r w:rsidR="00764298" w:rsidRPr="00F13E32">
        <w:rPr>
          <w:rFonts w:asciiTheme="majorBidi" w:hAnsiTheme="majorBidi" w:cstheme="majorBidi"/>
        </w:rPr>
        <w:t>minēto</w:t>
      </w:r>
      <w:r w:rsidRPr="00F13E32">
        <w:rPr>
          <w:rFonts w:asciiTheme="majorBidi" w:hAnsiTheme="majorBidi" w:cstheme="majorBidi"/>
        </w:rPr>
        <w:t xml:space="preserve"> spriedumu daļā, ar kuru nospriests atzīt par spēkā neesošu zvērinātas notāres Renātes Rones </w:t>
      </w:r>
      <w:r w:rsidR="0093443E" w:rsidRPr="00F13E32">
        <w:rPr>
          <w:rFonts w:asciiTheme="majorBidi" w:hAnsiTheme="majorBidi" w:cstheme="majorBidi"/>
        </w:rPr>
        <w:t xml:space="preserve">2018. gada 6. augustā </w:t>
      </w:r>
      <w:r w:rsidR="003C5BB3" w:rsidRPr="00F13E32">
        <w:rPr>
          <w:rFonts w:asciiTheme="majorBidi" w:hAnsiTheme="majorBidi" w:cstheme="majorBidi"/>
        </w:rPr>
        <w:t>izsniegto</w:t>
      </w:r>
      <w:r w:rsidR="0093443E" w:rsidRPr="00F13E32">
        <w:rPr>
          <w:rFonts w:asciiTheme="majorBidi" w:hAnsiTheme="majorBidi" w:cstheme="majorBidi"/>
        </w:rPr>
        <w:t xml:space="preserve"> mantojuma apliecību (aktu par pēdējās gribas rīkojuma akta stāšanos likumīgā spēkā) par </w:t>
      </w:r>
      <w:r w:rsidR="00854E08" w:rsidRPr="00F13E32">
        <w:rPr>
          <w:rFonts w:asciiTheme="majorBidi" w:hAnsiTheme="majorBidi" w:cstheme="majorBidi"/>
        </w:rPr>
        <w:t xml:space="preserve">[pers. C] </w:t>
      </w:r>
      <w:r w:rsidR="0093443E" w:rsidRPr="00F13E32">
        <w:rPr>
          <w:rFonts w:asciiTheme="majorBidi" w:hAnsiTheme="majorBidi" w:cstheme="majorBidi"/>
        </w:rPr>
        <w:t>atstāto mantojumu, atsakot ierosināt kasācijas tiesvedību pārējā daļā.</w:t>
      </w:r>
    </w:p>
    <w:bookmarkEnd w:id="4"/>
    <w:p w14:paraId="402D8F84" w14:textId="77BA5095" w:rsidR="000545AF" w:rsidRPr="00F13E32" w:rsidRDefault="000545AF" w:rsidP="00F13E32">
      <w:pPr>
        <w:spacing w:line="276" w:lineRule="auto"/>
        <w:ind w:firstLine="709"/>
        <w:jc w:val="both"/>
        <w:rPr>
          <w:rFonts w:asciiTheme="majorBidi" w:hAnsiTheme="majorBidi" w:cstheme="majorBidi"/>
        </w:rPr>
      </w:pPr>
      <w:r w:rsidRPr="00F13E32">
        <w:rPr>
          <w:rFonts w:asciiTheme="majorBidi" w:hAnsiTheme="majorBidi" w:cstheme="majorBidi"/>
        </w:rPr>
        <w:t>Līdz ar to Rīgas apgabaltiesas 202</w:t>
      </w:r>
      <w:r w:rsidR="0093443E" w:rsidRPr="00F13E32">
        <w:rPr>
          <w:rFonts w:asciiTheme="majorBidi" w:hAnsiTheme="majorBidi" w:cstheme="majorBidi"/>
        </w:rPr>
        <w:t>4</w:t>
      </w:r>
      <w:r w:rsidRPr="00F13E32">
        <w:rPr>
          <w:rFonts w:asciiTheme="majorBidi" w:hAnsiTheme="majorBidi" w:cstheme="majorBidi"/>
        </w:rPr>
        <w:t xml:space="preserve">. gada </w:t>
      </w:r>
      <w:r w:rsidR="0093443E" w:rsidRPr="00F13E32">
        <w:rPr>
          <w:rFonts w:asciiTheme="majorBidi" w:hAnsiTheme="majorBidi" w:cstheme="majorBidi"/>
        </w:rPr>
        <w:t>19. marta</w:t>
      </w:r>
      <w:r w:rsidRPr="00F13E32">
        <w:rPr>
          <w:rFonts w:asciiTheme="majorBidi" w:hAnsiTheme="majorBidi" w:cstheme="majorBidi"/>
        </w:rPr>
        <w:t xml:space="preserve"> spriedums </w:t>
      </w:r>
      <w:r w:rsidR="00F00434" w:rsidRPr="00F13E32">
        <w:rPr>
          <w:rFonts w:asciiTheme="majorBidi" w:hAnsiTheme="majorBidi" w:cstheme="majorBidi"/>
        </w:rPr>
        <w:t xml:space="preserve">pārējā daļā, t. i., </w:t>
      </w:r>
      <w:r w:rsidRPr="00F13E32">
        <w:rPr>
          <w:rFonts w:asciiTheme="majorBidi" w:hAnsiTheme="majorBidi" w:cstheme="majorBidi"/>
        </w:rPr>
        <w:t>daļā, ar kuru</w:t>
      </w:r>
      <w:r w:rsidR="0093443E" w:rsidRPr="00F13E32">
        <w:rPr>
          <w:rFonts w:asciiTheme="majorBidi" w:hAnsiTheme="majorBidi" w:cstheme="majorBidi"/>
        </w:rPr>
        <w:t xml:space="preserve"> nospriests atzīt, ka </w:t>
      </w:r>
      <w:r w:rsidR="00B92F08" w:rsidRPr="00F13E32">
        <w:rPr>
          <w:rFonts w:asciiTheme="majorBidi" w:hAnsiTheme="majorBidi" w:cstheme="majorBidi"/>
        </w:rPr>
        <w:t xml:space="preserve">[pers. A] </w:t>
      </w:r>
      <w:r w:rsidR="0093443E" w:rsidRPr="00F13E32">
        <w:rPr>
          <w:rFonts w:asciiTheme="majorBidi" w:hAnsiTheme="majorBidi" w:cstheme="majorBidi"/>
        </w:rPr>
        <w:t xml:space="preserve">ir pieņēmusi mirušās </w:t>
      </w:r>
      <w:r w:rsidR="00854E08" w:rsidRPr="00F13E32">
        <w:rPr>
          <w:rFonts w:asciiTheme="majorBidi" w:hAnsiTheme="majorBidi" w:cstheme="majorBidi"/>
        </w:rPr>
        <w:t xml:space="preserve">[pers. C] </w:t>
      </w:r>
      <w:r w:rsidR="0093443E" w:rsidRPr="00F13E32">
        <w:rPr>
          <w:rFonts w:asciiTheme="majorBidi" w:hAnsiTheme="majorBidi" w:cstheme="majorBidi"/>
        </w:rPr>
        <w:t xml:space="preserve">atstāto mantojumu, atzīt </w:t>
      </w:r>
      <w:r w:rsidR="00B92F08" w:rsidRPr="00F13E32">
        <w:rPr>
          <w:rFonts w:asciiTheme="majorBidi" w:hAnsiTheme="majorBidi" w:cstheme="majorBidi"/>
        </w:rPr>
        <w:t xml:space="preserve">[pers. A] </w:t>
      </w:r>
      <w:r w:rsidR="0093443E" w:rsidRPr="00F13E32">
        <w:rPr>
          <w:rFonts w:asciiTheme="majorBidi" w:hAnsiTheme="majorBidi" w:cstheme="majorBidi"/>
        </w:rPr>
        <w:t xml:space="preserve">par līdzmantinieci un atzīt viņas mantojuma tiesību uz 1/2 (vienu otro) domājamo daļu no </w:t>
      </w:r>
      <w:r w:rsidR="00854E08" w:rsidRPr="00F13E32">
        <w:rPr>
          <w:rFonts w:asciiTheme="majorBidi" w:hAnsiTheme="majorBidi" w:cstheme="majorBidi"/>
        </w:rPr>
        <w:t xml:space="preserve">[pers. C] </w:t>
      </w:r>
      <w:r w:rsidR="0093443E" w:rsidRPr="00F13E32">
        <w:rPr>
          <w:rFonts w:asciiTheme="majorBidi" w:hAnsiTheme="majorBidi" w:cstheme="majorBidi"/>
        </w:rPr>
        <w:t xml:space="preserve">atstātā mantojuma, kas novēlēts ar 2017. gada 26. oktobrī taisīto testamenta aktu, kā arī </w:t>
      </w:r>
      <w:r w:rsidR="00F00434" w:rsidRPr="00F13E32">
        <w:rPr>
          <w:rFonts w:asciiTheme="majorBidi" w:hAnsiTheme="majorBidi" w:cstheme="majorBidi"/>
        </w:rPr>
        <w:t xml:space="preserve">daļā, ar kuru </w:t>
      </w:r>
      <w:r w:rsidR="0093443E" w:rsidRPr="00F13E32">
        <w:rPr>
          <w:rFonts w:asciiTheme="majorBidi" w:hAnsiTheme="majorBidi" w:cstheme="majorBidi"/>
        </w:rPr>
        <w:t xml:space="preserve">no </w:t>
      </w:r>
      <w:r w:rsidR="00B92F08" w:rsidRPr="00F13E32">
        <w:rPr>
          <w:rFonts w:asciiTheme="majorBidi" w:hAnsiTheme="majorBidi" w:cstheme="majorBidi"/>
        </w:rPr>
        <w:t xml:space="preserve">[pers. B] </w:t>
      </w:r>
      <w:r w:rsidR="0093443E" w:rsidRPr="00F13E32">
        <w:rPr>
          <w:rFonts w:asciiTheme="majorBidi" w:hAnsiTheme="majorBidi" w:cstheme="majorBidi"/>
        </w:rPr>
        <w:t xml:space="preserve">piedzīti tiesas izdevumi, ir stājies likumīgā spēkā </w:t>
      </w:r>
      <w:r w:rsidRPr="00F13E32">
        <w:rPr>
          <w:rFonts w:asciiTheme="majorBidi" w:hAnsiTheme="majorBidi" w:cstheme="majorBidi"/>
        </w:rPr>
        <w:t>202</w:t>
      </w:r>
      <w:r w:rsidR="0093443E" w:rsidRPr="00F13E32">
        <w:rPr>
          <w:rFonts w:asciiTheme="majorBidi" w:hAnsiTheme="majorBidi" w:cstheme="majorBidi"/>
        </w:rPr>
        <w:t>4</w:t>
      </w:r>
      <w:r w:rsidRPr="00F13E32">
        <w:rPr>
          <w:rFonts w:asciiTheme="majorBidi" w:hAnsiTheme="majorBidi" w:cstheme="majorBidi"/>
        </w:rPr>
        <w:t xml:space="preserve">. gada </w:t>
      </w:r>
      <w:r w:rsidR="00792F6D" w:rsidRPr="00F13E32">
        <w:rPr>
          <w:rFonts w:asciiTheme="majorBidi" w:hAnsiTheme="majorBidi" w:cstheme="majorBidi"/>
        </w:rPr>
        <w:t>1. oktobrī</w:t>
      </w:r>
      <w:r w:rsidRPr="00F13E32">
        <w:rPr>
          <w:rFonts w:asciiTheme="majorBidi" w:hAnsiTheme="majorBidi" w:cstheme="majorBidi"/>
        </w:rPr>
        <w:t>.</w:t>
      </w:r>
    </w:p>
    <w:p w14:paraId="6AC684E8" w14:textId="77777777" w:rsidR="00133270" w:rsidRPr="00F13E32" w:rsidRDefault="00133270" w:rsidP="00F13E32">
      <w:pPr>
        <w:spacing w:line="276" w:lineRule="auto"/>
        <w:rPr>
          <w:rFonts w:asciiTheme="majorBidi" w:hAnsiTheme="majorBidi" w:cstheme="majorBidi"/>
        </w:rPr>
      </w:pPr>
    </w:p>
    <w:p w14:paraId="028733FA" w14:textId="7649080B" w:rsidR="00DC02C4" w:rsidRPr="00F13E32" w:rsidRDefault="00DC02C4" w:rsidP="00F13E32">
      <w:pPr>
        <w:spacing w:line="276" w:lineRule="auto"/>
        <w:jc w:val="center"/>
        <w:rPr>
          <w:rFonts w:asciiTheme="majorBidi" w:hAnsiTheme="majorBidi" w:cstheme="majorBidi"/>
          <w:b/>
          <w:bCs/>
        </w:rPr>
      </w:pPr>
      <w:r w:rsidRPr="00F13E32">
        <w:rPr>
          <w:rFonts w:asciiTheme="majorBidi" w:hAnsiTheme="majorBidi" w:cstheme="majorBidi"/>
          <w:b/>
          <w:bCs/>
        </w:rPr>
        <w:t>Motīvu daļa</w:t>
      </w:r>
    </w:p>
    <w:p w14:paraId="2E6B94CE" w14:textId="455C59FE" w:rsidR="00DC02C4" w:rsidRPr="00F13E32" w:rsidRDefault="00DC02C4" w:rsidP="00F13E32">
      <w:pPr>
        <w:spacing w:line="276" w:lineRule="auto"/>
        <w:jc w:val="center"/>
        <w:rPr>
          <w:rFonts w:asciiTheme="majorBidi" w:hAnsiTheme="majorBidi" w:cstheme="majorBidi"/>
        </w:rPr>
      </w:pPr>
    </w:p>
    <w:p w14:paraId="631C68FA" w14:textId="1C5CE25F" w:rsidR="0093443E" w:rsidRPr="00F13E32" w:rsidRDefault="00176932" w:rsidP="00F13E32">
      <w:pPr>
        <w:spacing w:line="276" w:lineRule="auto"/>
        <w:ind w:firstLine="709"/>
        <w:jc w:val="both"/>
        <w:rPr>
          <w:rFonts w:asciiTheme="majorBidi" w:hAnsiTheme="majorBidi" w:cstheme="majorBidi"/>
          <w:bCs/>
        </w:rPr>
      </w:pPr>
      <w:r w:rsidRPr="00F13E32">
        <w:rPr>
          <w:rFonts w:asciiTheme="majorBidi" w:hAnsiTheme="majorBidi" w:cstheme="majorBidi"/>
        </w:rPr>
        <w:t>[</w:t>
      </w:r>
      <w:r w:rsidR="0093443E" w:rsidRPr="00F13E32">
        <w:rPr>
          <w:rFonts w:asciiTheme="majorBidi" w:hAnsiTheme="majorBidi" w:cstheme="majorBidi"/>
        </w:rPr>
        <w:t>6</w:t>
      </w:r>
      <w:r w:rsidRPr="00F13E32">
        <w:rPr>
          <w:rFonts w:asciiTheme="majorBidi" w:hAnsiTheme="majorBidi" w:cstheme="majorBidi"/>
        </w:rPr>
        <w:t>]</w:t>
      </w:r>
      <w:r w:rsidR="0093443E" w:rsidRPr="00F13E32">
        <w:rPr>
          <w:rFonts w:asciiTheme="majorBidi" w:hAnsiTheme="majorBidi" w:cstheme="majorBidi"/>
        </w:rPr>
        <w:t> </w:t>
      </w:r>
      <w:r w:rsidR="0093443E" w:rsidRPr="00F13E32">
        <w:rPr>
          <w:rFonts w:asciiTheme="majorBidi" w:hAnsiTheme="majorBidi" w:cstheme="majorBidi"/>
          <w:bCs/>
        </w:rPr>
        <w:t>Pārbaudījis sprieduma likumību attiecībā uz person</w:t>
      </w:r>
      <w:r w:rsidR="00764298" w:rsidRPr="00F13E32">
        <w:rPr>
          <w:rFonts w:asciiTheme="majorBidi" w:hAnsiTheme="majorBidi" w:cstheme="majorBidi"/>
          <w:bCs/>
        </w:rPr>
        <w:t>u</w:t>
      </w:r>
      <w:r w:rsidR="0093443E" w:rsidRPr="00F13E32">
        <w:rPr>
          <w:rFonts w:asciiTheme="majorBidi" w:hAnsiTheme="majorBidi" w:cstheme="majorBidi"/>
          <w:bCs/>
        </w:rPr>
        <w:t>, kura to pārsūdzēju</w:t>
      </w:r>
      <w:r w:rsidR="00764298" w:rsidRPr="00F13E32">
        <w:rPr>
          <w:rFonts w:asciiTheme="majorBidi" w:hAnsiTheme="majorBidi" w:cstheme="majorBidi"/>
          <w:bCs/>
        </w:rPr>
        <w:t>si</w:t>
      </w:r>
      <w:r w:rsidR="00AA619D" w:rsidRPr="00F13E32">
        <w:rPr>
          <w:rFonts w:asciiTheme="majorBidi" w:hAnsiTheme="majorBidi" w:cstheme="majorBidi"/>
          <w:bCs/>
        </w:rPr>
        <w:t>,</w:t>
      </w:r>
      <w:r w:rsidR="00602827" w:rsidRPr="00F13E32">
        <w:rPr>
          <w:rFonts w:asciiTheme="majorBidi" w:hAnsiTheme="majorBidi" w:cstheme="majorBidi"/>
          <w:bCs/>
        </w:rPr>
        <w:t xml:space="preserve"> </w:t>
      </w:r>
      <w:r w:rsidR="00AA619D" w:rsidRPr="00F13E32">
        <w:rPr>
          <w:rFonts w:asciiTheme="majorBidi" w:hAnsiTheme="majorBidi" w:cstheme="majorBidi"/>
          <w:bCs/>
        </w:rPr>
        <w:t xml:space="preserve">un attiecībā uz argumentiem, kas minēti kasācijas sūdzībā </w:t>
      </w:r>
      <w:r w:rsidR="0093443E" w:rsidRPr="00F13E32">
        <w:rPr>
          <w:rFonts w:asciiTheme="majorBidi" w:hAnsiTheme="majorBidi" w:cstheme="majorBidi"/>
          <w:bCs/>
        </w:rPr>
        <w:t xml:space="preserve">(sk. </w:t>
      </w:r>
      <w:r w:rsidR="0093443E" w:rsidRPr="00F13E32">
        <w:rPr>
          <w:rFonts w:asciiTheme="majorBidi" w:hAnsiTheme="majorBidi" w:cstheme="majorBidi"/>
          <w:bCs/>
          <w:i/>
          <w:iCs/>
        </w:rPr>
        <w:t>Civilprocesa likuma 473. panta pirmo daļu</w:t>
      </w:r>
      <w:r w:rsidR="0093443E" w:rsidRPr="00F13E32">
        <w:rPr>
          <w:rFonts w:asciiTheme="majorBidi" w:hAnsiTheme="majorBidi" w:cstheme="majorBidi"/>
          <w:bCs/>
        </w:rPr>
        <w:t xml:space="preserve">), Senāts atzīst, ka pārsūdzētais spriedums ir grozāms daļā par </w:t>
      </w:r>
      <w:r w:rsidR="004C7FDC" w:rsidRPr="00F13E32">
        <w:rPr>
          <w:rFonts w:asciiTheme="majorBidi" w:hAnsiTheme="majorBidi" w:cstheme="majorBidi"/>
          <w:bCs/>
        </w:rPr>
        <w:t>mantojuma apliecības atzīšanu par spēkā neesošu</w:t>
      </w:r>
      <w:r w:rsidR="0093443E" w:rsidRPr="00F13E32">
        <w:rPr>
          <w:rFonts w:asciiTheme="majorBidi" w:hAnsiTheme="majorBidi" w:cstheme="majorBidi"/>
          <w:bCs/>
        </w:rPr>
        <w:t>.</w:t>
      </w:r>
    </w:p>
    <w:p w14:paraId="50D90D2F" w14:textId="4FDA0577" w:rsidR="00602827" w:rsidRPr="00F13E32" w:rsidRDefault="00602827" w:rsidP="00F13E32">
      <w:pPr>
        <w:spacing w:line="276" w:lineRule="auto"/>
        <w:ind w:firstLine="709"/>
        <w:jc w:val="both"/>
        <w:rPr>
          <w:rFonts w:asciiTheme="majorBidi" w:hAnsiTheme="majorBidi" w:cstheme="majorBidi"/>
          <w:bCs/>
        </w:rPr>
      </w:pPr>
      <w:r w:rsidRPr="00F13E32">
        <w:rPr>
          <w:rFonts w:asciiTheme="majorBidi" w:hAnsiTheme="majorBidi" w:cstheme="majorBidi"/>
          <w:bCs/>
        </w:rPr>
        <w:t>[6.1] Civilprocesa likuma 192. pantā regulēts tiesas pienākums ievērot prasījuma robežas, paredzot, ka „tiesa taisa spriedumu par prasībā noteikto prasības priekšmetu un uz prasībā norādītā pamata, nepārsniedzot prasījuma robežas”.</w:t>
      </w:r>
    </w:p>
    <w:p w14:paraId="0F710815" w14:textId="28284DE3" w:rsidR="00602827" w:rsidRPr="00F13E32" w:rsidRDefault="00602827" w:rsidP="00F13E32">
      <w:pPr>
        <w:spacing w:line="276" w:lineRule="auto"/>
        <w:ind w:firstLine="709"/>
        <w:jc w:val="both"/>
        <w:rPr>
          <w:rFonts w:asciiTheme="majorBidi" w:hAnsiTheme="majorBidi" w:cstheme="majorBidi"/>
        </w:rPr>
      </w:pPr>
      <w:r w:rsidRPr="00F13E32">
        <w:rPr>
          <w:rFonts w:asciiTheme="majorBidi" w:hAnsiTheme="majorBidi" w:cstheme="majorBidi"/>
          <w:bCs/>
        </w:rPr>
        <w:t xml:space="preserve">Iztulkojot šo normu, Senāts jau atzinis, ka prasības priekšmets nosakāms nevis pēc prasības pieteikuma </w:t>
      </w:r>
      <w:r w:rsidRPr="00F13E32">
        <w:rPr>
          <w:rFonts w:asciiTheme="majorBidi" w:hAnsiTheme="majorBidi" w:cstheme="majorBidi"/>
        </w:rPr>
        <w:t xml:space="preserve">lūgumu daļā izteiktā prasījuma, bet gan pēc visa prasības pieteikuma satura, novērtējot celtās prasības būtību, proti, prasītāja </w:t>
      </w:r>
      <w:r w:rsidR="00F00434" w:rsidRPr="00F13E32">
        <w:rPr>
          <w:rFonts w:asciiTheme="majorBidi" w:hAnsiTheme="majorBidi" w:cstheme="majorBidi"/>
        </w:rPr>
        <w:t>pieteiktie</w:t>
      </w:r>
      <w:r w:rsidRPr="00F13E32">
        <w:rPr>
          <w:rFonts w:asciiTheme="majorBidi" w:hAnsiTheme="majorBidi" w:cstheme="majorBidi"/>
        </w:rPr>
        <w:t xml:space="preserve"> prasījumi iztulkojami kopsakarā ar prasības pieteikumā norādītajiem apstākļiem, norādēm par aizskartajām tiesībām un vēlamo tiesiskās aizsardzības līdzekli (sk. </w:t>
      </w:r>
      <w:r w:rsidRPr="00F13E32">
        <w:rPr>
          <w:rFonts w:asciiTheme="majorBidi" w:hAnsiTheme="majorBidi" w:cstheme="majorBidi"/>
          <w:i/>
          <w:iCs/>
        </w:rPr>
        <w:t>Senāta 2024. gada 8. maija sprieduma lietā Nr. SKC-176/2024, ECLI:LV:AT:2024:0508.C68195420.21.S, 10.2. punktu</w:t>
      </w:r>
      <w:r w:rsidRPr="00F13E32">
        <w:rPr>
          <w:rFonts w:asciiTheme="majorBidi" w:hAnsiTheme="majorBidi" w:cstheme="majorBidi"/>
        </w:rPr>
        <w:t>)</w:t>
      </w:r>
      <w:r w:rsidR="00AA619D" w:rsidRPr="00F13E32">
        <w:rPr>
          <w:rFonts w:asciiTheme="majorBidi" w:hAnsiTheme="majorBidi" w:cstheme="majorBidi"/>
        </w:rPr>
        <w:t>.</w:t>
      </w:r>
    </w:p>
    <w:p w14:paraId="28149ACB" w14:textId="33C997D8" w:rsidR="00602827" w:rsidRPr="00F13E32" w:rsidRDefault="00B53C9B" w:rsidP="00F13E32">
      <w:pPr>
        <w:spacing w:line="276" w:lineRule="auto"/>
        <w:ind w:firstLine="709"/>
        <w:jc w:val="both"/>
        <w:rPr>
          <w:rFonts w:asciiTheme="majorBidi" w:hAnsiTheme="majorBidi" w:cstheme="majorBidi"/>
        </w:rPr>
      </w:pPr>
      <w:r w:rsidRPr="00F13E32">
        <w:rPr>
          <w:rFonts w:asciiTheme="majorBidi" w:hAnsiTheme="majorBidi" w:cstheme="majorBidi"/>
        </w:rPr>
        <w:t>I</w:t>
      </w:r>
      <w:r w:rsidR="00E213C3" w:rsidRPr="00F13E32">
        <w:rPr>
          <w:rFonts w:asciiTheme="majorBidi" w:hAnsiTheme="majorBidi" w:cstheme="majorBidi"/>
        </w:rPr>
        <w:t>epriekš</w:t>
      </w:r>
      <w:r w:rsidR="00914309" w:rsidRPr="00F13E32">
        <w:rPr>
          <w:rFonts w:asciiTheme="majorBidi" w:hAnsiTheme="majorBidi" w:cstheme="majorBidi"/>
        </w:rPr>
        <w:t xml:space="preserve">minētās </w:t>
      </w:r>
      <w:r w:rsidR="00E213C3" w:rsidRPr="00F13E32">
        <w:rPr>
          <w:rFonts w:asciiTheme="majorBidi" w:hAnsiTheme="majorBidi" w:cstheme="majorBidi"/>
        </w:rPr>
        <w:t xml:space="preserve">Senāta </w:t>
      </w:r>
      <w:r w:rsidR="00914309" w:rsidRPr="00F13E32">
        <w:rPr>
          <w:rFonts w:asciiTheme="majorBidi" w:hAnsiTheme="majorBidi" w:cstheme="majorBidi"/>
        </w:rPr>
        <w:t xml:space="preserve">atziņas ir attiecināmas arī uz prasījuma robežu </w:t>
      </w:r>
      <w:r w:rsidR="00EF00D5" w:rsidRPr="00F13E32">
        <w:rPr>
          <w:rFonts w:asciiTheme="majorBidi" w:hAnsiTheme="majorBidi" w:cstheme="majorBidi"/>
        </w:rPr>
        <w:t>noteikšanu</w:t>
      </w:r>
      <w:r w:rsidRPr="00F13E32">
        <w:rPr>
          <w:rFonts w:asciiTheme="majorBidi" w:hAnsiTheme="majorBidi" w:cstheme="majorBidi"/>
        </w:rPr>
        <w:t xml:space="preserve"> un ievērošanu</w:t>
      </w:r>
      <w:r w:rsidR="00EF00D5" w:rsidRPr="00F13E32">
        <w:rPr>
          <w:rFonts w:asciiTheme="majorBidi" w:hAnsiTheme="majorBidi" w:cstheme="majorBidi"/>
        </w:rPr>
        <w:t xml:space="preserve">. Proti, </w:t>
      </w:r>
      <w:r w:rsidR="00F00434" w:rsidRPr="00F13E32">
        <w:rPr>
          <w:rFonts w:asciiTheme="majorBidi" w:hAnsiTheme="majorBidi" w:cstheme="majorBidi"/>
        </w:rPr>
        <w:t xml:space="preserve">saskaņā ar Civilprocesa likuma 192. pantu </w:t>
      </w:r>
      <w:r w:rsidR="00EF00D5" w:rsidRPr="00F13E32">
        <w:rPr>
          <w:rFonts w:asciiTheme="majorBidi" w:hAnsiTheme="majorBidi" w:cstheme="majorBidi"/>
        </w:rPr>
        <w:t>arī prasītāja pieteiktā prasījuma robežas</w:t>
      </w:r>
      <w:r w:rsidR="00E213C3" w:rsidRPr="00F13E32">
        <w:rPr>
          <w:rFonts w:asciiTheme="majorBidi" w:hAnsiTheme="majorBidi" w:cstheme="majorBidi"/>
        </w:rPr>
        <w:t>, kuras tiesa nav tiesīga pārsniegt,</w:t>
      </w:r>
      <w:r w:rsidR="00EF00D5" w:rsidRPr="00F13E32">
        <w:rPr>
          <w:rFonts w:asciiTheme="majorBidi" w:hAnsiTheme="majorBidi" w:cstheme="majorBidi"/>
        </w:rPr>
        <w:t xml:space="preserve"> nosakāmas nevis tikai un vienīgi pēc prasības pieteikuma lūgumu daļā ietvertā prasījuma formulējuma, bet gan pēc visa prasības pieteikuma satura, novērtējot celtās prasības būtību, t. i., prasītāja pieteiktos prasījumus iztulkojot kopsakarā ar prasības pieteikumā norādītajiem apstākļiem, kas veido prasības aktīvo un pasīvo pamatu, tostarp kopsakarā ar prasības pieteikumā skaidri definēto mērķi, uz kuru vērsta konkrētā prasība</w:t>
      </w:r>
      <w:r w:rsidR="00602827" w:rsidRPr="00F13E32">
        <w:rPr>
          <w:rFonts w:asciiTheme="majorBidi" w:hAnsiTheme="majorBidi" w:cstheme="majorBidi"/>
        </w:rPr>
        <w:t>.</w:t>
      </w:r>
    </w:p>
    <w:p w14:paraId="55D3874B" w14:textId="14E70B97" w:rsidR="00B53C9B" w:rsidRPr="00F13E32" w:rsidRDefault="00EF00D5" w:rsidP="00F13E32">
      <w:pPr>
        <w:spacing w:line="276" w:lineRule="auto"/>
        <w:ind w:firstLine="709"/>
        <w:jc w:val="both"/>
        <w:rPr>
          <w:rFonts w:asciiTheme="majorBidi" w:hAnsiTheme="majorBidi" w:cstheme="majorBidi"/>
        </w:rPr>
      </w:pPr>
      <w:r w:rsidRPr="00F13E32">
        <w:rPr>
          <w:rFonts w:asciiTheme="majorBidi" w:hAnsiTheme="majorBidi" w:cstheme="majorBidi"/>
          <w:bCs/>
        </w:rPr>
        <w:t>[6.2]</w:t>
      </w:r>
      <w:r w:rsidR="00B53C9B" w:rsidRPr="00F13E32">
        <w:rPr>
          <w:rFonts w:asciiTheme="majorBidi" w:hAnsiTheme="majorBidi" w:cstheme="majorBidi"/>
          <w:bCs/>
        </w:rPr>
        <w:t> </w:t>
      </w:r>
      <w:r w:rsidR="00B53C9B" w:rsidRPr="00F13E32">
        <w:rPr>
          <w:rFonts w:asciiTheme="majorBidi" w:hAnsiTheme="majorBidi" w:cstheme="majorBidi"/>
        </w:rPr>
        <w:t xml:space="preserve">Kaut arī viens no </w:t>
      </w:r>
      <w:r w:rsidR="00B92F08" w:rsidRPr="00F13E32">
        <w:rPr>
          <w:rFonts w:asciiTheme="majorBidi" w:hAnsiTheme="majorBidi" w:cstheme="majorBidi"/>
        </w:rPr>
        <w:t xml:space="preserve">[pers. A] </w:t>
      </w:r>
      <w:r w:rsidR="00B53C9B" w:rsidRPr="00F13E32">
        <w:rPr>
          <w:rFonts w:asciiTheme="majorBidi" w:hAnsiTheme="majorBidi" w:cstheme="majorBidi"/>
        </w:rPr>
        <w:t xml:space="preserve">prasības pieteikuma lūgumu daļā ietvertajiem prasījumiem formulēts kā prasījums atzīt par spēkā neesošu zvērināta notāra </w:t>
      </w:r>
      <w:r w:rsidR="003C5BB3" w:rsidRPr="00F13E32">
        <w:rPr>
          <w:rFonts w:asciiTheme="majorBidi" w:hAnsiTheme="majorBidi" w:cstheme="majorBidi"/>
        </w:rPr>
        <w:t>izsniegto</w:t>
      </w:r>
      <w:r w:rsidR="00B53C9B" w:rsidRPr="00F13E32">
        <w:rPr>
          <w:rFonts w:asciiTheme="majorBidi" w:hAnsiTheme="majorBidi" w:cstheme="majorBidi"/>
        </w:rPr>
        <w:t xml:space="preserve"> mantojuma apliecību pilnā apjomā, tiesai bija pienākums šo </w:t>
      </w:r>
      <w:r w:rsidR="00B92F08" w:rsidRPr="00F13E32">
        <w:rPr>
          <w:rFonts w:asciiTheme="majorBidi" w:hAnsiTheme="majorBidi" w:cstheme="majorBidi"/>
        </w:rPr>
        <w:t xml:space="preserve">[pers. A] </w:t>
      </w:r>
      <w:r w:rsidR="00B53C9B" w:rsidRPr="00F13E32">
        <w:rPr>
          <w:rFonts w:asciiTheme="majorBidi" w:hAnsiTheme="majorBidi" w:cstheme="majorBidi"/>
        </w:rPr>
        <w:t>pieteikto prasījumu iztulkot kopsakarā ar prasības pieteikumā norādītajiem apstākļiem</w:t>
      </w:r>
      <w:r w:rsidR="001038AD" w:rsidRPr="00F13E32">
        <w:rPr>
          <w:rFonts w:asciiTheme="majorBidi" w:hAnsiTheme="majorBidi" w:cstheme="majorBidi"/>
        </w:rPr>
        <w:t>, kas veido prasības pamatu</w:t>
      </w:r>
      <w:r w:rsidR="00B53C9B" w:rsidRPr="00F13E32">
        <w:rPr>
          <w:rFonts w:asciiTheme="majorBidi" w:hAnsiTheme="majorBidi" w:cstheme="majorBidi"/>
        </w:rPr>
        <w:t xml:space="preserve">, tostarp kopsakarā ar prasības pieteikumā skaidri definēto mērķi, uz kuru vērsta konkrētā prasība: atzīt </w:t>
      </w:r>
      <w:r w:rsidR="00B92F08" w:rsidRPr="00F13E32">
        <w:rPr>
          <w:rFonts w:asciiTheme="majorBidi" w:hAnsiTheme="majorBidi" w:cstheme="majorBidi"/>
        </w:rPr>
        <w:t xml:space="preserve">[pers. A] </w:t>
      </w:r>
      <w:r w:rsidR="00B53C9B" w:rsidRPr="00F13E32">
        <w:rPr>
          <w:rFonts w:asciiTheme="majorBidi" w:hAnsiTheme="majorBidi" w:cstheme="majorBidi"/>
        </w:rPr>
        <w:t xml:space="preserve">kā testamentārās mantinieces mantojuma tiesību uz pusi no </w:t>
      </w:r>
      <w:r w:rsidR="00854E08" w:rsidRPr="00F13E32">
        <w:rPr>
          <w:rFonts w:asciiTheme="majorBidi" w:hAnsiTheme="majorBidi" w:cstheme="majorBidi"/>
        </w:rPr>
        <w:t xml:space="preserve">[pers. C] </w:t>
      </w:r>
      <w:r w:rsidR="00B53C9B" w:rsidRPr="00F13E32">
        <w:rPr>
          <w:rFonts w:asciiTheme="majorBidi" w:hAnsiTheme="majorBidi" w:cstheme="majorBidi"/>
        </w:rPr>
        <w:t xml:space="preserve">atstātā mantojuma, kas </w:t>
      </w:r>
      <w:r w:rsidR="00336D8E" w:rsidRPr="00F13E32">
        <w:rPr>
          <w:rFonts w:asciiTheme="majorBidi" w:hAnsiTheme="majorBidi" w:cstheme="majorBidi"/>
        </w:rPr>
        <w:t xml:space="preserve">novēlēts abām viņas meitām (t. i., </w:t>
      </w:r>
      <w:r w:rsidR="00B92F08" w:rsidRPr="00F13E32">
        <w:rPr>
          <w:rFonts w:asciiTheme="majorBidi" w:hAnsiTheme="majorBidi" w:cstheme="majorBidi"/>
        </w:rPr>
        <w:t xml:space="preserve">[pers. A] </w:t>
      </w:r>
      <w:r w:rsidR="00B53C9B" w:rsidRPr="00F13E32">
        <w:rPr>
          <w:rFonts w:asciiTheme="majorBidi" w:hAnsiTheme="majorBidi" w:cstheme="majorBidi"/>
        </w:rPr>
        <w:t xml:space="preserve"> </w:t>
      </w:r>
      <w:r w:rsidR="00336D8E" w:rsidRPr="00F13E32">
        <w:rPr>
          <w:rFonts w:asciiTheme="majorBidi" w:hAnsiTheme="majorBidi" w:cstheme="majorBidi"/>
        </w:rPr>
        <w:t xml:space="preserve">un </w:t>
      </w:r>
      <w:r w:rsidR="00B92F08" w:rsidRPr="00F13E32">
        <w:rPr>
          <w:rFonts w:asciiTheme="majorBidi" w:hAnsiTheme="majorBidi" w:cstheme="majorBidi"/>
        </w:rPr>
        <w:t>[pers. B]</w:t>
      </w:r>
      <w:r w:rsidR="00336D8E" w:rsidRPr="00F13E32">
        <w:rPr>
          <w:rFonts w:asciiTheme="majorBidi" w:hAnsiTheme="majorBidi" w:cstheme="majorBidi"/>
        </w:rPr>
        <w:t xml:space="preserve">) ar </w:t>
      </w:r>
      <w:r w:rsidR="00B53C9B" w:rsidRPr="00F13E32">
        <w:rPr>
          <w:rFonts w:asciiTheme="majorBidi" w:hAnsiTheme="majorBidi" w:cstheme="majorBidi"/>
        </w:rPr>
        <w:t xml:space="preserve">2017. gada 26. oktobrī taisīto testamenta aktu (sk. </w:t>
      </w:r>
      <w:r w:rsidR="00201543" w:rsidRPr="00F13E32">
        <w:rPr>
          <w:rFonts w:asciiTheme="majorBidi" w:hAnsiTheme="majorBidi" w:cstheme="majorBidi"/>
        </w:rPr>
        <w:t xml:space="preserve">arī </w:t>
      </w:r>
      <w:r w:rsidR="00B53C9B" w:rsidRPr="00F13E32">
        <w:rPr>
          <w:rFonts w:asciiTheme="majorBidi" w:hAnsiTheme="majorBidi" w:cstheme="majorBidi"/>
          <w:i/>
          <w:iCs/>
        </w:rPr>
        <w:t>šā sprieduma 2. punktu</w:t>
      </w:r>
      <w:r w:rsidR="00B53C9B" w:rsidRPr="00F13E32">
        <w:rPr>
          <w:rFonts w:asciiTheme="majorBidi" w:hAnsiTheme="majorBidi" w:cstheme="majorBidi"/>
        </w:rPr>
        <w:t>).</w:t>
      </w:r>
    </w:p>
    <w:p w14:paraId="0B8CD63B" w14:textId="1180B0F3" w:rsidR="00A67F65" w:rsidRPr="00F13E32" w:rsidRDefault="00B53C9B" w:rsidP="00F13E32">
      <w:pPr>
        <w:spacing w:line="276" w:lineRule="auto"/>
        <w:ind w:firstLine="709"/>
        <w:jc w:val="both"/>
        <w:rPr>
          <w:rFonts w:asciiTheme="majorBidi" w:hAnsiTheme="majorBidi" w:cstheme="majorBidi"/>
        </w:rPr>
      </w:pPr>
      <w:r w:rsidRPr="00F13E32">
        <w:rPr>
          <w:rFonts w:asciiTheme="majorBidi" w:hAnsiTheme="majorBidi" w:cstheme="majorBidi"/>
        </w:rPr>
        <w:t xml:space="preserve">Taču izskatāmajā lietā </w:t>
      </w:r>
      <w:r w:rsidR="00336D8E" w:rsidRPr="00F13E32">
        <w:rPr>
          <w:rFonts w:asciiTheme="majorBidi" w:hAnsiTheme="majorBidi" w:cstheme="majorBidi"/>
        </w:rPr>
        <w:t>apelācijas instances tiesa</w:t>
      </w:r>
      <w:r w:rsidRPr="00F13E32">
        <w:rPr>
          <w:rFonts w:asciiTheme="majorBidi" w:hAnsiTheme="majorBidi" w:cstheme="majorBidi"/>
        </w:rPr>
        <w:t xml:space="preserve"> šādi nav rīkojusies</w:t>
      </w:r>
      <w:r w:rsidR="00B35BE4" w:rsidRPr="00F13E32">
        <w:rPr>
          <w:rFonts w:asciiTheme="majorBidi" w:hAnsiTheme="majorBidi" w:cstheme="majorBidi"/>
        </w:rPr>
        <w:t>, t</w:t>
      </w:r>
      <w:r w:rsidR="00A67F65" w:rsidRPr="00F13E32">
        <w:rPr>
          <w:rFonts w:asciiTheme="majorBidi" w:hAnsiTheme="majorBidi" w:cstheme="majorBidi"/>
        </w:rPr>
        <w:t xml:space="preserve">urklāt tiesa ir taisījusi </w:t>
      </w:r>
      <w:r w:rsidRPr="00F13E32">
        <w:rPr>
          <w:rFonts w:asciiTheme="majorBidi" w:hAnsiTheme="majorBidi" w:cstheme="majorBidi"/>
        </w:rPr>
        <w:t>spriedumu</w:t>
      </w:r>
      <w:r w:rsidR="00A67F65" w:rsidRPr="00F13E32">
        <w:rPr>
          <w:rFonts w:asciiTheme="majorBidi" w:hAnsiTheme="majorBidi" w:cstheme="majorBidi"/>
        </w:rPr>
        <w:t xml:space="preserve">, kura </w:t>
      </w:r>
      <w:r w:rsidRPr="00F13E32">
        <w:rPr>
          <w:rFonts w:asciiTheme="majorBidi" w:hAnsiTheme="majorBidi" w:cstheme="majorBidi"/>
        </w:rPr>
        <w:t xml:space="preserve">rezolutīvajā daļā ietverti pretrunīgi nolēmumi. </w:t>
      </w:r>
      <w:r w:rsidR="008232DA" w:rsidRPr="00F13E32">
        <w:rPr>
          <w:rFonts w:asciiTheme="majorBidi" w:hAnsiTheme="majorBidi" w:cstheme="majorBidi"/>
        </w:rPr>
        <w:t>Kaut arī, no vienas puses,</w:t>
      </w:r>
      <w:r w:rsidRPr="00F13E32">
        <w:rPr>
          <w:rFonts w:asciiTheme="majorBidi" w:hAnsiTheme="majorBidi" w:cstheme="majorBidi"/>
        </w:rPr>
        <w:t xml:space="preserve"> ar spriedumu atzīta </w:t>
      </w:r>
      <w:r w:rsidR="00B92F08" w:rsidRPr="00F13E32">
        <w:rPr>
          <w:rFonts w:asciiTheme="majorBidi" w:hAnsiTheme="majorBidi" w:cstheme="majorBidi"/>
        </w:rPr>
        <w:t xml:space="preserve">[pers. A] </w:t>
      </w:r>
      <w:r w:rsidRPr="00F13E32">
        <w:rPr>
          <w:rFonts w:asciiTheme="majorBidi" w:hAnsiTheme="majorBidi" w:cstheme="majorBidi"/>
        </w:rPr>
        <w:t xml:space="preserve">mantojuma tiesība uz 1/2 domājamo daļu </w:t>
      </w:r>
      <w:r w:rsidR="00A67F65" w:rsidRPr="00F13E32">
        <w:rPr>
          <w:rFonts w:asciiTheme="majorBidi" w:hAnsiTheme="majorBidi" w:cstheme="majorBidi"/>
        </w:rPr>
        <w:t xml:space="preserve">jeb pusi </w:t>
      </w:r>
      <w:r w:rsidRPr="00F13E32">
        <w:rPr>
          <w:rFonts w:asciiTheme="majorBidi" w:hAnsiTheme="majorBidi" w:cstheme="majorBidi"/>
        </w:rPr>
        <w:t xml:space="preserve">no </w:t>
      </w:r>
      <w:r w:rsidR="00854E08" w:rsidRPr="00F13E32">
        <w:rPr>
          <w:rFonts w:asciiTheme="majorBidi" w:hAnsiTheme="majorBidi" w:cstheme="majorBidi"/>
        </w:rPr>
        <w:t xml:space="preserve">[pers. C] </w:t>
      </w:r>
      <w:r w:rsidRPr="00F13E32">
        <w:rPr>
          <w:rFonts w:asciiTheme="majorBidi" w:hAnsiTheme="majorBidi" w:cstheme="majorBidi"/>
        </w:rPr>
        <w:t xml:space="preserve">atstātā mantojuma, kas novēlēts </w:t>
      </w:r>
      <w:r w:rsidR="00A67F65" w:rsidRPr="00F13E32">
        <w:rPr>
          <w:rFonts w:asciiTheme="majorBidi" w:hAnsiTheme="majorBidi" w:cstheme="majorBidi"/>
        </w:rPr>
        <w:t xml:space="preserve">abām </w:t>
      </w:r>
      <w:r w:rsidR="00336D8E" w:rsidRPr="00F13E32">
        <w:rPr>
          <w:rFonts w:asciiTheme="majorBidi" w:hAnsiTheme="majorBidi" w:cstheme="majorBidi"/>
        </w:rPr>
        <w:t xml:space="preserve">viņas </w:t>
      </w:r>
      <w:r w:rsidR="00A67F65" w:rsidRPr="00F13E32">
        <w:rPr>
          <w:rFonts w:asciiTheme="majorBidi" w:hAnsiTheme="majorBidi" w:cstheme="majorBidi"/>
        </w:rPr>
        <w:t xml:space="preserve">meitām </w:t>
      </w:r>
      <w:r w:rsidRPr="00F13E32">
        <w:rPr>
          <w:rFonts w:asciiTheme="majorBidi" w:hAnsiTheme="majorBidi" w:cstheme="majorBidi"/>
        </w:rPr>
        <w:t xml:space="preserve">ar 2017. gada 26. oktobrī taisīto testamenta aktu, </w:t>
      </w:r>
      <w:r w:rsidR="008232DA" w:rsidRPr="00F13E32">
        <w:rPr>
          <w:rFonts w:asciiTheme="majorBidi" w:hAnsiTheme="majorBidi" w:cstheme="majorBidi"/>
        </w:rPr>
        <w:t>tajā pašā laikā, no otras puses,</w:t>
      </w:r>
      <w:r w:rsidRPr="00F13E32">
        <w:rPr>
          <w:rFonts w:asciiTheme="majorBidi" w:hAnsiTheme="majorBidi" w:cstheme="majorBidi"/>
        </w:rPr>
        <w:t xml:space="preserve"> </w:t>
      </w:r>
      <w:r w:rsidR="00A67F65" w:rsidRPr="00F13E32">
        <w:rPr>
          <w:rFonts w:asciiTheme="majorBidi" w:hAnsiTheme="majorBidi" w:cstheme="majorBidi"/>
        </w:rPr>
        <w:t xml:space="preserve">ar spriedumu </w:t>
      </w:r>
      <w:r w:rsidR="00B35BE4" w:rsidRPr="00F13E32">
        <w:rPr>
          <w:rFonts w:asciiTheme="majorBidi" w:hAnsiTheme="majorBidi" w:cstheme="majorBidi"/>
        </w:rPr>
        <w:t xml:space="preserve">vienlaikus </w:t>
      </w:r>
      <w:r w:rsidRPr="00F13E32">
        <w:rPr>
          <w:rFonts w:asciiTheme="majorBidi" w:hAnsiTheme="majorBidi" w:cstheme="majorBidi"/>
        </w:rPr>
        <w:t xml:space="preserve">nospriests atzīt par spēkā neesošu zvērinātas notāres Renātes Rones 2018. gada 6. augustā </w:t>
      </w:r>
      <w:r w:rsidR="003C5BB3" w:rsidRPr="00F13E32">
        <w:rPr>
          <w:rFonts w:asciiTheme="majorBidi" w:hAnsiTheme="majorBidi" w:cstheme="majorBidi"/>
        </w:rPr>
        <w:t>izsniegto</w:t>
      </w:r>
      <w:r w:rsidRPr="00F13E32">
        <w:rPr>
          <w:rFonts w:asciiTheme="majorBidi" w:hAnsiTheme="majorBidi" w:cstheme="majorBidi"/>
        </w:rPr>
        <w:t xml:space="preserve"> mantojuma apliecību (aktu par pēdējās gribas rīkojuma akta stāšanos likumīgā spēkā) pilnā apjomā</w:t>
      </w:r>
      <w:r w:rsidR="00A67F65" w:rsidRPr="00F13E32">
        <w:rPr>
          <w:rFonts w:asciiTheme="majorBidi" w:hAnsiTheme="majorBidi" w:cstheme="majorBidi"/>
        </w:rPr>
        <w:t xml:space="preserve">, </w:t>
      </w:r>
      <w:r w:rsidR="00226151" w:rsidRPr="00F13E32">
        <w:rPr>
          <w:rFonts w:asciiTheme="majorBidi" w:hAnsiTheme="majorBidi" w:cstheme="majorBidi"/>
        </w:rPr>
        <w:t>t. i.</w:t>
      </w:r>
      <w:r w:rsidR="00A67F65" w:rsidRPr="00F13E32">
        <w:rPr>
          <w:rFonts w:asciiTheme="majorBidi" w:hAnsiTheme="majorBidi" w:cstheme="majorBidi"/>
        </w:rPr>
        <w:t xml:space="preserve">, arī </w:t>
      </w:r>
      <w:r w:rsidR="00AA619D" w:rsidRPr="00F13E32">
        <w:rPr>
          <w:rFonts w:asciiTheme="majorBidi" w:hAnsiTheme="majorBidi" w:cstheme="majorBidi"/>
        </w:rPr>
        <w:t xml:space="preserve">tajā </w:t>
      </w:r>
      <w:r w:rsidR="00A67F65" w:rsidRPr="00F13E32">
        <w:rPr>
          <w:rFonts w:asciiTheme="majorBidi" w:hAnsiTheme="majorBidi" w:cstheme="majorBidi"/>
        </w:rPr>
        <w:t xml:space="preserve">daļā, ar kuru </w:t>
      </w:r>
      <w:r w:rsidR="008F2271" w:rsidRPr="00F13E32">
        <w:rPr>
          <w:rFonts w:asciiTheme="majorBidi" w:hAnsiTheme="majorBidi" w:cstheme="majorBidi"/>
        </w:rPr>
        <w:t xml:space="preserve">iepriekšminētais testamenta akts atzīts par stājušos likumīgā spēkā un </w:t>
      </w:r>
      <w:r w:rsidR="00A67F65" w:rsidRPr="00F13E32">
        <w:rPr>
          <w:rFonts w:asciiTheme="majorBidi" w:hAnsiTheme="majorBidi" w:cstheme="majorBidi"/>
        </w:rPr>
        <w:t xml:space="preserve">testatores meita </w:t>
      </w:r>
      <w:r w:rsidR="00B92F08" w:rsidRPr="00F13E32">
        <w:rPr>
          <w:rFonts w:asciiTheme="majorBidi" w:hAnsiTheme="majorBidi" w:cstheme="majorBidi"/>
        </w:rPr>
        <w:t xml:space="preserve">[pers. B] </w:t>
      </w:r>
      <w:r w:rsidR="00A67F65" w:rsidRPr="00F13E32">
        <w:rPr>
          <w:rFonts w:asciiTheme="majorBidi" w:hAnsiTheme="majorBidi" w:cstheme="majorBidi"/>
        </w:rPr>
        <w:t xml:space="preserve">iecelta par testamentāro mantinieci </w:t>
      </w:r>
      <w:r w:rsidR="00336D8E" w:rsidRPr="00F13E32">
        <w:rPr>
          <w:rFonts w:asciiTheme="majorBidi" w:hAnsiTheme="majorBidi" w:cstheme="majorBidi"/>
        </w:rPr>
        <w:t xml:space="preserve">arī uz viņai </w:t>
      </w:r>
      <w:r w:rsidR="007E7ACF" w:rsidRPr="00F13E32">
        <w:rPr>
          <w:rFonts w:asciiTheme="majorBidi" w:hAnsiTheme="majorBidi" w:cstheme="majorBidi"/>
        </w:rPr>
        <w:t>novēlēto</w:t>
      </w:r>
      <w:r w:rsidR="00336D8E" w:rsidRPr="00F13E32">
        <w:rPr>
          <w:rFonts w:asciiTheme="majorBidi" w:hAnsiTheme="majorBidi" w:cstheme="majorBidi"/>
        </w:rPr>
        <w:t xml:space="preserve"> pusi </w:t>
      </w:r>
      <w:r w:rsidR="00A67F65" w:rsidRPr="00F13E32">
        <w:rPr>
          <w:rFonts w:asciiTheme="majorBidi" w:hAnsiTheme="majorBidi" w:cstheme="majorBidi"/>
        </w:rPr>
        <w:t xml:space="preserve">no </w:t>
      </w:r>
      <w:r w:rsidR="00854E08" w:rsidRPr="00F13E32">
        <w:rPr>
          <w:rFonts w:asciiTheme="majorBidi" w:hAnsiTheme="majorBidi" w:cstheme="majorBidi"/>
        </w:rPr>
        <w:t xml:space="preserve">[pers. C] </w:t>
      </w:r>
      <w:r w:rsidR="00A67F65" w:rsidRPr="00F13E32">
        <w:rPr>
          <w:rFonts w:asciiTheme="majorBidi" w:hAnsiTheme="majorBidi" w:cstheme="majorBidi"/>
        </w:rPr>
        <w:t>atstātā mantojuma, kas novēlēts abām meitām</w:t>
      </w:r>
      <w:r w:rsidR="00AA619D" w:rsidRPr="00F13E32">
        <w:rPr>
          <w:rFonts w:asciiTheme="majorBidi" w:hAnsiTheme="majorBidi" w:cstheme="majorBidi"/>
        </w:rPr>
        <w:t xml:space="preserve"> līdzīgās daļās (sk. </w:t>
      </w:r>
      <w:r w:rsidR="00AA619D" w:rsidRPr="00F13E32">
        <w:rPr>
          <w:rFonts w:asciiTheme="majorBidi" w:hAnsiTheme="majorBidi" w:cstheme="majorBidi"/>
          <w:i/>
          <w:iCs/>
        </w:rPr>
        <w:t>šā sprieduma 1. punktu</w:t>
      </w:r>
      <w:r w:rsidR="00AA619D" w:rsidRPr="00F13E32">
        <w:rPr>
          <w:rFonts w:asciiTheme="majorBidi" w:hAnsiTheme="majorBidi" w:cstheme="majorBidi"/>
        </w:rPr>
        <w:t>)</w:t>
      </w:r>
      <w:r w:rsidR="00A67F65" w:rsidRPr="00F13E32">
        <w:rPr>
          <w:rFonts w:asciiTheme="majorBidi" w:hAnsiTheme="majorBidi" w:cstheme="majorBidi"/>
        </w:rPr>
        <w:t>.</w:t>
      </w:r>
    </w:p>
    <w:p w14:paraId="34511D96" w14:textId="6FB29834" w:rsidR="00627CFD" w:rsidRPr="00F13E32" w:rsidRDefault="0014535C" w:rsidP="00F13E32">
      <w:pPr>
        <w:spacing w:line="276" w:lineRule="auto"/>
        <w:ind w:firstLine="709"/>
        <w:jc w:val="both"/>
        <w:rPr>
          <w:rFonts w:asciiTheme="majorBidi" w:hAnsiTheme="majorBidi" w:cstheme="majorBidi"/>
        </w:rPr>
      </w:pPr>
      <w:r w:rsidRPr="00F13E32">
        <w:rPr>
          <w:rFonts w:asciiTheme="majorBidi" w:hAnsiTheme="majorBidi" w:cstheme="majorBidi"/>
        </w:rPr>
        <w:t xml:space="preserve">[6.3] Kā noteikts Notariāta likuma 284. panta otrajā daļā, atzīstot par pamatotu mantošanas iesniegumu par pēdējās gribas rīkojuma akta stāšanos likumīgā spēkā, zvērināts notārs taisa notariālo aktu par pēdējās gribas rīkojuma akta stāšanos likumīgā </w:t>
      </w:r>
      <w:r w:rsidRPr="00F13E32">
        <w:rPr>
          <w:rFonts w:asciiTheme="majorBidi" w:hAnsiTheme="majorBidi" w:cstheme="majorBidi"/>
        </w:rPr>
        <w:lastRenderedPageBreak/>
        <w:t>spēkā (mantojuma apliecību), kurā tostarp norāda mantošanas pamatu, konkrēto mantinieku un mantojamās mantas sastāvu.</w:t>
      </w:r>
    </w:p>
    <w:p w14:paraId="74A76120" w14:textId="2F1B7023" w:rsidR="0014535C" w:rsidRPr="00F13E32" w:rsidRDefault="00627CFD" w:rsidP="00F13E32">
      <w:pPr>
        <w:spacing w:line="276" w:lineRule="auto"/>
        <w:ind w:firstLine="709"/>
        <w:jc w:val="both"/>
        <w:rPr>
          <w:rFonts w:asciiTheme="majorBidi" w:hAnsiTheme="majorBidi" w:cstheme="majorBidi"/>
        </w:rPr>
      </w:pPr>
      <w:r w:rsidRPr="00F13E32">
        <w:rPr>
          <w:rFonts w:asciiTheme="majorBidi" w:hAnsiTheme="majorBidi" w:cstheme="majorBidi"/>
        </w:rPr>
        <w:t>S</w:t>
      </w:r>
      <w:r w:rsidR="0014535C" w:rsidRPr="00F13E32">
        <w:rPr>
          <w:rFonts w:asciiTheme="majorBidi" w:hAnsiTheme="majorBidi" w:cstheme="majorBidi"/>
        </w:rPr>
        <w:t>askaņā ar Ministru kabineta 2008. gada 4. augusta noteikumu Nr. 618 „Noteikumi par mantojuma reģistra un mantojuma lietu vešanu” 107. punktu zvērināta notāra izsniegtā mantojuma apliecība apliecina mantinieka mantošanas tiesību.</w:t>
      </w:r>
    </w:p>
    <w:p w14:paraId="5445F319" w14:textId="5A5AAE53" w:rsidR="0014535C" w:rsidRPr="00F13E32" w:rsidRDefault="0014535C" w:rsidP="00F13E32">
      <w:pPr>
        <w:spacing w:line="276" w:lineRule="auto"/>
        <w:ind w:firstLine="709"/>
        <w:jc w:val="both"/>
        <w:rPr>
          <w:rFonts w:asciiTheme="majorBidi" w:hAnsiTheme="majorBidi" w:cstheme="majorBidi"/>
        </w:rPr>
      </w:pPr>
      <w:r w:rsidRPr="00F13E32">
        <w:rPr>
          <w:rFonts w:asciiTheme="majorBidi" w:hAnsiTheme="majorBidi" w:cstheme="majorBidi"/>
        </w:rPr>
        <w:t xml:space="preserve">Tādējādi mantojuma apliecība kā notariāla akta formā taisīts publisks dokuments (sk. </w:t>
      </w:r>
      <w:r w:rsidRPr="00F13E32">
        <w:rPr>
          <w:rFonts w:asciiTheme="majorBidi" w:hAnsiTheme="majorBidi" w:cstheme="majorBidi"/>
          <w:i/>
          <w:iCs/>
        </w:rPr>
        <w:t>Notariāta likuma 81., 284., 286., 316. un 318. pantu</w:t>
      </w:r>
      <w:r w:rsidRPr="00F13E32">
        <w:rPr>
          <w:rFonts w:asciiTheme="majorBidi" w:hAnsiTheme="majorBidi" w:cstheme="majorBidi"/>
        </w:rPr>
        <w:t xml:space="preserve">) leģitimē konkrēto personu kā konkrētā mantojuma atstājēja likumisko, testamentāro vai līgumisko mantinieku, apliecinot konkrētā mantinieka mantojuma tiesību un tās priekšmetu (mantojamās mantas sastāvu, mantojuma daļu, tās lielumu). Turklāt mantojuma lietās, kuras tiek vestas saskaņā ar mantojuma atstājēja taisītu pēdējās gribas rīkojuma aktu (testamentu, mantojuma līgumu), ar zvērināta notāra izsniegtu mantojuma apliecību primāri tiek atzīts par stājušos likumīgā spēkā (pilnībā vai kādā daļā) konkrētais pēdējās gribas rīkojuma akts, par ko uzskatāmi liecina arī šādas mantojuma apliecības nosaukums – „akts par pēdējās gribas rīkojuma akta stāšanos likumīgā spēkā” (sk. </w:t>
      </w:r>
      <w:r w:rsidRPr="00F13E32">
        <w:rPr>
          <w:rFonts w:asciiTheme="majorBidi" w:hAnsiTheme="majorBidi" w:cstheme="majorBidi"/>
          <w:i/>
          <w:iCs/>
        </w:rPr>
        <w:t>Notariāta likuma 284.–287. pantu</w:t>
      </w:r>
      <w:r w:rsidRPr="00F13E32">
        <w:rPr>
          <w:rFonts w:asciiTheme="majorBidi" w:hAnsiTheme="majorBidi" w:cstheme="majorBidi"/>
        </w:rPr>
        <w:t>).</w:t>
      </w:r>
    </w:p>
    <w:p w14:paraId="14B7A858" w14:textId="1F2AF71C" w:rsidR="00627CFD" w:rsidRPr="00F13E32" w:rsidRDefault="00627CFD" w:rsidP="00F13E32">
      <w:pPr>
        <w:spacing w:line="276" w:lineRule="auto"/>
        <w:ind w:firstLine="709"/>
        <w:jc w:val="both"/>
        <w:rPr>
          <w:rFonts w:asciiTheme="majorBidi" w:hAnsiTheme="majorBidi" w:cstheme="majorBidi"/>
        </w:rPr>
      </w:pPr>
      <w:r w:rsidRPr="00F13E32">
        <w:rPr>
          <w:rFonts w:asciiTheme="majorBidi" w:hAnsiTheme="majorBidi" w:cstheme="majorBidi"/>
        </w:rPr>
        <w:t>[6.4] Ņemot vērā iepriekšminēto, Senāts atzīst, ka apelācijas instances tiesa ir pārkāpusi Civilprocesa likuma 192. pantu, kas novedis pie lietas nepareizas izspriešanas – mantojuma apliecības atzīšanas par spēkā neesošu pilnībā.</w:t>
      </w:r>
    </w:p>
    <w:p w14:paraId="64C1F542" w14:textId="6FCAB567" w:rsidR="00627CFD" w:rsidRPr="00F13E32" w:rsidRDefault="00627CFD" w:rsidP="00F13E32">
      <w:pPr>
        <w:spacing w:line="276" w:lineRule="auto"/>
        <w:ind w:firstLine="709"/>
        <w:jc w:val="both"/>
        <w:rPr>
          <w:rFonts w:asciiTheme="majorBidi" w:hAnsiTheme="majorBidi" w:cstheme="majorBidi"/>
        </w:rPr>
      </w:pPr>
      <w:r w:rsidRPr="00F13E32">
        <w:rPr>
          <w:rFonts w:asciiTheme="majorBidi" w:hAnsiTheme="majorBidi" w:cstheme="majorBidi"/>
        </w:rPr>
        <w:t xml:space="preserve">Proti, ar pārbaudāmo spriedumu zvērinātas notāres Renātes Rones 2018. gada 6. augustā izsniegtā mantojuma apliecība atzīta par spēkā neesošu ne tikai daļā, ar kuru par likumīgā spēkā stājušos atzīts </w:t>
      </w:r>
      <w:r w:rsidR="00854E08" w:rsidRPr="00F13E32">
        <w:rPr>
          <w:rFonts w:asciiTheme="majorBidi" w:hAnsiTheme="majorBidi" w:cstheme="majorBidi"/>
        </w:rPr>
        <w:t xml:space="preserve">[pers. C] </w:t>
      </w:r>
      <w:r w:rsidRPr="00F13E32">
        <w:rPr>
          <w:rFonts w:asciiTheme="majorBidi" w:hAnsiTheme="majorBidi" w:cstheme="majorBidi"/>
        </w:rPr>
        <w:t xml:space="preserve">2017. gada 26. oktobrī taisītais testamenta akts, bet arī attiecībā uz to mantojuma daļu, kura ar minēto testamenta aktu novēlēta otrai mantiniecei </w:t>
      </w:r>
      <w:r w:rsidR="00B92F08" w:rsidRPr="00F13E32">
        <w:rPr>
          <w:rFonts w:asciiTheme="majorBidi" w:hAnsiTheme="majorBidi" w:cstheme="majorBidi"/>
        </w:rPr>
        <w:t xml:space="preserve">[pers. B] </w:t>
      </w:r>
      <w:r w:rsidRPr="00F13E32">
        <w:rPr>
          <w:rFonts w:asciiTheme="majorBidi" w:hAnsiTheme="majorBidi" w:cstheme="majorBidi"/>
        </w:rPr>
        <w:t xml:space="preserve">un par kuru starp pusēm nav bijis strīds, tādējādi pilnībā anulējot zvērināta notāra izsniegto apliecinājumu par </w:t>
      </w:r>
      <w:r w:rsidR="00B92F08" w:rsidRPr="00F13E32">
        <w:rPr>
          <w:rFonts w:asciiTheme="majorBidi" w:hAnsiTheme="majorBidi" w:cstheme="majorBidi"/>
        </w:rPr>
        <w:t>[pers. B]</w:t>
      </w:r>
      <w:r w:rsidRPr="00F13E32">
        <w:rPr>
          <w:rFonts w:asciiTheme="majorBidi" w:hAnsiTheme="majorBidi" w:cstheme="majorBidi"/>
        </w:rPr>
        <w:t xml:space="preserve">mantošanas tiesību uz </w:t>
      </w:r>
      <w:r w:rsidR="00854E08" w:rsidRPr="00F13E32">
        <w:rPr>
          <w:rFonts w:asciiTheme="majorBidi" w:hAnsiTheme="majorBidi" w:cstheme="majorBidi"/>
        </w:rPr>
        <w:t xml:space="preserve">[pers. C] </w:t>
      </w:r>
      <w:r w:rsidRPr="00F13E32">
        <w:rPr>
          <w:rFonts w:asciiTheme="majorBidi" w:hAnsiTheme="majorBidi" w:cstheme="majorBidi"/>
        </w:rPr>
        <w:t>atstāto mantojumu.</w:t>
      </w:r>
    </w:p>
    <w:p w14:paraId="3B942CF3" w14:textId="41FC7FC2" w:rsidR="009E0C33" w:rsidRPr="00F13E32" w:rsidRDefault="00627CFD" w:rsidP="00F13E32">
      <w:pPr>
        <w:spacing w:line="276" w:lineRule="auto"/>
        <w:ind w:firstLine="709"/>
        <w:jc w:val="both"/>
        <w:rPr>
          <w:rFonts w:asciiTheme="majorBidi" w:hAnsiTheme="majorBidi" w:cstheme="majorBidi"/>
        </w:rPr>
      </w:pPr>
      <w:r w:rsidRPr="00F13E32">
        <w:rPr>
          <w:rFonts w:asciiTheme="majorBidi" w:hAnsiTheme="majorBidi" w:cstheme="majorBidi"/>
        </w:rPr>
        <w:t xml:space="preserve">Vēl vairāk, </w:t>
      </w:r>
      <w:r w:rsidR="008F2271" w:rsidRPr="00F13E32">
        <w:rPr>
          <w:rFonts w:asciiTheme="majorBidi" w:hAnsiTheme="majorBidi" w:cstheme="majorBidi"/>
        </w:rPr>
        <w:t xml:space="preserve">atzīstot </w:t>
      </w:r>
      <w:r w:rsidR="00BC646F" w:rsidRPr="00F13E32">
        <w:rPr>
          <w:rFonts w:asciiTheme="majorBidi" w:hAnsiTheme="majorBidi" w:cstheme="majorBidi"/>
        </w:rPr>
        <w:t xml:space="preserve">apstrīdēto </w:t>
      </w:r>
      <w:r w:rsidR="008F2271" w:rsidRPr="00F13E32">
        <w:rPr>
          <w:rFonts w:asciiTheme="majorBidi" w:hAnsiTheme="majorBidi" w:cstheme="majorBidi"/>
        </w:rPr>
        <w:t xml:space="preserve">mantojuma apliecību par spēkā neesošu pilnā apjomā, tiesa nav ņēmusi vērā, ka tādējādi </w:t>
      </w:r>
      <w:r w:rsidR="00BC646F" w:rsidRPr="00F13E32">
        <w:rPr>
          <w:rFonts w:asciiTheme="majorBidi" w:hAnsiTheme="majorBidi" w:cstheme="majorBidi"/>
        </w:rPr>
        <w:t xml:space="preserve">ar pārbaudāmo spriedumu </w:t>
      </w:r>
      <w:r w:rsidR="008F2271" w:rsidRPr="00F13E32">
        <w:rPr>
          <w:rFonts w:asciiTheme="majorBidi" w:hAnsiTheme="majorBidi" w:cstheme="majorBidi"/>
        </w:rPr>
        <w:t xml:space="preserve">par spēkā neesošu ir atzīts notariālais akts, ar kuru par likumīgā spēkā stājušos atzīts </w:t>
      </w:r>
      <w:r w:rsidR="00854E08" w:rsidRPr="00F13E32">
        <w:rPr>
          <w:rFonts w:asciiTheme="majorBidi" w:hAnsiTheme="majorBidi" w:cstheme="majorBidi"/>
        </w:rPr>
        <w:t xml:space="preserve">[pers. C] </w:t>
      </w:r>
      <w:r w:rsidR="008F2271" w:rsidRPr="00F13E32">
        <w:rPr>
          <w:rFonts w:asciiTheme="majorBidi" w:hAnsiTheme="majorBidi" w:cstheme="majorBidi"/>
        </w:rPr>
        <w:t xml:space="preserve">2017. gada 26. oktobrī taisītais testamenta akts, uz kura pamata </w:t>
      </w:r>
      <w:r w:rsidR="00BC646F" w:rsidRPr="00F13E32">
        <w:rPr>
          <w:rFonts w:asciiTheme="majorBidi" w:hAnsiTheme="majorBidi" w:cstheme="majorBidi"/>
        </w:rPr>
        <w:t xml:space="preserve">savukārt </w:t>
      </w:r>
      <w:r w:rsidRPr="00F13E32">
        <w:rPr>
          <w:rFonts w:asciiTheme="majorBidi" w:hAnsiTheme="majorBidi" w:cstheme="majorBidi"/>
        </w:rPr>
        <w:t xml:space="preserve">pati </w:t>
      </w:r>
      <w:r w:rsidR="00D3388F" w:rsidRPr="00F13E32">
        <w:rPr>
          <w:rFonts w:asciiTheme="majorBidi" w:hAnsiTheme="majorBidi" w:cstheme="majorBidi"/>
        </w:rPr>
        <w:t xml:space="preserve">prasītāja </w:t>
      </w:r>
      <w:r w:rsidR="00B92F08" w:rsidRPr="00F13E32">
        <w:rPr>
          <w:rFonts w:asciiTheme="majorBidi" w:hAnsiTheme="majorBidi" w:cstheme="majorBidi"/>
        </w:rPr>
        <w:t xml:space="preserve">[pers. A] </w:t>
      </w:r>
      <w:r w:rsidRPr="00F13E32">
        <w:rPr>
          <w:rFonts w:asciiTheme="majorBidi" w:hAnsiTheme="majorBidi" w:cstheme="majorBidi"/>
        </w:rPr>
        <w:t xml:space="preserve">ir </w:t>
      </w:r>
      <w:r w:rsidR="008F2271" w:rsidRPr="00F13E32">
        <w:rPr>
          <w:rFonts w:asciiTheme="majorBidi" w:hAnsiTheme="majorBidi" w:cstheme="majorBidi"/>
        </w:rPr>
        <w:t xml:space="preserve">atzīta par līdzmantinieci un viņai – kā mantojuma atstājējas testamentārai pirmās šķiras mantiniecei – atzīta mantojuma tiesība uz pusi no mātes </w:t>
      </w:r>
      <w:r w:rsidR="00854E08" w:rsidRPr="00F13E32">
        <w:rPr>
          <w:rFonts w:asciiTheme="majorBidi" w:hAnsiTheme="majorBidi" w:cstheme="majorBidi"/>
        </w:rPr>
        <w:t xml:space="preserve">[pers. C] </w:t>
      </w:r>
      <w:r w:rsidR="008F2271" w:rsidRPr="00F13E32">
        <w:rPr>
          <w:rFonts w:asciiTheme="majorBidi" w:hAnsiTheme="majorBidi" w:cstheme="majorBidi"/>
        </w:rPr>
        <w:t>atstātā mantojuma.</w:t>
      </w:r>
      <w:r w:rsidR="009E0C33" w:rsidRPr="00F13E32">
        <w:rPr>
          <w:rFonts w:asciiTheme="majorBidi" w:hAnsiTheme="majorBidi" w:cstheme="majorBidi"/>
        </w:rPr>
        <w:t xml:space="preserve"> </w:t>
      </w:r>
      <w:r w:rsidR="00226151" w:rsidRPr="00F13E32">
        <w:rPr>
          <w:rFonts w:asciiTheme="majorBidi" w:hAnsiTheme="majorBidi" w:cstheme="majorBidi"/>
        </w:rPr>
        <w:t>Līdz ar to</w:t>
      </w:r>
      <w:r w:rsidR="009E0C33" w:rsidRPr="00F13E32">
        <w:rPr>
          <w:rFonts w:asciiTheme="majorBidi" w:hAnsiTheme="majorBidi" w:cstheme="majorBidi"/>
        </w:rPr>
        <w:t xml:space="preserve"> faktiski ir izveidojusies situācija,</w:t>
      </w:r>
      <w:r w:rsidR="001407F1" w:rsidRPr="00F13E32">
        <w:rPr>
          <w:rFonts w:asciiTheme="majorBidi" w:hAnsiTheme="majorBidi" w:cstheme="majorBidi"/>
        </w:rPr>
        <w:t xml:space="preserve"> </w:t>
      </w:r>
      <w:r w:rsidR="00FE7367" w:rsidRPr="00F13E32">
        <w:rPr>
          <w:rFonts w:asciiTheme="majorBidi" w:hAnsiTheme="majorBidi" w:cstheme="majorBidi"/>
        </w:rPr>
        <w:t>kurā</w:t>
      </w:r>
      <w:r w:rsidR="001407F1" w:rsidRPr="00F13E32">
        <w:rPr>
          <w:rFonts w:asciiTheme="majorBidi" w:hAnsiTheme="majorBidi" w:cstheme="majorBidi"/>
        </w:rPr>
        <w:t xml:space="preserve"> </w:t>
      </w:r>
      <w:r w:rsidR="00B92F08" w:rsidRPr="00F13E32">
        <w:rPr>
          <w:rFonts w:asciiTheme="majorBidi" w:hAnsiTheme="majorBidi" w:cstheme="majorBidi"/>
        </w:rPr>
        <w:t xml:space="preserve">[pers. A] </w:t>
      </w:r>
      <w:r w:rsidR="009E0C33" w:rsidRPr="00F13E32">
        <w:rPr>
          <w:rFonts w:asciiTheme="majorBidi" w:hAnsiTheme="majorBidi" w:cstheme="majorBidi"/>
        </w:rPr>
        <w:t xml:space="preserve">ir atzīta par līdzmantinieci un viņai atzīta mantojuma tiesība uz pusi no mātes </w:t>
      </w:r>
      <w:r w:rsidR="00854E08" w:rsidRPr="00F13E32">
        <w:rPr>
          <w:rFonts w:asciiTheme="majorBidi" w:hAnsiTheme="majorBidi" w:cstheme="majorBidi"/>
        </w:rPr>
        <w:t xml:space="preserve">[pers. C] </w:t>
      </w:r>
      <w:r w:rsidR="009E0C33" w:rsidRPr="00F13E32">
        <w:rPr>
          <w:rFonts w:asciiTheme="majorBidi" w:hAnsiTheme="majorBidi" w:cstheme="majorBidi"/>
        </w:rPr>
        <w:t xml:space="preserve">atstātā mantojuma, kas novēlēts ar viņas 2017. gada 26. oktobrī taisīto testamenta aktu, lai gan </w:t>
      </w:r>
      <w:r w:rsidR="004308BB" w:rsidRPr="00F13E32">
        <w:rPr>
          <w:rFonts w:asciiTheme="majorBidi" w:hAnsiTheme="majorBidi" w:cstheme="majorBidi"/>
        </w:rPr>
        <w:t xml:space="preserve">atbilstoši pārbaudāmajam spriedumam </w:t>
      </w:r>
      <w:r w:rsidR="009E0C33" w:rsidRPr="00F13E32">
        <w:rPr>
          <w:rFonts w:asciiTheme="majorBidi" w:hAnsiTheme="majorBidi" w:cstheme="majorBidi"/>
        </w:rPr>
        <w:t xml:space="preserve">pats testamenta akts vairs nav uzskatāms par stājušos likumīgā spēkā, jo </w:t>
      </w:r>
      <w:r w:rsidR="00FE7367" w:rsidRPr="00F13E32">
        <w:rPr>
          <w:rFonts w:asciiTheme="majorBidi" w:hAnsiTheme="majorBidi" w:cstheme="majorBidi"/>
        </w:rPr>
        <w:t xml:space="preserve">zvērinātas notāres Renātes Rones 2018. gada 6. augustā izsniegtā </w:t>
      </w:r>
      <w:r w:rsidR="009E0C33" w:rsidRPr="00F13E32">
        <w:rPr>
          <w:rFonts w:asciiTheme="majorBidi" w:hAnsiTheme="majorBidi" w:cstheme="majorBidi"/>
        </w:rPr>
        <w:t xml:space="preserve">mantojuma apliecība </w:t>
      </w:r>
      <w:r w:rsidR="001407F1" w:rsidRPr="00F13E32">
        <w:rPr>
          <w:rFonts w:asciiTheme="majorBidi" w:hAnsiTheme="majorBidi" w:cstheme="majorBidi"/>
        </w:rPr>
        <w:t xml:space="preserve">(akts par pēdējās gribas rīkojuma akta stāšanos likumīgā spēkā) </w:t>
      </w:r>
      <w:r w:rsidR="00FE7367" w:rsidRPr="00F13E32">
        <w:rPr>
          <w:rFonts w:asciiTheme="majorBidi" w:hAnsiTheme="majorBidi" w:cstheme="majorBidi"/>
        </w:rPr>
        <w:t xml:space="preserve">ar pārbaudāmo spriedumu </w:t>
      </w:r>
      <w:r w:rsidR="009E0C33" w:rsidRPr="00F13E32">
        <w:rPr>
          <w:rFonts w:asciiTheme="majorBidi" w:hAnsiTheme="majorBidi" w:cstheme="majorBidi"/>
        </w:rPr>
        <w:t>atzīta par spēkā neesošu pilnībā.</w:t>
      </w:r>
    </w:p>
    <w:p w14:paraId="00112586" w14:textId="363AFBDF" w:rsidR="00603039" w:rsidRPr="00F13E32" w:rsidRDefault="00202DA3" w:rsidP="00F13E32">
      <w:pPr>
        <w:spacing w:line="276" w:lineRule="auto"/>
        <w:ind w:firstLine="709"/>
        <w:jc w:val="both"/>
        <w:rPr>
          <w:rFonts w:asciiTheme="majorBidi" w:hAnsiTheme="majorBidi" w:cstheme="majorBidi"/>
          <w:bCs/>
        </w:rPr>
      </w:pPr>
      <w:r w:rsidRPr="00F13E32">
        <w:rPr>
          <w:rFonts w:asciiTheme="majorBidi" w:hAnsiTheme="majorBidi" w:cstheme="majorBidi"/>
        </w:rPr>
        <w:t>[6.</w:t>
      </w:r>
      <w:r w:rsidR="00AA619D" w:rsidRPr="00F13E32">
        <w:rPr>
          <w:rFonts w:asciiTheme="majorBidi" w:hAnsiTheme="majorBidi" w:cstheme="majorBidi"/>
        </w:rPr>
        <w:t>5</w:t>
      </w:r>
      <w:r w:rsidRPr="00F13E32">
        <w:rPr>
          <w:rFonts w:asciiTheme="majorBidi" w:hAnsiTheme="majorBidi" w:cstheme="majorBidi"/>
        </w:rPr>
        <w:t>] </w:t>
      </w:r>
      <w:r w:rsidRPr="00F13E32">
        <w:rPr>
          <w:rFonts w:asciiTheme="majorBidi" w:hAnsiTheme="majorBidi" w:cstheme="majorBidi"/>
          <w:bCs/>
        </w:rPr>
        <w:t>Ievērojot procesuālās ekonomijas principu (</w:t>
      </w:r>
      <w:r w:rsidRPr="00F13E32">
        <w:rPr>
          <w:rFonts w:asciiTheme="majorBidi" w:hAnsiTheme="majorBidi" w:cstheme="majorBidi"/>
          <w:bCs/>
          <w:i/>
          <w:iCs/>
        </w:rPr>
        <w:t>likuma „Par tiesu varu” 28. panta pirmā daļa</w:t>
      </w:r>
      <w:r w:rsidRPr="00F13E32">
        <w:rPr>
          <w:rFonts w:asciiTheme="majorBidi" w:hAnsiTheme="majorBidi" w:cstheme="majorBidi"/>
          <w:bCs/>
        </w:rPr>
        <w:t xml:space="preserve">) un pamatojoties uz Civilprocesa likuma 474. panta 4. punktu, Senāts uzskata par </w:t>
      </w:r>
      <w:r w:rsidR="00D3388F" w:rsidRPr="00F13E32">
        <w:rPr>
          <w:rFonts w:asciiTheme="majorBidi" w:hAnsiTheme="majorBidi" w:cstheme="majorBidi"/>
          <w:bCs/>
        </w:rPr>
        <w:t>iespējamu</w:t>
      </w:r>
      <w:r w:rsidRPr="00F13E32">
        <w:rPr>
          <w:rFonts w:asciiTheme="majorBidi" w:hAnsiTheme="majorBidi" w:cstheme="majorBidi"/>
          <w:bCs/>
        </w:rPr>
        <w:t xml:space="preserve"> apelācijas instances tiesas pieļauto </w:t>
      </w:r>
      <w:r w:rsidR="00603039" w:rsidRPr="00F13E32">
        <w:rPr>
          <w:rFonts w:asciiTheme="majorBidi" w:hAnsiTheme="majorBidi" w:cstheme="majorBidi"/>
          <w:bCs/>
        </w:rPr>
        <w:t xml:space="preserve">Civilprocesa likuma 192. panta </w:t>
      </w:r>
      <w:r w:rsidRPr="00F13E32">
        <w:rPr>
          <w:rFonts w:asciiTheme="majorBidi" w:hAnsiTheme="majorBidi" w:cstheme="majorBidi"/>
          <w:bCs/>
        </w:rPr>
        <w:t xml:space="preserve">pārkāpumu novērst, grozot </w:t>
      </w:r>
      <w:r w:rsidR="00603039" w:rsidRPr="00F13E32">
        <w:rPr>
          <w:rFonts w:asciiTheme="majorBidi" w:hAnsiTheme="majorBidi" w:cstheme="majorBidi"/>
          <w:bCs/>
        </w:rPr>
        <w:t xml:space="preserve">pārbaudāmo spriedumu daļā par mantojuma apliecības atzīšanu par spēkā neesošu un atzīstot apstrīdēto mantojuma apliecību par spēkā neesošu vienīgi daļā, ar kuru </w:t>
      </w:r>
      <w:r w:rsidR="00854E08" w:rsidRPr="00F13E32">
        <w:rPr>
          <w:rFonts w:asciiTheme="majorBidi" w:hAnsiTheme="majorBidi" w:cstheme="majorBidi"/>
        </w:rPr>
        <w:t>[pers. B]</w:t>
      </w:r>
      <w:r w:rsidR="0089288E" w:rsidRPr="00F13E32">
        <w:rPr>
          <w:rFonts w:asciiTheme="majorBidi" w:hAnsiTheme="majorBidi" w:cstheme="majorBidi"/>
        </w:rPr>
        <w:t xml:space="preserve"> </w:t>
      </w:r>
      <w:r w:rsidR="00603039" w:rsidRPr="00F13E32">
        <w:rPr>
          <w:rFonts w:asciiTheme="majorBidi" w:hAnsiTheme="majorBidi" w:cstheme="majorBidi"/>
          <w:bCs/>
        </w:rPr>
        <w:t xml:space="preserve">iecelta par mantinieci uz 1/2 (vienu otro) </w:t>
      </w:r>
      <w:r w:rsidR="00603039" w:rsidRPr="00F13E32">
        <w:rPr>
          <w:rFonts w:asciiTheme="majorBidi" w:hAnsiTheme="majorBidi" w:cstheme="majorBidi"/>
          <w:bCs/>
        </w:rPr>
        <w:lastRenderedPageBreak/>
        <w:t xml:space="preserve">domājamo daļu no </w:t>
      </w:r>
      <w:r w:rsidR="00854E08" w:rsidRPr="00F13E32">
        <w:rPr>
          <w:rFonts w:asciiTheme="majorBidi" w:hAnsiTheme="majorBidi" w:cstheme="majorBidi"/>
        </w:rPr>
        <w:t xml:space="preserve">[pers. C] </w:t>
      </w:r>
      <w:r w:rsidR="00603039" w:rsidRPr="00F13E32">
        <w:rPr>
          <w:rFonts w:asciiTheme="majorBidi" w:hAnsiTheme="majorBidi" w:cstheme="majorBidi"/>
          <w:bCs/>
        </w:rPr>
        <w:t xml:space="preserve">atstātā mantojuma, t. i., uz </w:t>
      </w:r>
      <w:r w:rsidR="00603039" w:rsidRPr="00F13E32">
        <w:rPr>
          <w:rFonts w:asciiTheme="majorBidi" w:hAnsiTheme="majorBidi" w:cstheme="majorBidi"/>
        </w:rPr>
        <w:t xml:space="preserve">to minētā mantojuma daļu, uz kuru ar pārbaudāmo spiedumu atzīta </w:t>
      </w:r>
      <w:r w:rsidR="00B92F08" w:rsidRPr="00F13E32">
        <w:rPr>
          <w:rFonts w:asciiTheme="majorBidi" w:hAnsiTheme="majorBidi" w:cstheme="majorBidi"/>
        </w:rPr>
        <w:t xml:space="preserve">[pers. A] </w:t>
      </w:r>
      <w:r w:rsidR="00603039" w:rsidRPr="00F13E32">
        <w:rPr>
          <w:rFonts w:asciiTheme="majorBidi" w:hAnsiTheme="majorBidi" w:cstheme="majorBidi"/>
        </w:rPr>
        <w:t>mantojuma tiesība.</w:t>
      </w:r>
    </w:p>
    <w:p w14:paraId="56129AB7" w14:textId="77777777" w:rsidR="00DE00FD" w:rsidRPr="00F13E32" w:rsidRDefault="00DE00FD" w:rsidP="00F13E32">
      <w:pPr>
        <w:spacing w:line="276" w:lineRule="auto"/>
        <w:ind w:firstLine="709"/>
        <w:jc w:val="both"/>
        <w:rPr>
          <w:rFonts w:asciiTheme="majorBidi" w:hAnsiTheme="majorBidi" w:cstheme="majorBidi"/>
        </w:rPr>
      </w:pPr>
    </w:p>
    <w:p w14:paraId="68085815" w14:textId="05A1AF04" w:rsidR="00A24346" w:rsidRPr="00F13E32" w:rsidRDefault="00A24346" w:rsidP="00F13E32">
      <w:pPr>
        <w:spacing w:line="276" w:lineRule="auto"/>
        <w:ind w:firstLine="709"/>
        <w:jc w:val="both"/>
        <w:rPr>
          <w:rFonts w:asciiTheme="majorBidi" w:hAnsiTheme="majorBidi" w:cstheme="majorBidi"/>
        </w:rPr>
      </w:pPr>
      <w:r w:rsidRPr="00F13E32">
        <w:rPr>
          <w:rFonts w:asciiTheme="majorBidi" w:hAnsiTheme="majorBidi" w:cstheme="majorBidi"/>
        </w:rPr>
        <w:t>[</w:t>
      </w:r>
      <w:r w:rsidR="001B6A04" w:rsidRPr="00F13E32">
        <w:rPr>
          <w:rFonts w:asciiTheme="majorBidi" w:hAnsiTheme="majorBidi" w:cstheme="majorBidi"/>
        </w:rPr>
        <w:t>7</w:t>
      </w:r>
      <w:r w:rsidRPr="00F13E32">
        <w:rPr>
          <w:rFonts w:asciiTheme="majorBidi" w:hAnsiTheme="majorBidi" w:cstheme="majorBidi"/>
        </w:rPr>
        <w:t>]</w:t>
      </w:r>
      <w:r w:rsidR="009363C3" w:rsidRPr="00F13E32">
        <w:rPr>
          <w:rFonts w:asciiTheme="majorBidi" w:hAnsiTheme="majorBidi" w:cstheme="majorBidi"/>
        </w:rPr>
        <w:t> </w:t>
      </w:r>
      <w:r w:rsidR="001B6A04" w:rsidRPr="00F13E32">
        <w:rPr>
          <w:rFonts w:asciiTheme="majorBidi" w:hAnsiTheme="majorBidi" w:cstheme="majorBidi"/>
        </w:rPr>
        <w:t>Daļēji grozot</w:t>
      </w:r>
      <w:r w:rsidRPr="00F13E32">
        <w:rPr>
          <w:rFonts w:asciiTheme="majorBidi" w:hAnsiTheme="majorBidi" w:cstheme="majorBidi"/>
        </w:rPr>
        <w:t xml:space="preserve"> spriedumu, saskaņā ar Civilprocesa likuma 458. panta otro daļu </w:t>
      </w:r>
      <w:r w:rsidR="00854E08" w:rsidRPr="00F13E32">
        <w:rPr>
          <w:rFonts w:asciiTheme="majorBidi" w:hAnsiTheme="majorBidi" w:cstheme="majorBidi"/>
        </w:rPr>
        <w:t xml:space="preserve">[pers. B] </w:t>
      </w:r>
      <w:r w:rsidRPr="00F13E32">
        <w:rPr>
          <w:rFonts w:asciiTheme="majorBidi" w:hAnsiTheme="majorBidi" w:cstheme="majorBidi"/>
        </w:rPr>
        <w:t>atmaksājama drošības nauda</w:t>
      </w:r>
      <w:r w:rsidR="009363C3" w:rsidRPr="00F13E32">
        <w:rPr>
          <w:rFonts w:asciiTheme="majorBidi" w:hAnsiTheme="majorBidi" w:cstheme="majorBidi"/>
        </w:rPr>
        <w:t xml:space="preserve"> 300 </w:t>
      </w:r>
      <w:proofErr w:type="spellStart"/>
      <w:r w:rsidR="009363C3" w:rsidRPr="00F13E32">
        <w:rPr>
          <w:rFonts w:asciiTheme="majorBidi" w:hAnsiTheme="majorBidi" w:cstheme="majorBidi"/>
          <w:i/>
          <w:iCs/>
        </w:rPr>
        <w:t>euro</w:t>
      </w:r>
      <w:proofErr w:type="spellEnd"/>
      <w:r w:rsidRPr="00F13E32">
        <w:rPr>
          <w:rFonts w:asciiTheme="majorBidi" w:hAnsiTheme="majorBidi" w:cstheme="majorBidi"/>
        </w:rPr>
        <w:t>, kuru tā samaksājusi par kasācijas sūdzību (</w:t>
      </w:r>
      <w:r w:rsidRPr="00F13E32">
        <w:rPr>
          <w:rFonts w:asciiTheme="majorBidi" w:hAnsiTheme="majorBidi" w:cstheme="majorBidi"/>
          <w:i/>
          <w:iCs/>
        </w:rPr>
        <w:t>lietas 1</w:t>
      </w:r>
      <w:r w:rsidR="001B6A04" w:rsidRPr="00F13E32">
        <w:rPr>
          <w:rFonts w:asciiTheme="majorBidi" w:hAnsiTheme="majorBidi" w:cstheme="majorBidi"/>
          <w:i/>
          <w:iCs/>
        </w:rPr>
        <w:t>76</w:t>
      </w:r>
      <w:r w:rsidRPr="00F13E32">
        <w:rPr>
          <w:rFonts w:asciiTheme="majorBidi" w:hAnsiTheme="majorBidi" w:cstheme="majorBidi"/>
          <w:i/>
          <w:iCs/>
        </w:rPr>
        <w:t>. lapa</w:t>
      </w:r>
      <w:r w:rsidRPr="00F13E32">
        <w:rPr>
          <w:rFonts w:asciiTheme="majorBidi" w:hAnsiTheme="majorBidi" w:cstheme="majorBidi"/>
        </w:rPr>
        <w:t>).</w:t>
      </w:r>
    </w:p>
    <w:p w14:paraId="4F154915" w14:textId="77777777" w:rsidR="00A24346" w:rsidRPr="00F13E32" w:rsidRDefault="00A24346" w:rsidP="00F13E32">
      <w:pPr>
        <w:spacing w:line="276" w:lineRule="auto"/>
        <w:jc w:val="center"/>
        <w:rPr>
          <w:rFonts w:asciiTheme="majorBidi" w:hAnsiTheme="majorBidi" w:cstheme="majorBidi"/>
        </w:rPr>
      </w:pPr>
    </w:p>
    <w:p w14:paraId="0BD99B21" w14:textId="6788E860" w:rsidR="008E3EE0" w:rsidRPr="00F13E32" w:rsidRDefault="00D974FC" w:rsidP="00F13E32">
      <w:pPr>
        <w:spacing w:line="276" w:lineRule="auto"/>
        <w:jc w:val="center"/>
        <w:rPr>
          <w:rFonts w:asciiTheme="majorBidi" w:hAnsiTheme="majorBidi" w:cstheme="majorBidi"/>
          <w:b/>
          <w:bCs/>
        </w:rPr>
      </w:pPr>
      <w:r w:rsidRPr="00F13E32">
        <w:rPr>
          <w:rFonts w:asciiTheme="majorBidi" w:hAnsiTheme="majorBidi" w:cstheme="majorBidi"/>
          <w:b/>
          <w:bCs/>
        </w:rPr>
        <w:t>Rezolutīvā daļa</w:t>
      </w:r>
    </w:p>
    <w:p w14:paraId="2BB1B30D" w14:textId="77777777" w:rsidR="00A24346" w:rsidRPr="00F13E32" w:rsidRDefault="00A24346" w:rsidP="00F13E32">
      <w:pPr>
        <w:spacing w:line="276" w:lineRule="auto"/>
        <w:jc w:val="center"/>
        <w:rPr>
          <w:rFonts w:asciiTheme="majorBidi" w:hAnsiTheme="majorBidi" w:cstheme="majorBidi"/>
        </w:rPr>
      </w:pPr>
    </w:p>
    <w:p w14:paraId="75C00A91" w14:textId="0651B300" w:rsidR="008E3EE0" w:rsidRPr="00F13E32" w:rsidRDefault="00D974FC" w:rsidP="00F13E32">
      <w:pPr>
        <w:spacing w:line="276" w:lineRule="auto"/>
        <w:ind w:firstLine="709"/>
        <w:jc w:val="both"/>
        <w:rPr>
          <w:rFonts w:asciiTheme="majorBidi" w:hAnsiTheme="majorBidi" w:cstheme="majorBidi"/>
        </w:rPr>
      </w:pPr>
      <w:r w:rsidRPr="00F13E32">
        <w:rPr>
          <w:rFonts w:asciiTheme="majorBidi" w:hAnsiTheme="majorBidi" w:cstheme="majorBidi"/>
        </w:rPr>
        <w:t>Pamatojoties uz Civilprocesa likuma 474.</w:t>
      </w:r>
      <w:r w:rsidR="00DE2C4E" w:rsidRPr="00F13E32">
        <w:rPr>
          <w:rFonts w:asciiTheme="majorBidi" w:hAnsiTheme="majorBidi" w:cstheme="majorBidi"/>
        </w:rPr>
        <w:t> </w:t>
      </w:r>
      <w:r w:rsidRPr="00F13E32">
        <w:rPr>
          <w:rFonts w:asciiTheme="majorBidi" w:hAnsiTheme="majorBidi" w:cstheme="majorBidi"/>
        </w:rPr>
        <w:t xml:space="preserve">panta </w:t>
      </w:r>
      <w:r w:rsidR="001B6A04" w:rsidRPr="00F13E32">
        <w:rPr>
          <w:rFonts w:asciiTheme="majorBidi" w:hAnsiTheme="majorBidi" w:cstheme="majorBidi"/>
        </w:rPr>
        <w:t>4</w:t>
      </w:r>
      <w:r w:rsidRPr="00F13E32">
        <w:rPr>
          <w:rFonts w:asciiTheme="majorBidi" w:hAnsiTheme="majorBidi" w:cstheme="majorBidi"/>
        </w:rPr>
        <w:t>.</w:t>
      </w:r>
      <w:r w:rsidR="00DE2C4E" w:rsidRPr="00F13E32">
        <w:rPr>
          <w:rFonts w:asciiTheme="majorBidi" w:hAnsiTheme="majorBidi" w:cstheme="majorBidi"/>
        </w:rPr>
        <w:t> </w:t>
      </w:r>
      <w:r w:rsidRPr="00F13E32">
        <w:rPr>
          <w:rFonts w:asciiTheme="majorBidi" w:hAnsiTheme="majorBidi" w:cstheme="majorBidi"/>
        </w:rPr>
        <w:t>punktu, Senāts</w:t>
      </w:r>
    </w:p>
    <w:p w14:paraId="4117315C" w14:textId="77777777" w:rsidR="0034654E" w:rsidRPr="00F13E32" w:rsidRDefault="0034654E" w:rsidP="00F13E32">
      <w:pPr>
        <w:spacing w:line="276" w:lineRule="auto"/>
        <w:jc w:val="center"/>
        <w:rPr>
          <w:rFonts w:asciiTheme="majorBidi" w:hAnsiTheme="majorBidi" w:cstheme="majorBidi"/>
          <w:b/>
          <w:bCs/>
        </w:rPr>
      </w:pPr>
    </w:p>
    <w:p w14:paraId="1C476D65" w14:textId="11569177" w:rsidR="008E3EE0" w:rsidRPr="00F13E32" w:rsidRDefault="008E3EE0" w:rsidP="00F13E32">
      <w:pPr>
        <w:spacing w:line="276" w:lineRule="auto"/>
        <w:jc w:val="center"/>
        <w:rPr>
          <w:rFonts w:asciiTheme="majorBidi" w:hAnsiTheme="majorBidi" w:cstheme="majorBidi"/>
          <w:b/>
          <w:bCs/>
        </w:rPr>
      </w:pPr>
      <w:r w:rsidRPr="00F13E32">
        <w:rPr>
          <w:rFonts w:asciiTheme="majorBidi" w:hAnsiTheme="majorBidi" w:cstheme="majorBidi"/>
          <w:b/>
          <w:bCs/>
        </w:rPr>
        <w:t>n</w:t>
      </w:r>
      <w:r w:rsidR="00D974FC" w:rsidRPr="00F13E32">
        <w:rPr>
          <w:rFonts w:asciiTheme="majorBidi" w:hAnsiTheme="majorBidi" w:cstheme="majorBidi"/>
          <w:b/>
          <w:bCs/>
        </w:rPr>
        <w:t>osprieda</w:t>
      </w:r>
    </w:p>
    <w:p w14:paraId="11A5D03C" w14:textId="77777777" w:rsidR="00A24346" w:rsidRPr="00F13E32" w:rsidRDefault="00A24346" w:rsidP="00F13E32">
      <w:pPr>
        <w:spacing w:line="276" w:lineRule="auto"/>
        <w:jc w:val="center"/>
        <w:rPr>
          <w:rFonts w:asciiTheme="majorBidi" w:hAnsiTheme="majorBidi" w:cstheme="majorBidi"/>
          <w:bCs/>
        </w:rPr>
      </w:pPr>
    </w:p>
    <w:p w14:paraId="559D8CDA" w14:textId="643B50F3" w:rsidR="00A24346" w:rsidRPr="00F13E32" w:rsidRDefault="001B6A04" w:rsidP="00F13E32">
      <w:pPr>
        <w:spacing w:line="276" w:lineRule="auto"/>
        <w:ind w:firstLine="709"/>
        <w:jc w:val="both"/>
        <w:rPr>
          <w:rFonts w:asciiTheme="majorBidi" w:hAnsiTheme="majorBidi" w:cstheme="majorBidi"/>
        </w:rPr>
      </w:pPr>
      <w:r w:rsidRPr="00F13E32">
        <w:rPr>
          <w:rFonts w:asciiTheme="majorBidi" w:hAnsiTheme="majorBidi" w:cstheme="majorBidi"/>
          <w:bCs/>
        </w:rPr>
        <w:t>grozīt</w:t>
      </w:r>
      <w:r w:rsidR="00A24346" w:rsidRPr="00F13E32">
        <w:rPr>
          <w:rFonts w:asciiTheme="majorBidi" w:hAnsiTheme="majorBidi" w:cstheme="majorBidi"/>
          <w:bCs/>
        </w:rPr>
        <w:t xml:space="preserve"> </w:t>
      </w:r>
      <w:r w:rsidR="00A24346" w:rsidRPr="00F13E32">
        <w:rPr>
          <w:rFonts w:asciiTheme="majorBidi" w:hAnsiTheme="majorBidi" w:cstheme="majorBidi"/>
        </w:rPr>
        <w:t xml:space="preserve">Rīgas apgabaltiesas 2024. gada </w:t>
      </w:r>
      <w:r w:rsidR="002D1394" w:rsidRPr="00F13E32">
        <w:rPr>
          <w:rFonts w:asciiTheme="majorBidi" w:hAnsiTheme="majorBidi" w:cstheme="majorBidi"/>
        </w:rPr>
        <w:t>19. marta</w:t>
      </w:r>
      <w:r w:rsidR="00A24346" w:rsidRPr="00F13E32">
        <w:rPr>
          <w:rFonts w:asciiTheme="majorBidi" w:hAnsiTheme="majorBidi" w:cstheme="majorBidi"/>
        </w:rPr>
        <w:t xml:space="preserve"> spriedumu </w:t>
      </w:r>
      <w:r w:rsidR="002D1394" w:rsidRPr="00F13E32">
        <w:rPr>
          <w:rFonts w:asciiTheme="majorBidi" w:hAnsiTheme="majorBidi" w:cstheme="majorBidi"/>
        </w:rPr>
        <w:t xml:space="preserve">daļā, ar kuru nospriests atzīt par spēkā neesošu zvērinātas notāres Renātes Rones 2018. gada 6. augustā </w:t>
      </w:r>
      <w:r w:rsidR="003C5BB3" w:rsidRPr="00F13E32">
        <w:rPr>
          <w:rFonts w:asciiTheme="majorBidi" w:hAnsiTheme="majorBidi" w:cstheme="majorBidi"/>
        </w:rPr>
        <w:t>izsniegto</w:t>
      </w:r>
      <w:r w:rsidR="002D1394" w:rsidRPr="00F13E32">
        <w:rPr>
          <w:rFonts w:asciiTheme="majorBidi" w:hAnsiTheme="majorBidi" w:cstheme="majorBidi"/>
        </w:rPr>
        <w:t xml:space="preserve"> mantojuma apliecību (aktu par pēdējās gribas rīkojuma akta stāšanos likumīgā spēkā), kas iereģistrēta aktu un apliecinājumu reģistrā ar Nr. 2282, par </w:t>
      </w:r>
      <w:r w:rsidR="00854E08" w:rsidRPr="00F13E32">
        <w:rPr>
          <w:rFonts w:asciiTheme="majorBidi" w:hAnsiTheme="majorBidi" w:cstheme="majorBidi"/>
        </w:rPr>
        <w:t>[pers. C]</w:t>
      </w:r>
      <w:r w:rsidR="002D1394" w:rsidRPr="00F13E32">
        <w:rPr>
          <w:rFonts w:asciiTheme="majorBidi" w:hAnsiTheme="majorBidi" w:cstheme="majorBidi"/>
        </w:rPr>
        <w:t xml:space="preserve">, personas kods </w:t>
      </w:r>
      <w:r w:rsidR="000B7024" w:rsidRPr="00F13E32">
        <w:rPr>
          <w:rFonts w:asciiTheme="majorBidi" w:hAnsiTheme="majorBidi" w:cstheme="majorBidi"/>
        </w:rPr>
        <w:t>[..]</w:t>
      </w:r>
      <w:r w:rsidR="002D1394" w:rsidRPr="00F13E32">
        <w:rPr>
          <w:rFonts w:asciiTheme="majorBidi" w:hAnsiTheme="majorBidi" w:cstheme="majorBidi"/>
        </w:rPr>
        <w:t>, atstāto mantojumu</w:t>
      </w:r>
      <w:r w:rsidR="009363C3" w:rsidRPr="00F13E32">
        <w:rPr>
          <w:rFonts w:asciiTheme="majorBidi" w:hAnsiTheme="majorBidi" w:cstheme="majorBidi"/>
        </w:rPr>
        <w:t>;</w:t>
      </w:r>
    </w:p>
    <w:p w14:paraId="74A7D439" w14:textId="315AA295" w:rsidR="002D1394" w:rsidRPr="00F13E32" w:rsidRDefault="002D1394" w:rsidP="00F13E32">
      <w:pPr>
        <w:spacing w:line="276" w:lineRule="auto"/>
        <w:ind w:firstLine="709"/>
        <w:jc w:val="both"/>
        <w:rPr>
          <w:rFonts w:asciiTheme="majorBidi" w:hAnsiTheme="majorBidi" w:cstheme="majorBidi"/>
        </w:rPr>
      </w:pPr>
      <w:r w:rsidRPr="00F13E32">
        <w:rPr>
          <w:rFonts w:asciiTheme="majorBidi" w:hAnsiTheme="majorBidi" w:cstheme="majorBidi"/>
        </w:rPr>
        <w:t xml:space="preserve">atzīt par spēkā neesošu zvērinātas notāres Renātes Rones 2018. gada 6. augustā </w:t>
      </w:r>
      <w:r w:rsidR="003C5BB3" w:rsidRPr="00F13E32">
        <w:rPr>
          <w:rFonts w:asciiTheme="majorBidi" w:hAnsiTheme="majorBidi" w:cstheme="majorBidi"/>
        </w:rPr>
        <w:t>izsniegto</w:t>
      </w:r>
      <w:r w:rsidRPr="00F13E32">
        <w:rPr>
          <w:rFonts w:asciiTheme="majorBidi" w:hAnsiTheme="majorBidi" w:cstheme="majorBidi"/>
        </w:rPr>
        <w:t xml:space="preserve"> mantojuma apliecību (aktu par pēdējās gribas rīkojuma akta stāšanos likumīgā spēkā), kas iereģistrēta aktu un apliecinājumu reģistrā ar Nr. 2282, daļā, ar </w:t>
      </w:r>
      <w:bookmarkStart w:id="5" w:name="_Hlk177802174"/>
      <w:r w:rsidRPr="00F13E32">
        <w:rPr>
          <w:rFonts w:asciiTheme="majorBidi" w:hAnsiTheme="majorBidi" w:cstheme="majorBidi"/>
        </w:rPr>
        <w:t xml:space="preserve">kuru </w:t>
      </w:r>
      <w:r w:rsidR="00854E08" w:rsidRPr="00F13E32">
        <w:rPr>
          <w:rFonts w:asciiTheme="majorBidi" w:hAnsiTheme="majorBidi" w:cstheme="majorBidi"/>
        </w:rPr>
        <w:t>[pers. B]</w:t>
      </w:r>
      <w:r w:rsidRPr="00F13E32">
        <w:rPr>
          <w:rFonts w:asciiTheme="majorBidi" w:hAnsiTheme="majorBidi" w:cstheme="majorBidi"/>
        </w:rPr>
        <w:t xml:space="preserve">, personas kods </w:t>
      </w:r>
      <w:r w:rsidR="000B7024" w:rsidRPr="00F13E32">
        <w:rPr>
          <w:rFonts w:asciiTheme="majorBidi" w:hAnsiTheme="majorBidi" w:cstheme="majorBidi"/>
        </w:rPr>
        <w:t>[..]</w:t>
      </w:r>
      <w:r w:rsidR="00A828AD" w:rsidRPr="00F13E32">
        <w:rPr>
          <w:rFonts w:asciiTheme="majorBidi" w:hAnsiTheme="majorBidi" w:cstheme="majorBidi"/>
        </w:rPr>
        <w:t>,</w:t>
      </w:r>
      <w:r w:rsidRPr="00F13E32">
        <w:rPr>
          <w:rFonts w:asciiTheme="majorBidi" w:hAnsiTheme="majorBidi" w:cstheme="majorBidi"/>
        </w:rPr>
        <w:t xml:space="preserve"> iecelta par mantinieci uz 1/2 (vienu otro) domājamo daļu no </w:t>
      </w:r>
      <w:r w:rsidR="00854E08" w:rsidRPr="00F13E32">
        <w:rPr>
          <w:rFonts w:asciiTheme="majorBidi" w:hAnsiTheme="majorBidi" w:cstheme="majorBidi"/>
        </w:rPr>
        <w:t>[pers. C]</w:t>
      </w:r>
      <w:r w:rsidRPr="00F13E32">
        <w:rPr>
          <w:rFonts w:asciiTheme="majorBidi" w:hAnsiTheme="majorBidi" w:cstheme="majorBidi"/>
        </w:rPr>
        <w:t xml:space="preserve">, personas kods </w:t>
      </w:r>
      <w:r w:rsidR="000B7024" w:rsidRPr="00F13E32">
        <w:rPr>
          <w:rFonts w:asciiTheme="majorBidi" w:hAnsiTheme="majorBidi" w:cstheme="majorBidi"/>
        </w:rPr>
        <w:t>[..]</w:t>
      </w:r>
      <w:r w:rsidRPr="00F13E32">
        <w:rPr>
          <w:rFonts w:asciiTheme="majorBidi" w:hAnsiTheme="majorBidi" w:cstheme="majorBidi"/>
        </w:rPr>
        <w:t>, atstātā mantojuma</w:t>
      </w:r>
      <w:r w:rsidR="00A828AD" w:rsidRPr="00F13E32">
        <w:rPr>
          <w:rFonts w:asciiTheme="majorBidi" w:hAnsiTheme="majorBidi" w:cstheme="majorBidi"/>
        </w:rPr>
        <w:t xml:space="preserve">, t. i., uz to minētā mantojuma daļu, uz kuru </w:t>
      </w:r>
      <w:r w:rsidR="00E72388" w:rsidRPr="00F13E32">
        <w:rPr>
          <w:rFonts w:asciiTheme="majorBidi" w:hAnsiTheme="majorBidi" w:cstheme="majorBidi"/>
        </w:rPr>
        <w:t xml:space="preserve">ar </w:t>
      </w:r>
      <w:r w:rsidR="004942B2" w:rsidRPr="00F13E32">
        <w:rPr>
          <w:rFonts w:asciiTheme="majorBidi" w:hAnsiTheme="majorBidi" w:cstheme="majorBidi"/>
        </w:rPr>
        <w:t>šo</w:t>
      </w:r>
      <w:r w:rsidR="00E72388" w:rsidRPr="00F13E32">
        <w:rPr>
          <w:rFonts w:asciiTheme="majorBidi" w:hAnsiTheme="majorBidi" w:cstheme="majorBidi"/>
        </w:rPr>
        <w:t xml:space="preserve"> spriedumu </w:t>
      </w:r>
      <w:r w:rsidR="00A828AD" w:rsidRPr="00F13E32">
        <w:rPr>
          <w:rFonts w:asciiTheme="majorBidi" w:hAnsiTheme="majorBidi" w:cstheme="majorBidi"/>
        </w:rPr>
        <w:t xml:space="preserve">atzīta </w:t>
      </w:r>
      <w:r w:rsidR="00B92F08" w:rsidRPr="00F13E32">
        <w:rPr>
          <w:rFonts w:asciiTheme="majorBidi" w:hAnsiTheme="majorBidi" w:cstheme="majorBidi"/>
        </w:rPr>
        <w:t>[pers. A]</w:t>
      </w:r>
      <w:r w:rsidR="00A828AD" w:rsidRPr="00F13E32">
        <w:rPr>
          <w:rFonts w:asciiTheme="majorBidi" w:hAnsiTheme="majorBidi" w:cstheme="majorBidi"/>
        </w:rPr>
        <w:t xml:space="preserve">, personas kods </w:t>
      </w:r>
      <w:r w:rsidR="000B7024" w:rsidRPr="00F13E32">
        <w:rPr>
          <w:rFonts w:asciiTheme="majorBidi" w:hAnsiTheme="majorBidi" w:cstheme="majorBidi"/>
        </w:rPr>
        <w:t>[..]</w:t>
      </w:r>
      <w:r w:rsidR="00A828AD" w:rsidRPr="00F13E32">
        <w:rPr>
          <w:rFonts w:asciiTheme="majorBidi" w:hAnsiTheme="majorBidi" w:cstheme="majorBidi"/>
        </w:rPr>
        <w:t>, mantojuma tiesība</w:t>
      </w:r>
      <w:r w:rsidRPr="00F13E32">
        <w:rPr>
          <w:rFonts w:asciiTheme="majorBidi" w:hAnsiTheme="majorBidi" w:cstheme="majorBidi"/>
        </w:rPr>
        <w:t>;</w:t>
      </w:r>
    </w:p>
    <w:bookmarkEnd w:id="5"/>
    <w:p w14:paraId="17EE21A4" w14:textId="319ED733" w:rsidR="009363C3" w:rsidRPr="00F13E32" w:rsidRDefault="009363C3" w:rsidP="00F13E32">
      <w:pPr>
        <w:tabs>
          <w:tab w:val="left" w:pos="2700"/>
          <w:tab w:val="left" w:pos="6660"/>
        </w:tabs>
        <w:spacing w:line="276" w:lineRule="auto"/>
        <w:ind w:firstLine="709"/>
        <w:jc w:val="both"/>
        <w:rPr>
          <w:rFonts w:asciiTheme="majorBidi" w:hAnsiTheme="majorBidi" w:cstheme="majorBidi"/>
        </w:rPr>
      </w:pPr>
      <w:r w:rsidRPr="00F13E32">
        <w:rPr>
          <w:rFonts w:asciiTheme="majorBidi" w:hAnsiTheme="majorBidi" w:cstheme="majorBidi"/>
        </w:rPr>
        <w:t xml:space="preserve">atmaksāt </w:t>
      </w:r>
      <w:r w:rsidR="00854E08" w:rsidRPr="00F13E32">
        <w:rPr>
          <w:rFonts w:asciiTheme="majorBidi" w:hAnsiTheme="majorBidi" w:cstheme="majorBidi"/>
        </w:rPr>
        <w:t xml:space="preserve">[pers. B] </w:t>
      </w:r>
      <w:r w:rsidRPr="00F13E32">
        <w:rPr>
          <w:rFonts w:asciiTheme="majorBidi" w:hAnsiTheme="majorBidi" w:cstheme="majorBidi"/>
        </w:rPr>
        <w:t>drošības naudu 300 </w:t>
      </w:r>
      <w:proofErr w:type="spellStart"/>
      <w:r w:rsidRPr="00F13E32">
        <w:rPr>
          <w:rFonts w:asciiTheme="majorBidi" w:hAnsiTheme="majorBidi" w:cstheme="majorBidi"/>
          <w:i/>
          <w:iCs/>
        </w:rPr>
        <w:t>euro</w:t>
      </w:r>
      <w:proofErr w:type="spellEnd"/>
      <w:r w:rsidRPr="00F13E32">
        <w:rPr>
          <w:rFonts w:asciiTheme="majorBidi" w:hAnsiTheme="majorBidi" w:cstheme="majorBidi"/>
        </w:rPr>
        <w:t xml:space="preserve"> (trīs simti </w:t>
      </w:r>
      <w:proofErr w:type="spellStart"/>
      <w:r w:rsidRPr="00F13E32">
        <w:rPr>
          <w:rFonts w:asciiTheme="majorBidi" w:hAnsiTheme="majorBidi" w:cstheme="majorBidi"/>
          <w:i/>
          <w:iCs/>
        </w:rPr>
        <w:t>euro</w:t>
      </w:r>
      <w:proofErr w:type="spellEnd"/>
      <w:r w:rsidRPr="00F13E32">
        <w:rPr>
          <w:rFonts w:asciiTheme="majorBidi" w:hAnsiTheme="majorBidi" w:cstheme="majorBidi"/>
        </w:rPr>
        <w:t>).</w:t>
      </w:r>
    </w:p>
    <w:p w14:paraId="5F30F58B" w14:textId="77777777" w:rsidR="002D0CC4" w:rsidRPr="00F13E32" w:rsidRDefault="002D0CC4" w:rsidP="00F13E32">
      <w:pPr>
        <w:tabs>
          <w:tab w:val="left" w:pos="2700"/>
          <w:tab w:val="left" w:pos="6660"/>
        </w:tabs>
        <w:spacing w:line="276" w:lineRule="auto"/>
        <w:ind w:firstLine="709"/>
        <w:jc w:val="both"/>
        <w:rPr>
          <w:rFonts w:asciiTheme="majorBidi" w:hAnsiTheme="majorBidi" w:cstheme="majorBidi"/>
        </w:rPr>
      </w:pPr>
    </w:p>
    <w:p w14:paraId="1B7C6AA0" w14:textId="53B1986A" w:rsidR="00D974FC" w:rsidRPr="00F13E32" w:rsidRDefault="00D974FC" w:rsidP="00F13E32">
      <w:pPr>
        <w:tabs>
          <w:tab w:val="left" w:pos="2700"/>
          <w:tab w:val="left" w:pos="6660"/>
        </w:tabs>
        <w:spacing w:line="276" w:lineRule="auto"/>
        <w:ind w:firstLine="709"/>
        <w:jc w:val="both"/>
        <w:rPr>
          <w:rFonts w:asciiTheme="majorBidi" w:hAnsiTheme="majorBidi" w:cstheme="majorBidi"/>
        </w:rPr>
      </w:pPr>
      <w:r w:rsidRPr="00F13E32">
        <w:rPr>
          <w:rFonts w:asciiTheme="majorBidi" w:hAnsiTheme="majorBidi" w:cstheme="majorBidi"/>
        </w:rPr>
        <w:t>Spriedums nav pārsūdzams.</w:t>
      </w:r>
    </w:p>
    <w:sectPr w:rsidR="00D974FC" w:rsidRPr="00F13E32" w:rsidSect="00F13E32">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7BF34" w14:textId="77777777" w:rsidR="009C27FA" w:rsidRDefault="009C27FA">
      <w:r>
        <w:separator/>
      </w:r>
    </w:p>
  </w:endnote>
  <w:endnote w:type="continuationSeparator" w:id="0">
    <w:p w14:paraId="189AF6EC" w14:textId="77777777" w:rsidR="009C27FA" w:rsidRDefault="009C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355C7" w14:textId="27ABB072" w:rsidR="00671722" w:rsidRPr="00CC7344" w:rsidRDefault="00671722" w:rsidP="00671722">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1</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F13E32">
      <w:rPr>
        <w:rStyle w:val="PageNumber"/>
        <w:noProof/>
        <w:sz w:val="22"/>
        <w:szCs w:val="22"/>
      </w:rPr>
      <w:t>5</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CB569" w14:textId="77777777" w:rsidR="009C27FA" w:rsidRDefault="009C27FA">
      <w:r>
        <w:separator/>
      </w:r>
    </w:p>
  </w:footnote>
  <w:footnote w:type="continuationSeparator" w:id="0">
    <w:p w14:paraId="3C82C9F7" w14:textId="77777777" w:rsidR="009C27FA" w:rsidRDefault="009C2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41EC5"/>
    <w:multiLevelType w:val="hybridMultilevel"/>
    <w:tmpl w:val="454020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3B9E5884"/>
    <w:multiLevelType w:val="hybridMultilevel"/>
    <w:tmpl w:val="117C3B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BA7E6B"/>
    <w:multiLevelType w:val="hybridMultilevel"/>
    <w:tmpl w:val="636A37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2569075">
    <w:abstractNumId w:val="2"/>
  </w:num>
  <w:num w:numId="2" w16cid:durableId="1794711176">
    <w:abstractNumId w:val="3"/>
  </w:num>
  <w:num w:numId="3" w16cid:durableId="1583563464">
    <w:abstractNumId w:val="0"/>
  </w:num>
  <w:num w:numId="4" w16cid:durableId="1067653378">
    <w:abstractNumId w:val="1"/>
  </w:num>
  <w:num w:numId="5" w16cid:durableId="493303501">
    <w:abstractNumId w:val="4"/>
  </w:num>
  <w:num w:numId="6" w16cid:durableId="1991519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2DE0"/>
    <w:rsid w:val="00003BB1"/>
    <w:rsid w:val="00006E02"/>
    <w:rsid w:val="00010EFA"/>
    <w:rsid w:val="00020F48"/>
    <w:rsid w:val="00022054"/>
    <w:rsid w:val="00025262"/>
    <w:rsid w:val="000253F2"/>
    <w:rsid w:val="0002748C"/>
    <w:rsid w:val="00034EDF"/>
    <w:rsid w:val="00036201"/>
    <w:rsid w:val="00041BCE"/>
    <w:rsid w:val="0005096D"/>
    <w:rsid w:val="000545AF"/>
    <w:rsid w:val="00060AE4"/>
    <w:rsid w:val="00070422"/>
    <w:rsid w:val="00070E06"/>
    <w:rsid w:val="00085808"/>
    <w:rsid w:val="000872F1"/>
    <w:rsid w:val="000919C1"/>
    <w:rsid w:val="00096D59"/>
    <w:rsid w:val="000A1C80"/>
    <w:rsid w:val="000A302E"/>
    <w:rsid w:val="000B13F7"/>
    <w:rsid w:val="000B50E9"/>
    <w:rsid w:val="000B7024"/>
    <w:rsid w:val="000C0713"/>
    <w:rsid w:val="000C1A4D"/>
    <w:rsid w:val="000C1D5D"/>
    <w:rsid w:val="000C2166"/>
    <w:rsid w:val="000C2352"/>
    <w:rsid w:val="000C2A6D"/>
    <w:rsid w:val="000C6638"/>
    <w:rsid w:val="000E04CA"/>
    <w:rsid w:val="000E1CF2"/>
    <w:rsid w:val="001003C7"/>
    <w:rsid w:val="00101A5E"/>
    <w:rsid w:val="001038AD"/>
    <w:rsid w:val="00104E3B"/>
    <w:rsid w:val="001055AA"/>
    <w:rsid w:val="00105A20"/>
    <w:rsid w:val="00107139"/>
    <w:rsid w:val="001072A7"/>
    <w:rsid w:val="001105E5"/>
    <w:rsid w:val="00112039"/>
    <w:rsid w:val="001127D6"/>
    <w:rsid w:val="0011468E"/>
    <w:rsid w:val="00122727"/>
    <w:rsid w:val="00123A89"/>
    <w:rsid w:val="00131D01"/>
    <w:rsid w:val="00133270"/>
    <w:rsid w:val="00133CC0"/>
    <w:rsid w:val="0013411C"/>
    <w:rsid w:val="00134483"/>
    <w:rsid w:val="00137E8C"/>
    <w:rsid w:val="001407F1"/>
    <w:rsid w:val="00140FC6"/>
    <w:rsid w:val="001415A8"/>
    <w:rsid w:val="0014535C"/>
    <w:rsid w:val="00146889"/>
    <w:rsid w:val="00156426"/>
    <w:rsid w:val="00156620"/>
    <w:rsid w:val="00156F29"/>
    <w:rsid w:val="0016179B"/>
    <w:rsid w:val="001625F9"/>
    <w:rsid w:val="00163994"/>
    <w:rsid w:val="00167E28"/>
    <w:rsid w:val="00170632"/>
    <w:rsid w:val="00170BCB"/>
    <w:rsid w:val="00171739"/>
    <w:rsid w:val="0017400B"/>
    <w:rsid w:val="0017421B"/>
    <w:rsid w:val="00174383"/>
    <w:rsid w:val="00175388"/>
    <w:rsid w:val="00176932"/>
    <w:rsid w:val="00183CA0"/>
    <w:rsid w:val="0019558C"/>
    <w:rsid w:val="00196889"/>
    <w:rsid w:val="001968F4"/>
    <w:rsid w:val="001A0FBA"/>
    <w:rsid w:val="001A2DBF"/>
    <w:rsid w:val="001A555D"/>
    <w:rsid w:val="001A7F83"/>
    <w:rsid w:val="001B0C39"/>
    <w:rsid w:val="001B6A04"/>
    <w:rsid w:val="001B7C27"/>
    <w:rsid w:val="001C4C6E"/>
    <w:rsid w:val="001C6C5A"/>
    <w:rsid w:val="001D000B"/>
    <w:rsid w:val="001D0202"/>
    <w:rsid w:val="001D0C4A"/>
    <w:rsid w:val="001D3194"/>
    <w:rsid w:val="001D38A5"/>
    <w:rsid w:val="001D477E"/>
    <w:rsid w:val="001E1DFA"/>
    <w:rsid w:val="001E3CFD"/>
    <w:rsid w:val="001E42BD"/>
    <w:rsid w:val="001E6A74"/>
    <w:rsid w:val="001F0392"/>
    <w:rsid w:val="001F254F"/>
    <w:rsid w:val="001F522D"/>
    <w:rsid w:val="001F5FEB"/>
    <w:rsid w:val="001F74D0"/>
    <w:rsid w:val="00201543"/>
    <w:rsid w:val="00202DA3"/>
    <w:rsid w:val="00210057"/>
    <w:rsid w:val="00211B3F"/>
    <w:rsid w:val="00213514"/>
    <w:rsid w:val="002150B4"/>
    <w:rsid w:val="002159F8"/>
    <w:rsid w:val="00215A16"/>
    <w:rsid w:val="002161EA"/>
    <w:rsid w:val="00217E3E"/>
    <w:rsid w:val="00221F11"/>
    <w:rsid w:val="00223392"/>
    <w:rsid w:val="00226151"/>
    <w:rsid w:val="00226866"/>
    <w:rsid w:val="0022707A"/>
    <w:rsid w:val="00233E6A"/>
    <w:rsid w:val="0023604D"/>
    <w:rsid w:val="00242CD3"/>
    <w:rsid w:val="0024454F"/>
    <w:rsid w:val="002457AC"/>
    <w:rsid w:val="00251A49"/>
    <w:rsid w:val="002525DB"/>
    <w:rsid w:val="00261F5F"/>
    <w:rsid w:val="00263C0D"/>
    <w:rsid w:val="002667E5"/>
    <w:rsid w:val="00274555"/>
    <w:rsid w:val="002813E2"/>
    <w:rsid w:val="00282972"/>
    <w:rsid w:val="00282BF9"/>
    <w:rsid w:val="00285152"/>
    <w:rsid w:val="00292ABD"/>
    <w:rsid w:val="0029320A"/>
    <w:rsid w:val="00294F8A"/>
    <w:rsid w:val="00296AB6"/>
    <w:rsid w:val="00297D88"/>
    <w:rsid w:val="002A43F6"/>
    <w:rsid w:val="002A7DF7"/>
    <w:rsid w:val="002B06D3"/>
    <w:rsid w:val="002B1147"/>
    <w:rsid w:val="002B1C09"/>
    <w:rsid w:val="002B6DC8"/>
    <w:rsid w:val="002B7247"/>
    <w:rsid w:val="002D0CC4"/>
    <w:rsid w:val="002D1394"/>
    <w:rsid w:val="002D1C19"/>
    <w:rsid w:val="002D2A04"/>
    <w:rsid w:val="002D3BC4"/>
    <w:rsid w:val="002D4DCD"/>
    <w:rsid w:val="002D63CD"/>
    <w:rsid w:val="002D7A15"/>
    <w:rsid w:val="002E1815"/>
    <w:rsid w:val="002E1DF2"/>
    <w:rsid w:val="002E2155"/>
    <w:rsid w:val="002E4A74"/>
    <w:rsid w:val="002E5284"/>
    <w:rsid w:val="002E6F88"/>
    <w:rsid w:val="002E7B30"/>
    <w:rsid w:val="002F101C"/>
    <w:rsid w:val="002F1C6A"/>
    <w:rsid w:val="002F1E3A"/>
    <w:rsid w:val="002F4CA5"/>
    <w:rsid w:val="00304B8B"/>
    <w:rsid w:val="003137B7"/>
    <w:rsid w:val="003214F8"/>
    <w:rsid w:val="00326011"/>
    <w:rsid w:val="00331D27"/>
    <w:rsid w:val="00332304"/>
    <w:rsid w:val="00336D8E"/>
    <w:rsid w:val="0034420C"/>
    <w:rsid w:val="0034654E"/>
    <w:rsid w:val="00347446"/>
    <w:rsid w:val="0034756F"/>
    <w:rsid w:val="0034763A"/>
    <w:rsid w:val="00347889"/>
    <w:rsid w:val="0035419A"/>
    <w:rsid w:val="00354B69"/>
    <w:rsid w:val="00357194"/>
    <w:rsid w:val="00366817"/>
    <w:rsid w:val="00370B20"/>
    <w:rsid w:val="00371019"/>
    <w:rsid w:val="00371B43"/>
    <w:rsid w:val="00371E78"/>
    <w:rsid w:val="00374ECF"/>
    <w:rsid w:val="00392EC5"/>
    <w:rsid w:val="003934FA"/>
    <w:rsid w:val="0039402F"/>
    <w:rsid w:val="00394351"/>
    <w:rsid w:val="003A136E"/>
    <w:rsid w:val="003A2A38"/>
    <w:rsid w:val="003A3F11"/>
    <w:rsid w:val="003A5FA0"/>
    <w:rsid w:val="003A7390"/>
    <w:rsid w:val="003B0D12"/>
    <w:rsid w:val="003B10E8"/>
    <w:rsid w:val="003B32C4"/>
    <w:rsid w:val="003B392C"/>
    <w:rsid w:val="003B394D"/>
    <w:rsid w:val="003B542D"/>
    <w:rsid w:val="003C3E35"/>
    <w:rsid w:val="003C4538"/>
    <w:rsid w:val="003C5BB3"/>
    <w:rsid w:val="003D0867"/>
    <w:rsid w:val="003D2B20"/>
    <w:rsid w:val="003D3A98"/>
    <w:rsid w:val="003D4611"/>
    <w:rsid w:val="003D63DF"/>
    <w:rsid w:val="003D68BC"/>
    <w:rsid w:val="003D6B95"/>
    <w:rsid w:val="003D7345"/>
    <w:rsid w:val="003E55DF"/>
    <w:rsid w:val="003E6EE9"/>
    <w:rsid w:val="003F04C6"/>
    <w:rsid w:val="003F1EB3"/>
    <w:rsid w:val="003F25E4"/>
    <w:rsid w:val="003F5D04"/>
    <w:rsid w:val="00404305"/>
    <w:rsid w:val="00407029"/>
    <w:rsid w:val="00410584"/>
    <w:rsid w:val="0041236F"/>
    <w:rsid w:val="00415639"/>
    <w:rsid w:val="00424CE3"/>
    <w:rsid w:val="0042678B"/>
    <w:rsid w:val="004308BB"/>
    <w:rsid w:val="00432A2B"/>
    <w:rsid w:val="004333F8"/>
    <w:rsid w:val="0043579F"/>
    <w:rsid w:val="00435844"/>
    <w:rsid w:val="004435ED"/>
    <w:rsid w:val="0044797D"/>
    <w:rsid w:val="00447E9F"/>
    <w:rsid w:val="00450693"/>
    <w:rsid w:val="00452863"/>
    <w:rsid w:val="00461A97"/>
    <w:rsid w:val="004630AD"/>
    <w:rsid w:val="0046386B"/>
    <w:rsid w:val="00463A92"/>
    <w:rsid w:val="00465E18"/>
    <w:rsid w:val="0047502E"/>
    <w:rsid w:val="004750C3"/>
    <w:rsid w:val="0047607D"/>
    <w:rsid w:val="00476D3F"/>
    <w:rsid w:val="00480CC6"/>
    <w:rsid w:val="004942B2"/>
    <w:rsid w:val="004A0AA4"/>
    <w:rsid w:val="004A1084"/>
    <w:rsid w:val="004A2DFC"/>
    <w:rsid w:val="004A36E2"/>
    <w:rsid w:val="004A3D51"/>
    <w:rsid w:val="004A4A23"/>
    <w:rsid w:val="004B5814"/>
    <w:rsid w:val="004C1110"/>
    <w:rsid w:val="004C1316"/>
    <w:rsid w:val="004C7FDC"/>
    <w:rsid w:val="004D45BB"/>
    <w:rsid w:val="004E1285"/>
    <w:rsid w:val="004E30D1"/>
    <w:rsid w:val="004E5679"/>
    <w:rsid w:val="004F17AD"/>
    <w:rsid w:val="004F1D34"/>
    <w:rsid w:val="004F3795"/>
    <w:rsid w:val="004F7197"/>
    <w:rsid w:val="00500421"/>
    <w:rsid w:val="00504473"/>
    <w:rsid w:val="00512019"/>
    <w:rsid w:val="0051293A"/>
    <w:rsid w:val="005134C2"/>
    <w:rsid w:val="00515A11"/>
    <w:rsid w:val="00515F4B"/>
    <w:rsid w:val="00520969"/>
    <w:rsid w:val="00523A58"/>
    <w:rsid w:val="00524B27"/>
    <w:rsid w:val="0052757A"/>
    <w:rsid w:val="00534382"/>
    <w:rsid w:val="005347A8"/>
    <w:rsid w:val="00544807"/>
    <w:rsid w:val="00546550"/>
    <w:rsid w:val="005465CA"/>
    <w:rsid w:val="00551091"/>
    <w:rsid w:val="0055232B"/>
    <w:rsid w:val="0055606B"/>
    <w:rsid w:val="00556C2F"/>
    <w:rsid w:val="00557144"/>
    <w:rsid w:val="00564702"/>
    <w:rsid w:val="005655AC"/>
    <w:rsid w:val="00571E2D"/>
    <w:rsid w:val="00574831"/>
    <w:rsid w:val="005800D2"/>
    <w:rsid w:val="00581B93"/>
    <w:rsid w:val="00585524"/>
    <w:rsid w:val="00587BBB"/>
    <w:rsid w:val="00591848"/>
    <w:rsid w:val="005A02C8"/>
    <w:rsid w:val="005A24C6"/>
    <w:rsid w:val="005B1D37"/>
    <w:rsid w:val="005C291C"/>
    <w:rsid w:val="005C45B6"/>
    <w:rsid w:val="005D3923"/>
    <w:rsid w:val="005D5CF8"/>
    <w:rsid w:val="005E3149"/>
    <w:rsid w:val="005E580C"/>
    <w:rsid w:val="005E584C"/>
    <w:rsid w:val="005E5B66"/>
    <w:rsid w:val="005E6FB9"/>
    <w:rsid w:val="005F0363"/>
    <w:rsid w:val="005F3FFA"/>
    <w:rsid w:val="005F7B71"/>
    <w:rsid w:val="00602827"/>
    <w:rsid w:val="00603039"/>
    <w:rsid w:val="0060459B"/>
    <w:rsid w:val="006064F2"/>
    <w:rsid w:val="006104E7"/>
    <w:rsid w:val="00615ABB"/>
    <w:rsid w:val="00615C10"/>
    <w:rsid w:val="00615C42"/>
    <w:rsid w:val="00616D0E"/>
    <w:rsid w:val="00625B81"/>
    <w:rsid w:val="00627CFD"/>
    <w:rsid w:val="00635692"/>
    <w:rsid w:val="00637196"/>
    <w:rsid w:val="00641B6D"/>
    <w:rsid w:val="00647B3A"/>
    <w:rsid w:val="0065038E"/>
    <w:rsid w:val="00650BB9"/>
    <w:rsid w:val="00653EA5"/>
    <w:rsid w:val="00656D29"/>
    <w:rsid w:val="00663A5C"/>
    <w:rsid w:val="006663F1"/>
    <w:rsid w:val="00670209"/>
    <w:rsid w:val="00670554"/>
    <w:rsid w:val="00671722"/>
    <w:rsid w:val="006727C7"/>
    <w:rsid w:val="0068135D"/>
    <w:rsid w:val="00686E16"/>
    <w:rsid w:val="00687878"/>
    <w:rsid w:val="00694467"/>
    <w:rsid w:val="00696B97"/>
    <w:rsid w:val="0069702E"/>
    <w:rsid w:val="006A2F8F"/>
    <w:rsid w:val="006A553C"/>
    <w:rsid w:val="006A6F87"/>
    <w:rsid w:val="006B0191"/>
    <w:rsid w:val="006B37F5"/>
    <w:rsid w:val="006C4DB2"/>
    <w:rsid w:val="006C5568"/>
    <w:rsid w:val="006C6244"/>
    <w:rsid w:val="006C6A1F"/>
    <w:rsid w:val="006C6EB5"/>
    <w:rsid w:val="006D0021"/>
    <w:rsid w:val="006D0C38"/>
    <w:rsid w:val="006D0CA7"/>
    <w:rsid w:val="006D23A2"/>
    <w:rsid w:val="006D480D"/>
    <w:rsid w:val="006D52D1"/>
    <w:rsid w:val="006D5494"/>
    <w:rsid w:val="006D6157"/>
    <w:rsid w:val="006E05FD"/>
    <w:rsid w:val="006E246B"/>
    <w:rsid w:val="006E4B86"/>
    <w:rsid w:val="006E76EF"/>
    <w:rsid w:val="006E7CA1"/>
    <w:rsid w:val="006F3132"/>
    <w:rsid w:val="006F3D8B"/>
    <w:rsid w:val="006F697B"/>
    <w:rsid w:val="00701C86"/>
    <w:rsid w:val="007026D1"/>
    <w:rsid w:val="00712C5B"/>
    <w:rsid w:val="0071372F"/>
    <w:rsid w:val="00715423"/>
    <w:rsid w:val="00715E07"/>
    <w:rsid w:val="00716F5E"/>
    <w:rsid w:val="00717CDD"/>
    <w:rsid w:val="00721E85"/>
    <w:rsid w:val="007251E1"/>
    <w:rsid w:val="00726E9B"/>
    <w:rsid w:val="0073121F"/>
    <w:rsid w:val="00733309"/>
    <w:rsid w:val="00735D3D"/>
    <w:rsid w:val="0074181D"/>
    <w:rsid w:val="00745ADE"/>
    <w:rsid w:val="007463FC"/>
    <w:rsid w:val="00752D3B"/>
    <w:rsid w:val="00753403"/>
    <w:rsid w:val="007539DF"/>
    <w:rsid w:val="00753B62"/>
    <w:rsid w:val="00754697"/>
    <w:rsid w:val="00755D78"/>
    <w:rsid w:val="00761FD9"/>
    <w:rsid w:val="00764298"/>
    <w:rsid w:val="00772BA0"/>
    <w:rsid w:val="0077463E"/>
    <w:rsid w:val="00776ABC"/>
    <w:rsid w:val="00777BC0"/>
    <w:rsid w:val="00781D58"/>
    <w:rsid w:val="00785F1A"/>
    <w:rsid w:val="007869D8"/>
    <w:rsid w:val="00786F4C"/>
    <w:rsid w:val="0079157F"/>
    <w:rsid w:val="00792F6D"/>
    <w:rsid w:val="00795E8F"/>
    <w:rsid w:val="00796841"/>
    <w:rsid w:val="0079720E"/>
    <w:rsid w:val="00797439"/>
    <w:rsid w:val="007A088B"/>
    <w:rsid w:val="007A327B"/>
    <w:rsid w:val="007A4FBB"/>
    <w:rsid w:val="007A56D1"/>
    <w:rsid w:val="007A58D1"/>
    <w:rsid w:val="007A7C07"/>
    <w:rsid w:val="007B0436"/>
    <w:rsid w:val="007B0794"/>
    <w:rsid w:val="007B0830"/>
    <w:rsid w:val="007B2908"/>
    <w:rsid w:val="007B307D"/>
    <w:rsid w:val="007B3489"/>
    <w:rsid w:val="007B4251"/>
    <w:rsid w:val="007B7A5A"/>
    <w:rsid w:val="007C3F38"/>
    <w:rsid w:val="007C58DB"/>
    <w:rsid w:val="007C5C1C"/>
    <w:rsid w:val="007C6350"/>
    <w:rsid w:val="007C7267"/>
    <w:rsid w:val="007D0519"/>
    <w:rsid w:val="007D2305"/>
    <w:rsid w:val="007D2D26"/>
    <w:rsid w:val="007D4936"/>
    <w:rsid w:val="007D6C5E"/>
    <w:rsid w:val="007E03BC"/>
    <w:rsid w:val="007E32EB"/>
    <w:rsid w:val="007E5059"/>
    <w:rsid w:val="007E6560"/>
    <w:rsid w:val="007E7ACF"/>
    <w:rsid w:val="007F14BF"/>
    <w:rsid w:val="007F1983"/>
    <w:rsid w:val="007F7161"/>
    <w:rsid w:val="00800DEF"/>
    <w:rsid w:val="008124F0"/>
    <w:rsid w:val="008163C3"/>
    <w:rsid w:val="00816F4D"/>
    <w:rsid w:val="008170F6"/>
    <w:rsid w:val="00817E79"/>
    <w:rsid w:val="008217FD"/>
    <w:rsid w:val="008232DA"/>
    <w:rsid w:val="00824AFE"/>
    <w:rsid w:val="00826093"/>
    <w:rsid w:val="00827395"/>
    <w:rsid w:val="008302D3"/>
    <w:rsid w:val="00833891"/>
    <w:rsid w:val="0083534A"/>
    <w:rsid w:val="008364CF"/>
    <w:rsid w:val="0083662A"/>
    <w:rsid w:val="00841828"/>
    <w:rsid w:val="00842D87"/>
    <w:rsid w:val="00847F0A"/>
    <w:rsid w:val="008510AF"/>
    <w:rsid w:val="008523CE"/>
    <w:rsid w:val="00854E08"/>
    <w:rsid w:val="0085526D"/>
    <w:rsid w:val="008571AD"/>
    <w:rsid w:val="008576E9"/>
    <w:rsid w:val="00857DF6"/>
    <w:rsid w:val="00864980"/>
    <w:rsid w:val="00866607"/>
    <w:rsid w:val="00867A7D"/>
    <w:rsid w:val="008725A6"/>
    <w:rsid w:val="0087636D"/>
    <w:rsid w:val="00877A8F"/>
    <w:rsid w:val="0088165C"/>
    <w:rsid w:val="00883ABC"/>
    <w:rsid w:val="00885BBC"/>
    <w:rsid w:val="008864EA"/>
    <w:rsid w:val="0089288E"/>
    <w:rsid w:val="00897FD7"/>
    <w:rsid w:val="008A2C52"/>
    <w:rsid w:val="008A4C08"/>
    <w:rsid w:val="008A585E"/>
    <w:rsid w:val="008A6759"/>
    <w:rsid w:val="008A71EB"/>
    <w:rsid w:val="008B24F0"/>
    <w:rsid w:val="008B257D"/>
    <w:rsid w:val="008B3143"/>
    <w:rsid w:val="008B6905"/>
    <w:rsid w:val="008B70EB"/>
    <w:rsid w:val="008B79A5"/>
    <w:rsid w:val="008C0446"/>
    <w:rsid w:val="008C099D"/>
    <w:rsid w:val="008C4573"/>
    <w:rsid w:val="008C7533"/>
    <w:rsid w:val="008C75DC"/>
    <w:rsid w:val="008D2D5B"/>
    <w:rsid w:val="008D40AA"/>
    <w:rsid w:val="008D425A"/>
    <w:rsid w:val="008D4D7E"/>
    <w:rsid w:val="008D5320"/>
    <w:rsid w:val="008D7A18"/>
    <w:rsid w:val="008E077D"/>
    <w:rsid w:val="008E2865"/>
    <w:rsid w:val="008E3EE0"/>
    <w:rsid w:val="008E3F21"/>
    <w:rsid w:val="008E75D9"/>
    <w:rsid w:val="008F0A5E"/>
    <w:rsid w:val="008F2271"/>
    <w:rsid w:val="008F2401"/>
    <w:rsid w:val="008F367F"/>
    <w:rsid w:val="008F780F"/>
    <w:rsid w:val="009009DA"/>
    <w:rsid w:val="00906B64"/>
    <w:rsid w:val="00907EFA"/>
    <w:rsid w:val="00910E7B"/>
    <w:rsid w:val="0091157F"/>
    <w:rsid w:val="00911AFE"/>
    <w:rsid w:val="00914309"/>
    <w:rsid w:val="00917922"/>
    <w:rsid w:val="0092003F"/>
    <w:rsid w:val="00920327"/>
    <w:rsid w:val="0092094D"/>
    <w:rsid w:val="00923022"/>
    <w:rsid w:val="009268B1"/>
    <w:rsid w:val="00933653"/>
    <w:rsid w:val="00933CE3"/>
    <w:rsid w:val="009341CE"/>
    <w:rsid w:val="0093443E"/>
    <w:rsid w:val="00936130"/>
    <w:rsid w:val="009363C3"/>
    <w:rsid w:val="00944F83"/>
    <w:rsid w:val="0094560B"/>
    <w:rsid w:val="00951DA0"/>
    <w:rsid w:val="00954BC2"/>
    <w:rsid w:val="00955ABE"/>
    <w:rsid w:val="00957EF6"/>
    <w:rsid w:val="009619E8"/>
    <w:rsid w:val="00963C5B"/>
    <w:rsid w:val="0096706F"/>
    <w:rsid w:val="0097231A"/>
    <w:rsid w:val="00985AD5"/>
    <w:rsid w:val="009906F7"/>
    <w:rsid w:val="00990C7D"/>
    <w:rsid w:val="0099379B"/>
    <w:rsid w:val="009944CC"/>
    <w:rsid w:val="00994B72"/>
    <w:rsid w:val="0099613E"/>
    <w:rsid w:val="00996B98"/>
    <w:rsid w:val="009A0689"/>
    <w:rsid w:val="009A110F"/>
    <w:rsid w:val="009A1C43"/>
    <w:rsid w:val="009A71D2"/>
    <w:rsid w:val="009B36FC"/>
    <w:rsid w:val="009B59E6"/>
    <w:rsid w:val="009C1F4F"/>
    <w:rsid w:val="009C2078"/>
    <w:rsid w:val="009C2200"/>
    <w:rsid w:val="009C27FA"/>
    <w:rsid w:val="009C661A"/>
    <w:rsid w:val="009D0405"/>
    <w:rsid w:val="009D22FA"/>
    <w:rsid w:val="009D5D11"/>
    <w:rsid w:val="009D67A9"/>
    <w:rsid w:val="009D6B08"/>
    <w:rsid w:val="009E0C33"/>
    <w:rsid w:val="009E30D4"/>
    <w:rsid w:val="009E311A"/>
    <w:rsid w:val="009F5B21"/>
    <w:rsid w:val="009F6B91"/>
    <w:rsid w:val="00A024C9"/>
    <w:rsid w:val="00A02602"/>
    <w:rsid w:val="00A02AD1"/>
    <w:rsid w:val="00A06115"/>
    <w:rsid w:val="00A15D72"/>
    <w:rsid w:val="00A23C1E"/>
    <w:rsid w:val="00A24346"/>
    <w:rsid w:val="00A277B8"/>
    <w:rsid w:val="00A30D7A"/>
    <w:rsid w:val="00A43988"/>
    <w:rsid w:val="00A44349"/>
    <w:rsid w:val="00A457D5"/>
    <w:rsid w:val="00A519C1"/>
    <w:rsid w:val="00A546F3"/>
    <w:rsid w:val="00A575B2"/>
    <w:rsid w:val="00A6277C"/>
    <w:rsid w:val="00A62F29"/>
    <w:rsid w:val="00A64696"/>
    <w:rsid w:val="00A6515B"/>
    <w:rsid w:val="00A6667F"/>
    <w:rsid w:val="00A666E5"/>
    <w:rsid w:val="00A673C8"/>
    <w:rsid w:val="00A67F65"/>
    <w:rsid w:val="00A73374"/>
    <w:rsid w:val="00A73ED8"/>
    <w:rsid w:val="00A747AD"/>
    <w:rsid w:val="00A7603E"/>
    <w:rsid w:val="00A81719"/>
    <w:rsid w:val="00A828AD"/>
    <w:rsid w:val="00A86A61"/>
    <w:rsid w:val="00A87056"/>
    <w:rsid w:val="00A876D3"/>
    <w:rsid w:val="00A87F5A"/>
    <w:rsid w:val="00A95F29"/>
    <w:rsid w:val="00AA0A3B"/>
    <w:rsid w:val="00AA30DC"/>
    <w:rsid w:val="00AA619D"/>
    <w:rsid w:val="00AB338E"/>
    <w:rsid w:val="00AB56B6"/>
    <w:rsid w:val="00AC4483"/>
    <w:rsid w:val="00AD1543"/>
    <w:rsid w:val="00AD29A1"/>
    <w:rsid w:val="00AD40BB"/>
    <w:rsid w:val="00AD427E"/>
    <w:rsid w:val="00AD6012"/>
    <w:rsid w:val="00AD749C"/>
    <w:rsid w:val="00AE0F1E"/>
    <w:rsid w:val="00AE1E92"/>
    <w:rsid w:val="00AE2641"/>
    <w:rsid w:val="00AF001C"/>
    <w:rsid w:val="00AF587B"/>
    <w:rsid w:val="00B005D4"/>
    <w:rsid w:val="00B02B8C"/>
    <w:rsid w:val="00B10DE9"/>
    <w:rsid w:val="00B10F37"/>
    <w:rsid w:val="00B117AE"/>
    <w:rsid w:val="00B11950"/>
    <w:rsid w:val="00B150F1"/>
    <w:rsid w:val="00B26253"/>
    <w:rsid w:val="00B321F9"/>
    <w:rsid w:val="00B35BE4"/>
    <w:rsid w:val="00B369BE"/>
    <w:rsid w:val="00B4043A"/>
    <w:rsid w:val="00B42F76"/>
    <w:rsid w:val="00B51A89"/>
    <w:rsid w:val="00B52EA7"/>
    <w:rsid w:val="00B535FD"/>
    <w:rsid w:val="00B53C9B"/>
    <w:rsid w:val="00B5521F"/>
    <w:rsid w:val="00B561E5"/>
    <w:rsid w:val="00B63051"/>
    <w:rsid w:val="00B66C98"/>
    <w:rsid w:val="00B74A11"/>
    <w:rsid w:val="00B7535F"/>
    <w:rsid w:val="00B753C3"/>
    <w:rsid w:val="00B75952"/>
    <w:rsid w:val="00B80D87"/>
    <w:rsid w:val="00B853B1"/>
    <w:rsid w:val="00B85A38"/>
    <w:rsid w:val="00B86306"/>
    <w:rsid w:val="00B92F08"/>
    <w:rsid w:val="00B932E7"/>
    <w:rsid w:val="00B93EF2"/>
    <w:rsid w:val="00B94438"/>
    <w:rsid w:val="00B9613A"/>
    <w:rsid w:val="00BA1F5F"/>
    <w:rsid w:val="00BB2205"/>
    <w:rsid w:val="00BB24EB"/>
    <w:rsid w:val="00BB2CAF"/>
    <w:rsid w:val="00BB3EE1"/>
    <w:rsid w:val="00BB4C5E"/>
    <w:rsid w:val="00BB4C9B"/>
    <w:rsid w:val="00BB5C0F"/>
    <w:rsid w:val="00BC5236"/>
    <w:rsid w:val="00BC646F"/>
    <w:rsid w:val="00BC6ED2"/>
    <w:rsid w:val="00BD1D83"/>
    <w:rsid w:val="00BD1D8F"/>
    <w:rsid w:val="00BE00F4"/>
    <w:rsid w:val="00BE298D"/>
    <w:rsid w:val="00BE2A91"/>
    <w:rsid w:val="00BE4C66"/>
    <w:rsid w:val="00BE6DDA"/>
    <w:rsid w:val="00C04237"/>
    <w:rsid w:val="00C04CD7"/>
    <w:rsid w:val="00C06CFE"/>
    <w:rsid w:val="00C07DC4"/>
    <w:rsid w:val="00C1203F"/>
    <w:rsid w:val="00C12916"/>
    <w:rsid w:val="00C131A0"/>
    <w:rsid w:val="00C1450C"/>
    <w:rsid w:val="00C22EEB"/>
    <w:rsid w:val="00C26B41"/>
    <w:rsid w:val="00C2773B"/>
    <w:rsid w:val="00C30C9E"/>
    <w:rsid w:val="00C40634"/>
    <w:rsid w:val="00C4573D"/>
    <w:rsid w:val="00C479CD"/>
    <w:rsid w:val="00C51053"/>
    <w:rsid w:val="00C511ED"/>
    <w:rsid w:val="00C5266C"/>
    <w:rsid w:val="00C634F4"/>
    <w:rsid w:val="00C66141"/>
    <w:rsid w:val="00C706BF"/>
    <w:rsid w:val="00C70BB0"/>
    <w:rsid w:val="00C72835"/>
    <w:rsid w:val="00C73117"/>
    <w:rsid w:val="00C801D3"/>
    <w:rsid w:val="00C80203"/>
    <w:rsid w:val="00C804C1"/>
    <w:rsid w:val="00C84277"/>
    <w:rsid w:val="00C85A22"/>
    <w:rsid w:val="00C87419"/>
    <w:rsid w:val="00C875BE"/>
    <w:rsid w:val="00C87BD6"/>
    <w:rsid w:val="00C87F36"/>
    <w:rsid w:val="00C90797"/>
    <w:rsid w:val="00C916A7"/>
    <w:rsid w:val="00C93996"/>
    <w:rsid w:val="00C93FA9"/>
    <w:rsid w:val="00C9426E"/>
    <w:rsid w:val="00CA1B50"/>
    <w:rsid w:val="00CA2246"/>
    <w:rsid w:val="00CA422B"/>
    <w:rsid w:val="00CA49B7"/>
    <w:rsid w:val="00CA6992"/>
    <w:rsid w:val="00CB2A85"/>
    <w:rsid w:val="00CB45D2"/>
    <w:rsid w:val="00CB4C0A"/>
    <w:rsid w:val="00CB4C7A"/>
    <w:rsid w:val="00CB54D4"/>
    <w:rsid w:val="00CB5C77"/>
    <w:rsid w:val="00CC17C9"/>
    <w:rsid w:val="00CC31B9"/>
    <w:rsid w:val="00CC38FA"/>
    <w:rsid w:val="00CC55A4"/>
    <w:rsid w:val="00CD0F9B"/>
    <w:rsid w:val="00CD1E72"/>
    <w:rsid w:val="00CD35A9"/>
    <w:rsid w:val="00CD36D0"/>
    <w:rsid w:val="00CD4C5C"/>
    <w:rsid w:val="00CD7B99"/>
    <w:rsid w:val="00CE115B"/>
    <w:rsid w:val="00CE65AC"/>
    <w:rsid w:val="00CE7937"/>
    <w:rsid w:val="00CF010C"/>
    <w:rsid w:val="00CF5420"/>
    <w:rsid w:val="00CF78D8"/>
    <w:rsid w:val="00D00455"/>
    <w:rsid w:val="00D00E6B"/>
    <w:rsid w:val="00D10C4A"/>
    <w:rsid w:val="00D111E4"/>
    <w:rsid w:val="00D119AC"/>
    <w:rsid w:val="00D15AAD"/>
    <w:rsid w:val="00D16BFD"/>
    <w:rsid w:val="00D16CA0"/>
    <w:rsid w:val="00D16D25"/>
    <w:rsid w:val="00D215F5"/>
    <w:rsid w:val="00D2193B"/>
    <w:rsid w:val="00D244DF"/>
    <w:rsid w:val="00D26417"/>
    <w:rsid w:val="00D2773E"/>
    <w:rsid w:val="00D3388F"/>
    <w:rsid w:val="00D3628B"/>
    <w:rsid w:val="00D402E3"/>
    <w:rsid w:val="00D43980"/>
    <w:rsid w:val="00D46D3E"/>
    <w:rsid w:val="00D47DC3"/>
    <w:rsid w:val="00D57CF1"/>
    <w:rsid w:val="00D61012"/>
    <w:rsid w:val="00D6650D"/>
    <w:rsid w:val="00D75EF9"/>
    <w:rsid w:val="00D81210"/>
    <w:rsid w:val="00D81EBC"/>
    <w:rsid w:val="00D83A0E"/>
    <w:rsid w:val="00D83DC0"/>
    <w:rsid w:val="00D8602E"/>
    <w:rsid w:val="00D87B14"/>
    <w:rsid w:val="00D97084"/>
    <w:rsid w:val="00D974FC"/>
    <w:rsid w:val="00DA0353"/>
    <w:rsid w:val="00DA320B"/>
    <w:rsid w:val="00DA547D"/>
    <w:rsid w:val="00DA5585"/>
    <w:rsid w:val="00DC02C4"/>
    <w:rsid w:val="00DC06F0"/>
    <w:rsid w:val="00DC0D48"/>
    <w:rsid w:val="00DC3A0C"/>
    <w:rsid w:val="00DC678D"/>
    <w:rsid w:val="00DD26C2"/>
    <w:rsid w:val="00DD2DC4"/>
    <w:rsid w:val="00DD3D58"/>
    <w:rsid w:val="00DE00FD"/>
    <w:rsid w:val="00DE2C4E"/>
    <w:rsid w:val="00DE3C29"/>
    <w:rsid w:val="00DE4994"/>
    <w:rsid w:val="00DE609D"/>
    <w:rsid w:val="00DF109E"/>
    <w:rsid w:val="00DF4D5A"/>
    <w:rsid w:val="00DF4E4C"/>
    <w:rsid w:val="00E00DA1"/>
    <w:rsid w:val="00E04C7D"/>
    <w:rsid w:val="00E06EEB"/>
    <w:rsid w:val="00E133F1"/>
    <w:rsid w:val="00E15782"/>
    <w:rsid w:val="00E213C3"/>
    <w:rsid w:val="00E2222E"/>
    <w:rsid w:val="00E30C43"/>
    <w:rsid w:val="00E31895"/>
    <w:rsid w:val="00E40472"/>
    <w:rsid w:val="00E42B97"/>
    <w:rsid w:val="00E42BEF"/>
    <w:rsid w:val="00E4732C"/>
    <w:rsid w:val="00E521D0"/>
    <w:rsid w:val="00E53CA8"/>
    <w:rsid w:val="00E56980"/>
    <w:rsid w:val="00E63FF3"/>
    <w:rsid w:val="00E72388"/>
    <w:rsid w:val="00E7649D"/>
    <w:rsid w:val="00E764FE"/>
    <w:rsid w:val="00E76D0F"/>
    <w:rsid w:val="00E82691"/>
    <w:rsid w:val="00E843AA"/>
    <w:rsid w:val="00E848E5"/>
    <w:rsid w:val="00E84EE6"/>
    <w:rsid w:val="00E860C5"/>
    <w:rsid w:val="00E9236E"/>
    <w:rsid w:val="00E92694"/>
    <w:rsid w:val="00E959F4"/>
    <w:rsid w:val="00EA470B"/>
    <w:rsid w:val="00EA609A"/>
    <w:rsid w:val="00EB425A"/>
    <w:rsid w:val="00EB5E11"/>
    <w:rsid w:val="00EB6B5D"/>
    <w:rsid w:val="00EB7508"/>
    <w:rsid w:val="00EB778F"/>
    <w:rsid w:val="00EC49BD"/>
    <w:rsid w:val="00ED26CA"/>
    <w:rsid w:val="00ED37CD"/>
    <w:rsid w:val="00ED3CD7"/>
    <w:rsid w:val="00ED4E7F"/>
    <w:rsid w:val="00EE5617"/>
    <w:rsid w:val="00EE594C"/>
    <w:rsid w:val="00EF00D5"/>
    <w:rsid w:val="00EF2502"/>
    <w:rsid w:val="00EF3B89"/>
    <w:rsid w:val="00EF5D22"/>
    <w:rsid w:val="00EF64C3"/>
    <w:rsid w:val="00EF7C5F"/>
    <w:rsid w:val="00F00434"/>
    <w:rsid w:val="00F02816"/>
    <w:rsid w:val="00F04768"/>
    <w:rsid w:val="00F05751"/>
    <w:rsid w:val="00F05C8D"/>
    <w:rsid w:val="00F0661B"/>
    <w:rsid w:val="00F0795A"/>
    <w:rsid w:val="00F13E32"/>
    <w:rsid w:val="00F15CC2"/>
    <w:rsid w:val="00F20A22"/>
    <w:rsid w:val="00F21F7F"/>
    <w:rsid w:val="00F224E5"/>
    <w:rsid w:val="00F27A8E"/>
    <w:rsid w:val="00F304A1"/>
    <w:rsid w:val="00F31F15"/>
    <w:rsid w:val="00F43B6F"/>
    <w:rsid w:val="00F55F5E"/>
    <w:rsid w:val="00F56760"/>
    <w:rsid w:val="00F623C7"/>
    <w:rsid w:val="00F62D2C"/>
    <w:rsid w:val="00F63BB6"/>
    <w:rsid w:val="00F63D63"/>
    <w:rsid w:val="00F642FD"/>
    <w:rsid w:val="00F6465E"/>
    <w:rsid w:val="00F66579"/>
    <w:rsid w:val="00F71E27"/>
    <w:rsid w:val="00F74384"/>
    <w:rsid w:val="00F75779"/>
    <w:rsid w:val="00F80854"/>
    <w:rsid w:val="00F81256"/>
    <w:rsid w:val="00F859B7"/>
    <w:rsid w:val="00F92B2D"/>
    <w:rsid w:val="00F9317F"/>
    <w:rsid w:val="00F97235"/>
    <w:rsid w:val="00FB04CD"/>
    <w:rsid w:val="00FB5115"/>
    <w:rsid w:val="00FB7EEA"/>
    <w:rsid w:val="00FC192D"/>
    <w:rsid w:val="00FC33D8"/>
    <w:rsid w:val="00FD15E0"/>
    <w:rsid w:val="00FD659A"/>
    <w:rsid w:val="00FE4BE1"/>
    <w:rsid w:val="00FE5E22"/>
    <w:rsid w:val="00FE728E"/>
    <w:rsid w:val="00FE7367"/>
    <w:rsid w:val="00FE7625"/>
    <w:rsid w:val="00FF4458"/>
    <w:rsid w:val="00FF461C"/>
    <w:rsid w:val="00FF5771"/>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F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styleId="FollowedHyperlink">
    <w:name w:val="FollowedHyperlink"/>
    <w:basedOn w:val="DefaultParagraphFont"/>
    <w:uiPriority w:val="99"/>
    <w:semiHidden/>
    <w:unhideWhenUsed/>
    <w:rsid w:val="007E32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62610">
      <w:bodyDiv w:val="1"/>
      <w:marLeft w:val="0"/>
      <w:marRight w:val="0"/>
      <w:marTop w:val="0"/>
      <w:marBottom w:val="0"/>
      <w:divBdr>
        <w:top w:val="none" w:sz="0" w:space="0" w:color="auto"/>
        <w:left w:val="none" w:sz="0" w:space="0" w:color="auto"/>
        <w:bottom w:val="none" w:sz="0" w:space="0" w:color="auto"/>
        <w:right w:val="none" w:sz="0" w:space="0" w:color="auto"/>
      </w:divBdr>
    </w:div>
    <w:div w:id="226065793">
      <w:bodyDiv w:val="1"/>
      <w:marLeft w:val="0"/>
      <w:marRight w:val="0"/>
      <w:marTop w:val="0"/>
      <w:marBottom w:val="0"/>
      <w:divBdr>
        <w:top w:val="none" w:sz="0" w:space="0" w:color="auto"/>
        <w:left w:val="none" w:sz="0" w:space="0" w:color="auto"/>
        <w:bottom w:val="none" w:sz="0" w:space="0" w:color="auto"/>
        <w:right w:val="none" w:sz="0" w:space="0" w:color="auto"/>
      </w:divBdr>
      <w:divsChild>
        <w:div w:id="297346293">
          <w:marLeft w:val="0"/>
          <w:marRight w:val="0"/>
          <w:marTop w:val="0"/>
          <w:marBottom w:val="0"/>
          <w:divBdr>
            <w:top w:val="none" w:sz="0" w:space="0" w:color="auto"/>
            <w:left w:val="none" w:sz="0" w:space="0" w:color="auto"/>
            <w:bottom w:val="none" w:sz="0" w:space="0" w:color="auto"/>
            <w:right w:val="none" w:sz="0" w:space="0" w:color="auto"/>
          </w:divBdr>
        </w:div>
        <w:div w:id="1530338299">
          <w:marLeft w:val="0"/>
          <w:marRight w:val="0"/>
          <w:marTop w:val="0"/>
          <w:marBottom w:val="0"/>
          <w:divBdr>
            <w:top w:val="none" w:sz="0" w:space="0" w:color="auto"/>
            <w:left w:val="none" w:sz="0" w:space="0" w:color="auto"/>
            <w:bottom w:val="none" w:sz="0" w:space="0" w:color="auto"/>
            <w:right w:val="none" w:sz="0" w:space="0" w:color="auto"/>
          </w:divBdr>
        </w:div>
      </w:divsChild>
    </w:div>
    <w:div w:id="703941076">
      <w:bodyDiv w:val="1"/>
      <w:marLeft w:val="0"/>
      <w:marRight w:val="0"/>
      <w:marTop w:val="0"/>
      <w:marBottom w:val="0"/>
      <w:divBdr>
        <w:top w:val="none" w:sz="0" w:space="0" w:color="auto"/>
        <w:left w:val="none" w:sz="0" w:space="0" w:color="auto"/>
        <w:bottom w:val="none" w:sz="0" w:space="0" w:color="auto"/>
        <w:right w:val="none" w:sz="0" w:space="0" w:color="auto"/>
      </w:divBdr>
    </w:div>
    <w:div w:id="1217887310">
      <w:bodyDiv w:val="1"/>
      <w:marLeft w:val="0"/>
      <w:marRight w:val="0"/>
      <w:marTop w:val="0"/>
      <w:marBottom w:val="0"/>
      <w:divBdr>
        <w:top w:val="none" w:sz="0" w:space="0" w:color="auto"/>
        <w:left w:val="none" w:sz="0" w:space="0" w:color="auto"/>
        <w:bottom w:val="none" w:sz="0" w:space="0" w:color="auto"/>
        <w:right w:val="none" w:sz="0" w:space="0" w:color="auto"/>
      </w:divBdr>
    </w:div>
    <w:div w:id="150512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134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C8687-F8E3-4D8F-9938-19182143D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9175</Words>
  <Characters>5230</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2024-10-22T10:50:00Z</dcterms:created>
  <dcterms:modified xsi:type="dcterms:W3CDTF">2024-10-23T08:12:00Z</dcterms:modified>
</cp:coreProperties>
</file>