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AF900" w14:textId="77777777" w:rsidR="00C92CBF" w:rsidRDefault="00C92CBF" w:rsidP="00C92CBF">
      <w:pPr>
        <w:spacing w:line="276" w:lineRule="auto"/>
        <w:jc w:val="both"/>
        <w:rPr>
          <w:b/>
          <w:bCs/>
        </w:rPr>
      </w:pPr>
      <w:r>
        <w:rPr>
          <w:b/>
          <w:bCs/>
        </w:rPr>
        <w:t>Lietas dalībnieku viedokļi kā izvērtējamie apstākļi, apelācijas instances tiesai pieņemot lēmumu par krimināllietas nosūtīšanu jaunai izskatīšanai pirmās instances tiesā</w:t>
      </w:r>
    </w:p>
    <w:p w14:paraId="5C0F2DA5" w14:textId="77777777" w:rsidR="00C92CBF" w:rsidRDefault="00C92CBF" w:rsidP="00C92CBF">
      <w:pPr>
        <w:spacing w:line="276" w:lineRule="auto"/>
        <w:jc w:val="both"/>
      </w:pPr>
      <w:r>
        <w:t xml:space="preserve">Kriminālprocesa likuma 566. pantā iekļauti nosacījumi, kādi apelācijas instances tiesai jāievēro, lietu nosūtot jaunai izskatīšanai pirmās instances tiesā. Tajā skaitā tiesai ir pienākums lietas dalībniekiem dot iespēju izteikt viedokli par pirmās instances tiesas sprieduma atcelšanu pilnībā vai kādā tā daļā un lietas nosūtīšanu jaunai izskatīšanai pirmās instances tiesā, ņemot vērā Kriminālprocesa likuma pārkāpumu būtiskumu, apsūdzētā tiesību uz aizstāvību nodrošināšanu un citus apstākļus. </w:t>
      </w:r>
    </w:p>
    <w:p w14:paraId="4D56F911" w14:textId="77777777" w:rsidR="00C92CBF" w:rsidRDefault="00C92CBF" w:rsidP="00C92CBF">
      <w:pPr>
        <w:spacing w:line="276" w:lineRule="auto"/>
        <w:jc w:val="both"/>
      </w:pPr>
      <w:r>
        <w:t>Lietas dalībnieku viedokļi ietilpst to apstākļu kopumā, kuri tiesai jāizvērtē, pieņemot Kriminālprocesa likuma 566. pantā paredzēto lēmumu.</w:t>
      </w:r>
    </w:p>
    <w:p w14:paraId="0956012B" w14:textId="77777777" w:rsidR="00C92CBF" w:rsidRDefault="00C92CBF" w:rsidP="00B245CD">
      <w:pPr>
        <w:spacing w:line="276" w:lineRule="auto"/>
        <w:jc w:val="center"/>
        <w:rPr>
          <w:b/>
        </w:rPr>
      </w:pPr>
    </w:p>
    <w:p w14:paraId="211C18F4" w14:textId="77777777" w:rsidR="00C92CBF" w:rsidRDefault="00C92CBF" w:rsidP="00C92CBF">
      <w:pPr>
        <w:spacing w:line="276" w:lineRule="auto"/>
        <w:rPr>
          <w:b/>
          <w:bCs/>
        </w:rPr>
      </w:pPr>
      <w:r>
        <w:rPr>
          <w:b/>
          <w:bCs/>
        </w:rPr>
        <w:t>Lēmuma par pirmās instances tiesas sprieduma atcelšanu un lietas nosūtīšanu jaunai izskatīšanai pirmās instances tiesā būtība</w:t>
      </w:r>
    </w:p>
    <w:p w14:paraId="4DF607E1" w14:textId="77777777" w:rsidR="00C92CBF" w:rsidRDefault="00C92CBF" w:rsidP="00C92CBF">
      <w:pPr>
        <w:spacing w:line="276" w:lineRule="auto"/>
        <w:jc w:val="both"/>
      </w:pPr>
      <w:r>
        <w:t xml:space="preserve">Apelācijas instances tiesas lēmums par pirmās instances tiesas sprieduma atcelšanu un lietas nosūtīšanu jaunai izskatīšanai pirmās instances tiesā saskaņā ar Kriminālprocesa likuma 566. pantu nav personas vainīgumu konstatējošs lēmums. Tas ir pamats pirmās instances tiesai lietu pilnībā vai kādā tā daļā atkārtoti izskatīt pēc būtības, nodrošinot krimināltiesisko attiecību taisnīgu noregulējumu. Apelācijas instances tiesa, nosūtot lietu jaunai izskatīšanai pirmās instances tiesā, savā lēmumā nenorāda, kāds nolēmums jāpieņem, izskatot lietu no jauna. </w:t>
      </w:r>
    </w:p>
    <w:p w14:paraId="58FADF72" w14:textId="77777777" w:rsidR="00C92CBF" w:rsidRDefault="00C92CBF" w:rsidP="00B245CD">
      <w:pPr>
        <w:spacing w:line="276" w:lineRule="auto"/>
        <w:jc w:val="center"/>
        <w:rPr>
          <w:b/>
        </w:rPr>
      </w:pPr>
    </w:p>
    <w:p w14:paraId="30EF74F0" w14:textId="2A8D49D4" w:rsidR="00447EE6" w:rsidRDefault="00447EE6" w:rsidP="00B245CD">
      <w:pPr>
        <w:spacing w:line="276" w:lineRule="auto"/>
        <w:jc w:val="center"/>
        <w:rPr>
          <w:b/>
        </w:rPr>
      </w:pPr>
      <w:r w:rsidRPr="00A23430">
        <w:rPr>
          <w:b/>
        </w:rPr>
        <w:t>Latvijas Republikas Senāt</w:t>
      </w:r>
      <w:r w:rsidR="00650832">
        <w:rPr>
          <w:b/>
        </w:rPr>
        <w:t>a</w:t>
      </w:r>
    </w:p>
    <w:p w14:paraId="1802EA01" w14:textId="6EAF120D" w:rsidR="00650832" w:rsidRPr="00650832" w:rsidRDefault="00650832" w:rsidP="00650832">
      <w:pPr>
        <w:autoSpaceDE w:val="0"/>
        <w:autoSpaceDN w:val="0"/>
        <w:adjustRightInd w:val="0"/>
        <w:spacing w:line="276" w:lineRule="auto"/>
        <w:jc w:val="center"/>
        <w:rPr>
          <w:b/>
          <w:bCs/>
        </w:rPr>
      </w:pPr>
      <w:r w:rsidRPr="00650832">
        <w:rPr>
          <w:b/>
          <w:bCs/>
        </w:rPr>
        <w:t>Krimināllietu departamenta</w:t>
      </w:r>
    </w:p>
    <w:p w14:paraId="6F3812F2" w14:textId="670AFE9A" w:rsidR="00650832" w:rsidRPr="00650832" w:rsidRDefault="00650832" w:rsidP="00650832">
      <w:pPr>
        <w:spacing w:line="276" w:lineRule="auto"/>
        <w:jc w:val="center"/>
        <w:rPr>
          <w:b/>
          <w:bCs/>
        </w:rPr>
      </w:pPr>
      <w:r w:rsidRPr="00650832">
        <w:rPr>
          <w:b/>
          <w:bCs/>
        </w:rPr>
        <w:t>2024. gada 16. augusta</w:t>
      </w:r>
    </w:p>
    <w:p w14:paraId="4D70FBA3" w14:textId="7C97E3B6" w:rsidR="00650832" w:rsidRPr="00650832" w:rsidRDefault="003F196B" w:rsidP="00650832">
      <w:pPr>
        <w:spacing w:line="276" w:lineRule="auto"/>
        <w:jc w:val="center"/>
        <w:rPr>
          <w:b/>
          <w:bCs/>
        </w:rPr>
      </w:pPr>
      <w:r w:rsidRPr="00650832">
        <w:rPr>
          <w:b/>
          <w:bCs/>
        </w:rPr>
        <w:t>LĒMUMS</w:t>
      </w:r>
    </w:p>
    <w:p w14:paraId="027278FB" w14:textId="77777777" w:rsidR="00650832" w:rsidRDefault="00650832" w:rsidP="00650832">
      <w:pPr>
        <w:autoSpaceDE w:val="0"/>
        <w:autoSpaceDN w:val="0"/>
        <w:adjustRightInd w:val="0"/>
        <w:spacing w:line="276" w:lineRule="auto"/>
        <w:jc w:val="center"/>
        <w:rPr>
          <w:b/>
          <w:bCs/>
        </w:rPr>
      </w:pPr>
      <w:r w:rsidRPr="00650832">
        <w:rPr>
          <w:b/>
          <w:bCs/>
          <w:color w:val="000000"/>
        </w:rPr>
        <w:t xml:space="preserve">Lieta </w:t>
      </w:r>
      <w:r w:rsidRPr="00650832">
        <w:rPr>
          <w:b/>
          <w:bCs/>
        </w:rPr>
        <w:t>Nr. 15850000722, SKK</w:t>
      </w:r>
      <w:r w:rsidRPr="00650832">
        <w:rPr>
          <w:b/>
          <w:bCs/>
        </w:rPr>
        <w:noBreakHyphen/>
        <w:t>167/2024</w:t>
      </w:r>
    </w:p>
    <w:p w14:paraId="4BFC79B0" w14:textId="66B1EC88" w:rsidR="00650832" w:rsidRPr="00650832" w:rsidRDefault="00650832" w:rsidP="00650832">
      <w:pPr>
        <w:autoSpaceDE w:val="0"/>
        <w:autoSpaceDN w:val="0"/>
        <w:adjustRightInd w:val="0"/>
        <w:spacing w:line="276" w:lineRule="auto"/>
        <w:jc w:val="center"/>
      </w:pPr>
      <w:hyperlink r:id="rId8" w:history="1">
        <w:r w:rsidRPr="00650832">
          <w:rPr>
            <w:rStyle w:val="Hyperlink"/>
          </w:rPr>
          <w:t>ECLI:LV:AT:2024:0816.15850000722.5.L</w:t>
        </w:r>
      </w:hyperlink>
    </w:p>
    <w:p w14:paraId="656568D2" w14:textId="77777777" w:rsidR="00E27F3F" w:rsidRPr="00A23430" w:rsidRDefault="00E27F3F" w:rsidP="00B245CD">
      <w:pPr>
        <w:spacing w:line="276" w:lineRule="auto"/>
        <w:ind w:firstLine="720"/>
        <w:jc w:val="both"/>
      </w:pPr>
    </w:p>
    <w:p w14:paraId="1609D6F5" w14:textId="29C3B990" w:rsidR="00447EE6" w:rsidRPr="00A23430" w:rsidRDefault="00E27F3F" w:rsidP="00B245CD">
      <w:pPr>
        <w:spacing w:line="276" w:lineRule="auto"/>
        <w:ind w:firstLine="720"/>
        <w:jc w:val="both"/>
      </w:pPr>
      <w:r w:rsidRPr="00A23430">
        <w:t xml:space="preserve">Senāts šādā sastāvā: senatore referente </w:t>
      </w:r>
      <w:r w:rsidR="00A01A2A" w:rsidRPr="00A23430">
        <w:t>Sandra Kaija</w:t>
      </w:r>
      <w:r w:rsidRPr="00A23430">
        <w:t>, senator</w:t>
      </w:r>
      <w:r w:rsidR="000E7D34" w:rsidRPr="00A23430">
        <w:t>es</w:t>
      </w:r>
      <w:r w:rsidRPr="00A23430">
        <w:t xml:space="preserve"> </w:t>
      </w:r>
      <w:r w:rsidR="000E7D34" w:rsidRPr="00A23430">
        <w:t>Aija Branta</w:t>
      </w:r>
      <w:r w:rsidRPr="00A23430">
        <w:t xml:space="preserve"> un </w:t>
      </w:r>
      <w:r w:rsidR="000E7D34" w:rsidRPr="00A23430">
        <w:t>Anita Poļakova</w:t>
      </w:r>
    </w:p>
    <w:p w14:paraId="4DA90573" w14:textId="77777777" w:rsidR="00E27F3F" w:rsidRPr="00A23430" w:rsidRDefault="00E27F3F" w:rsidP="00B245CD">
      <w:pPr>
        <w:spacing w:line="276" w:lineRule="auto"/>
        <w:ind w:firstLine="720"/>
        <w:jc w:val="both"/>
      </w:pPr>
    </w:p>
    <w:p w14:paraId="61CCE95A" w14:textId="561E6DD5" w:rsidR="00E27F3F" w:rsidRPr="00A23430" w:rsidRDefault="00E27F3F" w:rsidP="00B245CD">
      <w:pPr>
        <w:spacing w:line="276" w:lineRule="auto"/>
        <w:ind w:firstLine="720"/>
        <w:jc w:val="both"/>
        <w:rPr>
          <w:lang w:eastAsia="lv-LV"/>
        </w:rPr>
      </w:pPr>
      <w:r w:rsidRPr="00A23430">
        <w:rPr>
          <w:lang w:eastAsia="lv-LV"/>
        </w:rPr>
        <w:t xml:space="preserve">rakstveida procesā </w:t>
      </w:r>
      <w:r w:rsidR="00285331" w:rsidRPr="00A23430">
        <w:rPr>
          <w:lang w:eastAsia="lv-LV"/>
        </w:rPr>
        <w:t xml:space="preserve">izskatīja </w:t>
      </w:r>
      <w:r w:rsidRPr="00A23430">
        <w:rPr>
          <w:lang w:eastAsia="lv-LV"/>
        </w:rPr>
        <w:t xml:space="preserve">krimināllietu sakarā ar apsūdzētā </w:t>
      </w:r>
      <w:r w:rsidR="00650832">
        <w:rPr>
          <w:lang w:eastAsia="lv-LV"/>
        </w:rPr>
        <w:t>[pers. A]</w:t>
      </w:r>
      <w:r w:rsidR="00A01A2A" w:rsidRPr="00A23430">
        <w:rPr>
          <w:lang w:eastAsia="lv-LV"/>
        </w:rPr>
        <w:t xml:space="preserve"> aizstāvja zvērināta advokāta Aleksandra </w:t>
      </w:r>
      <w:proofErr w:type="spellStart"/>
      <w:r w:rsidR="00A01A2A" w:rsidRPr="00A23430">
        <w:rPr>
          <w:lang w:eastAsia="lv-LV"/>
        </w:rPr>
        <w:t>Berezina</w:t>
      </w:r>
      <w:proofErr w:type="spellEnd"/>
      <w:r w:rsidRPr="00A23430">
        <w:rPr>
          <w:lang w:eastAsia="lv-LV"/>
        </w:rPr>
        <w:t xml:space="preserve"> kasācijas sūdzību par </w:t>
      </w:r>
      <w:r w:rsidR="00A01A2A" w:rsidRPr="00A23430">
        <w:rPr>
          <w:lang w:eastAsia="lv-LV"/>
        </w:rPr>
        <w:t>Rīgas</w:t>
      </w:r>
      <w:r w:rsidRPr="00A23430">
        <w:rPr>
          <w:lang w:eastAsia="lv-LV"/>
        </w:rPr>
        <w:t xml:space="preserve"> apgabaltiesas 2023. gada </w:t>
      </w:r>
      <w:r w:rsidR="00A01A2A" w:rsidRPr="00A23430">
        <w:rPr>
          <w:lang w:eastAsia="lv-LV"/>
        </w:rPr>
        <w:t>29</w:t>
      </w:r>
      <w:r w:rsidRPr="00A23430">
        <w:rPr>
          <w:lang w:eastAsia="lv-LV"/>
        </w:rPr>
        <w:t>. </w:t>
      </w:r>
      <w:r w:rsidR="00A01A2A" w:rsidRPr="00A23430">
        <w:rPr>
          <w:lang w:eastAsia="lv-LV"/>
        </w:rPr>
        <w:t>novembra</w:t>
      </w:r>
      <w:r w:rsidRPr="00A23430">
        <w:rPr>
          <w:lang w:eastAsia="lv-LV"/>
        </w:rPr>
        <w:t xml:space="preserve"> </w:t>
      </w:r>
      <w:r w:rsidR="00A01A2A" w:rsidRPr="00A23430">
        <w:rPr>
          <w:lang w:eastAsia="lv-LV"/>
        </w:rPr>
        <w:t>lēmumu</w:t>
      </w:r>
      <w:r w:rsidRPr="00A23430">
        <w:rPr>
          <w:lang w:eastAsia="lv-LV"/>
        </w:rPr>
        <w:t>.</w:t>
      </w:r>
    </w:p>
    <w:p w14:paraId="52FF3D52" w14:textId="77777777" w:rsidR="00E27F3F" w:rsidRPr="00A23430" w:rsidRDefault="00E27F3F" w:rsidP="00B245CD">
      <w:pPr>
        <w:spacing w:line="276" w:lineRule="auto"/>
        <w:ind w:firstLine="720"/>
        <w:jc w:val="center"/>
        <w:rPr>
          <w:bCs/>
        </w:rPr>
      </w:pPr>
    </w:p>
    <w:p w14:paraId="2C63ECDB" w14:textId="2311F830" w:rsidR="003F196B" w:rsidRPr="00A23430" w:rsidRDefault="00E27F3F" w:rsidP="00B245CD">
      <w:pPr>
        <w:spacing w:line="276" w:lineRule="auto"/>
        <w:ind w:firstLine="709"/>
        <w:jc w:val="center"/>
        <w:rPr>
          <w:b/>
        </w:rPr>
      </w:pPr>
      <w:r w:rsidRPr="00A23430">
        <w:rPr>
          <w:b/>
        </w:rPr>
        <w:t>Aprakstošā daļa</w:t>
      </w:r>
    </w:p>
    <w:p w14:paraId="24E05852" w14:textId="77777777" w:rsidR="00E27F3F" w:rsidRPr="00A23430" w:rsidRDefault="00E27F3F" w:rsidP="00B245CD">
      <w:pPr>
        <w:spacing w:line="276" w:lineRule="auto"/>
        <w:ind w:firstLine="720"/>
        <w:jc w:val="both"/>
      </w:pPr>
    </w:p>
    <w:p w14:paraId="56BC4992" w14:textId="7486325B" w:rsidR="00E27F3F" w:rsidRPr="00A23430" w:rsidRDefault="00E27F3F" w:rsidP="00B245CD">
      <w:pPr>
        <w:spacing w:line="276" w:lineRule="auto"/>
        <w:ind w:firstLine="720"/>
        <w:jc w:val="both"/>
      </w:pPr>
      <w:r w:rsidRPr="00A23430">
        <w:t>[1]</w:t>
      </w:r>
      <w:r w:rsidR="00E47157" w:rsidRPr="00A23430">
        <w:t> </w:t>
      </w:r>
      <w:r w:rsidR="00F869D5" w:rsidRPr="00A23430">
        <w:t xml:space="preserve">Ar </w:t>
      </w:r>
      <w:r w:rsidR="00A01A2A" w:rsidRPr="00A23430">
        <w:t>Ekonomisko lietu</w:t>
      </w:r>
      <w:r w:rsidR="00F869D5" w:rsidRPr="00A23430">
        <w:t xml:space="preserve"> tiesas 2022. gada 1</w:t>
      </w:r>
      <w:r w:rsidR="00A01A2A" w:rsidRPr="00A23430">
        <w:t>7</w:t>
      </w:r>
      <w:r w:rsidR="00F869D5" w:rsidRPr="00A23430">
        <w:t>. </w:t>
      </w:r>
      <w:r w:rsidR="00A01A2A" w:rsidRPr="00A23430">
        <w:t>novembra</w:t>
      </w:r>
      <w:r w:rsidRPr="00A23430">
        <w:t xml:space="preserve"> spriedumu</w:t>
      </w:r>
    </w:p>
    <w:p w14:paraId="294ADC11" w14:textId="14117C72" w:rsidR="005946EA" w:rsidRPr="00A23430" w:rsidRDefault="00650832" w:rsidP="00B245CD">
      <w:pPr>
        <w:spacing w:line="276" w:lineRule="auto"/>
        <w:ind w:firstLine="720"/>
        <w:jc w:val="both"/>
      </w:pPr>
      <w:r>
        <w:rPr>
          <w:lang w:eastAsia="lv-LV"/>
        </w:rPr>
        <w:t>[pers. A]</w:t>
      </w:r>
      <w:r w:rsidR="00E27F3F" w:rsidRPr="00A23430">
        <w:t xml:space="preserve">, personas kods </w:t>
      </w:r>
      <w:r>
        <w:t>[..]</w:t>
      </w:r>
      <w:r w:rsidR="00E27F3F" w:rsidRPr="00A23430">
        <w:t>,</w:t>
      </w:r>
    </w:p>
    <w:p w14:paraId="310B6D72" w14:textId="4D6B528D" w:rsidR="00E27F3F" w:rsidRPr="00A23430" w:rsidRDefault="00E27F3F" w:rsidP="00B245CD">
      <w:pPr>
        <w:spacing w:line="276" w:lineRule="auto"/>
        <w:ind w:firstLine="720"/>
        <w:jc w:val="both"/>
      </w:pPr>
      <w:r w:rsidRPr="00A23430">
        <w:t xml:space="preserve">atzīts par </w:t>
      </w:r>
      <w:r w:rsidR="00A01A2A" w:rsidRPr="00A23430">
        <w:t>ne</w:t>
      </w:r>
      <w:r w:rsidRPr="00A23430">
        <w:t xml:space="preserve">vainīgu </w:t>
      </w:r>
      <w:r w:rsidR="001E23A1" w:rsidRPr="00A23430">
        <w:t xml:space="preserve">pret viņu celtajā apsūdzībā pēc </w:t>
      </w:r>
      <w:r w:rsidRPr="00A23430">
        <w:t xml:space="preserve">Krimināllikuma </w:t>
      </w:r>
      <w:r w:rsidR="001E23A1" w:rsidRPr="00A23430">
        <w:t>323</w:t>
      </w:r>
      <w:r w:rsidRPr="00A23430">
        <w:t xml:space="preserve">. panta otrās daļas </w:t>
      </w:r>
      <w:r w:rsidR="00A01A2A" w:rsidRPr="00A23430">
        <w:t>un attaisnots.</w:t>
      </w:r>
    </w:p>
    <w:p w14:paraId="412F3D0E" w14:textId="77777777" w:rsidR="00E27F3F" w:rsidRPr="00A23430" w:rsidRDefault="00E27F3F" w:rsidP="00B245CD">
      <w:pPr>
        <w:spacing w:line="276" w:lineRule="auto"/>
        <w:ind w:firstLine="720"/>
        <w:jc w:val="both"/>
      </w:pPr>
    </w:p>
    <w:p w14:paraId="43C39776" w14:textId="110228F7" w:rsidR="001E23A1" w:rsidRPr="00A23430" w:rsidRDefault="00E27F3F" w:rsidP="00B245CD">
      <w:pPr>
        <w:spacing w:line="276" w:lineRule="auto"/>
        <w:ind w:firstLine="720"/>
        <w:jc w:val="both"/>
      </w:pPr>
      <w:r w:rsidRPr="00A23430">
        <w:lastRenderedPageBreak/>
        <w:t>[2]</w:t>
      </w:r>
      <w:r w:rsidR="00E47157" w:rsidRPr="00A23430">
        <w:t> </w:t>
      </w:r>
      <w:r w:rsidR="005946EA" w:rsidRPr="00A23430">
        <w:t>Pirmstiesas kriminālprocesā</w:t>
      </w:r>
      <w:r w:rsidR="000E7D34" w:rsidRPr="00A23430">
        <w:t xml:space="preserve"> </w:t>
      </w:r>
      <w:r w:rsidR="00650832">
        <w:rPr>
          <w:lang w:eastAsia="lv-LV"/>
        </w:rPr>
        <w:t>[pers. A]</w:t>
      </w:r>
      <w:r w:rsidR="001E23A1" w:rsidRPr="00A23430">
        <w:t xml:space="preserve"> </w:t>
      </w:r>
      <w:r w:rsidR="005946EA" w:rsidRPr="00A23430">
        <w:t>apsūdzība celta</w:t>
      </w:r>
      <w:r w:rsidR="000E7D34" w:rsidRPr="00A23430">
        <w:t xml:space="preserve"> </w:t>
      </w:r>
      <w:r w:rsidR="00E85430" w:rsidRPr="00A23430">
        <w:t xml:space="preserve">pēc </w:t>
      </w:r>
      <w:r w:rsidR="000E7D34" w:rsidRPr="00A23430">
        <w:t xml:space="preserve">Krimināllikuma 323. panta </w:t>
      </w:r>
      <w:r w:rsidR="00E85430" w:rsidRPr="00A23430">
        <w:t xml:space="preserve">otrās daļas </w:t>
      </w:r>
      <w:r w:rsidR="001E23A1" w:rsidRPr="00A23430">
        <w:t>par kukuļa, tas ir, materiālu vērtību</w:t>
      </w:r>
      <w:r w:rsidR="000A7C20" w:rsidRPr="00A23430">
        <w:t>,</w:t>
      </w:r>
      <w:r w:rsidR="001E23A1" w:rsidRPr="00A23430">
        <w:t xml:space="preserve"> piedāvāšanu lielā apmērā valsts amatpersonām, lai tās, izmantojot savu dienesta stāvokli, neizdarītu kādu darbību</w:t>
      </w:r>
      <w:r w:rsidRPr="00A23430">
        <w:t>.</w:t>
      </w:r>
    </w:p>
    <w:p w14:paraId="5A696D28" w14:textId="77777777" w:rsidR="00E46F15" w:rsidRPr="00A23430" w:rsidRDefault="00E46F15" w:rsidP="00B245CD">
      <w:pPr>
        <w:spacing w:line="276" w:lineRule="auto"/>
        <w:ind w:firstLine="720"/>
        <w:jc w:val="both"/>
      </w:pPr>
    </w:p>
    <w:p w14:paraId="00EA216C" w14:textId="2D0F72F6" w:rsidR="00E27F3F" w:rsidRPr="00A23430" w:rsidRDefault="00E27F3F" w:rsidP="00B245CD">
      <w:pPr>
        <w:spacing w:line="276" w:lineRule="auto"/>
        <w:ind w:firstLine="720"/>
        <w:jc w:val="both"/>
      </w:pPr>
      <w:r w:rsidRPr="00A23430">
        <w:t>[3]</w:t>
      </w:r>
      <w:r w:rsidR="00E47157" w:rsidRPr="00A23430">
        <w:t> </w:t>
      </w:r>
      <w:r w:rsidRPr="00A23430">
        <w:t xml:space="preserve">Ar </w:t>
      </w:r>
      <w:r w:rsidR="00A01A2A" w:rsidRPr="00A23430">
        <w:t>Rīgas</w:t>
      </w:r>
      <w:r w:rsidRPr="00A23430">
        <w:t xml:space="preserve"> apgabaltiesas 2023. gada </w:t>
      </w:r>
      <w:r w:rsidR="00A01A2A" w:rsidRPr="00A23430">
        <w:t>29</w:t>
      </w:r>
      <w:r w:rsidRPr="00A23430">
        <w:t>. </w:t>
      </w:r>
      <w:r w:rsidR="00A01A2A" w:rsidRPr="00A23430">
        <w:t>novembra</w:t>
      </w:r>
      <w:r w:rsidRPr="00A23430">
        <w:t xml:space="preserve"> </w:t>
      </w:r>
      <w:r w:rsidR="00A01A2A" w:rsidRPr="00A23430">
        <w:t>lēmumu</w:t>
      </w:r>
      <w:r w:rsidRPr="00A23430">
        <w:t xml:space="preserve">, izskatot </w:t>
      </w:r>
      <w:r w:rsidR="00E879D3" w:rsidRPr="00A23430">
        <w:t>krimināl</w:t>
      </w:r>
      <w:r w:rsidRPr="00A23430">
        <w:t xml:space="preserve">lietu sakarā ar </w:t>
      </w:r>
      <w:r w:rsidR="001E23A1" w:rsidRPr="00A23430">
        <w:t>Noziedzīgu nodarījumu valsts institūciju dienestā izmeklēšanas prokuratūras prokurora V</w:t>
      </w:r>
      <w:r w:rsidR="00DE0E8C" w:rsidRPr="00A23430">
        <w:t>ladislava</w:t>
      </w:r>
      <w:r w:rsidR="00710832">
        <w:t xml:space="preserve"> </w:t>
      </w:r>
      <w:r w:rsidR="001E23A1" w:rsidRPr="00A23430">
        <w:t>Andrejeva apelācijas protestu</w:t>
      </w:r>
      <w:r w:rsidRPr="00A23430">
        <w:t xml:space="preserve">, </w:t>
      </w:r>
      <w:r w:rsidR="00A01A2A" w:rsidRPr="00A23430">
        <w:t>Ekonomisko lietu tiesas 2022. gada 17. novembra spriedums</w:t>
      </w:r>
      <w:r w:rsidRPr="00A23430">
        <w:t xml:space="preserve"> </w:t>
      </w:r>
      <w:r w:rsidR="001E23A1" w:rsidRPr="00A23430">
        <w:t xml:space="preserve">atcelts </w:t>
      </w:r>
      <w:r w:rsidR="00A01A2A" w:rsidRPr="00A23430">
        <w:t>un krimināllieta nosūtīta jaunai izskatīšanai Ekonomisko lietu ties</w:t>
      </w:r>
      <w:r w:rsidR="000A7C20" w:rsidRPr="00A23430">
        <w:t>ā</w:t>
      </w:r>
      <w:r w:rsidRPr="00A23430">
        <w:t>.</w:t>
      </w:r>
    </w:p>
    <w:p w14:paraId="20FE0858" w14:textId="77777777" w:rsidR="00A01A2A" w:rsidRPr="00A23430" w:rsidRDefault="00A01A2A" w:rsidP="00B245CD">
      <w:pPr>
        <w:spacing w:line="276" w:lineRule="auto"/>
        <w:ind w:firstLine="720"/>
        <w:jc w:val="both"/>
      </w:pPr>
    </w:p>
    <w:p w14:paraId="37FF3693" w14:textId="4371C31E" w:rsidR="00E27F3F" w:rsidRPr="00A23430" w:rsidRDefault="00E27F3F" w:rsidP="00B245CD">
      <w:pPr>
        <w:pStyle w:val="NormalWeb"/>
        <w:shd w:val="clear" w:color="auto" w:fill="FFFFFF"/>
        <w:spacing w:before="0" w:beforeAutospacing="0" w:after="0" w:afterAutospacing="0" w:line="276" w:lineRule="auto"/>
        <w:ind w:firstLine="720"/>
        <w:jc w:val="both"/>
      </w:pPr>
      <w:r w:rsidRPr="00A23430">
        <w:t>[4]</w:t>
      </w:r>
      <w:r w:rsidR="00E47157" w:rsidRPr="00A23430">
        <w:t> </w:t>
      </w:r>
      <w:r w:rsidRPr="00A23430">
        <w:t xml:space="preserve">Par </w:t>
      </w:r>
      <w:r w:rsidR="00A01A2A" w:rsidRPr="00A23430">
        <w:t>Rīgas apgabaltiesas 2023. gada 29. novembra lēmumu</w:t>
      </w:r>
      <w:r w:rsidRPr="00A23430">
        <w:t xml:space="preserve"> apsūdzēt</w:t>
      </w:r>
      <w:r w:rsidR="00A01A2A" w:rsidRPr="00A23430">
        <w:t xml:space="preserve">ā </w:t>
      </w:r>
      <w:r w:rsidR="007808CC">
        <w:t>[pers. A]</w:t>
      </w:r>
      <w:r w:rsidR="00A01A2A" w:rsidRPr="00A23430">
        <w:t xml:space="preserve"> aizstāvis</w:t>
      </w:r>
      <w:r w:rsidRPr="00A23430">
        <w:t xml:space="preserve"> </w:t>
      </w:r>
      <w:r w:rsidR="00E96821" w:rsidRPr="00A23430">
        <w:t>A. </w:t>
      </w:r>
      <w:proofErr w:type="spellStart"/>
      <w:r w:rsidR="00E96821" w:rsidRPr="00A23430">
        <w:t>Berezins</w:t>
      </w:r>
      <w:proofErr w:type="spellEnd"/>
      <w:r w:rsidR="00E96821" w:rsidRPr="00A23430">
        <w:t xml:space="preserve"> </w:t>
      </w:r>
      <w:r w:rsidRPr="00A23430">
        <w:t xml:space="preserve">iesniedzis kasācijas sūdzību, kurā lūdz atcelt apelācijas instances tiesas </w:t>
      </w:r>
      <w:r w:rsidR="00A01A2A" w:rsidRPr="00A23430">
        <w:t>lēmumu</w:t>
      </w:r>
      <w:r w:rsidR="00CD325F" w:rsidRPr="00A23430">
        <w:t xml:space="preserve"> un nosūtīt lietu jaunai izskatīšanai apelācijas instances tiesā.</w:t>
      </w:r>
    </w:p>
    <w:p w14:paraId="7D4925AC" w14:textId="1E6EEBA5" w:rsidR="00124154" w:rsidRPr="00A23430" w:rsidRDefault="00124154" w:rsidP="00B245CD">
      <w:pPr>
        <w:spacing w:line="276" w:lineRule="auto"/>
        <w:ind w:firstLine="720"/>
        <w:jc w:val="both"/>
      </w:pPr>
      <w:r w:rsidRPr="00A23430">
        <w:t xml:space="preserve">Savu lūgumu aizstāvis pamatojis ar </w:t>
      </w:r>
      <w:r w:rsidR="00A74283">
        <w:t>turpmāk norādītajiem</w:t>
      </w:r>
      <w:r w:rsidR="00A74283" w:rsidRPr="00A23430">
        <w:t xml:space="preserve"> </w:t>
      </w:r>
      <w:r w:rsidRPr="00A23430">
        <w:t>argumentiem.</w:t>
      </w:r>
    </w:p>
    <w:p w14:paraId="74B78709" w14:textId="54AFEE32" w:rsidR="00E27F3F" w:rsidRPr="00A23430" w:rsidRDefault="00E27F3F" w:rsidP="00B245CD">
      <w:pPr>
        <w:spacing w:line="276" w:lineRule="auto"/>
        <w:ind w:firstLine="720"/>
        <w:jc w:val="both"/>
      </w:pPr>
      <w:r w:rsidRPr="00A23430">
        <w:t>[4.1]</w:t>
      </w:r>
      <w:r w:rsidR="00E47157" w:rsidRPr="00A23430">
        <w:t> </w:t>
      </w:r>
      <w:r w:rsidR="007D2131" w:rsidRPr="00A23430">
        <w:t>A</w:t>
      </w:r>
      <w:r w:rsidRPr="00A23430">
        <w:t xml:space="preserve">pelācijas instances tiesa pieļāvusi </w:t>
      </w:r>
      <w:r w:rsidR="00F315F7" w:rsidRPr="00A23430">
        <w:t>Kriminālprocesa likuma būtisku pārkāpumu</w:t>
      </w:r>
      <w:r w:rsidR="00DE0E8C" w:rsidRPr="00A23430">
        <w:t xml:space="preserve"> </w:t>
      </w:r>
      <w:r w:rsidR="007D2131" w:rsidRPr="00A23430">
        <w:t>šā likuma 575. panta trešās daļas izpratnē</w:t>
      </w:r>
      <w:r w:rsidR="00F315F7" w:rsidRPr="00A23430">
        <w:t xml:space="preserve">. </w:t>
      </w:r>
      <w:r w:rsidR="007D2131" w:rsidRPr="00A23430">
        <w:t>Tiesa nav ievērojusi</w:t>
      </w:r>
      <w:r w:rsidRPr="00A23430">
        <w:t xml:space="preserve"> K</w:t>
      </w:r>
      <w:r w:rsidR="00F869D5" w:rsidRPr="00A23430">
        <w:t xml:space="preserve">riminālprocesa likuma </w:t>
      </w:r>
      <w:r w:rsidR="007D2131" w:rsidRPr="00A23430">
        <w:t>566</w:t>
      </w:r>
      <w:r w:rsidR="00F869D5" w:rsidRPr="00A23430">
        <w:t>. pant</w:t>
      </w:r>
      <w:r w:rsidR="007D2131" w:rsidRPr="00A23430">
        <w:t>ā</w:t>
      </w:r>
      <w:r w:rsidRPr="00A23430">
        <w:t xml:space="preserve"> noteikt</w:t>
      </w:r>
      <w:r w:rsidR="007D2131" w:rsidRPr="00A23430">
        <w:t xml:space="preserve">o, </w:t>
      </w:r>
      <w:r w:rsidR="00DE0E8C" w:rsidRPr="00A23430">
        <w:t xml:space="preserve">nav uzklausījusi lietas dalībnieku viedokļus par </w:t>
      </w:r>
      <w:r w:rsidR="00220831" w:rsidRPr="00A23430">
        <w:t>lietas nosūtīšan</w:t>
      </w:r>
      <w:r w:rsidR="00BA7A0F" w:rsidRPr="00A23430">
        <w:t>u</w:t>
      </w:r>
      <w:r w:rsidR="00220831" w:rsidRPr="00A23430">
        <w:t xml:space="preserve"> jaunai izskatīšanai pirmās instances ties</w:t>
      </w:r>
      <w:r w:rsidR="00611634" w:rsidRPr="00A23430">
        <w:t>ai</w:t>
      </w:r>
      <w:r w:rsidR="00BA7A0F" w:rsidRPr="00A23430">
        <w:t>, tādējādi liedzot iespēju izmantot kriminālprocesuālās tiesības.</w:t>
      </w:r>
    </w:p>
    <w:p w14:paraId="733BCC52" w14:textId="172760C8" w:rsidR="005F49FA" w:rsidRPr="00A23430" w:rsidRDefault="00E27F3F" w:rsidP="00B245CD">
      <w:pPr>
        <w:spacing w:line="276" w:lineRule="auto"/>
        <w:ind w:firstLine="720"/>
        <w:jc w:val="both"/>
      </w:pPr>
      <w:r w:rsidRPr="00A23430">
        <w:t>[4.2]</w:t>
      </w:r>
      <w:r w:rsidR="00E47157" w:rsidRPr="00A23430">
        <w:t> </w:t>
      </w:r>
      <w:r w:rsidR="00E879D3" w:rsidRPr="00A23430">
        <w:t>Apelācijas instances t</w:t>
      </w:r>
      <w:r w:rsidR="0010477D" w:rsidRPr="00A23430">
        <w:t>iesa</w:t>
      </w:r>
      <w:r w:rsidRPr="00A23430">
        <w:t xml:space="preserve"> nep</w:t>
      </w:r>
      <w:r w:rsidR="001E5D9F" w:rsidRPr="00A23430">
        <w:t>amatoti</w:t>
      </w:r>
      <w:r w:rsidR="00BA7A0F" w:rsidRPr="00A23430">
        <w:t xml:space="preserve"> atzinusi </w:t>
      </w:r>
      <w:r w:rsidR="00220831" w:rsidRPr="00A23430">
        <w:t xml:space="preserve">pirmās instances tiesas </w:t>
      </w:r>
      <w:r w:rsidR="005F49FA" w:rsidRPr="00A23430">
        <w:t xml:space="preserve">pieļauto Kriminālprocesa likuma pārkāpumu </w:t>
      </w:r>
      <w:r w:rsidR="00BA7A0F" w:rsidRPr="00A23430">
        <w:t>par tād</w:t>
      </w:r>
      <w:r w:rsidR="008B61BA" w:rsidRPr="00A23430">
        <w:t>u</w:t>
      </w:r>
      <w:r w:rsidR="00BA7A0F" w:rsidRPr="00A23430">
        <w:t xml:space="preserve">, kuru </w:t>
      </w:r>
      <w:r w:rsidR="00A74283">
        <w:t xml:space="preserve">lietas izskatīšanā pēc būtības </w:t>
      </w:r>
      <w:r w:rsidR="00A74283" w:rsidRPr="00A23430">
        <w:t>apelācijas instances tiesa</w:t>
      </w:r>
      <w:r w:rsidR="00A74283">
        <w:t xml:space="preserve"> </w:t>
      </w:r>
      <w:r w:rsidR="003A2A02" w:rsidRPr="00A23430">
        <w:t>nevar novērst</w:t>
      </w:r>
      <w:r w:rsidR="00BA7A0F" w:rsidRPr="00A23430">
        <w:t>,</w:t>
      </w:r>
      <w:r w:rsidR="00D03116" w:rsidRPr="00A23430">
        <w:rPr>
          <w:shd w:val="clear" w:color="auto" w:fill="FFFFFF"/>
        </w:rPr>
        <w:t xml:space="preserve"> nepārkāpjot apsūdzētā tiesības uz aizstāvību</w:t>
      </w:r>
      <w:r w:rsidR="003A2A02" w:rsidRPr="00A23430">
        <w:t>.</w:t>
      </w:r>
      <w:r w:rsidR="005F49FA" w:rsidRPr="00A23430">
        <w:t xml:space="preserve"> </w:t>
      </w:r>
    </w:p>
    <w:p w14:paraId="7EA539D6" w14:textId="069C01D9" w:rsidR="00D03116" w:rsidRPr="00A23430" w:rsidRDefault="003A2A02" w:rsidP="00B245CD">
      <w:pPr>
        <w:spacing w:line="276" w:lineRule="auto"/>
        <w:ind w:firstLine="720"/>
        <w:jc w:val="both"/>
      </w:pPr>
      <w:r w:rsidRPr="00A23430">
        <w:t>[4.3]</w:t>
      </w:r>
      <w:r w:rsidR="00E47157" w:rsidRPr="00A23430">
        <w:t> </w:t>
      </w:r>
      <w:r w:rsidR="00220831" w:rsidRPr="00A23430">
        <w:t xml:space="preserve">Apelācijas instances tiesa </w:t>
      </w:r>
      <w:r w:rsidR="00565591" w:rsidRPr="00A23430">
        <w:t>lēmumā norādījusi, ja</w:t>
      </w:r>
      <w:r w:rsidR="00D03116" w:rsidRPr="00A23430">
        <w:t xml:space="preserve"> </w:t>
      </w:r>
      <w:r w:rsidR="00F835E8" w:rsidRPr="00A23430">
        <w:t>„</w:t>
      </w:r>
      <w:r w:rsidR="00D03116" w:rsidRPr="00A23430">
        <w:t>apelācijas instances tiesas nolēmumā pirmo reizi tiesvedības laikā pēc būtības atbilstoši likuma prasībām tiktu sniegts vērtējums par pierādījumiem, bet šādu apelācijas instances tiesas nolēmumu būtu iespējams pārsūdzēt tikai kasācijas kārtībā par pieļautiem likuma pārkāpumiem, bet ne par pierādījumu vērtējumu [..]</w:t>
      </w:r>
      <w:r w:rsidR="00F835E8" w:rsidRPr="00A23430">
        <w:t>,</w:t>
      </w:r>
      <w:r w:rsidR="00D03116" w:rsidRPr="00A23430">
        <w:t xml:space="preserve"> lietas dalībniekiem tiktu liegtas tiesības uz lietas izskatīšanu un pierādījumu novērtējumu pēc būtības divās tiesu instancēs.” Ievērojot, ka apsūdzētais pirmās instances tiesā ir attaisnots un Kriminālprocesa likuma 566. pantā tiek aizsargātas tikai apsūdzētā tiesības, tiesa ir </w:t>
      </w:r>
      <w:r w:rsidR="00220831" w:rsidRPr="00A23430">
        <w:t>pārkāpusi Kriminālprocesa likuma 19. pantu, jo</w:t>
      </w:r>
      <w:r w:rsidR="00D03116" w:rsidRPr="00A23430">
        <w:t xml:space="preserve"> </w:t>
      </w:r>
      <w:r w:rsidR="00220831" w:rsidRPr="00A23430">
        <w:t>paudusi savu attieksmi</w:t>
      </w:r>
      <w:r w:rsidR="0071369C" w:rsidRPr="00A23430">
        <w:t xml:space="preserve"> </w:t>
      </w:r>
      <w:r w:rsidR="00D03116" w:rsidRPr="00A23430">
        <w:t xml:space="preserve">faktiski atzīstot, </w:t>
      </w:r>
      <w:r w:rsidR="00220831" w:rsidRPr="00A23430">
        <w:t>ka apsūdzētais ir vainīgs viņam inkriminētā noziedzīgā nodarījuma izdarīšanā.</w:t>
      </w:r>
      <w:r w:rsidR="00565591" w:rsidRPr="00A23430">
        <w:t xml:space="preserve"> </w:t>
      </w:r>
      <w:r w:rsidR="00D03116" w:rsidRPr="00A23430">
        <w:t>Minēto apstiprina arī</w:t>
      </w:r>
      <w:r w:rsidR="00220831" w:rsidRPr="00A23430">
        <w:t xml:space="preserve"> nolēmuma faila nosaukum</w:t>
      </w:r>
      <w:r w:rsidR="00D03116" w:rsidRPr="00A23430">
        <w:t>s</w:t>
      </w:r>
      <w:r w:rsidR="00220831" w:rsidRPr="00A23430">
        <w:t xml:space="preserve"> </w:t>
      </w:r>
      <w:r w:rsidR="00CD325F" w:rsidRPr="00A23430">
        <w:rPr>
          <w:i/>
          <w:iCs/>
        </w:rPr>
        <w:t>RATKLK_291123_PILNAIS_spriedums_atcelt_notiesāt_</w:t>
      </w:r>
      <w:r w:rsidR="007808CC">
        <w:rPr>
          <w:i/>
          <w:iCs/>
        </w:rPr>
        <w:t>Uzvārds</w:t>
      </w:r>
      <w:r w:rsidR="00D222E0" w:rsidRPr="00A23430">
        <w:t xml:space="preserve">, kurā tiesa </w:t>
      </w:r>
      <w:r w:rsidR="00220831" w:rsidRPr="00A23430">
        <w:t xml:space="preserve">ietvērusi vārdus </w:t>
      </w:r>
      <w:r w:rsidR="00F835E8" w:rsidRPr="00A23430">
        <w:t>„</w:t>
      </w:r>
      <w:r w:rsidR="00220831" w:rsidRPr="00A23430">
        <w:t>atcelt, notiesāt”</w:t>
      </w:r>
      <w:r w:rsidR="00466A47" w:rsidRPr="00A23430">
        <w:t>, kas neatkarīgam vērotājam no malas izraisa ticamu priekšstatu par tiesas vērtējumu lietā pēc būtības un pārkāpj nevainīguma prezumpcij</w:t>
      </w:r>
      <w:r w:rsidR="00F835E8" w:rsidRPr="00A23430">
        <w:t>u</w:t>
      </w:r>
      <w:r w:rsidR="00466A47" w:rsidRPr="00A23430">
        <w:t>.</w:t>
      </w:r>
    </w:p>
    <w:p w14:paraId="7A1801FA" w14:textId="77777777" w:rsidR="00E27F3F" w:rsidRPr="00A23430" w:rsidRDefault="00E27F3F" w:rsidP="00B245CD">
      <w:pPr>
        <w:spacing w:line="276" w:lineRule="auto"/>
        <w:ind w:firstLine="720"/>
        <w:jc w:val="both"/>
      </w:pPr>
    </w:p>
    <w:p w14:paraId="3F16DB6C" w14:textId="77777777" w:rsidR="00E879D3" w:rsidRPr="00A23430" w:rsidRDefault="00E27F3F" w:rsidP="00B245CD">
      <w:pPr>
        <w:spacing w:line="276" w:lineRule="auto"/>
        <w:ind w:firstLine="709"/>
        <w:jc w:val="center"/>
        <w:rPr>
          <w:b/>
        </w:rPr>
      </w:pPr>
      <w:r w:rsidRPr="00A23430">
        <w:rPr>
          <w:b/>
        </w:rPr>
        <w:t>Motīvu daļa</w:t>
      </w:r>
    </w:p>
    <w:p w14:paraId="12E62A52" w14:textId="77777777" w:rsidR="00E879D3" w:rsidRPr="00A23430" w:rsidRDefault="00E879D3" w:rsidP="00B245CD">
      <w:pPr>
        <w:spacing w:line="276" w:lineRule="auto"/>
        <w:ind w:firstLine="720"/>
        <w:jc w:val="center"/>
        <w:rPr>
          <w:b/>
        </w:rPr>
      </w:pPr>
    </w:p>
    <w:p w14:paraId="3C9F3149" w14:textId="6DE7F02E" w:rsidR="00E27F3F" w:rsidRPr="00A23430" w:rsidRDefault="00E27F3F" w:rsidP="00B245CD">
      <w:pPr>
        <w:spacing w:line="276" w:lineRule="auto"/>
        <w:ind w:firstLine="720"/>
        <w:jc w:val="both"/>
      </w:pPr>
      <w:r w:rsidRPr="00A23430">
        <w:t>[5]</w:t>
      </w:r>
      <w:r w:rsidR="00E47157" w:rsidRPr="00A23430">
        <w:t> </w:t>
      </w:r>
      <w:r w:rsidR="00EB0A84" w:rsidRPr="00A23430">
        <w:rPr>
          <w:rFonts w:eastAsiaTheme="minorHAnsi"/>
          <w:lang w:eastAsia="en-US"/>
        </w:rPr>
        <w:t xml:space="preserve">Senātam vispirms ir jāsniedz atbilde uz jautājumu, </w:t>
      </w:r>
      <w:r w:rsidR="00EB0A84" w:rsidRPr="00A23430">
        <w:t>vai pierādījumu vērtēšanas prasību neievērošana pirmās instances tiesā var būt par pamatu, lai apelācijas instances tiesa krimināllietu nosūtītu jaunai izskatīšanai pirmās instances tiesā.</w:t>
      </w:r>
    </w:p>
    <w:p w14:paraId="74DC0732" w14:textId="77777777" w:rsidR="004801E8" w:rsidRPr="00A23430" w:rsidRDefault="00E879D3" w:rsidP="00B245CD">
      <w:pPr>
        <w:spacing w:line="276" w:lineRule="auto"/>
        <w:ind w:firstLine="720"/>
        <w:jc w:val="both"/>
      </w:pPr>
      <w:r w:rsidRPr="00A23430">
        <w:lastRenderedPageBreak/>
        <w:t>[</w:t>
      </w:r>
      <w:r w:rsidR="00EE09AB" w:rsidRPr="00A23430">
        <w:t>5.1</w:t>
      </w:r>
      <w:r w:rsidRPr="00A23430">
        <w:t>]</w:t>
      </w:r>
      <w:r w:rsidR="00E47157" w:rsidRPr="00A23430">
        <w:t> </w:t>
      </w:r>
      <w:r w:rsidR="004801E8" w:rsidRPr="00A23430">
        <w:t>Kriminālprocesa likuma 566. pantā, kas nosaka apelācijas instances tiesas kompetenci krimināllietas nosūtīšanā jaunai izskatīšanai pirmās instances tiesā, norādīts, ka gadījumā, ja apelācijas instances tiesa, izskatot lietu, konstatē šā likuma pārkāpumu, kas katrā ziņā izraisa sprieduma atcelšanu vai kādu citu būtisku šā likuma pārkāpumu, kuru tā pati nevar novērst, nepārkāpjot apsūdzētā tiesības uz aizstāvību, tā jebkurā lietas iztiesāšanas brīdī, uzklausījusi lietas dalībnieku viedokļus, pieņem lēmumu par pirmās instances tiesas sprieduma atcelšanu pilnībā vai kādā tā daļā un lietas nosūtīšanu jaunai izskatīšanai pirmās instances tiesai.</w:t>
      </w:r>
    </w:p>
    <w:p w14:paraId="380CED1F" w14:textId="0F02E5BB" w:rsidR="004801E8" w:rsidRPr="00A23430" w:rsidRDefault="004801E8" w:rsidP="00B245CD">
      <w:pPr>
        <w:spacing w:line="276" w:lineRule="auto"/>
        <w:ind w:firstLine="720"/>
        <w:jc w:val="both"/>
      </w:pPr>
      <w:r w:rsidRPr="00A23430">
        <w:t xml:space="preserve">Senāta judikatūrā izteikta atziņa, ka </w:t>
      </w:r>
      <w:r w:rsidR="001D3E1D" w:rsidRPr="00A23430">
        <w:rPr>
          <w:bCs/>
        </w:rPr>
        <w:t>Kriminālprocesa likuma 566. pants paredz divus tiesiskus pamatus, kad apelācijas instances tiesai lieta nosūtāma jaunai skatīšanai pirmās instances tiesā, proti, kad tā konstatē Kriminālprocesa likuma pārkāpumu, kas katrā ziņā izraisa sprieduma atcelšanu, un kad tā konstatē kādu citu būtisku šā likuma pārkāpumu, kuru tā pati nevar novērst, nepārkāpjot apsūdzētā tiesības uz aizstāvību. Kriminālprocesa likuma pārkāpumi, kas katrā ziņā izraisa sprieduma atcelšanu, minēti Kriminālprocesa likuma 575. panta pirmajā daļā. Kriminālprocesa likuma 566.</w:t>
      </w:r>
      <w:r w:rsidR="00DD3CDA">
        <w:rPr>
          <w:bCs/>
        </w:rPr>
        <w:t> </w:t>
      </w:r>
      <w:r w:rsidR="001D3E1D" w:rsidRPr="00A23430">
        <w:rPr>
          <w:bCs/>
        </w:rPr>
        <w:t xml:space="preserve">pantā paredzēto otro gadījumu, kad lieta nosūtāma jaunai izskatīšanai pirmās instances tiesā, likums tieši nepaskaidro, taču jābūt konstatētam Kriminālprocesa likuma būtiskam pārkāpumam, kuru nav iespējams novērst apelācijas instances tiesā, nepārkāpjot apsūdzētā tiesības uz aizstāvību </w:t>
      </w:r>
      <w:r w:rsidRPr="00A23430">
        <w:t>(</w:t>
      </w:r>
      <w:r w:rsidRPr="00A23430">
        <w:rPr>
          <w:i/>
        </w:rPr>
        <w:t>Senāta 2015. gada 13. marta lēmums lietā Nr. </w:t>
      </w:r>
      <w:hyperlink r:id="rId9" w:history="1">
        <w:r w:rsidRPr="00A23430">
          <w:rPr>
            <w:rStyle w:val="Hyperlink"/>
            <w:i/>
          </w:rPr>
          <w:t>SKK</w:t>
        </w:r>
        <w:r w:rsidR="00DD3CDA">
          <w:rPr>
            <w:rStyle w:val="Hyperlink"/>
            <w:i/>
          </w:rPr>
          <w:noBreakHyphen/>
        </w:r>
        <w:r w:rsidRPr="00A23430">
          <w:rPr>
            <w:rStyle w:val="Hyperlink"/>
            <w:i/>
          </w:rPr>
          <w:t>43/2015</w:t>
        </w:r>
      </w:hyperlink>
      <w:r w:rsidRPr="00A23430">
        <w:rPr>
          <w:i/>
        </w:rPr>
        <w:t>, 11094013314</w:t>
      </w:r>
      <w:r w:rsidRPr="00A23430">
        <w:t>)</w:t>
      </w:r>
      <w:r w:rsidRPr="00A23430">
        <w:rPr>
          <w:i/>
        </w:rPr>
        <w:t>.</w:t>
      </w:r>
    </w:p>
    <w:p w14:paraId="076A4DEF" w14:textId="77777777" w:rsidR="001C571F" w:rsidRPr="00A23430" w:rsidRDefault="005946EA" w:rsidP="00B245CD">
      <w:pPr>
        <w:spacing w:line="276" w:lineRule="auto"/>
        <w:ind w:firstLine="720"/>
        <w:jc w:val="both"/>
        <w:rPr>
          <w:rFonts w:eastAsiaTheme="minorHAnsi"/>
          <w:lang w:eastAsia="en-US"/>
        </w:rPr>
      </w:pPr>
      <w:r w:rsidRPr="00A23430">
        <w:t>[</w:t>
      </w:r>
      <w:r w:rsidR="00EE09AB" w:rsidRPr="00A23430">
        <w:t>5</w:t>
      </w:r>
      <w:r w:rsidRPr="00A23430">
        <w:t>.</w:t>
      </w:r>
      <w:r w:rsidR="00EE09AB" w:rsidRPr="00A23430">
        <w:t>2</w:t>
      </w:r>
      <w:r w:rsidRPr="00A23430">
        <w:t>]</w:t>
      </w:r>
      <w:r w:rsidR="00E47157" w:rsidRPr="00A23430">
        <w:t> </w:t>
      </w:r>
      <w:r w:rsidR="001C571F" w:rsidRPr="00A23430">
        <w:t>Apelācijas instances tiesa atcēlusi pirmās instances tiesas spriedumu pilnībā un nosūtījusi krimināllietu jaunai izskatīšanai pirmās instances tiesā.</w:t>
      </w:r>
    </w:p>
    <w:p w14:paraId="60BF446F" w14:textId="3B9EFFB5" w:rsidR="00F257DE" w:rsidRPr="00A23430" w:rsidRDefault="001C571F" w:rsidP="00B245CD">
      <w:pPr>
        <w:spacing w:line="276" w:lineRule="auto"/>
        <w:ind w:firstLine="720"/>
        <w:jc w:val="both"/>
      </w:pPr>
      <w:r w:rsidRPr="00A23430">
        <w:t>T</w:t>
      </w:r>
      <w:r w:rsidR="00384366" w:rsidRPr="00A23430">
        <w:t xml:space="preserve">iesa </w:t>
      </w:r>
      <w:r w:rsidR="00384366" w:rsidRPr="00A23430">
        <w:rPr>
          <w:rFonts w:eastAsiaTheme="minorHAnsi"/>
          <w:lang w:eastAsia="en-US"/>
        </w:rPr>
        <w:t>konstatējusi, ka p</w:t>
      </w:r>
      <w:r w:rsidR="00384366" w:rsidRPr="00A23430">
        <w:t xml:space="preserve">irmās instances tiesa </w:t>
      </w:r>
      <w:r w:rsidR="00384366" w:rsidRPr="00A23430">
        <w:rPr>
          <w:rFonts w:eastAsiaTheme="minorHAnsi"/>
          <w:lang w:eastAsia="en-US"/>
        </w:rPr>
        <w:t xml:space="preserve">spriedumā nav norādījusi, kādi ir tās noskaidrotie notikuma apstākļi, nav analizējusi </w:t>
      </w:r>
      <w:r w:rsidR="00F257DE" w:rsidRPr="00A23430">
        <w:rPr>
          <w:rFonts w:eastAsiaTheme="minorHAnsi"/>
          <w:lang w:eastAsia="en-US"/>
        </w:rPr>
        <w:t xml:space="preserve">visu lietā iegūto </w:t>
      </w:r>
      <w:r w:rsidR="00384366" w:rsidRPr="00A23430">
        <w:rPr>
          <w:rFonts w:eastAsiaTheme="minorHAnsi"/>
          <w:lang w:eastAsia="en-US"/>
        </w:rPr>
        <w:t>pierādījumu attiecināmību, pieļaujamību, ticamību un pietiekamību</w:t>
      </w:r>
      <w:r w:rsidR="00F257DE" w:rsidRPr="00A23430">
        <w:rPr>
          <w:rFonts w:eastAsiaTheme="minorHAnsi"/>
          <w:lang w:eastAsia="en-US"/>
        </w:rPr>
        <w:t xml:space="preserve">, </w:t>
      </w:r>
      <w:r w:rsidR="00F257DE" w:rsidRPr="00A23430">
        <w:t>kļūdaini un nepamatoti savus atzinumus pamatojusi ar aizstāvības debašu runā paustajiem argumentiem.</w:t>
      </w:r>
    </w:p>
    <w:p w14:paraId="5B8D8AB9" w14:textId="7C45182A" w:rsidR="00F257DE" w:rsidRPr="00A23430" w:rsidRDefault="00F257DE" w:rsidP="00B245CD">
      <w:pPr>
        <w:spacing w:line="276" w:lineRule="auto"/>
        <w:ind w:firstLine="720"/>
        <w:jc w:val="both"/>
      </w:pPr>
      <w:r w:rsidRPr="00A23430">
        <w:t>Ievērojot minēto, a</w:t>
      </w:r>
      <w:r w:rsidR="00384366" w:rsidRPr="00A23430">
        <w:t xml:space="preserve">pelācijas instances tiesa </w:t>
      </w:r>
      <w:r w:rsidRPr="00A23430">
        <w:t>atzinusi</w:t>
      </w:r>
      <w:r w:rsidR="00384366" w:rsidRPr="00A23430">
        <w:t>, ka pi</w:t>
      </w:r>
      <w:r w:rsidR="00384366" w:rsidRPr="00A23430">
        <w:rPr>
          <w:rFonts w:eastAsiaTheme="minorHAnsi"/>
          <w:lang w:eastAsia="en-US"/>
        </w:rPr>
        <w:t>rmās instances tiesas spriedumā faktiski iztrūkst motīvu daļa</w:t>
      </w:r>
      <w:r w:rsidR="001B2A8F">
        <w:rPr>
          <w:rFonts w:eastAsiaTheme="minorHAnsi"/>
          <w:lang w:eastAsia="en-US"/>
        </w:rPr>
        <w:t>s</w:t>
      </w:r>
      <w:r w:rsidR="00384366" w:rsidRPr="00A23430">
        <w:rPr>
          <w:rFonts w:eastAsiaTheme="minorHAnsi"/>
          <w:lang w:eastAsia="en-US"/>
        </w:rPr>
        <w:t>, kurā tiek atklāti tiesas argumenti par to, kā tiesa nonākusi pie secinājumiem, kas atspoguļoti sprieduma rezolutīvajā daļā.</w:t>
      </w:r>
      <w:r w:rsidRPr="00A23430">
        <w:rPr>
          <w:rFonts w:eastAsiaTheme="minorHAnsi"/>
          <w:lang w:eastAsia="en-US"/>
        </w:rPr>
        <w:t xml:space="preserve"> Tādējādi a</w:t>
      </w:r>
      <w:r w:rsidR="00EE09AB" w:rsidRPr="00A23430">
        <w:t xml:space="preserve">pelācijas instances tiesa </w:t>
      </w:r>
      <w:r w:rsidR="00E566FD" w:rsidRPr="00A23430">
        <w:rPr>
          <w:rFonts w:eastAsiaTheme="minorHAnsi"/>
          <w:lang w:eastAsia="en-US"/>
        </w:rPr>
        <w:t>secinājusi</w:t>
      </w:r>
      <w:r w:rsidR="00EE09AB" w:rsidRPr="00A23430">
        <w:rPr>
          <w:rFonts w:eastAsiaTheme="minorHAnsi"/>
          <w:lang w:eastAsia="en-US"/>
        </w:rPr>
        <w:t xml:space="preserve">, ka </w:t>
      </w:r>
      <w:r w:rsidR="00EE09AB" w:rsidRPr="00A23430">
        <w:t xml:space="preserve">pirmās instances </w:t>
      </w:r>
      <w:r w:rsidR="00EE09AB" w:rsidRPr="00A23430">
        <w:rPr>
          <w:rFonts w:eastAsiaTheme="minorHAnsi"/>
          <w:lang w:eastAsia="en-US"/>
        </w:rPr>
        <w:t xml:space="preserve">tiesa pieļāvusi </w:t>
      </w:r>
      <w:r w:rsidR="00E566FD" w:rsidRPr="00A23430">
        <w:t xml:space="preserve">Kriminālprocesa likuma 128. panta otrās daļas, 511. panta otrās daļas, 512. panta pirmās un otrās daļas, 525. panta otrās daļas </w:t>
      </w:r>
      <w:r w:rsidR="00EE09AB" w:rsidRPr="00A23430">
        <w:rPr>
          <w:rFonts w:eastAsiaTheme="minorHAnsi"/>
          <w:lang w:eastAsia="en-US"/>
        </w:rPr>
        <w:t>pārkāpumus</w:t>
      </w:r>
      <w:r w:rsidRPr="00A23430">
        <w:rPr>
          <w:rFonts w:eastAsiaTheme="minorHAnsi"/>
          <w:lang w:eastAsia="en-US"/>
        </w:rPr>
        <w:t xml:space="preserve">. Minētos pārkāpumus tiesa atzinusi </w:t>
      </w:r>
      <w:r w:rsidR="00EE09AB" w:rsidRPr="00A23430">
        <w:rPr>
          <w:rFonts w:eastAsiaTheme="minorHAnsi"/>
          <w:lang w:eastAsia="en-US"/>
        </w:rPr>
        <w:t xml:space="preserve">par Kriminālprocesa likuma būtiskiem pārkāpumiem šā likuma 575. panta trešās daļas izpratnē, </w:t>
      </w:r>
      <w:r w:rsidRPr="00A23430">
        <w:rPr>
          <w:rFonts w:eastAsiaTheme="minorHAnsi"/>
          <w:lang w:eastAsia="en-US"/>
        </w:rPr>
        <w:t>kas</w:t>
      </w:r>
      <w:r w:rsidR="00EE09AB" w:rsidRPr="00A23430">
        <w:rPr>
          <w:rFonts w:eastAsiaTheme="minorHAnsi"/>
          <w:lang w:eastAsia="en-US"/>
        </w:rPr>
        <w:t xml:space="preserve"> noveduši pie nelikumīga sprieduma.</w:t>
      </w:r>
    </w:p>
    <w:p w14:paraId="13A46FE6" w14:textId="3FADA714" w:rsidR="001C571F" w:rsidRPr="00A23430" w:rsidRDefault="00154D22" w:rsidP="00B245CD">
      <w:pPr>
        <w:spacing w:line="276" w:lineRule="auto"/>
        <w:ind w:firstLine="720"/>
        <w:jc w:val="both"/>
      </w:pPr>
      <w:r w:rsidRPr="00A23430">
        <w:t>[</w:t>
      </w:r>
      <w:r w:rsidR="00EE09AB" w:rsidRPr="00A23430">
        <w:t>5</w:t>
      </w:r>
      <w:r w:rsidRPr="00A23430">
        <w:t>.</w:t>
      </w:r>
      <w:r w:rsidR="00EE09AB" w:rsidRPr="00A23430">
        <w:t>3</w:t>
      </w:r>
      <w:r w:rsidRPr="00A23430">
        <w:t>]</w:t>
      </w:r>
      <w:r w:rsidR="00E47157" w:rsidRPr="00A23430">
        <w:t> </w:t>
      </w:r>
      <w:bookmarkStart w:id="0" w:name="_Hlk160190988"/>
      <w:r w:rsidR="001C571F" w:rsidRPr="00A23430">
        <w:rPr>
          <w:rFonts w:eastAsiaTheme="minorHAnsi"/>
          <w:lang w:eastAsia="en-US"/>
        </w:rPr>
        <w:t>Senāts konstatē, ka a</w:t>
      </w:r>
      <w:r w:rsidR="001C571F" w:rsidRPr="00A23430">
        <w:t xml:space="preserve">pelācijas instances tiesa, lietu nosūtot jaunai izskatīšanai pirmās instances tiesā, savus atzinumus par pirmās instances tiesas pieļautiem pārkāpumiem faktiski pamatojusi ar pierādījumu satura </w:t>
      </w:r>
      <w:r w:rsidR="00D517B9" w:rsidRPr="00A23430">
        <w:t xml:space="preserve">nepietiekamu </w:t>
      </w:r>
      <w:r w:rsidR="001C571F" w:rsidRPr="00A23430">
        <w:t>izklāstu un izvērtējumu.</w:t>
      </w:r>
    </w:p>
    <w:p w14:paraId="31EA2E29" w14:textId="37EC7A38" w:rsidR="0064062A" w:rsidRPr="00A23430" w:rsidRDefault="001C571F" w:rsidP="00B245CD">
      <w:pPr>
        <w:spacing w:line="276" w:lineRule="auto"/>
        <w:ind w:firstLine="720"/>
        <w:jc w:val="both"/>
      </w:pPr>
      <w:r w:rsidRPr="00A23430">
        <w:t xml:space="preserve">No lietas materiāliem redzams, </w:t>
      </w:r>
      <w:r w:rsidR="001E4DFF" w:rsidRPr="00A23430">
        <w:t xml:space="preserve">ka </w:t>
      </w:r>
      <w:r w:rsidR="0064062A" w:rsidRPr="00A23430">
        <w:t xml:space="preserve">lieta pirmās instances tiesā un apelācijas instances tiesā iztiesāta mutvārdu procesā, piedaloties apsūdzētajam un viņa </w:t>
      </w:r>
      <w:r w:rsidR="00421F02" w:rsidRPr="00A23430">
        <w:t xml:space="preserve">izvēlētam </w:t>
      </w:r>
      <w:r w:rsidR="00082643" w:rsidRPr="00A23430">
        <w:t>aizstāvim</w:t>
      </w:r>
      <w:r w:rsidR="0064062A" w:rsidRPr="00A23430">
        <w:t>. Liecinieki ir nopratināti pirmās instances tiesā procesā, kura atbilstība taisnīgas tiesas garantijām netiek apšaubīta</w:t>
      </w:r>
      <w:r w:rsidR="00082643" w:rsidRPr="00A23430">
        <w:t xml:space="preserve">, </w:t>
      </w:r>
      <w:r w:rsidR="001B2A8F">
        <w:t xml:space="preserve">savukārt </w:t>
      </w:r>
      <w:r w:rsidR="0064062A" w:rsidRPr="00A23430">
        <w:t xml:space="preserve">apelācijas instances tiesai </w:t>
      </w:r>
      <w:r w:rsidR="00082643" w:rsidRPr="00A23430">
        <w:t xml:space="preserve">apsūdzētais </w:t>
      </w:r>
      <w:r w:rsidR="0064062A" w:rsidRPr="00A23430">
        <w:t>lūgumu nopratināt lieciniekus</w:t>
      </w:r>
      <w:r w:rsidR="001B2A8F" w:rsidRPr="001B2A8F">
        <w:t xml:space="preserve"> </w:t>
      </w:r>
      <w:r w:rsidR="001B2A8F" w:rsidRPr="00A23430">
        <w:t>nav pieteicis</w:t>
      </w:r>
      <w:r w:rsidR="0064062A" w:rsidRPr="00A23430">
        <w:t xml:space="preserve">. </w:t>
      </w:r>
      <w:r w:rsidR="008E4511">
        <w:t>A</w:t>
      </w:r>
      <w:r w:rsidR="008E4511" w:rsidRPr="00A23430">
        <w:t xml:space="preserve">izstāvja norādītos pierādījumus </w:t>
      </w:r>
      <w:r w:rsidR="008E4511">
        <w:t>a</w:t>
      </w:r>
      <w:r w:rsidRPr="00A23430">
        <w:t xml:space="preserve">pelācijas instances </w:t>
      </w:r>
      <w:r w:rsidRPr="00B26FF2">
        <w:lastRenderedPageBreak/>
        <w:t xml:space="preserve">tiesa </w:t>
      </w:r>
      <w:r w:rsidR="0064062A" w:rsidRPr="00A23430">
        <w:t>pārbaudījus</w:t>
      </w:r>
      <w:r w:rsidR="0064062A" w:rsidRPr="00B26FF2">
        <w:t>i</w:t>
      </w:r>
      <w:r w:rsidR="008E4511" w:rsidRPr="00B26FF2">
        <w:t xml:space="preserve"> tiesas</w:t>
      </w:r>
      <w:r w:rsidR="008E4511" w:rsidRPr="00A23430">
        <w:t xml:space="preserve"> sēdē</w:t>
      </w:r>
      <w:r w:rsidR="0064062A" w:rsidRPr="00A23430">
        <w:t>. Apsūdzētais norādījis, ka uztur pirmās instances tiesā sniegtās liecības</w:t>
      </w:r>
      <w:r w:rsidR="00421F02" w:rsidRPr="00A23430">
        <w:t>,</w:t>
      </w:r>
      <w:r w:rsidR="0064062A" w:rsidRPr="00A23430">
        <w:t xml:space="preserve"> un piekritis atbildēt uz uzdotajiem jautājumiem</w:t>
      </w:r>
      <w:r w:rsidR="00421F02" w:rsidRPr="00A23430">
        <w:t>.</w:t>
      </w:r>
    </w:p>
    <w:p w14:paraId="20334FF0" w14:textId="18C51742" w:rsidR="001E4DFF" w:rsidRPr="00A23430" w:rsidRDefault="001E4DFF" w:rsidP="00B245CD">
      <w:pPr>
        <w:spacing w:line="276" w:lineRule="auto"/>
        <w:ind w:firstLine="720"/>
        <w:jc w:val="both"/>
      </w:pPr>
      <w:r w:rsidRPr="00A23430">
        <w:t>Kriminālprocesa likuma 561. panta pirmās daļas otrajā teikumā norādīts, ka apelācijas instances tiesā lieta iztiesājama kārtībā, kāda noteikta krimināllietu iztiesāšanai pirmās instances tiesā, izņemot Kriminālprocesa likuma 53. nodaļā noteikto.</w:t>
      </w:r>
    </w:p>
    <w:p w14:paraId="35A1CDF4" w14:textId="58BADF98" w:rsidR="001E4DFF" w:rsidRPr="00A23430" w:rsidRDefault="0049726C" w:rsidP="00B245CD">
      <w:pPr>
        <w:spacing w:line="276" w:lineRule="auto"/>
        <w:ind w:firstLine="720"/>
        <w:jc w:val="both"/>
      </w:pPr>
      <w:r w:rsidRPr="00A23430">
        <w:t>Senāts</w:t>
      </w:r>
      <w:r w:rsidR="001C571F" w:rsidRPr="00A23430">
        <w:t xml:space="preserve"> ir </w:t>
      </w:r>
      <w:r w:rsidRPr="00A23430">
        <w:t>atzinis,</w:t>
      </w:r>
      <w:r w:rsidR="001E4DFF" w:rsidRPr="00A23430">
        <w:t xml:space="preserve"> ka lietas izskatīšana apelācijas instances tiesā ir lietas otrreizēja izskatīšana pēc būtības un tā ir papildu garantija tiesas nolēmuma tiesiskumam un pamatotībai. Apelācijas instances tiesai apelācijas sūdzībās norādītie juridiski nozīmīgie apstākļi, proti, noziedzīgā nodarījuma sastāva esība vai neesība apsūdzētā rīcībā, ņemot vērā lietas faktiskos apstākļus, judikatūru un apsūdzības formulējumu, kā arī citi apstākļi krimināltiesisko attiecību taisnīgam noregulējumam, jāizvērtē un atzinums jāpamato ar likumu, pārbaudītajiem, novērtētajiem pierādījumiem (</w:t>
      </w:r>
      <w:r w:rsidR="001E4DFF" w:rsidRPr="00A23430">
        <w:rPr>
          <w:i/>
          <w:iCs/>
        </w:rPr>
        <w:t>Senāta 2017. gada 10. oktobra lēmums lietā Nr. SKK</w:t>
      </w:r>
      <w:r w:rsidR="00F41703">
        <w:rPr>
          <w:i/>
          <w:iCs/>
        </w:rPr>
        <w:noBreakHyphen/>
      </w:r>
      <w:r w:rsidR="001E4DFF" w:rsidRPr="00A23430">
        <w:rPr>
          <w:i/>
          <w:iCs/>
        </w:rPr>
        <w:t xml:space="preserve">532/2017, </w:t>
      </w:r>
      <w:hyperlink r:id="rId10" w:history="1">
        <w:r w:rsidR="007E674B" w:rsidRPr="007E674B">
          <w:rPr>
            <w:rStyle w:val="Hyperlink"/>
            <w:i/>
            <w:iCs/>
          </w:rPr>
          <w:t>ECLI:LV:AT:2017:1010.15830406610.1.L</w:t>
        </w:r>
      </w:hyperlink>
      <w:r w:rsidR="001E4DFF" w:rsidRPr="00A23430">
        <w:t>).</w:t>
      </w:r>
    </w:p>
    <w:p w14:paraId="071C1602" w14:textId="13C66AF5" w:rsidR="001C571F" w:rsidRPr="00A23430" w:rsidRDefault="00D83D87" w:rsidP="00B245CD">
      <w:pPr>
        <w:spacing w:line="276" w:lineRule="auto"/>
        <w:ind w:firstLine="720"/>
        <w:jc w:val="both"/>
      </w:pPr>
      <w:r w:rsidRPr="00A23430">
        <w:t>Apelācijas instances tiesa</w:t>
      </w:r>
      <w:r w:rsidR="00575BFB" w:rsidRPr="00A23430">
        <w:t xml:space="preserve">i </w:t>
      </w:r>
      <w:r w:rsidRPr="00A23430">
        <w:t>saskaņā ar Kriminālprocesa likuma 564. panta ceturto daļu ir pienākums nol</w:t>
      </w:r>
      <w:r w:rsidR="00ED27C1" w:rsidRPr="00A23430">
        <w:t>ē</w:t>
      </w:r>
      <w:r w:rsidRPr="00A23430">
        <w:t xml:space="preserve">muma motīvu daļā sniegt atzinumu par apelācijas sūdzības vai protesta pamatotību, </w:t>
      </w:r>
      <w:r w:rsidR="001C0532">
        <w:t xml:space="preserve">norādīt </w:t>
      </w:r>
      <w:r w:rsidRPr="00A23430">
        <w:t>apstākļ</w:t>
      </w:r>
      <w:r w:rsidR="001C0532">
        <w:t>us</w:t>
      </w:r>
      <w:r w:rsidRPr="00A23430">
        <w:t xml:space="preserve">, ko noskaidrojusi apelācijas instances tiesa, </w:t>
      </w:r>
      <w:r w:rsidR="001C0532" w:rsidRPr="00A23430">
        <w:t>pierādījum</w:t>
      </w:r>
      <w:r w:rsidR="001C0532">
        <w:t>us</w:t>
      </w:r>
      <w:r w:rsidRPr="00A23430">
        <w:t xml:space="preserve">, kas apstiprina apelācijas instances tiesas atzinumu, </w:t>
      </w:r>
      <w:r w:rsidR="001C0532" w:rsidRPr="00A23430">
        <w:t>motīv</w:t>
      </w:r>
      <w:r w:rsidR="001C0532">
        <w:t>us</w:t>
      </w:r>
      <w:r w:rsidRPr="00A23430">
        <w:t xml:space="preserve">, kāpēc apelācijas instances tiesa noraida kādus pierādījumus, un </w:t>
      </w:r>
      <w:r w:rsidR="001C0532" w:rsidRPr="00A23430">
        <w:t>likum</w:t>
      </w:r>
      <w:r w:rsidR="001C0532">
        <w:t>us</w:t>
      </w:r>
      <w:r w:rsidRPr="00A23430">
        <w:t>, pēc kuriem tā vadās.</w:t>
      </w:r>
    </w:p>
    <w:p w14:paraId="3FBCCA05" w14:textId="155ED870" w:rsidR="00575BFB" w:rsidRPr="00A23430" w:rsidRDefault="001C571F" w:rsidP="00B245CD">
      <w:pPr>
        <w:spacing w:line="276" w:lineRule="auto"/>
        <w:ind w:firstLine="720"/>
        <w:jc w:val="both"/>
      </w:pPr>
      <w:r w:rsidRPr="00A23430">
        <w:t xml:space="preserve">Ievērojot minēto, </w:t>
      </w:r>
      <w:r w:rsidR="00575BFB" w:rsidRPr="00A23430">
        <w:t>apelācijas instances tiesas kā tiesas, kas lietu atkārtoti izskata pēc būtības, kompetencē ietilpst pierādījumu ticamības, attiecināmības un pieļaujamības novērtēšana. Tāpat apelācijas instances tiesa</w:t>
      </w:r>
      <w:r w:rsidR="00941382" w:rsidRPr="00A23430">
        <w:t>s</w:t>
      </w:r>
      <w:r w:rsidR="00575BFB" w:rsidRPr="00A23430">
        <w:t xml:space="preserve"> </w:t>
      </w:r>
      <w:r w:rsidR="00941382" w:rsidRPr="00A23430">
        <w:t>kompetencē ir iz</w:t>
      </w:r>
      <w:r w:rsidR="00575BFB" w:rsidRPr="00A23430">
        <w:t>vērtē</w:t>
      </w:r>
      <w:r w:rsidR="00941382" w:rsidRPr="00A23430">
        <w:t>t</w:t>
      </w:r>
      <w:r w:rsidR="00575BFB" w:rsidRPr="00A23430">
        <w:t>, vai lietā esošie pierādījumi ir vai nav pietiekami apsūdzētā vainīguma konstatēšanai.</w:t>
      </w:r>
    </w:p>
    <w:p w14:paraId="4C42369E" w14:textId="3E0200DD" w:rsidR="0049726C" w:rsidRPr="00A23430" w:rsidRDefault="001E4DFF" w:rsidP="00B245CD">
      <w:pPr>
        <w:spacing w:line="276" w:lineRule="auto"/>
        <w:ind w:firstLine="720"/>
        <w:jc w:val="both"/>
      </w:pPr>
      <w:r w:rsidRPr="00A23430">
        <w:t xml:space="preserve">Senāts </w:t>
      </w:r>
      <w:r w:rsidR="00575BFB" w:rsidRPr="00A23430">
        <w:t>jau iepriekš ir atzinis</w:t>
      </w:r>
      <w:r w:rsidRPr="00A23430">
        <w:t>,</w:t>
      </w:r>
      <w:r w:rsidR="0049726C" w:rsidRPr="00A23430">
        <w:t xml:space="preserve"> j</w:t>
      </w:r>
      <w:r w:rsidR="0049726C" w:rsidRPr="00A23430">
        <w:rPr>
          <w:color w:val="000000"/>
          <w:shd w:val="clear" w:color="auto" w:fill="FFFFFF"/>
        </w:rPr>
        <w:t>a</w:t>
      </w:r>
      <w:r w:rsidR="0049726C" w:rsidRPr="00A23430">
        <w:t xml:space="preserve"> </w:t>
      </w:r>
      <w:r w:rsidR="0049726C" w:rsidRPr="00A23430">
        <w:rPr>
          <w:color w:val="000000"/>
          <w:shd w:val="clear" w:color="auto" w:fill="FFFFFF"/>
        </w:rPr>
        <w:t xml:space="preserve">apelācijas protesta </w:t>
      </w:r>
      <w:r w:rsidR="0049726C" w:rsidRPr="00A23430">
        <w:t>vai cietušā apelācijas sūdzības, kuru atbalsta prokurors, izskatīšanas rezultātā apelācijas instances tiesa atceļ attaisnojošu pirmās instances tiesas spriedumu un taisa notiesājošu spriedumu, tai nav saistošs pirmās instances tiesas sniegtais pierādījumu novērtējums un tiesas izdarītie secinājumi. Apelācijas instances tiesa ir tiesīga sniegt citādu – no pirmās instances tiesas atšķirīgu – pierādījumu novērtējumu un izdarīt citādus atzinumus arī tajā gadījumā, ja papildu pierādījumi apelācijas instances tiesā nav iegūti</w:t>
      </w:r>
      <w:bookmarkEnd w:id="0"/>
      <w:r w:rsidR="0049726C" w:rsidRPr="00A23430">
        <w:t xml:space="preserve"> (</w:t>
      </w:r>
      <w:r w:rsidR="0049726C" w:rsidRPr="00A23430">
        <w:rPr>
          <w:i/>
          <w:iCs/>
        </w:rPr>
        <w:t>Senāta 2024. gada 15. februāra lēmuma lietā Nr. SKK</w:t>
      </w:r>
      <w:r w:rsidR="00513483">
        <w:rPr>
          <w:i/>
          <w:iCs/>
        </w:rPr>
        <w:noBreakHyphen/>
      </w:r>
      <w:r w:rsidR="0049726C" w:rsidRPr="00A23430">
        <w:rPr>
          <w:i/>
          <w:iCs/>
        </w:rPr>
        <w:t>6/2024,</w:t>
      </w:r>
      <w:r w:rsidR="002E2FCC" w:rsidRPr="00A23430">
        <w:rPr>
          <w:i/>
          <w:iCs/>
        </w:rPr>
        <w:t xml:space="preserve"> </w:t>
      </w:r>
      <w:hyperlink r:id="rId11" w:history="1">
        <w:r w:rsidR="00513483" w:rsidRPr="00513483">
          <w:rPr>
            <w:rStyle w:val="Hyperlink"/>
            <w:i/>
            <w:iCs/>
            <w:shd w:val="clear" w:color="auto" w:fill="FFFFFF"/>
          </w:rPr>
          <w:t>ECLI:LV:AT:2024:0215.11120047317.16.L</w:t>
        </w:r>
      </w:hyperlink>
      <w:r w:rsidR="00513483">
        <w:rPr>
          <w:i/>
          <w:iCs/>
          <w:shd w:val="clear" w:color="auto" w:fill="FFFFFF"/>
        </w:rPr>
        <w:t>,</w:t>
      </w:r>
      <w:r w:rsidR="0049726C" w:rsidRPr="00A23430">
        <w:rPr>
          <w:rStyle w:val="Hyperlink"/>
          <w:i/>
          <w:iCs/>
          <w:shd w:val="clear" w:color="auto" w:fill="FFFFFF"/>
        </w:rPr>
        <w:t xml:space="preserve"> </w:t>
      </w:r>
      <w:r w:rsidR="0049726C" w:rsidRPr="00A23430">
        <w:rPr>
          <w:i/>
          <w:iCs/>
        </w:rPr>
        <w:t>9.2.</w:t>
      </w:r>
      <w:r w:rsidR="00513483">
        <w:rPr>
          <w:i/>
          <w:iCs/>
        </w:rPr>
        <w:t> </w:t>
      </w:r>
      <w:r w:rsidR="0049726C" w:rsidRPr="00A23430">
        <w:rPr>
          <w:i/>
          <w:iCs/>
        </w:rPr>
        <w:t>punkts</w:t>
      </w:r>
      <w:r w:rsidR="0049726C" w:rsidRPr="00A23430">
        <w:t>).</w:t>
      </w:r>
    </w:p>
    <w:p w14:paraId="0E76A6CD" w14:textId="015FF91F" w:rsidR="00575BFB" w:rsidRPr="00A23430" w:rsidRDefault="00575BFB" w:rsidP="00B245CD">
      <w:pPr>
        <w:spacing w:line="276" w:lineRule="auto"/>
        <w:ind w:firstLine="720"/>
        <w:jc w:val="both"/>
      </w:pPr>
      <w:r w:rsidRPr="00A23430">
        <w:t xml:space="preserve">Ievērojot minēto, </w:t>
      </w:r>
      <w:r w:rsidRPr="00A23430">
        <w:rPr>
          <w:spacing w:val="-1"/>
        </w:rPr>
        <w:t>Senāts atzīst, ka</w:t>
      </w:r>
      <w:r w:rsidRPr="00A23430">
        <w:t xml:space="preserve"> apelācijas instances tiesa pieņēmusi lēmumu atcelt pirmās instances tiesas spriedumu un lietu nosūtīt jaunai izskatīšanai pirmās instances tiesai </w:t>
      </w:r>
      <w:r w:rsidR="00F54C48" w:rsidRPr="00A23430">
        <w:t>apstākļos</w:t>
      </w:r>
      <w:r w:rsidRPr="00A23430">
        <w:t>, kad pašas apelācijas instances tiesas kompetencē, konstatējot pirmās instances tiesas pieļautos pārkāpumus pierādījumu vērtēšanā, bija tos novērst.</w:t>
      </w:r>
      <w:r w:rsidR="002E2FCC" w:rsidRPr="00A23430">
        <w:t xml:space="preserve"> Ievērojot minēto, Senāts atzīst, ka apelācijas instances tiesa pieļāvusi Kriminālprocesa likuma 561. panta pirmās daļas pārkāpumu.</w:t>
      </w:r>
    </w:p>
    <w:p w14:paraId="3FE7B508" w14:textId="77777777" w:rsidR="00513483" w:rsidRDefault="00082643" w:rsidP="00B245CD">
      <w:pPr>
        <w:spacing w:line="276" w:lineRule="auto"/>
        <w:ind w:firstLine="720"/>
        <w:jc w:val="both"/>
      </w:pPr>
      <w:r w:rsidRPr="00A23430">
        <w:t>[5.4] </w:t>
      </w:r>
      <w:r w:rsidR="00C90FF1" w:rsidRPr="00A23430">
        <w:t xml:space="preserve">Turklāt Senāts konstatē, </w:t>
      </w:r>
      <w:r w:rsidR="00FC5A98" w:rsidRPr="00A23430">
        <w:t>ka apelācijas</w:t>
      </w:r>
      <w:r w:rsidR="00C90FF1" w:rsidRPr="00A23430">
        <w:t xml:space="preserve"> instances tiesa </w:t>
      </w:r>
      <w:r w:rsidR="009A7396" w:rsidRPr="00A23430">
        <w:t xml:space="preserve">nav uzklausījusi lietas dalībnieku viedokļus par </w:t>
      </w:r>
      <w:r w:rsidR="00C90FF1" w:rsidRPr="00A23430">
        <w:t>lietas nosūtīšanu jaunai izskatīšanai pirmās instances tiesai</w:t>
      </w:r>
      <w:r w:rsidR="00FC5A98" w:rsidRPr="00A23430">
        <w:t>.</w:t>
      </w:r>
    </w:p>
    <w:p w14:paraId="1784C759" w14:textId="7600B61E" w:rsidR="00A91EF3" w:rsidRPr="00A23430" w:rsidRDefault="00F17768" w:rsidP="00B245CD">
      <w:pPr>
        <w:spacing w:line="276" w:lineRule="auto"/>
        <w:ind w:firstLine="720"/>
        <w:jc w:val="both"/>
      </w:pPr>
      <w:r w:rsidRPr="00A23430">
        <w:t xml:space="preserve">Kriminālprocesa likuma 566. pantā </w:t>
      </w:r>
      <w:r w:rsidR="002E2FCC" w:rsidRPr="00A23430">
        <w:t xml:space="preserve">iekļauti </w:t>
      </w:r>
      <w:r w:rsidRPr="00A23430">
        <w:t>no</w:t>
      </w:r>
      <w:r w:rsidR="002E2FCC" w:rsidRPr="00A23430">
        <w:t>sacījumi</w:t>
      </w:r>
      <w:r w:rsidR="00BE3258" w:rsidRPr="00A23430">
        <w:t>, kādi apelācijas instances tiesai jāievēro,</w:t>
      </w:r>
      <w:r w:rsidR="002E2FCC" w:rsidRPr="00A23430">
        <w:t xml:space="preserve"> liet</w:t>
      </w:r>
      <w:r w:rsidR="00BE3258" w:rsidRPr="00A23430">
        <w:t>u</w:t>
      </w:r>
      <w:r w:rsidR="002E2FCC" w:rsidRPr="00A23430">
        <w:t xml:space="preserve"> nosūt</w:t>
      </w:r>
      <w:r w:rsidR="00BE3258" w:rsidRPr="00A23430">
        <w:t>ot</w:t>
      </w:r>
      <w:r w:rsidR="002E2FCC" w:rsidRPr="00A23430">
        <w:t xml:space="preserve"> jaunai izskatīšanai pirmās instances tiesai. </w:t>
      </w:r>
      <w:r w:rsidRPr="00A23430">
        <w:t xml:space="preserve">Tajā skaitā tiesai </w:t>
      </w:r>
      <w:r w:rsidR="00992CF2" w:rsidRPr="00A23430">
        <w:t xml:space="preserve">ir pienākums </w:t>
      </w:r>
      <w:r w:rsidRPr="00A23430">
        <w:t>lietas dalībniek</w:t>
      </w:r>
      <w:r w:rsidR="00992CF2" w:rsidRPr="00A23430">
        <w:t xml:space="preserve">iem </w:t>
      </w:r>
      <w:r w:rsidRPr="00A23430">
        <w:t>do</w:t>
      </w:r>
      <w:r w:rsidR="00992CF2" w:rsidRPr="00A23430">
        <w:t>t</w:t>
      </w:r>
      <w:r w:rsidRPr="00A23430">
        <w:t xml:space="preserve"> iespēj</w:t>
      </w:r>
      <w:r w:rsidR="00992CF2" w:rsidRPr="00A23430">
        <w:t>u</w:t>
      </w:r>
      <w:r w:rsidRPr="00A23430">
        <w:t xml:space="preserve"> izteikt viedokli</w:t>
      </w:r>
      <w:r w:rsidR="00A91EF3" w:rsidRPr="00A23430">
        <w:t xml:space="preserve"> par pirmās instances tiesas sprieduma atcelšanu pilnībā vai kādā tā daļā un lieta</w:t>
      </w:r>
      <w:r w:rsidR="0002286D" w:rsidRPr="00A23430">
        <w:t>s</w:t>
      </w:r>
      <w:r w:rsidR="00A91EF3" w:rsidRPr="00A23430">
        <w:t xml:space="preserve"> nosūtīšanu jaunai izskatīšanai pirmās </w:t>
      </w:r>
      <w:r w:rsidR="00A91EF3" w:rsidRPr="00A23430">
        <w:lastRenderedPageBreak/>
        <w:t xml:space="preserve">instances tiesai, </w:t>
      </w:r>
      <w:r w:rsidR="0002286D" w:rsidRPr="00A23430">
        <w:t xml:space="preserve">ņemot vērā </w:t>
      </w:r>
      <w:r w:rsidR="00A91EF3" w:rsidRPr="00A23430">
        <w:t>Kriminālprocesa likuma pārkāpumu būtiskumu, apsūdzētā tiesību uz aizstāvību nodrošināšanu un citiem apstākļiem. Ievērojot minēto, Senāts norāda, ka</w:t>
      </w:r>
      <w:r w:rsidR="00BE3258" w:rsidRPr="00A23430">
        <w:t xml:space="preserve"> lietas dalībnieku viedokļi ietilpst to apstākļu kopumā, kuri tiesai jāizvērtē</w:t>
      </w:r>
      <w:r w:rsidR="000D7250" w:rsidRPr="00A23430">
        <w:t>,</w:t>
      </w:r>
      <w:r w:rsidR="00BE3258" w:rsidRPr="00A23430">
        <w:t xml:space="preserve"> </w:t>
      </w:r>
      <w:r w:rsidR="00A91EF3" w:rsidRPr="00A23430">
        <w:t>pieņemot Kriminālprocesa likuma 566. pantā paredzēto lēmumu.</w:t>
      </w:r>
    </w:p>
    <w:p w14:paraId="391037CF" w14:textId="75F60301" w:rsidR="004477CD" w:rsidRPr="00A23430" w:rsidRDefault="001E5CAF" w:rsidP="00B245CD">
      <w:pPr>
        <w:pStyle w:val="tv213"/>
        <w:spacing w:before="0" w:beforeAutospacing="0" w:after="0" w:afterAutospacing="0" w:line="276" w:lineRule="auto"/>
        <w:ind w:firstLine="720"/>
        <w:jc w:val="both"/>
        <w:rPr>
          <w:lang w:val="lv-LV"/>
        </w:rPr>
      </w:pPr>
      <w:r w:rsidRPr="00A23430">
        <w:rPr>
          <w:spacing w:val="-1"/>
          <w:lang w:val="lv-LV"/>
        </w:rPr>
        <w:t>[</w:t>
      </w:r>
      <w:r w:rsidR="00086B61" w:rsidRPr="00A23430">
        <w:rPr>
          <w:spacing w:val="-1"/>
          <w:lang w:val="lv-LV"/>
        </w:rPr>
        <w:t>5</w:t>
      </w:r>
      <w:r w:rsidRPr="00A23430">
        <w:rPr>
          <w:spacing w:val="-1"/>
          <w:lang w:val="lv-LV"/>
        </w:rPr>
        <w:t>.</w:t>
      </w:r>
      <w:r w:rsidR="00D650A4" w:rsidRPr="00A23430">
        <w:rPr>
          <w:spacing w:val="-1"/>
          <w:lang w:val="lv-LV"/>
        </w:rPr>
        <w:t>5</w:t>
      </w:r>
      <w:r w:rsidRPr="00A23430">
        <w:rPr>
          <w:spacing w:val="-1"/>
          <w:lang w:val="lv-LV"/>
        </w:rPr>
        <w:t>]</w:t>
      </w:r>
      <w:r w:rsidR="00E47157" w:rsidRPr="00A23430">
        <w:rPr>
          <w:spacing w:val="-1"/>
          <w:lang w:val="lv-LV"/>
        </w:rPr>
        <w:t> </w:t>
      </w:r>
      <w:r w:rsidR="004477CD" w:rsidRPr="00A23430">
        <w:rPr>
          <w:lang w:val="lv-LV"/>
        </w:rPr>
        <w:t>Senāts atzīst, ka apelācijas instances tiesa</w:t>
      </w:r>
      <w:r w:rsidR="0002286D" w:rsidRPr="00A23430">
        <w:rPr>
          <w:lang w:val="lv-LV"/>
        </w:rPr>
        <w:t xml:space="preserve"> pieļāvusi </w:t>
      </w:r>
      <w:r w:rsidR="004477CD" w:rsidRPr="00A23430">
        <w:rPr>
          <w:lang w:val="lv-LV"/>
        </w:rPr>
        <w:t xml:space="preserve">Kriminālprocesa likuma </w:t>
      </w:r>
      <w:r w:rsidR="0002286D" w:rsidRPr="00A23430">
        <w:rPr>
          <w:lang w:val="lv-LV"/>
        </w:rPr>
        <w:t xml:space="preserve">561. panta pirmās daļas un </w:t>
      </w:r>
      <w:r w:rsidR="004477CD" w:rsidRPr="00A23430">
        <w:rPr>
          <w:lang w:val="lv-LV"/>
        </w:rPr>
        <w:t>566. panta pārkāpum</w:t>
      </w:r>
      <w:r w:rsidR="0002286D" w:rsidRPr="00A23430">
        <w:rPr>
          <w:lang w:val="lv-LV"/>
        </w:rPr>
        <w:t xml:space="preserve">u. Minētie pārkāpumi atzīstami par Kriminālprocesa likuma būtiskiem pārkāpumiem šā likuma 575. panta trešās daļas izpratnē, kuru dēļ apelācijas instances tiesas </w:t>
      </w:r>
      <w:r w:rsidR="004477CD" w:rsidRPr="00A23430">
        <w:rPr>
          <w:lang w:val="lv-LV"/>
        </w:rPr>
        <w:t>lēmums atceļams pilnībā un lieta nosūtāma jaunai izskatīšanai apelācijas instances tiesā.</w:t>
      </w:r>
    </w:p>
    <w:p w14:paraId="2CBEDC71" w14:textId="77777777" w:rsidR="00CD325F" w:rsidRPr="00A23430" w:rsidRDefault="00CD325F" w:rsidP="00B245CD">
      <w:pPr>
        <w:spacing w:line="276" w:lineRule="auto"/>
        <w:ind w:firstLine="720"/>
        <w:jc w:val="both"/>
      </w:pPr>
      <w:bookmarkStart w:id="1" w:name="_Hlk173913594"/>
    </w:p>
    <w:p w14:paraId="4630BE26" w14:textId="53D2A7EF" w:rsidR="00E55067" w:rsidRPr="00A23430" w:rsidRDefault="00CB162F" w:rsidP="00B245CD">
      <w:pPr>
        <w:spacing w:line="276" w:lineRule="auto"/>
        <w:ind w:firstLine="720"/>
        <w:jc w:val="both"/>
      </w:pPr>
      <w:bookmarkStart w:id="2" w:name="_Hlk173944377"/>
      <w:r w:rsidRPr="00A23430">
        <w:t>[</w:t>
      </w:r>
      <w:r w:rsidR="00086B61" w:rsidRPr="00A23430">
        <w:t>6</w:t>
      </w:r>
      <w:r w:rsidRPr="00A23430">
        <w:t>]</w:t>
      </w:r>
      <w:r w:rsidR="00E47157" w:rsidRPr="00A23430">
        <w:t> </w:t>
      </w:r>
      <w:r w:rsidR="00565591" w:rsidRPr="00A23430">
        <w:t>Senāta kompetencē ir arī pārbaudīt, vai apelācijas instances tiesa pieļāvusi kasācijas sūdzībā norādīto Kriminālprocesa likuma 19. panta pārkāpumu.</w:t>
      </w:r>
    </w:p>
    <w:p w14:paraId="5850DECA" w14:textId="203C66B1" w:rsidR="00E55067" w:rsidRPr="00A23430" w:rsidRDefault="00E55067" w:rsidP="00B245CD">
      <w:pPr>
        <w:spacing w:line="276" w:lineRule="auto"/>
        <w:ind w:firstLine="720"/>
        <w:jc w:val="both"/>
      </w:pPr>
      <w:r w:rsidRPr="00A23430">
        <w:t>Senāts norāda, ka atbilstoši Kriminālprocesa likuma 19. panta pirmajai daļai neviena persona netiek uzskatīta par vainīgu, kamēr tās vaina noziedzīga nodarījuma izdarīšanā netiek konstatēta šajā likumā noteiktajā kārtībā.</w:t>
      </w:r>
    </w:p>
    <w:p w14:paraId="2245406A" w14:textId="79DE2596" w:rsidR="005B0D6A" w:rsidRPr="00A23430" w:rsidRDefault="00DF2F8F" w:rsidP="00B245CD">
      <w:pPr>
        <w:spacing w:line="276" w:lineRule="auto"/>
        <w:ind w:firstLine="720"/>
        <w:jc w:val="both"/>
      </w:pPr>
      <w:r w:rsidRPr="00A23430">
        <w:t xml:space="preserve">Senāts </w:t>
      </w:r>
      <w:r w:rsidR="00382D74" w:rsidRPr="00A23430">
        <w:t>atzīst</w:t>
      </w:r>
      <w:r w:rsidRPr="00A23430">
        <w:t xml:space="preserve">, </w:t>
      </w:r>
      <w:r w:rsidR="00382D74" w:rsidRPr="00A23430">
        <w:t xml:space="preserve">lai arī lēmuma datnes nosaukums ir atzīstams par neveiksmīgu, tomēr </w:t>
      </w:r>
      <w:r w:rsidR="005B0D6A" w:rsidRPr="00A23430">
        <w:t xml:space="preserve">vērtējot konkrētos apstākļus, </w:t>
      </w:r>
      <w:r w:rsidR="00565591" w:rsidRPr="00A23430">
        <w:t>pamat</w:t>
      </w:r>
      <w:r w:rsidR="00382D74" w:rsidRPr="00A23430">
        <w:t>nozīme ir tiesas pieņemtajam lēmumam. Ņemot vērā lēmuma saturu, Senāts nekonstatē, ka tajā apelācijas instance tiesa būtu apgalvojusi vai norādījusi</w:t>
      </w:r>
      <w:r w:rsidR="005B0D6A" w:rsidRPr="00A23430">
        <w:t>, ka a</w:t>
      </w:r>
      <w:r w:rsidR="00382D74" w:rsidRPr="00A23430">
        <w:t>psūdzēt</w:t>
      </w:r>
      <w:r w:rsidR="005B0D6A" w:rsidRPr="00A23430">
        <w:t xml:space="preserve">ais ir </w:t>
      </w:r>
      <w:r w:rsidR="00382D74" w:rsidRPr="00A23430">
        <w:t>vainīg</w:t>
      </w:r>
      <w:r w:rsidR="005B0D6A" w:rsidRPr="00A23430">
        <w:t>s</w:t>
      </w:r>
      <w:r w:rsidR="00382D74" w:rsidRPr="00A23430">
        <w:t xml:space="preserve"> noziedzīgā nodarījuma izdarīšanā. Tiesa lēmumā ir </w:t>
      </w:r>
      <w:r w:rsidR="005B0D6A" w:rsidRPr="00A23430">
        <w:t>minējusi</w:t>
      </w:r>
      <w:r w:rsidR="00382D74" w:rsidRPr="00A23430">
        <w:t xml:space="preserve"> pirmās instances tiesas pieļautos pārkāpumus pierādījumu novērtēšanā un sprieduma pamato</w:t>
      </w:r>
      <w:r w:rsidR="00565591" w:rsidRPr="00A23430">
        <w:t>šanā</w:t>
      </w:r>
      <w:r w:rsidR="00382D74" w:rsidRPr="00A23430">
        <w:t>.</w:t>
      </w:r>
    </w:p>
    <w:p w14:paraId="7830805C" w14:textId="5DB53DC2" w:rsidR="00E55067" w:rsidRPr="00A23430" w:rsidRDefault="00382D74" w:rsidP="00B245CD">
      <w:pPr>
        <w:spacing w:line="276" w:lineRule="auto"/>
        <w:ind w:firstLine="720"/>
        <w:jc w:val="both"/>
      </w:pPr>
      <w:r w:rsidRPr="00A23430">
        <w:t xml:space="preserve">Senāts norāda, </w:t>
      </w:r>
      <w:r w:rsidR="00DF2F8F" w:rsidRPr="00A23430">
        <w:t>ka a</w:t>
      </w:r>
      <w:r w:rsidR="00E55067" w:rsidRPr="00A23430">
        <w:t>pelācijas instances tiesas lēmums par pirmās instances tiesas sprieduma atcelšanu un lietas nosūtīšanu jaunai izskatīšanai pirmās instances tiesai</w:t>
      </w:r>
      <w:r w:rsidR="00FD043F" w:rsidRPr="00A23430">
        <w:t xml:space="preserve"> </w:t>
      </w:r>
      <w:r w:rsidR="00565591" w:rsidRPr="00A23430">
        <w:t xml:space="preserve">saskaņā ar Kriminālprocesa likuma 566. pantu </w:t>
      </w:r>
      <w:r w:rsidR="00FD043F" w:rsidRPr="00A23430">
        <w:t xml:space="preserve">nav personas vainīgumu konstatējošs lēmums. Tas </w:t>
      </w:r>
      <w:r w:rsidR="00E55067" w:rsidRPr="00A23430">
        <w:t xml:space="preserve">ir pamats pirmās instances tiesai lietu pilnībā vai kādā tā daļā atkārtoti izskatīt pēc būtības, nodrošinot krimināltiesisko attiecību taisnīgu noregulējumu. </w:t>
      </w:r>
      <w:r w:rsidR="00FD043F" w:rsidRPr="00A23430">
        <w:t>Turklāt a</w:t>
      </w:r>
      <w:r w:rsidR="00E55067" w:rsidRPr="00A23430">
        <w:t>pelācijas instances tiesa, nosūtot lietu jaunai izskatīšanai pirmās instances tiesai, savā lēmumā nenorāda, kāds nolēmums jāpieņem, izskatot lietu no jauna.</w:t>
      </w:r>
    </w:p>
    <w:p w14:paraId="67BB797D" w14:textId="60FBB450" w:rsidR="00565591" w:rsidRPr="00A23430" w:rsidRDefault="005B0D6A" w:rsidP="00B245CD">
      <w:pPr>
        <w:spacing w:line="276" w:lineRule="auto"/>
        <w:ind w:firstLine="720"/>
        <w:jc w:val="both"/>
      </w:pPr>
      <w:r w:rsidRPr="00A23430">
        <w:t xml:space="preserve">Ievērojot minēto, Senāts nonāk pie atzinuma, ka </w:t>
      </w:r>
      <w:r w:rsidR="00565591" w:rsidRPr="00A23430">
        <w:t>kasācijas sūdzībā minētais arguments par Kriminālprocesa likuma 19. panta pārkāpumu ir noraidāms kā nepamatots.</w:t>
      </w:r>
    </w:p>
    <w:p w14:paraId="539D5A9E" w14:textId="47BCE18D" w:rsidR="005A6E09" w:rsidRPr="00A23430" w:rsidRDefault="005A6E09" w:rsidP="00B245CD">
      <w:pPr>
        <w:spacing w:line="276" w:lineRule="auto"/>
        <w:ind w:firstLine="720"/>
        <w:jc w:val="both"/>
      </w:pPr>
    </w:p>
    <w:bookmarkEnd w:id="1"/>
    <w:bookmarkEnd w:id="2"/>
    <w:p w14:paraId="75210D61" w14:textId="4FDE690A" w:rsidR="00C90FF1" w:rsidRPr="00A23430" w:rsidRDefault="00816175" w:rsidP="00B245CD">
      <w:pPr>
        <w:spacing w:line="276" w:lineRule="auto"/>
        <w:ind w:firstLine="720"/>
        <w:jc w:val="both"/>
      </w:pPr>
      <w:r w:rsidRPr="00A23430">
        <w:rPr>
          <w:rFonts w:eastAsiaTheme="minorHAnsi"/>
          <w:lang w:eastAsia="en-US"/>
        </w:rPr>
        <w:t>[</w:t>
      </w:r>
      <w:r w:rsidR="00086B61" w:rsidRPr="00A23430">
        <w:rPr>
          <w:rFonts w:eastAsiaTheme="minorHAnsi"/>
          <w:lang w:eastAsia="en-US"/>
        </w:rPr>
        <w:t>7</w:t>
      </w:r>
      <w:r w:rsidRPr="00A23430">
        <w:rPr>
          <w:rFonts w:eastAsiaTheme="minorHAnsi"/>
          <w:lang w:eastAsia="en-US"/>
        </w:rPr>
        <w:t>]</w:t>
      </w:r>
      <w:r w:rsidR="00E47157" w:rsidRPr="00A23430">
        <w:rPr>
          <w:rFonts w:eastAsiaTheme="minorHAnsi"/>
          <w:lang w:eastAsia="en-US"/>
        </w:rPr>
        <w:t> </w:t>
      </w:r>
      <w:r w:rsidRPr="00A23430">
        <w:rPr>
          <w:rFonts w:eastAsiaTheme="minorHAnsi"/>
          <w:lang w:eastAsia="en-US"/>
        </w:rPr>
        <w:t xml:space="preserve">Apsūdzētajam </w:t>
      </w:r>
      <w:r w:rsidR="007808CC">
        <w:rPr>
          <w:lang w:eastAsia="lv-LV"/>
        </w:rPr>
        <w:t>[pers. A]</w:t>
      </w:r>
      <w:r w:rsidR="00C90FF1" w:rsidRPr="00A23430">
        <w:rPr>
          <w:rFonts w:eastAsiaTheme="minorHAnsi"/>
          <w:lang w:eastAsia="en-US"/>
        </w:rPr>
        <w:t xml:space="preserve"> drošības līdzeklis</w:t>
      </w:r>
      <w:r w:rsidRPr="00A23430">
        <w:rPr>
          <w:rFonts w:eastAsiaTheme="minorHAnsi"/>
          <w:lang w:eastAsia="en-US"/>
        </w:rPr>
        <w:t xml:space="preserve"> nav piemērots. </w:t>
      </w:r>
      <w:r w:rsidR="00C90FF1" w:rsidRPr="00A23430">
        <w:rPr>
          <w:rFonts w:eastAsiaTheme="minorHAnsi"/>
          <w:lang w:eastAsia="en-US"/>
        </w:rPr>
        <w:t>Senāts atzīst, ka drošības līdzekļa piemērošanai apsūdzētaja</w:t>
      </w:r>
      <w:r w:rsidRPr="00A23430">
        <w:rPr>
          <w:rFonts w:eastAsiaTheme="minorHAnsi"/>
          <w:lang w:eastAsia="en-US"/>
        </w:rPr>
        <w:t xml:space="preserve">m </w:t>
      </w:r>
      <w:r w:rsidR="00C90FF1" w:rsidRPr="00A23430">
        <w:rPr>
          <w:rFonts w:eastAsiaTheme="minorHAnsi"/>
          <w:lang w:eastAsia="en-US"/>
        </w:rPr>
        <w:t>šajā kriminālprocesa stadijā</w:t>
      </w:r>
      <w:r w:rsidRPr="00A23430">
        <w:rPr>
          <w:rFonts w:eastAsiaTheme="minorHAnsi"/>
          <w:lang w:eastAsia="en-US"/>
        </w:rPr>
        <w:t xml:space="preserve"> </w:t>
      </w:r>
      <w:r w:rsidR="00C90FF1" w:rsidRPr="00A23430">
        <w:rPr>
          <w:rFonts w:eastAsiaTheme="minorHAnsi"/>
          <w:lang w:eastAsia="en-US"/>
        </w:rPr>
        <w:t>nav tiesiska pamata.</w:t>
      </w:r>
    </w:p>
    <w:p w14:paraId="6F7520F9" w14:textId="77777777" w:rsidR="00D549DE" w:rsidRPr="00A23430" w:rsidRDefault="00D549DE" w:rsidP="00B245CD">
      <w:pPr>
        <w:spacing w:line="276" w:lineRule="auto"/>
        <w:ind w:firstLine="720"/>
        <w:jc w:val="both"/>
      </w:pPr>
    </w:p>
    <w:p w14:paraId="27E5CD1E" w14:textId="77777777" w:rsidR="00E27F3F" w:rsidRPr="00A23430" w:rsidRDefault="00E27F3F" w:rsidP="00B245CD">
      <w:pPr>
        <w:spacing w:line="276" w:lineRule="auto"/>
        <w:ind w:firstLine="709"/>
        <w:jc w:val="center"/>
        <w:rPr>
          <w:b/>
        </w:rPr>
      </w:pPr>
      <w:r w:rsidRPr="00A23430">
        <w:rPr>
          <w:b/>
        </w:rPr>
        <w:t>Rezolutīvā daļa</w:t>
      </w:r>
    </w:p>
    <w:p w14:paraId="35FAAF92" w14:textId="77777777" w:rsidR="00E27F3F" w:rsidRPr="00A23430" w:rsidRDefault="00E27F3F" w:rsidP="00B245CD">
      <w:pPr>
        <w:spacing w:line="276" w:lineRule="auto"/>
        <w:ind w:firstLine="720"/>
        <w:jc w:val="both"/>
      </w:pPr>
    </w:p>
    <w:p w14:paraId="6D2E4C4D" w14:textId="0E27B12E" w:rsidR="00E27F3F" w:rsidRPr="00A23430" w:rsidRDefault="00E27F3F" w:rsidP="00B245CD">
      <w:pPr>
        <w:spacing w:line="276" w:lineRule="auto"/>
        <w:ind w:firstLine="720"/>
        <w:jc w:val="both"/>
      </w:pPr>
      <w:r w:rsidRPr="00A23430">
        <w:t>Pamatojoties uz Kriminālprocesa likuma 585. un 587. pant</w:t>
      </w:r>
      <w:r w:rsidR="00E411A7" w:rsidRPr="00A23430">
        <w:t>a pirmās daļas 2. punktu</w:t>
      </w:r>
      <w:r w:rsidRPr="00A23430">
        <w:t>, Senāts</w:t>
      </w:r>
    </w:p>
    <w:p w14:paraId="24322521" w14:textId="77777777" w:rsidR="00E27F3F" w:rsidRPr="00A23430" w:rsidRDefault="00E27F3F" w:rsidP="00B245CD">
      <w:pPr>
        <w:spacing w:line="276" w:lineRule="auto"/>
        <w:ind w:firstLine="720"/>
        <w:jc w:val="both"/>
      </w:pPr>
    </w:p>
    <w:p w14:paraId="32C71FE8" w14:textId="77777777" w:rsidR="00E27F3F" w:rsidRPr="00A23430" w:rsidRDefault="00E27F3F" w:rsidP="00B245CD">
      <w:pPr>
        <w:spacing w:line="276" w:lineRule="auto"/>
        <w:ind w:firstLine="709"/>
        <w:jc w:val="center"/>
        <w:rPr>
          <w:b/>
        </w:rPr>
      </w:pPr>
      <w:r w:rsidRPr="00A23430">
        <w:rPr>
          <w:b/>
        </w:rPr>
        <w:t>nolēma</w:t>
      </w:r>
    </w:p>
    <w:p w14:paraId="0C2C2989" w14:textId="77777777" w:rsidR="00E27F3F" w:rsidRPr="00A23430" w:rsidRDefault="00E27F3F" w:rsidP="00B245CD">
      <w:pPr>
        <w:spacing w:line="276" w:lineRule="auto"/>
        <w:ind w:firstLine="720"/>
        <w:jc w:val="both"/>
      </w:pPr>
    </w:p>
    <w:p w14:paraId="15421D7A" w14:textId="2890DBD3" w:rsidR="00E27F3F" w:rsidRPr="00A23430" w:rsidRDefault="00220831" w:rsidP="00B245CD">
      <w:pPr>
        <w:spacing w:line="276" w:lineRule="auto"/>
        <w:ind w:firstLine="720"/>
        <w:jc w:val="both"/>
      </w:pPr>
      <w:r w:rsidRPr="00A23430">
        <w:lastRenderedPageBreak/>
        <w:t>atcelt</w:t>
      </w:r>
      <w:r w:rsidR="00A44D1C" w:rsidRPr="00A23430">
        <w:t xml:space="preserve"> </w:t>
      </w:r>
      <w:r w:rsidRPr="00A23430">
        <w:rPr>
          <w:lang w:eastAsia="lv-LV"/>
        </w:rPr>
        <w:t xml:space="preserve">Rīgas apgabaltiesas 2023. gada 29. novembra </w:t>
      </w:r>
      <w:r w:rsidR="00E411A7" w:rsidRPr="00A23430">
        <w:t>lēmumu un nosūtīt lietu jaunai izskatīšanai Rīgas apgabaltiesā</w:t>
      </w:r>
      <w:r w:rsidR="00E27F3F" w:rsidRPr="00A23430">
        <w:t>.</w:t>
      </w:r>
    </w:p>
    <w:p w14:paraId="1CC99148" w14:textId="77777777" w:rsidR="001D3E1D" w:rsidRPr="00A23430" w:rsidRDefault="001D3E1D" w:rsidP="00B245CD">
      <w:pPr>
        <w:spacing w:line="276" w:lineRule="auto"/>
        <w:ind w:firstLine="720"/>
        <w:jc w:val="both"/>
      </w:pPr>
    </w:p>
    <w:p w14:paraId="6E7C1FD6" w14:textId="77777777" w:rsidR="003F196B" w:rsidRPr="00A23430" w:rsidRDefault="003F196B" w:rsidP="00B245CD">
      <w:pPr>
        <w:spacing w:line="276" w:lineRule="auto"/>
        <w:ind w:firstLine="720"/>
        <w:jc w:val="both"/>
      </w:pPr>
      <w:r w:rsidRPr="00A23430">
        <w:t>Lēmums nav pārsūdzams.</w:t>
      </w:r>
    </w:p>
    <w:p w14:paraId="169997F0" w14:textId="77777777" w:rsidR="004D59A4" w:rsidRPr="00A23430" w:rsidRDefault="004D59A4" w:rsidP="00B245CD">
      <w:pPr>
        <w:shd w:val="clear" w:color="auto" w:fill="FFFFFF"/>
        <w:spacing w:line="276" w:lineRule="auto"/>
        <w:ind w:firstLine="720"/>
        <w:jc w:val="center"/>
        <w:rPr>
          <w:b/>
        </w:rPr>
      </w:pPr>
    </w:p>
    <w:p w14:paraId="049D1CB4" w14:textId="77777777" w:rsidR="00447EE6" w:rsidRPr="00A23430" w:rsidRDefault="00447EE6" w:rsidP="00B245CD">
      <w:pPr>
        <w:tabs>
          <w:tab w:val="left" w:pos="2880"/>
        </w:tabs>
        <w:spacing w:line="276" w:lineRule="auto"/>
        <w:jc w:val="both"/>
      </w:pPr>
    </w:p>
    <w:sectPr w:rsidR="00447EE6" w:rsidRPr="00A23430" w:rsidSect="00E42CB2">
      <w:footerReference w:type="default" r:id="rId12"/>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05FAB" w14:textId="77777777" w:rsidR="005D42AB" w:rsidRDefault="005D42AB" w:rsidP="004A1F75">
      <w:r>
        <w:separator/>
      </w:r>
    </w:p>
  </w:endnote>
  <w:endnote w:type="continuationSeparator" w:id="0">
    <w:p w14:paraId="72936048" w14:textId="77777777" w:rsidR="005D42AB" w:rsidRDefault="005D42AB" w:rsidP="004A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168103"/>
      <w:docPartObj>
        <w:docPartGallery w:val="Page Numbers (Bottom of Page)"/>
        <w:docPartUnique/>
      </w:docPartObj>
    </w:sdtPr>
    <w:sdtContent>
      <w:sdt>
        <w:sdtPr>
          <w:id w:val="-1669238322"/>
          <w:docPartObj>
            <w:docPartGallery w:val="Page Numbers (Top of Page)"/>
            <w:docPartUnique/>
          </w:docPartObj>
        </w:sdtPr>
        <w:sdtContent>
          <w:p w14:paraId="0EAFAB05" w14:textId="7572B3B4" w:rsidR="004A1F75" w:rsidRPr="00B245CD" w:rsidRDefault="005A5A6A" w:rsidP="00B245CD">
            <w:pPr>
              <w:pStyle w:val="Footer"/>
              <w:jc w:val="center"/>
            </w:pPr>
            <w:r w:rsidRPr="00B245CD">
              <w:rPr>
                <w:bCs/>
                <w:sz w:val="20"/>
                <w:szCs w:val="20"/>
              </w:rPr>
              <w:fldChar w:fldCharType="begin"/>
            </w:r>
            <w:r w:rsidRPr="00B245CD">
              <w:rPr>
                <w:bCs/>
                <w:sz w:val="20"/>
                <w:szCs w:val="20"/>
              </w:rPr>
              <w:instrText>PAGE</w:instrText>
            </w:r>
            <w:r w:rsidRPr="00B245CD">
              <w:rPr>
                <w:bCs/>
                <w:sz w:val="20"/>
                <w:szCs w:val="20"/>
              </w:rPr>
              <w:fldChar w:fldCharType="separate"/>
            </w:r>
            <w:r w:rsidR="00296B52" w:rsidRPr="00B245CD">
              <w:rPr>
                <w:bCs/>
                <w:noProof/>
                <w:sz w:val="20"/>
                <w:szCs w:val="20"/>
              </w:rPr>
              <w:t>5</w:t>
            </w:r>
            <w:r w:rsidRPr="00B245CD">
              <w:rPr>
                <w:bCs/>
                <w:sz w:val="20"/>
                <w:szCs w:val="20"/>
              </w:rPr>
              <w:fldChar w:fldCharType="end"/>
            </w:r>
            <w:r w:rsidRPr="00B245CD">
              <w:rPr>
                <w:sz w:val="20"/>
                <w:szCs w:val="20"/>
              </w:rPr>
              <w:t xml:space="preserve"> no </w:t>
            </w:r>
            <w:r w:rsidRPr="00B245CD">
              <w:rPr>
                <w:bCs/>
                <w:sz w:val="20"/>
                <w:szCs w:val="20"/>
              </w:rPr>
              <w:fldChar w:fldCharType="begin"/>
            </w:r>
            <w:r w:rsidRPr="00B245CD">
              <w:rPr>
                <w:bCs/>
                <w:sz w:val="20"/>
                <w:szCs w:val="20"/>
              </w:rPr>
              <w:instrText>NUMPAGES</w:instrText>
            </w:r>
            <w:r w:rsidRPr="00B245CD">
              <w:rPr>
                <w:bCs/>
                <w:sz w:val="20"/>
                <w:szCs w:val="20"/>
              </w:rPr>
              <w:fldChar w:fldCharType="separate"/>
            </w:r>
            <w:r w:rsidR="00296B52" w:rsidRPr="00B245CD">
              <w:rPr>
                <w:bCs/>
                <w:noProof/>
                <w:sz w:val="20"/>
                <w:szCs w:val="20"/>
              </w:rPr>
              <w:t>5</w:t>
            </w:r>
            <w:r w:rsidRPr="00B245CD">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DFF2C" w14:textId="77777777" w:rsidR="005D42AB" w:rsidRDefault="005D42AB" w:rsidP="004A1F75">
      <w:r>
        <w:separator/>
      </w:r>
    </w:p>
  </w:footnote>
  <w:footnote w:type="continuationSeparator" w:id="0">
    <w:p w14:paraId="4B2F4785" w14:textId="77777777" w:rsidR="005D42AB" w:rsidRDefault="005D42AB" w:rsidP="004A1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282687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2D53"/>
    <w:rsid w:val="00004E3F"/>
    <w:rsid w:val="00006F08"/>
    <w:rsid w:val="000105BD"/>
    <w:rsid w:val="0002286D"/>
    <w:rsid w:val="00031163"/>
    <w:rsid w:val="000458E7"/>
    <w:rsid w:val="000535B1"/>
    <w:rsid w:val="000541CC"/>
    <w:rsid w:val="00063CFC"/>
    <w:rsid w:val="00075B09"/>
    <w:rsid w:val="00082643"/>
    <w:rsid w:val="00086B61"/>
    <w:rsid w:val="000952D3"/>
    <w:rsid w:val="00097CE3"/>
    <w:rsid w:val="000A0098"/>
    <w:rsid w:val="000A0A9F"/>
    <w:rsid w:val="000A0F33"/>
    <w:rsid w:val="000A17FA"/>
    <w:rsid w:val="000A61BE"/>
    <w:rsid w:val="000A7C20"/>
    <w:rsid w:val="000C5788"/>
    <w:rsid w:val="000D3CE9"/>
    <w:rsid w:val="000D5990"/>
    <w:rsid w:val="000D7250"/>
    <w:rsid w:val="000E2563"/>
    <w:rsid w:val="000E7D34"/>
    <w:rsid w:val="000F753B"/>
    <w:rsid w:val="00101925"/>
    <w:rsid w:val="0010477D"/>
    <w:rsid w:val="001110AD"/>
    <w:rsid w:val="00124154"/>
    <w:rsid w:val="00137F16"/>
    <w:rsid w:val="00141A22"/>
    <w:rsid w:val="001443E9"/>
    <w:rsid w:val="001530E7"/>
    <w:rsid w:val="00153711"/>
    <w:rsid w:val="00154823"/>
    <w:rsid w:val="00154D22"/>
    <w:rsid w:val="001741E7"/>
    <w:rsid w:val="0017659C"/>
    <w:rsid w:val="00177A7F"/>
    <w:rsid w:val="001905B2"/>
    <w:rsid w:val="001965C4"/>
    <w:rsid w:val="00196E54"/>
    <w:rsid w:val="001A2915"/>
    <w:rsid w:val="001A469E"/>
    <w:rsid w:val="001A5679"/>
    <w:rsid w:val="001B2A8F"/>
    <w:rsid w:val="001C0454"/>
    <w:rsid w:val="001C0532"/>
    <w:rsid w:val="001C291C"/>
    <w:rsid w:val="001C571F"/>
    <w:rsid w:val="001C6135"/>
    <w:rsid w:val="001D239D"/>
    <w:rsid w:val="001D3E1D"/>
    <w:rsid w:val="001E042C"/>
    <w:rsid w:val="001E180B"/>
    <w:rsid w:val="001E23A1"/>
    <w:rsid w:val="001E3AE4"/>
    <w:rsid w:val="001E4DFF"/>
    <w:rsid w:val="001E5CAF"/>
    <w:rsid w:val="001E5D9F"/>
    <w:rsid w:val="001E6283"/>
    <w:rsid w:val="001F0BF0"/>
    <w:rsid w:val="001F684F"/>
    <w:rsid w:val="00210610"/>
    <w:rsid w:val="002113B7"/>
    <w:rsid w:val="00220831"/>
    <w:rsid w:val="0022230A"/>
    <w:rsid w:val="00230A08"/>
    <w:rsid w:val="00233FFE"/>
    <w:rsid w:val="00245641"/>
    <w:rsid w:val="002460CD"/>
    <w:rsid w:val="00250B79"/>
    <w:rsid w:val="00256509"/>
    <w:rsid w:val="002614C2"/>
    <w:rsid w:val="002615E4"/>
    <w:rsid w:val="00262117"/>
    <w:rsid w:val="00262CB3"/>
    <w:rsid w:val="00276740"/>
    <w:rsid w:val="0027692D"/>
    <w:rsid w:val="00285331"/>
    <w:rsid w:val="002861DA"/>
    <w:rsid w:val="00287420"/>
    <w:rsid w:val="0029532C"/>
    <w:rsid w:val="00295770"/>
    <w:rsid w:val="00296B52"/>
    <w:rsid w:val="002A3F58"/>
    <w:rsid w:val="002B026F"/>
    <w:rsid w:val="002B4D4B"/>
    <w:rsid w:val="002C5EDA"/>
    <w:rsid w:val="002E2FCC"/>
    <w:rsid w:val="002F046F"/>
    <w:rsid w:val="002F5E4E"/>
    <w:rsid w:val="003038FE"/>
    <w:rsid w:val="003130FB"/>
    <w:rsid w:val="003222D6"/>
    <w:rsid w:val="00322954"/>
    <w:rsid w:val="0033493F"/>
    <w:rsid w:val="00336F8F"/>
    <w:rsid w:val="003418F2"/>
    <w:rsid w:val="003469CC"/>
    <w:rsid w:val="00352745"/>
    <w:rsid w:val="00353932"/>
    <w:rsid w:val="00360BA2"/>
    <w:rsid w:val="00361748"/>
    <w:rsid w:val="00366ED6"/>
    <w:rsid w:val="00382D74"/>
    <w:rsid w:val="00384366"/>
    <w:rsid w:val="003A2A02"/>
    <w:rsid w:val="003D65D3"/>
    <w:rsid w:val="003E1C4C"/>
    <w:rsid w:val="003F196B"/>
    <w:rsid w:val="00405573"/>
    <w:rsid w:val="00407983"/>
    <w:rsid w:val="004164CA"/>
    <w:rsid w:val="00421E93"/>
    <w:rsid w:val="00421F02"/>
    <w:rsid w:val="004303C5"/>
    <w:rsid w:val="00432F2D"/>
    <w:rsid w:val="004477CD"/>
    <w:rsid w:val="00447EE6"/>
    <w:rsid w:val="00452065"/>
    <w:rsid w:val="00466A47"/>
    <w:rsid w:val="00474CF1"/>
    <w:rsid w:val="00476C5D"/>
    <w:rsid w:val="004801E8"/>
    <w:rsid w:val="004812E0"/>
    <w:rsid w:val="0049726C"/>
    <w:rsid w:val="004A1F75"/>
    <w:rsid w:val="004B241A"/>
    <w:rsid w:val="004B2A94"/>
    <w:rsid w:val="004B551A"/>
    <w:rsid w:val="004B66FE"/>
    <w:rsid w:val="004D2C74"/>
    <w:rsid w:val="004D59A4"/>
    <w:rsid w:val="004E2244"/>
    <w:rsid w:val="004E3C69"/>
    <w:rsid w:val="004E3DE1"/>
    <w:rsid w:val="00505439"/>
    <w:rsid w:val="00513483"/>
    <w:rsid w:val="00541B64"/>
    <w:rsid w:val="00547C02"/>
    <w:rsid w:val="00551B8F"/>
    <w:rsid w:val="005530CD"/>
    <w:rsid w:val="00565591"/>
    <w:rsid w:val="00567624"/>
    <w:rsid w:val="00573954"/>
    <w:rsid w:val="00575BFB"/>
    <w:rsid w:val="005767C0"/>
    <w:rsid w:val="00577693"/>
    <w:rsid w:val="00585D64"/>
    <w:rsid w:val="005946EA"/>
    <w:rsid w:val="005A5A6A"/>
    <w:rsid w:val="005A6E09"/>
    <w:rsid w:val="005B0D6A"/>
    <w:rsid w:val="005B22A7"/>
    <w:rsid w:val="005B5E1B"/>
    <w:rsid w:val="005D42AB"/>
    <w:rsid w:val="005F49FA"/>
    <w:rsid w:val="00601729"/>
    <w:rsid w:val="006062B5"/>
    <w:rsid w:val="006074CB"/>
    <w:rsid w:val="00611634"/>
    <w:rsid w:val="00614181"/>
    <w:rsid w:val="00622231"/>
    <w:rsid w:val="006266C1"/>
    <w:rsid w:val="00627B05"/>
    <w:rsid w:val="0064062A"/>
    <w:rsid w:val="00644936"/>
    <w:rsid w:val="00645B5B"/>
    <w:rsid w:val="0064654C"/>
    <w:rsid w:val="00650832"/>
    <w:rsid w:val="00666A2E"/>
    <w:rsid w:val="006673BE"/>
    <w:rsid w:val="0069181A"/>
    <w:rsid w:val="006A3636"/>
    <w:rsid w:val="006B047D"/>
    <w:rsid w:val="006B6E7A"/>
    <w:rsid w:val="006C035B"/>
    <w:rsid w:val="006C3774"/>
    <w:rsid w:val="006C4BB8"/>
    <w:rsid w:val="006E054F"/>
    <w:rsid w:val="006E5B90"/>
    <w:rsid w:val="00701B7B"/>
    <w:rsid w:val="00707E7D"/>
    <w:rsid w:val="00710832"/>
    <w:rsid w:val="0071369C"/>
    <w:rsid w:val="00727DD0"/>
    <w:rsid w:val="00731D86"/>
    <w:rsid w:val="00756A3B"/>
    <w:rsid w:val="00764BE5"/>
    <w:rsid w:val="0077294D"/>
    <w:rsid w:val="00773E3B"/>
    <w:rsid w:val="007808CC"/>
    <w:rsid w:val="007815D5"/>
    <w:rsid w:val="00782501"/>
    <w:rsid w:val="007906FB"/>
    <w:rsid w:val="007920AD"/>
    <w:rsid w:val="007A019E"/>
    <w:rsid w:val="007A1E39"/>
    <w:rsid w:val="007A31D2"/>
    <w:rsid w:val="007A7A85"/>
    <w:rsid w:val="007B5BB1"/>
    <w:rsid w:val="007C48F8"/>
    <w:rsid w:val="007D2131"/>
    <w:rsid w:val="007E03D4"/>
    <w:rsid w:val="007E0C55"/>
    <w:rsid w:val="007E146B"/>
    <w:rsid w:val="007E674B"/>
    <w:rsid w:val="0080556D"/>
    <w:rsid w:val="00816175"/>
    <w:rsid w:val="0082745C"/>
    <w:rsid w:val="008426CF"/>
    <w:rsid w:val="00874AF5"/>
    <w:rsid w:val="00894A12"/>
    <w:rsid w:val="008B02F6"/>
    <w:rsid w:val="008B131F"/>
    <w:rsid w:val="008B61BA"/>
    <w:rsid w:val="008B655B"/>
    <w:rsid w:val="008B700C"/>
    <w:rsid w:val="008D1808"/>
    <w:rsid w:val="008D37D3"/>
    <w:rsid w:val="008E3365"/>
    <w:rsid w:val="008E4511"/>
    <w:rsid w:val="008F0317"/>
    <w:rsid w:val="00904FD9"/>
    <w:rsid w:val="00906E07"/>
    <w:rsid w:val="00914BDA"/>
    <w:rsid w:val="0093407B"/>
    <w:rsid w:val="00941031"/>
    <w:rsid w:val="00941382"/>
    <w:rsid w:val="009437B5"/>
    <w:rsid w:val="00953B26"/>
    <w:rsid w:val="00956932"/>
    <w:rsid w:val="00960222"/>
    <w:rsid w:val="00973E00"/>
    <w:rsid w:val="00976080"/>
    <w:rsid w:val="00992CF2"/>
    <w:rsid w:val="009A4AD5"/>
    <w:rsid w:val="009A505E"/>
    <w:rsid w:val="009A646E"/>
    <w:rsid w:val="009A7396"/>
    <w:rsid w:val="009C68D2"/>
    <w:rsid w:val="009E0EA5"/>
    <w:rsid w:val="009E7FFE"/>
    <w:rsid w:val="009F16D0"/>
    <w:rsid w:val="00A00205"/>
    <w:rsid w:val="00A01A2A"/>
    <w:rsid w:val="00A06640"/>
    <w:rsid w:val="00A1342C"/>
    <w:rsid w:val="00A2054A"/>
    <w:rsid w:val="00A23430"/>
    <w:rsid w:val="00A27BDC"/>
    <w:rsid w:val="00A44D1C"/>
    <w:rsid w:val="00A57497"/>
    <w:rsid w:val="00A57EDC"/>
    <w:rsid w:val="00A63BF9"/>
    <w:rsid w:val="00A66D21"/>
    <w:rsid w:val="00A74283"/>
    <w:rsid w:val="00A80C69"/>
    <w:rsid w:val="00A839E9"/>
    <w:rsid w:val="00A8481C"/>
    <w:rsid w:val="00A91EF3"/>
    <w:rsid w:val="00AA34B2"/>
    <w:rsid w:val="00AA7548"/>
    <w:rsid w:val="00AB53DA"/>
    <w:rsid w:val="00AB638D"/>
    <w:rsid w:val="00AC58F8"/>
    <w:rsid w:val="00AC5AA1"/>
    <w:rsid w:val="00AC6539"/>
    <w:rsid w:val="00AD3F2B"/>
    <w:rsid w:val="00AD5369"/>
    <w:rsid w:val="00AE5A56"/>
    <w:rsid w:val="00AF17A4"/>
    <w:rsid w:val="00B20F29"/>
    <w:rsid w:val="00B245CD"/>
    <w:rsid w:val="00B264D3"/>
    <w:rsid w:val="00B26FF2"/>
    <w:rsid w:val="00B323BE"/>
    <w:rsid w:val="00B504E8"/>
    <w:rsid w:val="00B54F4B"/>
    <w:rsid w:val="00B64FDA"/>
    <w:rsid w:val="00B65C2D"/>
    <w:rsid w:val="00B928E2"/>
    <w:rsid w:val="00BA0E65"/>
    <w:rsid w:val="00BA7A0F"/>
    <w:rsid w:val="00BA7F24"/>
    <w:rsid w:val="00BB7D25"/>
    <w:rsid w:val="00BE3258"/>
    <w:rsid w:val="00C039F5"/>
    <w:rsid w:val="00C101E3"/>
    <w:rsid w:val="00C15F2A"/>
    <w:rsid w:val="00C16630"/>
    <w:rsid w:val="00C2065D"/>
    <w:rsid w:val="00C3328B"/>
    <w:rsid w:val="00C369CC"/>
    <w:rsid w:val="00C4539D"/>
    <w:rsid w:val="00C461C3"/>
    <w:rsid w:val="00C46C60"/>
    <w:rsid w:val="00C5023B"/>
    <w:rsid w:val="00C51D3F"/>
    <w:rsid w:val="00C60316"/>
    <w:rsid w:val="00C67D83"/>
    <w:rsid w:val="00C76330"/>
    <w:rsid w:val="00C852D6"/>
    <w:rsid w:val="00C85D45"/>
    <w:rsid w:val="00C90808"/>
    <w:rsid w:val="00C90FF1"/>
    <w:rsid w:val="00C91B81"/>
    <w:rsid w:val="00C92CBF"/>
    <w:rsid w:val="00CB162F"/>
    <w:rsid w:val="00CC3CB8"/>
    <w:rsid w:val="00CC471C"/>
    <w:rsid w:val="00CC6093"/>
    <w:rsid w:val="00CC6A6C"/>
    <w:rsid w:val="00CD325F"/>
    <w:rsid w:val="00D01E20"/>
    <w:rsid w:val="00D03116"/>
    <w:rsid w:val="00D136F2"/>
    <w:rsid w:val="00D137FE"/>
    <w:rsid w:val="00D2018F"/>
    <w:rsid w:val="00D20ABC"/>
    <w:rsid w:val="00D222E0"/>
    <w:rsid w:val="00D346C0"/>
    <w:rsid w:val="00D346EE"/>
    <w:rsid w:val="00D360C7"/>
    <w:rsid w:val="00D517B9"/>
    <w:rsid w:val="00D549DE"/>
    <w:rsid w:val="00D54F4D"/>
    <w:rsid w:val="00D56BC1"/>
    <w:rsid w:val="00D650A4"/>
    <w:rsid w:val="00D73DA9"/>
    <w:rsid w:val="00D83D87"/>
    <w:rsid w:val="00DA0C1F"/>
    <w:rsid w:val="00DB2876"/>
    <w:rsid w:val="00DC5A0A"/>
    <w:rsid w:val="00DC7DC5"/>
    <w:rsid w:val="00DD3CDA"/>
    <w:rsid w:val="00DD5C89"/>
    <w:rsid w:val="00DE0E8C"/>
    <w:rsid w:val="00DE7781"/>
    <w:rsid w:val="00DF2F8F"/>
    <w:rsid w:val="00E00118"/>
    <w:rsid w:val="00E044C5"/>
    <w:rsid w:val="00E10C80"/>
    <w:rsid w:val="00E21C7C"/>
    <w:rsid w:val="00E27F3F"/>
    <w:rsid w:val="00E367F4"/>
    <w:rsid w:val="00E37B8B"/>
    <w:rsid w:val="00E40F2F"/>
    <w:rsid w:val="00E411A7"/>
    <w:rsid w:val="00E42CB2"/>
    <w:rsid w:val="00E42F01"/>
    <w:rsid w:val="00E46F15"/>
    <w:rsid w:val="00E47157"/>
    <w:rsid w:val="00E5209F"/>
    <w:rsid w:val="00E55067"/>
    <w:rsid w:val="00E566FD"/>
    <w:rsid w:val="00E85430"/>
    <w:rsid w:val="00E879D3"/>
    <w:rsid w:val="00E912C6"/>
    <w:rsid w:val="00E96821"/>
    <w:rsid w:val="00E9690F"/>
    <w:rsid w:val="00EB0A84"/>
    <w:rsid w:val="00EB51D5"/>
    <w:rsid w:val="00EC2700"/>
    <w:rsid w:val="00ED27C1"/>
    <w:rsid w:val="00ED2F53"/>
    <w:rsid w:val="00EE09AB"/>
    <w:rsid w:val="00EE3DB8"/>
    <w:rsid w:val="00EF4FA5"/>
    <w:rsid w:val="00F113EA"/>
    <w:rsid w:val="00F17768"/>
    <w:rsid w:val="00F232AB"/>
    <w:rsid w:val="00F257DE"/>
    <w:rsid w:val="00F26316"/>
    <w:rsid w:val="00F26C7D"/>
    <w:rsid w:val="00F315F7"/>
    <w:rsid w:val="00F32E7A"/>
    <w:rsid w:val="00F41703"/>
    <w:rsid w:val="00F43ABC"/>
    <w:rsid w:val="00F538D1"/>
    <w:rsid w:val="00F53B33"/>
    <w:rsid w:val="00F53DC8"/>
    <w:rsid w:val="00F54C48"/>
    <w:rsid w:val="00F637F0"/>
    <w:rsid w:val="00F676D8"/>
    <w:rsid w:val="00F7329A"/>
    <w:rsid w:val="00F73AD8"/>
    <w:rsid w:val="00F821F8"/>
    <w:rsid w:val="00F835E8"/>
    <w:rsid w:val="00F869D5"/>
    <w:rsid w:val="00F961DF"/>
    <w:rsid w:val="00FA27DF"/>
    <w:rsid w:val="00FA314C"/>
    <w:rsid w:val="00FC36CB"/>
    <w:rsid w:val="00FC4CCB"/>
    <w:rsid w:val="00FC5A98"/>
    <w:rsid w:val="00FD043F"/>
    <w:rsid w:val="00FD0B01"/>
    <w:rsid w:val="00FD0DD5"/>
    <w:rsid w:val="00FD1C4E"/>
    <w:rsid w:val="00FD296A"/>
    <w:rsid w:val="00FD2FE3"/>
    <w:rsid w:val="00FD7891"/>
    <w:rsid w:val="00FE1C38"/>
    <w:rsid w:val="00FE2CB1"/>
    <w:rsid w:val="00FE30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uiPriority w:val="39"/>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4A1F75"/>
    <w:pPr>
      <w:tabs>
        <w:tab w:val="center" w:pos="4680"/>
        <w:tab w:val="right" w:pos="9360"/>
      </w:tabs>
    </w:pPr>
  </w:style>
  <w:style w:type="character" w:customStyle="1" w:styleId="HeaderChar">
    <w:name w:val="Header Char"/>
    <w:basedOn w:val="DefaultParagraphFont"/>
    <w:link w:val="Header"/>
    <w:uiPriority w:val="99"/>
    <w:rsid w:val="004A1F75"/>
    <w:rPr>
      <w:rFonts w:eastAsia="Times New Roman" w:cs="Times New Roman"/>
      <w:szCs w:val="24"/>
      <w:lang w:val="lv-LV" w:eastAsia="ru-RU"/>
    </w:rPr>
  </w:style>
  <w:style w:type="paragraph" w:styleId="Footer">
    <w:name w:val="footer"/>
    <w:basedOn w:val="Normal"/>
    <w:link w:val="FooterChar"/>
    <w:uiPriority w:val="99"/>
    <w:unhideWhenUsed/>
    <w:rsid w:val="004A1F75"/>
    <w:pPr>
      <w:tabs>
        <w:tab w:val="center" w:pos="4680"/>
        <w:tab w:val="right" w:pos="9360"/>
      </w:tabs>
    </w:pPr>
  </w:style>
  <w:style w:type="character" w:customStyle="1" w:styleId="FooterChar">
    <w:name w:val="Footer Char"/>
    <w:basedOn w:val="DefaultParagraphFont"/>
    <w:link w:val="Footer"/>
    <w:uiPriority w:val="99"/>
    <w:rsid w:val="004A1F75"/>
    <w:rPr>
      <w:rFonts w:eastAsia="Times New Roman" w:cs="Times New Roman"/>
      <w:szCs w:val="24"/>
      <w:lang w:val="lv-LV" w:eastAsia="ru-RU"/>
    </w:rPr>
  </w:style>
  <w:style w:type="paragraph" w:styleId="BalloonText">
    <w:name w:val="Balloon Text"/>
    <w:basedOn w:val="Normal"/>
    <w:link w:val="BalloonTextChar"/>
    <w:uiPriority w:val="99"/>
    <w:semiHidden/>
    <w:unhideWhenUsed/>
    <w:rsid w:val="007A1E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E39"/>
    <w:rPr>
      <w:rFonts w:ascii="Segoe UI" w:eastAsia="Times New Roman" w:hAnsi="Segoe UI" w:cs="Segoe UI"/>
      <w:sz w:val="18"/>
      <w:szCs w:val="18"/>
      <w:lang w:val="lv-LV" w:eastAsia="ru-RU"/>
    </w:rPr>
  </w:style>
  <w:style w:type="paragraph" w:customStyle="1" w:styleId="tv213">
    <w:name w:val="tv213"/>
    <w:basedOn w:val="Normal"/>
    <w:rsid w:val="00C3328B"/>
    <w:pPr>
      <w:spacing w:before="100" w:beforeAutospacing="1" w:after="100" w:afterAutospacing="1"/>
    </w:pPr>
    <w:rPr>
      <w:lang w:val="en-US" w:eastAsia="en-US"/>
    </w:rPr>
  </w:style>
  <w:style w:type="character" w:styleId="Hyperlink">
    <w:name w:val="Hyperlink"/>
    <w:basedOn w:val="DefaultParagraphFont"/>
    <w:uiPriority w:val="99"/>
    <w:unhideWhenUsed/>
    <w:rsid w:val="00C3328B"/>
    <w:rPr>
      <w:color w:val="0000FF"/>
      <w:u w:val="single"/>
    </w:rPr>
  </w:style>
  <w:style w:type="character" w:styleId="FollowedHyperlink">
    <w:name w:val="FollowedHyperlink"/>
    <w:basedOn w:val="DefaultParagraphFont"/>
    <w:uiPriority w:val="99"/>
    <w:semiHidden/>
    <w:unhideWhenUsed/>
    <w:rsid w:val="003038FE"/>
    <w:rPr>
      <w:color w:val="954F72" w:themeColor="followedHyperlink"/>
      <w:u w:val="single"/>
    </w:rPr>
  </w:style>
  <w:style w:type="paragraph" w:styleId="ListParagraph">
    <w:name w:val="List Paragraph"/>
    <w:basedOn w:val="Normal"/>
    <w:uiPriority w:val="34"/>
    <w:qFormat/>
    <w:rsid w:val="00F961DF"/>
    <w:pPr>
      <w:spacing w:after="160" w:line="259" w:lineRule="auto"/>
      <w:ind w:left="720"/>
      <w:contextualSpacing/>
    </w:pPr>
    <w:rPr>
      <w:rFonts w:eastAsiaTheme="minorHAnsi" w:cstheme="minorBidi"/>
      <w:kern w:val="2"/>
      <w:lang w:eastAsia="en-US"/>
      <w14:ligatures w14:val="standardContextual"/>
    </w:rPr>
  </w:style>
  <w:style w:type="paragraph" w:styleId="Revision">
    <w:name w:val="Revision"/>
    <w:hidden/>
    <w:uiPriority w:val="99"/>
    <w:semiHidden/>
    <w:rsid w:val="005F49FA"/>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5F49FA"/>
    <w:rPr>
      <w:sz w:val="16"/>
      <w:szCs w:val="16"/>
    </w:rPr>
  </w:style>
  <w:style w:type="paragraph" w:styleId="CommentText">
    <w:name w:val="annotation text"/>
    <w:basedOn w:val="Normal"/>
    <w:link w:val="CommentTextChar"/>
    <w:uiPriority w:val="99"/>
    <w:unhideWhenUsed/>
    <w:rsid w:val="005F49FA"/>
    <w:rPr>
      <w:sz w:val="20"/>
      <w:szCs w:val="20"/>
    </w:rPr>
  </w:style>
  <w:style w:type="character" w:customStyle="1" w:styleId="CommentTextChar">
    <w:name w:val="Comment Text Char"/>
    <w:basedOn w:val="DefaultParagraphFont"/>
    <w:link w:val="CommentText"/>
    <w:uiPriority w:val="99"/>
    <w:rsid w:val="005F49FA"/>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4D59A4"/>
    <w:rPr>
      <w:b/>
      <w:bCs/>
    </w:rPr>
  </w:style>
  <w:style w:type="character" w:customStyle="1" w:styleId="CommentSubjectChar">
    <w:name w:val="Comment Subject Char"/>
    <w:basedOn w:val="CommentTextChar"/>
    <w:link w:val="CommentSubject"/>
    <w:uiPriority w:val="99"/>
    <w:semiHidden/>
    <w:rsid w:val="004D59A4"/>
    <w:rPr>
      <w:rFonts w:eastAsia="Times New Roman" w:cs="Times New Roman"/>
      <w:b/>
      <w:bCs/>
      <w:sz w:val="20"/>
      <w:szCs w:val="20"/>
      <w:lang w:val="lv-LV" w:eastAsia="ru-RU"/>
    </w:rPr>
  </w:style>
  <w:style w:type="character" w:styleId="UnresolvedMention">
    <w:name w:val="Unresolved Mention"/>
    <w:basedOn w:val="DefaultParagraphFont"/>
    <w:uiPriority w:val="99"/>
    <w:semiHidden/>
    <w:unhideWhenUsed/>
    <w:rsid w:val="00154823"/>
    <w:rPr>
      <w:color w:val="605E5C"/>
      <w:shd w:val="clear" w:color="auto" w:fill="E1DFDD"/>
    </w:rPr>
  </w:style>
  <w:style w:type="paragraph" w:styleId="NoSpacing">
    <w:name w:val="No Spacing"/>
    <w:uiPriority w:val="1"/>
    <w:qFormat/>
    <w:rsid w:val="0064062A"/>
    <w:pPr>
      <w:spacing w:after="0" w:line="240" w:lineRule="auto"/>
    </w:pPr>
    <w:rPr>
      <w:rFonts w:asciiTheme="minorHAnsi" w:hAnsiTheme="minorHAnsi"/>
      <w:sz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7621">
      <w:bodyDiv w:val="1"/>
      <w:marLeft w:val="0"/>
      <w:marRight w:val="0"/>
      <w:marTop w:val="0"/>
      <w:marBottom w:val="0"/>
      <w:divBdr>
        <w:top w:val="none" w:sz="0" w:space="0" w:color="auto"/>
        <w:left w:val="none" w:sz="0" w:space="0" w:color="auto"/>
        <w:bottom w:val="none" w:sz="0" w:space="0" w:color="auto"/>
        <w:right w:val="none" w:sz="0" w:space="0" w:color="auto"/>
      </w:divBdr>
    </w:div>
    <w:div w:id="211699292">
      <w:bodyDiv w:val="1"/>
      <w:marLeft w:val="0"/>
      <w:marRight w:val="0"/>
      <w:marTop w:val="0"/>
      <w:marBottom w:val="0"/>
      <w:divBdr>
        <w:top w:val="none" w:sz="0" w:space="0" w:color="auto"/>
        <w:left w:val="none" w:sz="0" w:space="0" w:color="auto"/>
        <w:bottom w:val="none" w:sz="0" w:space="0" w:color="auto"/>
        <w:right w:val="none" w:sz="0" w:space="0" w:color="auto"/>
      </w:divBdr>
    </w:div>
    <w:div w:id="880823172">
      <w:bodyDiv w:val="1"/>
      <w:marLeft w:val="0"/>
      <w:marRight w:val="0"/>
      <w:marTop w:val="0"/>
      <w:marBottom w:val="0"/>
      <w:divBdr>
        <w:top w:val="none" w:sz="0" w:space="0" w:color="auto"/>
        <w:left w:val="none" w:sz="0" w:space="0" w:color="auto"/>
        <w:bottom w:val="none" w:sz="0" w:space="0" w:color="auto"/>
        <w:right w:val="none" w:sz="0" w:space="0" w:color="auto"/>
      </w:divBdr>
    </w:div>
    <w:div w:id="1045179993">
      <w:bodyDiv w:val="1"/>
      <w:marLeft w:val="0"/>
      <w:marRight w:val="0"/>
      <w:marTop w:val="0"/>
      <w:marBottom w:val="0"/>
      <w:divBdr>
        <w:top w:val="none" w:sz="0" w:space="0" w:color="auto"/>
        <w:left w:val="none" w:sz="0" w:space="0" w:color="auto"/>
        <w:bottom w:val="none" w:sz="0" w:space="0" w:color="auto"/>
        <w:right w:val="none" w:sz="0" w:space="0" w:color="auto"/>
      </w:divBdr>
    </w:div>
    <w:div w:id="1283656907">
      <w:bodyDiv w:val="1"/>
      <w:marLeft w:val="0"/>
      <w:marRight w:val="0"/>
      <w:marTop w:val="0"/>
      <w:marBottom w:val="0"/>
      <w:divBdr>
        <w:top w:val="none" w:sz="0" w:space="0" w:color="auto"/>
        <w:left w:val="none" w:sz="0" w:space="0" w:color="auto"/>
        <w:bottom w:val="none" w:sz="0" w:space="0" w:color="auto"/>
        <w:right w:val="none" w:sz="0" w:space="0" w:color="auto"/>
      </w:divBdr>
    </w:div>
    <w:div w:id="1348172881">
      <w:bodyDiv w:val="1"/>
      <w:marLeft w:val="0"/>
      <w:marRight w:val="0"/>
      <w:marTop w:val="0"/>
      <w:marBottom w:val="0"/>
      <w:divBdr>
        <w:top w:val="none" w:sz="0" w:space="0" w:color="auto"/>
        <w:left w:val="none" w:sz="0" w:space="0" w:color="auto"/>
        <w:bottom w:val="none" w:sz="0" w:space="0" w:color="auto"/>
        <w:right w:val="none" w:sz="0" w:space="0" w:color="auto"/>
      </w:divBdr>
    </w:div>
    <w:div w:id="1375732727">
      <w:bodyDiv w:val="1"/>
      <w:marLeft w:val="0"/>
      <w:marRight w:val="0"/>
      <w:marTop w:val="0"/>
      <w:marBottom w:val="0"/>
      <w:divBdr>
        <w:top w:val="none" w:sz="0" w:space="0" w:color="auto"/>
        <w:left w:val="none" w:sz="0" w:space="0" w:color="auto"/>
        <w:bottom w:val="none" w:sz="0" w:space="0" w:color="auto"/>
        <w:right w:val="none" w:sz="0" w:space="0" w:color="auto"/>
      </w:divBdr>
    </w:div>
    <w:div w:id="1411267509">
      <w:bodyDiv w:val="1"/>
      <w:marLeft w:val="0"/>
      <w:marRight w:val="0"/>
      <w:marTop w:val="0"/>
      <w:marBottom w:val="0"/>
      <w:divBdr>
        <w:top w:val="none" w:sz="0" w:space="0" w:color="auto"/>
        <w:left w:val="none" w:sz="0" w:space="0" w:color="auto"/>
        <w:bottom w:val="none" w:sz="0" w:space="0" w:color="auto"/>
        <w:right w:val="none" w:sz="0" w:space="0" w:color="auto"/>
      </w:divBdr>
    </w:div>
    <w:div w:id="1419908977">
      <w:bodyDiv w:val="1"/>
      <w:marLeft w:val="0"/>
      <w:marRight w:val="0"/>
      <w:marTop w:val="0"/>
      <w:marBottom w:val="0"/>
      <w:divBdr>
        <w:top w:val="none" w:sz="0" w:space="0" w:color="auto"/>
        <w:left w:val="none" w:sz="0" w:space="0" w:color="auto"/>
        <w:bottom w:val="none" w:sz="0" w:space="0" w:color="auto"/>
        <w:right w:val="none" w:sz="0" w:space="0" w:color="auto"/>
      </w:divBdr>
    </w:div>
    <w:div w:id="1484274627">
      <w:bodyDiv w:val="1"/>
      <w:marLeft w:val="0"/>
      <w:marRight w:val="0"/>
      <w:marTop w:val="0"/>
      <w:marBottom w:val="0"/>
      <w:divBdr>
        <w:top w:val="none" w:sz="0" w:space="0" w:color="auto"/>
        <w:left w:val="none" w:sz="0" w:space="0" w:color="auto"/>
        <w:bottom w:val="none" w:sz="0" w:space="0" w:color="auto"/>
        <w:right w:val="none" w:sz="0" w:space="0" w:color="auto"/>
      </w:divBdr>
    </w:div>
    <w:div w:id="1500079763">
      <w:bodyDiv w:val="1"/>
      <w:marLeft w:val="0"/>
      <w:marRight w:val="0"/>
      <w:marTop w:val="0"/>
      <w:marBottom w:val="0"/>
      <w:divBdr>
        <w:top w:val="none" w:sz="0" w:space="0" w:color="auto"/>
        <w:left w:val="none" w:sz="0" w:space="0" w:color="auto"/>
        <w:bottom w:val="none" w:sz="0" w:space="0" w:color="auto"/>
        <w:right w:val="none" w:sz="0" w:space="0" w:color="auto"/>
      </w:divBdr>
    </w:div>
    <w:div w:id="1723868653">
      <w:bodyDiv w:val="1"/>
      <w:marLeft w:val="0"/>
      <w:marRight w:val="0"/>
      <w:marTop w:val="0"/>
      <w:marBottom w:val="0"/>
      <w:divBdr>
        <w:top w:val="none" w:sz="0" w:space="0" w:color="auto"/>
        <w:left w:val="none" w:sz="0" w:space="0" w:color="auto"/>
        <w:bottom w:val="none" w:sz="0" w:space="0" w:color="auto"/>
        <w:right w:val="none" w:sz="0" w:space="0" w:color="auto"/>
      </w:divBdr>
    </w:div>
    <w:div w:id="1900700077">
      <w:bodyDiv w:val="1"/>
      <w:marLeft w:val="0"/>
      <w:marRight w:val="0"/>
      <w:marTop w:val="0"/>
      <w:marBottom w:val="0"/>
      <w:divBdr>
        <w:top w:val="none" w:sz="0" w:space="0" w:color="auto"/>
        <w:left w:val="none" w:sz="0" w:space="0" w:color="auto"/>
        <w:bottom w:val="none" w:sz="0" w:space="0" w:color="auto"/>
        <w:right w:val="none" w:sz="0" w:space="0" w:color="auto"/>
      </w:divBdr>
    </w:div>
    <w:div w:id="202081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757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9813" TargetMode="External"/><Relationship Id="rId5" Type="http://schemas.openxmlformats.org/officeDocument/2006/relationships/webSettings" Target="webSettings.xml"/><Relationship Id="rId10" Type="http://schemas.openxmlformats.org/officeDocument/2006/relationships/hyperlink" Target="https://www.at.gov.lv/downloadlawfile/5288" TargetMode="External"/><Relationship Id="rId4" Type="http://schemas.openxmlformats.org/officeDocument/2006/relationships/settings" Target="settings.xml"/><Relationship Id="rId9" Type="http://schemas.openxmlformats.org/officeDocument/2006/relationships/hyperlink" Target="https://www.at.gov.lv/downloadlawfile/366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96E45-1BB6-42A3-A503-F36893F57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9534</Words>
  <Characters>5435</Characters>
  <Application>Microsoft Office Word</Application>
  <DocSecurity>0</DocSecurity>
  <Lines>45</Lines>
  <Paragraphs>29</Paragraphs>
  <ScaleCrop>false</ScaleCrop>
  <Company/>
  <LinksUpToDate>false</LinksUpToDate>
  <CharactersWithSpaces>14940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2024-10-21T09:14:00Z</dcterms:created>
  <dcterms:modified xsi:type="dcterms:W3CDTF">2024-10-21T09:14:00Z</dcterms:modified>
</cp:coreProperties>
</file>