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AB35F" w14:textId="1142E340" w:rsidR="00AE3217" w:rsidRDefault="00AE3217" w:rsidP="002C4531">
      <w:pPr>
        <w:spacing w:line="276" w:lineRule="auto"/>
        <w:jc w:val="both"/>
        <w:rPr>
          <w:b/>
          <w:bCs/>
          <w:lang w:eastAsia="lv-LV"/>
        </w:rPr>
      </w:pPr>
      <w:r>
        <w:rPr>
          <w:b/>
          <w:bCs/>
        </w:rPr>
        <w:t xml:space="preserve">Iebildumu celšana par ekspertīzi, kas ir tikusi nozīmēta administratīvā pārkāpuma procesā lietā </w:t>
      </w:r>
    </w:p>
    <w:p w14:paraId="1DAA9D82" w14:textId="0D3306A6" w:rsidR="00AE3217" w:rsidRPr="00AE3217" w:rsidRDefault="00AE3217" w:rsidP="002C4531">
      <w:pPr>
        <w:spacing w:line="276" w:lineRule="auto"/>
        <w:jc w:val="both"/>
        <w:rPr>
          <w:b/>
          <w:bCs/>
        </w:rPr>
      </w:pPr>
      <w:r>
        <w:t xml:space="preserve">Ekspertīzes atzinums ir viens no pierādīšanas līdzekļiem administratīvā pārkāpuma procesā atbilstoši Administratīvās atbildības likuma 95.pantam. Iebildumi par ekspertīzi ir vērtējami administratīvā pārkāpuma procesā lietā, kurā ekspertīze tikusi nozīmēta. </w:t>
      </w:r>
    </w:p>
    <w:p w14:paraId="35693980" w14:textId="77777777" w:rsidR="00AE3217" w:rsidRDefault="00AE3217" w:rsidP="002C4531">
      <w:pPr>
        <w:spacing w:line="276" w:lineRule="auto"/>
        <w:jc w:val="both"/>
      </w:pPr>
    </w:p>
    <w:p w14:paraId="20CFC2F6" w14:textId="77777777" w:rsidR="00AE3217" w:rsidRDefault="00AE3217" w:rsidP="002C4531">
      <w:pPr>
        <w:spacing w:line="276" w:lineRule="auto"/>
        <w:jc w:val="both"/>
        <w:rPr>
          <w:b/>
          <w:bCs/>
        </w:rPr>
      </w:pPr>
      <w:r>
        <w:rPr>
          <w:b/>
          <w:bCs/>
        </w:rPr>
        <w:t>Persona, kas tiesīga apstrīdēt Tiesu ekspertu padomes lēmumu vai rīcību</w:t>
      </w:r>
    </w:p>
    <w:p w14:paraId="7F01CEF0" w14:textId="620DF121" w:rsidR="007D376D" w:rsidRPr="00011547" w:rsidRDefault="00AE3217" w:rsidP="002C4531">
      <w:pPr>
        <w:spacing w:line="276" w:lineRule="auto"/>
        <w:jc w:val="both"/>
      </w:pPr>
      <w:r>
        <w:t xml:space="preserve">Tiesu ekspertu padomes lēmumus var apstrīdēt Tieslietu ministrijā un pārsūdzēt Administratīvā procesa likumā noteiktajā kārtībā. Tomēr minētais nenozīmē, ka jebkura persona var apstrīdēt jebkuru Tiesu ekspertu padomes lēmumu vai rīcību. Administratīvā procesa likums šādas tiesības piešķir tikai personai, kuras tiesības vai tiesiski aizsargātās intereses konkrētais administratīvais akts aizskar vai var aizskart, vai arī īpaši normatīvajos aktos paredzētiem subjektiem. Personas vēlme panākt disciplinārlietas ierosināšanu pret tiesu ekspertu nav atzīstama par tiesisku interesi Administratīvā procesa likuma 31.panta otrās daļas izpratnē. Privātpersonas prasījums ierosināt disciplinārlietu pret amatpersonu par tās pieņemto lēmumu vai rīcību vispārīgi nav uzskatāms par tādu privātpersonas tiesisko interesi, kura būtu aizsargājama administratīvajā tiesā. </w:t>
      </w:r>
    </w:p>
    <w:p w14:paraId="036CB7AA" w14:textId="135DDDA3" w:rsidR="007D376D" w:rsidRPr="00011547" w:rsidRDefault="007D376D" w:rsidP="002C4531">
      <w:pPr>
        <w:spacing w:before="240" w:line="276" w:lineRule="auto"/>
        <w:jc w:val="center"/>
        <w:rPr>
          <w:b/>
        </w:rPr>
      </w:pPr>
      <w:r w:rsidRPr="00011547">
        <w:rPr>
          <w:b/>
        </w:rPr>
        <w:t>Latvijas Republikas Senāt</w:t>
      </w:r>
      <w:r w:rsidR="009A7711">
        <w:rPr>
          <w:b/>
        </w:rPr>
        <w:t>a</w:t>
      </w:r>
      <w:r w:rsidR="009A7711">
        <w:rPr>
          <w:b/>
        </w:rPr>
        <w:br/>
        <w:t xml:space="preserve">Administratīvo lietu departamenta </w:t>
      </w:r>
      <w:r w:rsidR="009A7711">
        <w:rPr>
          <w:b/>
        </w:rPr>
        <w:br/>
        <w:t xml:space="preserve">2024.gada 28.jūnija </w:t>
      </w:r>
    </w:p>
    <w:p w14:paraId="55D474DB" w14:textId="77777777" w:rsidR="009A7711" w:rsidRDefault="00E367DA" w:rsidP="002C4531">
      <w:pPr>
        <w:spacing w:line="276" w:lineRule="auto"/>
        <w:contextualSpacing/>
        <w:jc w:val="center"/>
        <w:rPr>
          <w:b/>
        </w:rPr>
      </w:pPr>
      <w:r w:rsidRPr="001E0942">
        <w:rPr>
          <w:b/>
        </w:rPr>
        <w:t xml:space="preserve">RĪCĪBAS SĒDES </w:t>
      </w:r>
      <w:r w:rsidR="00BA57C4" w:rsidRPr="001E0942">
        <w:rPr>
          <w:b/>
        </w:rPr>
        <w:t>LĒMUMS</w:t>
      </w:r>
    </w:p>
    <w:p w14:paraId="199A014B" w14:textId="0F589EE5" w:rsidR="009A7711" w:rsidRPr="009A7711" w:rsidRDefault="009A7711" w:rsidP="002C4531">
      <w:pPr>
        <w:spacing w:line="276" w:lineRule="auto"/>
        <w:contextualSpacing/>
        <w:jc w:val="center"/>
        <w:rPr>
          <w:b/>
          <w:bCs/>
        </w:rPr>
      </w:pPr>
      <w:r w:rsidRPr="009A7711">
        <w:rPr>
          <w:b/>
          <w:bCs/>
        </w:rPr>
        <w:t>Lieta Nr. 670006624</w:t>
      </w:r>
      <w:r w:rsidRPr="009A7711">
        <w:rPr>
          <w:b/>
          <w:bCs/>
          <w:lang w:eastAsia="lv-LV"/>
        </w:rPr>
        <w:t>, SKA-655/2024</w:t>
      </w:r>
    </w:p>
    <w:p w14:paraId="2EEEC8CC" w14:textId="38643033" w:rsidR="009A7711" w:rsidRPr="001E0942" w:rsidRDefault="009A7711" w:rsidP="002C4531">
      <w:pPr>
        <w:spacing w:line="276" w:lineRule="auto"/>
        <w:contextualSpacing/>
        <w:jc w:val="center"/>
        <w:rPr>
          <w:b/>
        </w:rPr>
      </w:pPr>
      <w:hyperlink r:id="rId8" w:history="1">
        <w:r w:rsidRPr="009A7711">
          <w:rPr>
            <w:rStyle w:val="Hyperlink"/>
            <w:rFonts w:ascii="TimesNewRomanPSMT" w:eastAsiaTheme="minorHAnsi" w:hAnsi="TimesNewRomanPSMT" w:cs="TimesNewRomanPSMT"/>
            <w:lang w:eastAsia="en-US"/>
          </w:rPr>
          <w:t>ECLI:LV:AT:2024:0628.SKA065524.3.L</w:t>
        </w:r>
      </w:hyperlink>
      <w:r>
        <w:rPr>
          <w:rFonts w:ascii="TimesNewRomanPSMT" w:eastAsiaTheme="minorHAnsi" w:hAnsi="TimesNewRomanPSMT" w:cs="TimesNewRomanPSMT"/>
          <w:color w:val="0000EF"/>
          <w:lang w:eastAsia="en-US"/>
        </w:rPr>
        <w:t xml:space="preserve"> </w:t>
      </w:r>
    </w:p>
    <w:p w14:paraId="3F9C3441" w14:textId="77777777" w:rsidR="00BA57C4" w:rsidRPr="001E0942" w:rsidRDefault="00BA57C4" w:rsidP="002C4531">
      <w:pPr>
        <w:spacing w:line="276" w:lineRule="auto"/>
        <w:ind w:firstLine="720"/>
        <w:contextualSpacing/>
        <w:jc w:val="both"/>
      </w:pPr>
    </w:p>
    <w:p w14:paraId="43787B71" w14:textId="22D14F2A" w:rsidR="00B40F47" w:rsidRDefault="00E367DA" w:rsidP="002C4531">
      <w:pPr>
        <w:spacing w:line="276" w:lineRule="auto"/>
        <w:ind w:firstLine="720"/>
        <w:jc w:val="both"/>
      </w:pPr>
      <w:r w:rsidRPr="007D376D">
        <w:rPr>
          <w:color w:val="000000"/>
        </w:rPr>
        <w:t>[1] </w:t>
      </w:r>
      <w:r w:rsidR="00E128F2" w:rsidRPr="007D376D">
        <w:rPr>
          <w:color w:val="000000"/>
        </w:rPr>
        <w:t xml:space="preserve">Senātā saņemta </w:t>
      </w:r>
      <w:r w:rsidR="00DA2621">
        <w:rPr>
          <w:color w:val="000000"/>
        </w:rPr>
        <w:t>pieteicējas</w:t>
      </w:r>
      <w:r w:rsidR="00F537F6">
        <w:rPr>
          <w:color w:val="000000"/>
        </w:rPr>
        <w:t xml:space="preserve"> </w:t>
      </w:r>
      <w:r w:rsidR="009A7711">
        <w:rPr>
          <w:color w:val="000000"/>
        </w:rPr>
        <w:t xml:space="preserve">[pers. A] </w:t>
      </w:r>
      <w:r w:rsidR="00EA4A23" w:rsidRPr="007D376D">
        <w:rPr>
          <w:color w:val="000000"/>
        </w:rPr>
        <w:t xml:space="preserve">blakus sūdzība par Administratīvās </w:t>
      </w:r>
      <w:r w:rsidR="00BB0ACF">
        <w:rPr>
          <w:color w:val="000000"/>
        </w:rPr>
        <w:t>rajona tiesas</w:t>
      </w:r>
      <w:r w:rsidR="00EA4A23" w:rsidRPr="007D376D">
        <w:rPr>
          <w:color w:val="000000"/>
        </w:rPr>
        <w:t xml:space="preserve"> </w:t>
      </w:r>
      <w:r w:rsidR="006203CA">
        <w:rPr>
          <w:color w:val="000000"/>
        </w:rPr>
        <w:t xml:space="preserve">tiesneša </w:t>
      </w:r>
      <w:r w:rsidR="00EA4A23" w:rsidRPr="007D376D">
        <w:rPr>
          <w:color w:val="000000"/>
        </w:rPr>
        <w:t>202</w:t>
      </w:r>
      <w:r w:rsidR="000A2E48">
        <w:rPr>
          <w:color w:val="000000"/>
        </w:rPr>
        <w:t>4</w:t>
      </w:r>
      <w:r w:rsidR="00EA4A23" w:rsidRPr="007D376D">
        <w:rPr>
          <w:color w:val="000000"/>
        </w:rPr>
        <w:t xml:space="preserve">.gada </w:t>
      </w:r>
      <w:r w:rsidR="006203CA">
        <w:rPr>
          <w:color w:val="000000"/>
        </w:rPr>
        <w:t>7</w:t>
      </w:r>
      <w:r w:rsidR="00EA4A23" w:rsidRPr="007D376D">
        <w:rPr>
          <w:color w:val="000000"/>
        </w:rPr>
        <w:t>.</w:t>
      </w:r>
      <w:r w:rsidR="006203CA">
        <w:rPr>
          <w:color w:val="000000"/>
        </w:rPr>
        <w:t>maija</w:t>
      </w:r>
      <w:r w:rsidR="00EA4A23" w:rsidRPr="007D376D">
        <w:rPr>
          <w:color w:val="000000"/>
        </w:rPr>
        <w:t xml:space="preserve"> </w:t>
      </w:r>
      <w:r w:rsidR="00097ED5">
        <w:rPr>
          <w:color w:val="000000"/>
        </w:rPr>
        <w:t>lēmumu</w:t>
      </w:r>
      <w:r w:rsidR="00097ED5" w:rsidRPr="007D376D">
        <w:rPr>
          <w:color w:val="000000"/>
        </w:rPr>
        <w:t xml:space="preserve">, ar kuru </w:t>
      </w:r>
      <w:r w:rsidR="006203CA">
        <w:t>atteikts pieņemt pieteicējas pieteikumu</w:t>
      </w:r>
      <w:r w:rsidR="00F226CF">
        <w:t>.</w:t>
      </w:r>
    </w:p>
    <w:p w14:paraId="055BEBE9" w14:textId="2C7B185F" w:rsidR="001A2E14" w:rsidRDefault="00B40F47" w:rsidP="002C4531">
      <w:pPr>
        <w:spacing w:line="276" w:lineRule="auto"/>
        <w:ind w:firstLine="720"/>
        <w:jc w:val="both"/>
      </w:pPr>
      <w:r>
        <w:t>Ties</w:t>
      </w:r>
      <w:r w:rsidR="006203CA">
        <w:t>nesis</w:t>
      </w:r>
      <w:r>
        <w:t xml:space="preserve"> lēmumā </w:t>
      </w:r>
      <w:r w:rsidR="009223EF">
        <w:t>konstatēja</w:t>
      </w:r>
      <w:r>
        <w:t xml:space="preserve">, ka </w:t>
      </w:r>
      <w:r w:rsidR="008A4341">
        <w:t>a</w:t>
      </w:r>
      <w:r w:rsidR="00180A56">
        <w:t>dministratīvā pārkāpuma proces</w:t>
      </w:r>
      <w:r w:rsidR="00361853">
        <w:t>ā</w:t>
      </w:r>
      <w:r w:rsidR="00180A56">
        <w:t xml:space="preserve"> Nr. 16770003567823-5 pieteicējas dēlam kā cietušajam noteikta ambulatorā kompleksā tiesu psihiatriskā un tiesu psiholoģiskā ekspertīze (turpmāk – ekspertīze)</w:t>
      </w:r>
      <w:r w:rsidR="00380C80">
        <w:t>, kuras rezultātā tika sastādīts atzinums</w:t>
      </w:r>
      <w:r w:rsidR="00180A56">
        <w:t xml:space="preserve">. Pieteicēju neapmierināja </w:t>
      </w:r>
      <w:r w:rsidR="00A04780">
        <w:t xml:space="preserve">ekspertīzes </w:t>
      </w:r>
      <w:r w:rsidR="00D04423">
        <w:t>atzinums</w:t>
      </w:r>
      <w:r w:rsidR="00180A56">
        <w:t xml:space="preserve">, tāpēc pieteicēja vērsās Tiesu ekspertu padomē (turpmāk – padome) ar sūdzību par tiesu ekspertu profesionālo darbību un </w:t>
      </w:r>
      <w:r w:rsidR="00A3536C">
        <w:t xml:space="preserve">lūgumu </w:t>
      </w:r>
      <w:r w:rsidR="00180A56">
        <w:t>saukt ekspert</w:t>
      </w:r>
      <w:r w:rsidR="008A4341">
        <w:t>u</w:t>
      </w:r>
      <w:r w:rsidR="00180A56">
        <w:t>s pie disciplināratbildības. Padome sniedza atbildi, ka nav konstatēti Tiesu ekspertu likuma 20.panta pirmajā daļā minētie gadījumi disciplinārlietas pret tiesu ekspertu ierosināšanai. Pieteicēja vērsās ar sūdzību Tieslietu ministrijā, lūdzot atzīt par prettiesisku padomes atbild</w:t>
      </w:r>
      <w:r w:rsidR="008A4341">
        <w:t>i</w:t>
      </w:r>
      <w:r w:rsidR="00180A56">
        <w:t>, ierosināt disciplinārlietu pret ekspert</w:t>
      </w:r>
      <w:r w:rsidR="008A4341">
        <w:t>ie</w:t>
      </w:r>
      <w:r w:rsidR="00180A56">
        <w:t>m, kā arī atzīt par prettiesisku un atcelt</w:t>
      </w:r>
      <w:r w:rsidR="008A4341">
        <w:t xml:space="preserve"> ekspert</w:t>
      </w:r>
      <w:r w:rsidR="00A04780">
        <w:t>īzes</w:t>
      </w:r>
      <w:r w:rsidR="00180A56">
        <w:t xml:space="preserve"> atzinumu. Tieslietu ministrija sniedza pieteicējai atbildi, ka Tiesu ekspertu likuma normās nav paredzēta padomes kompetence vērtēt ekspert</w:t>
      </w:r>
      <w:r w:rsidR="00A04780">
        <w:t>īzes</w:t>
      </w:r>
      <w:r w:rsidR="00180A56">
        <w:t xml:space="preserve"> atzinumu pēc būtības, </w:t>
      </w:r>
      <w:r w:rsidR="00DA7683">
        <w:t>kā arī</w:t>
      </w:r>
      <w:r w:rsidR="00180A56">
        <w:t xml:space="preserve"> atbilstoši Tiesu ekspertu likuma normām Tieslietu ministrija šīs kategorijas lietās nav augstākā iestāde.</w:t>
      </w:r>
    </w:p>
    <w:p w14:paraId="1D834F57" w14:textId="4F0E65F4" w:rsidR="002054F0" w:rsidRDefault="003210DF" w:rsidP="002C4531">
      <w:pPr>
        <w:spacing w:line="276" w:lineRule="auto"/>
        <w:ind w:firstLine="720"/>
        <w:jc w:val="both"/>
      </w:pPr>
      <w:r>
        <w:t>Tiesnesis</w:t>
      </w:r>
      <w:r w:rsidR="009223EF">
        <w:t xml:space="preserve"> lēmumā norādīja, ka </w:t>
      </w:r>
      <w:r>
        <w:t>ekspertīze</w:t>
      </w:r>
      <w:r w:rsidR="00361853">
        <w:t>s atzinums</w:t>
      </w:r>
      <w:r>
        <w:t xml:space="preserve"> ir viens no pierādīšanas līdzekļiem administratīvā pārkāpuma procesā, tāpēc prasījums atcelt ekspertīzes atzinumu un konstatēt ekspertu darbību reglamentējošo normu pārkāpumus nevar būt atsevišķa pieteikuma priekšmets administratīvajā procesā. Savukārt atbilstoši Tiesu ekspertu likuma normām tiesu medicīnas ekspertu darbības izvērtējums ir padomes </w:t>
      </w:r>
      <w:r>
        <w:lastRenderedPageBreak/>
        <w:t>kompetencē, un pieteicējai nav tiesību prasīt disciplināri sodīt ekspertus.</w:t>
      </w:r>
      <w:r w:rsidR="00380C80">
        <w:t xml:space="preserve"> Tieslietu ministrijas un padomes sniegtās atbildes par sūdzību izskatīšanu nav uzskatāmas par administratīvajiem aktiem, kā arī abu iestāžu rīcība, izskatot sūdzību, nav atzīstama par faktisko rīcību. Tādējādi Tieslietu ministrijas un padomes atbildes ir uzlūkojamas kā informatīvas vēstules un tās nav patstāvīgi pārsūdzamas tiesā.</w:t>
      </w:r>
    </w:p>
    <w:p w14:paraId="3EA376AD" w14:textId="5BC5F7D1" w:rsidR="00A055DA" w:rsidRDefault="00A055DA" w:rsidP="002C4531">
      <w:pPr>
        <w:spacing w:line="276" w:lineRule="auto"/>
        <w:ind w:firstLine="720"/>
        <w:jc w:val="both"/>
        <w:rPr>
          <w:color w:val="000000"/>
        </w:rPr>
      </w:pPr>
    </w:p>
    <w:p w14:paraId="2FF61B53" w14:textId="286BA352" w:rsidR="007773CA" w:rsidRDefault="002F3FB4" w:rsidP="002C4531">
      <w:pPr>
        <w:spacing w:line="276" w:lineRule="auto"/>
        <w:ind w:firstLine="720"/>
        <w:jc w:val="both"/>
      </w:pPr>
      <w:r w:rsidRPr="007D376D">
        <w:rPr>
          <w:color w:val="000000"/>
        </w:rPr>
        <w:t>[</w:t>
      </w:r>
      <w:r w:rsidR="00E170A0">
        <w:rPr>
          <w:color w:val="000000"/>
        </w:rPr>
        <w:t>2</w:t>
      </w:r>
      <w:r w:rsidRPr="00B7135D">
        <w:rPr>
          <w:color w:val="000000"/>
        </w:rPr>
        <w:t>] </w:t>
      </w:r>
      <w:r w:rsidR="00CA519C">
        <w:t>P</w:t>
      </w:r>
      <w:r w:rsidR="009223EF">
        <w:t xml:space="preserve">ieteicēja </w:t>
      </w:r>
      <w:r w:rsidR="00CA519C">
        <w:t>bl</w:t>
      </w:r>
      <w:r w:rsidR="00CA519C">
        <w:rPr>
          <w:lang w:eastAsia="lv-LV"/>
        </w:rPr>
        <w:t>akus sūdzīb</w:t>
      </w:r>
      <w:r w:rsidR="009223EF">
        <w:rPr>
          <w:lang w:eastAsia="lv-LV"/>
        </w:rPr>
        <w:t>ā norāda, ka t</w:t>
      </w:r>
      <w:r w:rsidR="00E7507F">
        <w:rPr>
          <w:lang w:eastAsia="lv-LV"/>
        </w:rPr>
        <w:t>iesa nav</w:t>
      </w:r>
      <w:r w:rsidR="003210DF">
        <w:rPr>
          <w:lang w:eastAsia="lv-LV"/>
        </w:rPr>
        <w:t xml:space="preserve"> pareizi noteikusi pieteikuma priekšmetu, jo pieteikuma mērķis nav bijis </w:t>
      </w:r>
      <w:r w:rsidR="00A04780">
        <w:rPr>
          <w:lang w:eastAsia="lv-LV"/>
        </w:rPr>
        <w:t xml:space="preserve">ekspertīzes </w:t>
      </w:r>
      <w:r w:rsidR="003210DF">
        <w:rPr>
          <w:lang w:eastAsia="lv-LV"/>
        </w:rPr>
        <w:t>atzinuma atcelšan</w:t>
      </w:r>
      <w:r w:rsidR="00DA7683">
        <w:rPr>
          <w:lang w:eastAsia="lv-LV"/>
        </w:rPr>
        <w:t>a</w:t>
      </w:r>
      <w:r w:rsidR="003210DF">
        <w:rPr>
          <w:lang w:eastAsia="lv-LV"/>
        </w:rPr>
        <w:t xml:space="preserve"> un </w:t>
      </w:r>
      <w:r w:rsidR="00361853">
        <w:rPr>
          <w:lang w:eastAsia="lv-LV"/>
        </w:rPr>
        <w:t xml:space="preserve">tiesu </w:t>
      </w:r>
      <w:r w:rsidR="003210DF">
        <w:rPr>
          <w:lang w:eastAsia="lv-LV"/>
        </w:rPr>
        <w:t xml:space="preserve">ekspertu saukšana pie disciplināratbildības, bet gan administratīvā akta izdošana. </w:t>
      </w:r>
      <w:r w:rsidR="005D0823">
        <w:rPr>
          <w:lang w:eastAsia="lv-LV"/>
        </w:rPr>
        <w:t xml:space="preserve">Padome un Tieslietu ministrija </w:t>
      </w:r>
      <w:r w:rsidR="00361853">
        <w:rPr>
          <w:lang w:eastAsia="lv-LV"/>
        </w:rPr>
        <w:t xml:space="preserve">nepamatoti un pretēji Administratīvā procesa likuma noteiktajai kārtībai </w:t>
      </w:r>
      <w:r w:rsidR="00A04780">
        <w:rPr>
          <w:lang w:eastAsia="lv-LV"/>
        </w:rPr>
        <w:t>neizdeva</w:t>
      </w:r>
      <w:r w:rsidR="005D0823">
        <w:rPr>
          <w:lang w:eastAsia="lv-LV"/>
        </w:rPr>
        <w:t xml:space="preserve"> administratīvo</w:t>
      </w:r>
      <w:r w:rsidR="006E493A">
        <w:rPr>
          <w:lang w:eastAsia="lv-LV"/>
        </w:rPr>
        <w:t>s</w:t>
      </w:r>
      <w:r w:rsidR="005D0823">
        <w:rPr>
          <w:lang w:eastAsia="lv-LV"/>
        </w:rPr>
        <w:t xml:space="preserve"> aktu</w:t>
      </w:r>
      <w:r w:rsidR="006E493A">
        <w:rPr>
          <w:lang w:eastAsia="lv-LV"/>
        </w:rPr>
        <w:t>s</w:t>
      </w:r>
      <w:r w:rsidR="005D0823">
        <w:rPr>
          <w:lang w:eastAsia="lv-LV"/>
        </w:rPr>
        <w:t xml:space="preserve">, pamatojoties uz pieteicējas sūdzībām. Tādējādi padomes </w:t>
      </w:r>
      <w:r w:rsidR="006E493A">
        <w:rPr>
          <w:lang w:eastAsia="lv-LV"/>
        </w:rPr>
        <w:t xml:space="preserve">un Tieslietu ministrijas </w:t>
      </w:r>
      <w:r w:rsidR="005D0823">
        <w:rPr>
          <w:lang w:eastAsia="lv-LV"/>
        </w:rPr>
        <w:t xml:space="preserve">rīcība, </w:t>
      </w:r>
      <w:r w:rsidR="005D0823" w:rsidRPr="00AB707B">
        <w:rPr>
          <w:rFonts w:asciiTheme="majorBidi" w:hAnsiTheme="majorBidi" w:cstheme="majorBidi"/>
        </w:rPr>
        <w:t xml:space="preserve">neizskatot </w:t>
      </w:r>
      <w:r w:rsidR="005D0823">
        <w:rPr>
          <w:rFonts w:asciiTheme="majorBidi" w:hAnsiTheme="majorBidi" w:cstheme="majorBidi"/>
        </w:rPr>
        <w:t>pieteicējas</w:t>
      </w:r>
      <w:r w:rsidR="005D0823" w:rsidRPr="00AB707B">
        <w:rPr>
          <w:rFonts w:asciiTheme="majorBidi" w:hAnsiTheme="majorBidi" w:cstheme="majorBidi"/>
        </w:rPr>
        <w:t xml:space="preserve"> sūdzīb</w:t>
      </w:r>
      <w:r w:rsidR="006E493A">
        <w:rPr>
          <w:rFonts w:asciiTheme="majorBidi" w:hAnsiTheme="majorBidi" w:cstheme="majorBidi"/>
        </w:rPr>
        <w:t>as</w:t>
      </w:r>
      <w:r w:rsidR="005D0823" w:rsidRPr="00AB707B">
        <w:rPr>
          <w:rFonts w:asciiTheme="majorBidi" w:hAnsiTheme="majorBidi" w:cstheme="majorBidi"/>
        </w:rPr>
        <w:t xml:space="preserve"> un ne</w:t>
      </w:r>
      <w:r w:rsidR="00A04780">
        <w:rPr>
          <w:rFonts w:asciiTheme="majorBidi" w:hAnsiTheme="majorBidi" w:cstheme="majorBidi"/>
        </w:rPr>
        <w:t xml:space="preserve">izdodot </w:t>
      </w:r>
      <w:r w:rsidR="005D0823" w:rsidRPr="00AB707B">
        <w:rPr>
          <w:rFonts w:asciiTheme="majorBidi" w:hAnsiTheme="majorBidi" w:cstheme="majorBidi"/>
        </w:rPr>
        <w:t>administratīv</w:t>
      </w:r>
      <w:r w:rsidR="006E493A">
        <w:rPr>
          <w:rFonts w:asciiTheme="majorBidi" w:hAnsiTheme="majorBidi" w:cstheme="majorBidi"/>
        </w:rPr>
        <w:t>os</w:t>
      </w:r>
      <w:r w:rsidR="005D0823" w:rsidRPr="00AB707B">
        <w:rPr>
          <w:rFonts w:asciiTheme="majorBidi" w:hAnsiTheme="majorBidi" w:cstheme="majorBidi"/>
        </w:rPr>
        <w:t xml:space="preserve"> aktu</w:t>
      </w:r>
      <w:r w:rsidR="006E493A">
        <w:rPr>
          <w:rFonts w:asciiTheme="majorBidi" w:hAnsiTheme="majorBidi" w:cstheme="majorBidi"/>
        </w:rPr>
        <w:t>s</w:t>
      </w:r>
      <w:r w:rsidR="005D0823" w:rsidRPr="00AB707B">
        <w:rPr>
          <w:rFonts w:asciiTheme="majorBidi" w:hAnsiTheme="majorBidi" w:cstheme="majorBidi"/>
        </w:rPr>
        <w:t>, vērtējama kā iestādes prettiesiska rīcība un taisnīgs noregulējums panāk</w:t>
      </w:r>
      <w:r w:rsidR="005D0823">
        <w:rPr>
          <w:rFonts w:asciiTheme="majorBidi" w:hAnsiTheme="majorBidi" w:cstheme="majorBidi"/>
        </w:rPr>
        <w:t>a</w:t>
      </w:r>
      <w:r w:rsidR="005D0823" w:rsidRPr="00AB707B">
        <w:rPr>
          <w:rFonts w:asciiTheme="majorBidi" w:hAnsiTheme="majorBidi" w:cstheme="majorBidi"/>
        </w:rPr>
        <w:t>ms tikai ar administratīva akta izdošanu</w:t>
      </w:r>
      <w:r w:rsidR="005D0823">
        <w:rPr>
          <w:rFonts w:asciiTheme="majorBidi" w:hAnsiTheme="majorBidi" w:cstheme="majorBidi"/>
        </w:rPr>
        <w:t>.</w:t>
      </w:r>
    </w:p>
    <w:p w14:paraId="6895DBE8" w14:textId="77777777" w:rsidR="001D2DA5" w:rsidRPr="001E0942" w:rsidRDefault="001D2DA5" w:rsidP="002C4531">
      <w:pPr>
        <w:spacing w:line="276" w:lineRule="auto"/>
        <w:ind w:firstLine="720"/>
        <w:jc w:val="both"/>
      </w:pPr>
    </w:p>
    <w:p w14:paraId="6555D7E4" w14:textId="7E258C67" w:rsidR="00800AC5" w:rsidRDefault="003E524E" w:rsidP="002C4531">
      <w:pPr>
        <w:spacing w:line="276" w:lineRule="auto"/>
        <w:ind w:firstLine="720"/>
        <w:jc w:val="both"/>
      </w:pPr>
      <w:r w:rsidRPr="001022C7">
        <w:rPr>
          <w:color w:val="000000"/>
        </w:rPr>
        <w:t>[</w:t>
      </w:r>
      <w:r w:rsidR="00E170A0">
        <w:rPr>
          <w:color w:val="000000"/>
        </w:rPr>
        <w:t>3</w:t>
      </w:r>
      <w:r w:rsidRPr="001022C7">
        <w:rPr>
          <w:color w:val="000000"/>
        </w:rPr>
        <w:t>] </w:t>
      </w:r>
      <w:r w:rsidR="00245F1C">
        <w:rPr>
          <w:color w:val="000000"/>
        </w:rPr>
        <w:t>Senatoru kolēģija atzīst, ka Administratīvās rajona tiesa</w:t>
      </w:r>
      <w:r w:rsidR="00DA7683">
        <w:rPr>
          <w:color w:val="000000"/>
        </w:rPr>
        <w:t xml:space="preserve">s tiesnesis </w:t>
      </w:r>
      <w:r w:rsidR="003C3743">
        <w:rPr>
          <w:color w:val="000000"/>
        </w:rPr>
        <w:t>pareizi</w:t>
      </w:r>
      <w:r w:rsidR="00E170A0">
        <w:rPr>
          <w:color w:val="000000"/>
        </w:rPr>
        <w:t xml:space="preserve"> ir</w:t>
      </w:r>
      <w:r w:rsidR="003C3743">
        <w:rPr>
          <w:color w:val="000000"/>
        </w:rPr>
        <w:t xml:space="preserve"> </w:t>
      </w:r>
      <w:r w:rsidR="00800AC5">
        <w:rPr>
          <w:color w:val="000000"/>
        </w:rPr>
        <w:t>norādījis</w:t>
      </w:r>
      <w:r w:rsidR="003C3743">
        <w:rPr>
          <w:color w:val="000000"/>
        </w:rPr>
        <w:t xml:space="preserve">, ka </w:t>
      </w:r>
      <w:r w:rsidR="00DA7683">
        <w:rPr>
          <w:color w:val="000000"/>
        </w:rPr>
        <w:t>ekspertīz</w:t>
      </w:r>
      <w:r w:rsidR="00800AC5">
        <w:rPr>
          <w:color w:val="000000"/>
        </w:rPr>
        <w:t xml:space="preserve">es </w:t>
      </w:r>
      <w:r w:rsidR="00DA7683">
        <w:rPr>
          <w:color w:val="000000"/>
        </w:rPr>
        <w:t>atzinums</w:t>
      </w:r>
      <w:r w:rsidR="00800AC5">
        <w:rPr>
          <w:color w:val="000000"/>
        </w:rPr>
        <w:t xml:space="preserve"> ir viens no pierādīšanas līdzekļiem administratīvā pārkāpuma procesā atbilstoši Administratīvās atbildības likuma 95.pantam</w:t>
      </w:r>
      <w:r w:rsidR="001E3C28">
        <w:t>.</w:t>
      </w:r>
      <w:r w:rsidR="00800AC5">
        <w:t xml:space="preserve"> Tādējādi pamatoti izdarīts secinājums, ka iebildumi par ekspertīzi ir vērtējami administratīvā pārkāpuma proces</w:t>
      </w:r>
      <w:r w:rsidR="00361853">
        <w:t>ā</w:t>
      </w:r>
      <w:r w:rsidR="00800AC5">
        <w:t xml:space="preserve"> lietā, kurā ekspertīze tikusi nozīmēta</w:t>
      </w:r>
      <w:r w:rsidR="007D630D">
        <w:t xml:space="preserve"> (sal. </w:t>
      </w:r>
      <w:r w:rsidR="007D630D" w:rsidRPr="007D630D">
        <w:rPr>
          <w:i/>
          <w:iCs/>
        </w:rPr>
        <w:t xml:space="preserve">Senāta 2023.gada rīcības sēdes lēmuma lietā Nr. SKA-647/2023, </w:t>
      </w:r>
      <w:hyperlink r:id="rId9" w:history="1">
        <w:r w:rsidR="007D630D" w:rsidRPr="007D630D">
          <w:rPr>
            <w:rStyle w:val="Hyperlink"/>
            <w:i/>
            <w:iCs/>
          </w:rPr>
          <w:t>ECLI:LV:AT:2023:0406.SKA064723.9.L</w:t>
        </w:r>
      </w:hyperlink>
      <w:r w:rsidR="007D630D" w:rsidRPr="007D630D">
        <w:rPr>
          <w:i/>
          <w:iCs/>
        </w:rPr>
        <w:t>, 4.punkts</w:t>
      </w:r>
      <w:r w:rsidR="007D630D">
        <w:t>)</w:t>
      </w:r>
      <w:r w:rsidR="00800AC5">
        <w:t>.</w:t>
      </w:r>
    </w:p>
    <w:p w14:paraId="32D4D82D" w14:textId="5B00C78F" w:rsidR="00A505B5" w:rsidRDefault="00A505B5" w:rsidP="002C4531">
      <w:pPr>
        <w:spacing w:line="276" w:lineRule="auto"/>
        <w:ind w:firstLine="720"/>
        <w:jc w:val="both"/>
      </w:pPr>
      <w:r>
        <w:t xml:space="preserve">Attiecībā uz </w:t>
      </w:r>
      <w:r w:rsidR="006E493A">
        <w:t>ekspertu saukšanu pie disciplināratbildības norād</w:t>
      </w:r>
      <w:r w:rsidR="008D68F7">
        <w:t>ā</w:t>
      </w:r>
      <w:r w:rsidR="006E493A">
        <w:t>ms, ka Senāts iepriekš jau ir secinājis, ka atbilstoši Tiesu ekspertu likuma 18.panta otrajai daļai padomes lēmumus var apstrīdēt ministrijā un pārsūdzēt Administratīvā procesa likumā noteiktajā kārtībā. Tomēr minētais nenozīmē, ka jebkura persona var apstrīdēt jebkuru padomes lēmumu vai rīcību. Administratīvā procesa likums šādas tiesības piešķir tikai personai, kuras tiesības vai tiesiski aizsargātās intereses konkrētais administratīvais akts aizskar vai var aizskart, vai arī īpaši normatīvajos aktos paredzētiem subjektiem. Padome ir izvērtējusi pieteicējas sūdzību par tiesu ekspert</w:t>
      </w:r>
      <w:r w:rsidR="00A04780">
        <w:t>iem</w:t>
      </w:r>
      <w:r w:rsidR="006E493A">
        <w:t xml:space="preserve"> un, nesaskatot pamatu disciplinārlietas ierosināšanai, informējusi pieteicēju par sūdzības izskatīšanas rezultātiem. Pieteicējas vēlme panākt disciplinārlietas ierosināšanu pret tiesu ekspert</w:t>
      </w:r>
      <w:r w:rsidR="00A04780">
        <w:t>u</w:t>
      </w:r>
      <w:r w:rsidR="006E493A">
        <w:t xml:space="preserve"> nav atzīstama par tiesisku interesi Administratīvā procesa likuma 31.panta otrās daļas izpratnē</w:t>
      </w:r>
      <w:r w:rsidR="008D68F7">
        <w:t xml:space="preserve">. </w:t>
      </w:r>
      <w:r w:rsidR="005327C1">
        <w:t>P</w:t>
      </w:r>
      <w:r w:rsidR="008D68F7">
        <w:t>rivātpersonas prasījums ierosināt disciplinārlietu pret amatpersonu par tās pieņemto lēmumu vai rīcību vispārīgi nav uzskatāms par tādu privātpersonas tiesisko interesi, k</w:t>
      </w:r>
      <w:r w:rsidR="00361853">
        <w:t xml:space="preserve">ura </w:t>
      </w:r>
      <w:r w:rsidR="008D68F7">
        <w:t xml:space="preserve">būtu </w:t>
      </w:r>
      <w:r w:rsidR="00361853">
        <w:t>aizsargājama</w:t>
      </w:r>
      <w:r w:rsidR="008D68F7">
        <w:t xml:space="preserve"> </w:t>
      </w:r>
      <w:r w:rsidR="00D04423">
        <w:t xml:space="preserve">administratīvajā </w:t>
      </w:r>
      <w:r w:rsidR="008D68F7">
        <w:t>tiesā</w:t>
      </w:r>
      <w:r w:rsidR="006E493A">
        <w:t xml:space="preserve"> (</w:t>
      </w:r>
      <w:r w:rsidR="007D630D">
        <w:t xml:space="preserve">piemēram, </w:t>
      </w:r>
      <w:r w:rsidR="007D630D" w:rsidRPr="00D1448B">
        <w:rPr>
          <w:i/>
          <w:iCs/>
        </w:rPr>
        <w:t>Senāta</w:t>
      </w:r>
      <w:r w:rsidR="007D630D">
        <w:rPr>
          <w:i/>
          <w:iCs/>
        </w:rPr>
        <w:t xml:space="preserve"> 2023.gada 31.maija </w:t>
      </w:r>
      <w:r w:rsidR="00026C36">
        <w:rPr>
          <w:i/>
          <w:iCs/>
        </w:rPr>
        <w:t xml:space="preserve">rīcības sēdes </w:t>
      </w:r>
      <w:r w:rsidR="007D630D">
        <w:rPr>
          <w:i/>
          <w:iCs/>
        </w:rPr>
        <w:t>lēmuma lietā Nr. SKA</w:t>
      </w:r>
      <w:r w:rsidR="007D630D">
        <w:rPr>
          <w:i/>
          <w:iCs/>
        </w:rPr>
        <w:noBreakHyphen/>
        <w:t xml:space="preserve">731/2023, </w:t>
      </w:r>
      <w:hyperlink r:id="rId10" w:history="1">
        <w:r w:rsidR="007D630D" w:rsidRPr="008E0911">
          <w:rPr>
            <w:rStyle w:val="Hyperlink"/>
            <w:i/>
            <w:iCs/>
          </w:rPr>
          <w:t>ECLI:LV:AT:2023:0531.SKA073123.5.L</w:t>
        </w:r>
      </w:hyperlink>
      <w:r w:rsidR="007D630D">
        <w:rPr>
          <w:i/>
          <w:iCs/>
        </w:rPr>
        <w:t>, 5.punkts;</w:t>
      </w:r>
      <w:r w:rsidR="007D630D" w:rsidRPr="00D1448B">
        <w:rPr>
          <w:i/>
          <w:iCs/>
        </w:rPr>
        <w:t xml:space="preserve"> </w:t>
      </w:r>
      <w:r w:rsidR="00B93C89">
        <w:rPr>
          <w:i/>
          <w:iCs/>
        </w:rPr>
        <w:t xml:space="preserve">2023.gada 6.aprīļa rīcības sēdes lēmuma lietā Nr. SKA-647/2023, </w:t>
      </w:r>
      <w:hyperlink r:id="rId11" w:history="1">
        <w:r w:rsidR="00B93C89" w:rsidRPr="00283B48">
          <w:rPr>
            <w:rStyle w:val="Hyperlink"/>
            <w:i/>
            <w:iCs/>
          </w:rPr>
          <w:t>ECLI:LV:AT:2023:0406.SKA064723.9.L</w:t>
        </w:r>
      </w:hyperlink>
      <w:r w:rsidR="00B93C89">
        <w:rPr>
          <w:i/>
          <w:iCs/>
        </w:rPr>
        <w:t xml:space="preserve">, 3. un 4.punkts; </w:t>
      </w:r>
      <w:r w:rsidR="00026C36">
        <w:rPr>
          <w:i/>
          <w:iCs/>
        </w:rPr>
        <w:t>2016</w:t>
      </w:r>
      <w:r w:rsidR="007D630D" w:rsidRPr="00D1448B">
        <w:rPr>
          <w:i/>
          <w:iCs/>
        </w:rPr>
        <w:t xml:space="preserve">.gada </w:t>
      </w:r>
      <w:r w:rsidR="00026C36">
        <w:rPr>
          <w:i/>
          <w:iCs/>
        </w:rPr>
        <w:t>30.decembra</w:t>
      </w:r>
      <w:r w:rsidR="007D630D" w:rsidRPr="00D1448B">
        <w:rPr>
          <w:i/>
          <w:iCs/>
        </w:rPr>
        <w:t xml:space="preserve"> lēmuma lietā Nr.</w:t>
      </w:r>
      <w:r w:rsidR="007D630D">
        <w:rPr>
          <w:i/>
          <w:iCs/>
        </w:rPr>
        <w:t> </w:t>
      </w:r>
      <w:hyperlink r:id="rId12" w:history="1">
        <w:r w:rsidR="007D630D" w:rsidRPr="00026C36">
          <w:rPr>
            <w:rStyle w:val="Hyperlink"/>
            <w:i/>
            <w:iCs/>
          </w:rPr>
          <w:t>SKA</w:t>
        </w:r>
        <w:r w:rsidR="007D630D" w:rsidRPr="00026C36">
          <w:rPr>
            <w:rStyle w:val="Hyperlink"/>
            <w:i/>
            <w:iCs/>
          </w:rPr>
          <w:noBreakHyphen/>
        </w:r>
        <w:r w:rsidR="00026C36" w:rsidRPr="00026C36">
          <w:rPr>
            <w:rStyle w:val="Hyperlink"/>
            <w:i/>
            <w:iCs/>
          </w:rPr>
          <w:t>1656</w:t>
        </w:r>
        <w:r w:rsidR="007D630D" w:rsidRPr="00026C36">
          <w:rPr>
            <w:rStyle w:val="Hyperlink"/>
            <w:i/>
            <w:iCs/>
          </w:rPr>
          <w:t>/</w:t>
        </w:r>
        <w:r w:rsidR="00026C36" w:rsidRPr="00026C36">
          <w:rPr>
            <w:rStyle w:val="Hyperlink"/>
            <w:i/>
            <w:iCs/>
          </w:rPr>
          <w:t>2016</w:t>
        </w:r>
      </w:hyperlink>
      <w:r w:rsidR="007D630D" w:rsidRPr="00D1448B">
        <w:rPr>
          <w:i/>
          <w:iCs/>
        </w:rPr>
        <w:t xml:space="preserve">, </w:t>
      </w:r>
      <w:r w:rsidR="00026C36" w:rsidRPr="00026C36">
        <w:rPr>
          <w:i/>
          <w:iCs/>
        </w:rPr>
        <w:t>680078016</w:t>
      </w:r>
      <w:r w:rsidR="007D630D" w:rsidRPr="00D1448B">
        <w:rPr>
          <w:i/>
          <w:iCs/>
        </w:rPr>
        <w:t xml:space="preserve">, </w:t>
      </w:r>
      <w:r w:rsidR="00026C36">
        <w:rPr>
          <w:i/>
          <w:iCs/>
        </w:rPr>
        <w:t>3. un 5</w:t>
      </w:r>
      <w:r w:rsidR="007D630D" w:rsidRPr="00D1448B">
        <w:rPr>
          <w:i/>
          <w:iCs/>
        </w:rPr>
        <w:t>.punkts</w:t>
      </w:r>
      <w:r w:rsidR="006E493A">
        <w:t>).</w:t>
      </w:r>
      <w:r w:rsidR="008D68F7">
        <w:t xml:space="preserve"> </w:t>
      </w:r>
      <w:r w:rsidR="008D68F7" w:rsidRPr="008029BA">
        <w:t xml:space="preserve">Līdz ar to pirmās instances </w:t>
      </w:r>
      <w:r w:rsidR="004512BF">
        <w:t xml:space="preserve">tiesas </w:t>
      </w:r>
      <w:r w:rsidR="008D68F7" w:rsidRPr="008029BA">
        <w:t>tiesnesis pareizi norādījis, ka pieteicējai nav tiesību prasīt disciplināri sodīt ekspertus.</w:t>
      </w:r>
    </w:p>
    <w:p w14:paraId="4850EE47" w14:textId="23A35EC5" w:rsidR="005D0FCA" w:rsidRDefault="005327C1" w:rsidP="002C4531">
      <w:pPr>
        <w:spacing w:line="276" w:lineRule="auto"/>
        <w:ind w:firstLine="720"/>
        <w:jc w:val="both"/>
      </w:pPr>
      <w:r>
        <w:t xml:space="preserve">Tādējādi senatoru kolēģija nekonstatē, ka padomei un Tieslietu ministrijai no tiesību normām izriet pienākums, pamatojoties uz pieteicējas sūdzībām, </w:t>
      </w:r>
      <w:r w:rsidR="00276E0C">
        <w:t>izdot</w:t>
      </w:r>
      <w:r>
        <w:t xml:space="preserve"> administratīvos aktus, kurus pieteicēja varētu apstrīdēt augstākā iestādē vai pārsūdzēt </w:t>
      </w:r>
      <w:r>
        <w:lastRenderedPageBreak/>
        <w:t>Administratīvajā rajona tiesā.</w:t>
      </w:r>
      <w:r w:rsidR="008029BA">
        <w:t xml:space="preserve"> Līdz ar to pieteicējas pieteikums nav skatāms administratīvā procesa kārtībā.</w:t>
      </w:r>
    </w:p>
    <w:p w14:paraId="04FE6263" w14:textId="77777777" w:rsidR="006E1909" w:rsidRDefault="006E1909" w:rsidP="002C4531">
      <w:pPr>
        <w:spacing w:line="276" w:lineRule="auto"/>
        <w:ind w:firstLine="720"/>
        <w:jc w:val="both"/>
        <w:rPr>
          <w:color w:val="000000"/>
        </w:rPr>
      </w:pPr>
    </w:p>
    <w:p w14:paraId="504417C5" w14:textId="44356ACF" w:rsidR="00641825" w:rsidRPr="007D376D" w:rsidRDefault="00515AEA" w:rsidP="002C4531">
      <w:pPr>
        <w:tabs>
          <w:tab w:val="left" w:pos="1276"/>
        </w:tabs>
        <w:spacing w:line="276" w:lineRule="auto"/>
        <w:ind w:firstLine="720"/>
        <w:jc w:val="both"/>
        <w:rPr>
          <w:color w:val="000000"/>
        </w:rPr>
      </w:pPr>
      <w:r w:rsidRPr="007D376D">
        <w:rPr>
          <w:color w:val="000000"/>
        </w:rPr>
        <w:t>[</w:t>
      </w:r>
      <w:r w:rsidR="00E170A0">
        <w:rPr>
          <w:color w:val="000000"/>
        </w:rPr>
        <w:t>4</w:t>
      </w:r>
      <w:r w:rsidR="00A65493" w:rsidRPr="007D376D">
        <w:rPr>
          <w:color w:val="000000"/>
        </w:rPr>
        <w:t>] </w:t>
      </w:r>
      <w:r w:rsidR="00641825" w:rsidRPr="007D376D">
        <w:rPr>
          <w:color w:val="000000"/>
        </w:rPr>
        <w:t>Saskaņā ar Administratīvā procesa likuma 320.</w:t>
      </w:r>
      <w:r w:rsidR="00641825" w:rsidRPr="00384818">
        <w:rPr>
          <w:color w:val="000000"/>
          <w:vertAlign w:val="superscript"/>
        </w:rPr>
        <w:t>1</w:t>
      </w:r>
      <w:r w:rsidR="00641825" w:rsidRPr="007D376D">
        <w:rPr>
          <w:color w:val="000000"/>
        </w:rPr>
        <w:t>pantu senatoru kolēģija var pieņemt vienbalsīgu lēmumu par atteikšanos izskatīt blakus sūdzību, ja tā ir acīmredzami nepamatota.</w:t>
      </w:r>
    </w:p>
    <w:p w14:paraId="5F50CD23" w14:textId="514636C5" w:rsidR="00641825" w:rsidRPr="007D376D" w:rsidRDefault="00641825" w:rsidP="002C4531">
      <w:pPr>
        <w:spacing w:line="276" w:lineRule="auto"/>
        <w:ind w:firstLine="720"/>
        <w:jc w:val="both"/>
        <w:rPr>
          <w:color w:val="000000"/>
        </w:rPr>
      </w:pPr>
      <w:r w:rsidRPr="007D376D">
        <w:rPr>
          <w:color w:val="000000"/>
        </w:rPr>
        <w:t xml:space="preserve">Pārbaudot pārsūdzēto </w:t>
      </w:r>
      <w:r>
        <w:rPr>
          <w:color w:val="000000"/>
        </w:rPr>
        <w:t>lēmumu</w:t>
      </w:r>
      <w:r w:rsidRPr="007D376D">
        <w:rPr>
          <w:color w:val="000000"/>
        </w:rPr>
        <w:t xml:space="preserve">, blakus sūdzību un lietas materiālus, senatoru kolēģija atzīst par pareizu Administratīvās </w:t>
      </w:r>
      <w:r>
        <w:rPr>
          <w:color w:val="000000"/>
        </w:rPr>
        <w:t>rajona tiesas</w:t>
      </w:r>
      <w:r w:rsidR="005327C1">
        <w:rPr>
          <w:color w:val="000000"/>
        </w:rPr>
        <w:t xml:space="preserve"> tiesneša</w:t>
      </w:r>
      <w:r>
        <w:rPr>
          <w:color w:val="000000"/>
        </w:rPr>
        <w:t xml:space="preserve"> lēmumā</w:t>
      </w:r>
      <w:r w:rsidRPr="007D376D">
        <w:rPr>
          <w:color w:val="000000"/>
        </w:rPr>
        <w:t xml:space="preserve"> secināto, savukārt </w:t>
      </w:r>
      <w:r w:rsidR="000805D1">
        <w:rPr>
          <w:color w:val="000000"/>
        </w:rPr>
        <w:t>pieteicējas</w:t>
      </w:r>
      <w:r w:rsidRPr="007D376D">
        <w:rPr>
          <w:color w:val="000000"/>
        </w:rPr>
        <w:t xml:space="preserve"> blakus sūdzība ir acīmredzami nepamatota.</w:t>
      </w:r>
    </w:p>
    <w:p w14:paraId="26C601B4" w14:textId="39DA991F" w:rsidR="00515AEA" w:rsidRPr="007D376D" w:rsidRDefault="00515AEA" w:rsidP="002C4531">
      <w:pPr>
        <w:tabs>
          <w:tab w:val="left" w:pos="1276"/>
        </w:tabs>
        <w:spacing w:line="276" w:lineRule="auto"/>
        <w:ind w:firstLine="720"/>
        <w:jc w:val="both"/>
        <w:rPr>
          <w:color w:val="000000"/>
        </w:rPr>
      </w:pPr>
    </w:p>
    <w:p w14:paraId="56F8F8B7" w14:textId="77777777" w:rsidR="00641825" w:rsidRPr="00EF268D" w:rsidRDefault="00641825" w:rsidP="002C4531">
      <w:pPr>
        <w:spacing w:line="276" w:lineRule="auto"/>
        <w:ind w:firstLine="720"/>
        <w:jc w:val="both"/>
        <w:rPr>
          <w:color w:val="000000"/>
        </w:rPr>
      </w:pPr>
      <w:r w:rsidRPr="00EF268D">
        <w:rPr>
          <w:color w:val="000000"/>
        </w:rPr>
        <w:t>Pamatojoties uz Administratīvā procesa likuma 320.</w:t>
      </w:r>
      <w:r w:rsidRPr="00EF268D">
        <w:rPr>
          <w:color w:val="000000"/>
          <w:vertAlign w:val="superscript"/>
        </w:rPr>
        <w:t>1</w:t>
      </w:r>
      <w:r w:rsidRPr="00EF268D">
        <w:rPr>
          <w:color w:val="000000"/>
        </w:rPr>
        <w:t>pantu, 324.panta pirmo daļu un 338.panta astoto daļu, senatoru kolēģija</w:t>
      </w:r>
    </w:p>
    <w:p w14:paraId="10FB909D" w14:textId="77777777" w:rsidR="00BA57C4" w:rsidRPr="00EF268D" w:rsidRDefault="00BA57C4" w:rsidP="002C4531">
      <w:pPr>
        <w:spacing w:line="276" w:lineRule="auto"/>
        <w:ind w:firstLine="720"/>
        <w:jc w:val="both"/>
        <w:rPr>
          <w:color w:val="000000"/>
        </w:rPr>
      </w:pPr>
    </w:p>
    <w:p w14:paraId="1DE79DB2" w14:textId="77777777" w:rsidR="00BA57C4" w:rsidRPr="00EF268D" w:rsidRDefault="00BA57C4" w:rsidP="002C4531">
      <w:pPr>
        <w:keepNext/>
        <w:tabs>
          <w:tab w:val="left" w:pos="2700"/>
          <w:tab w:val="left" w:pos="6660"/>
        </w:tabs>
        <w:spacing w:line="276" w:lineRule="auto"/>
        <w:contextualSpacing/>
        <w:jc w:val="center"/>
        <w:rPr>
          <w:rFonts w:asciiTheme="majorBidi" w:hAnsiTheme="majorBidi" w:cstheme="majorBidi"/>
          <w:b/>
        </w:rPr>
      </w:pPr>
      <w:r w:rsidRPr="00EF268D">
        <w:rPr>
          <w:rFonts w:asciiTheme="majorBidi" w:hAnsiTheme="majorBidi" w:cstheme="majorBidi"/>
          <w:b/>
        </w:rPr>
        <w:t>nolēma</w:t>
      </w:r>
    </w:p>
    <w:p w14:paraId="59997427" w14:textId="77777777" w:rsidR="00BA57C4" w:rsidRPr="00EF268D" w:rsidRDefault="00BA57C4" w:rsidP="002C4531">
      <w:pPr>
        <w:keepNext/>
        <w:spacing w:line="276" w:lineRule="auto"/>
        <w:ind w:firstLine="720"/>
        <w:jc w:val="both"/>
        <w:rPr>
          <w:color w:val="000000"/>
        </w:rPr>
      </w:pPr>
    </w:p>
    <w:p w14:paraId="72175AA4" w14:textId="3D86CFDB" w:rsidR="00515AEA" w:rsidRPr="007D376D" w:rsidRDefault="00D06FF8" w:rsidP="002C4531">
      <w:pPr>
        <w:keepNext/>
        <w:spacing w:line="276" w:lineRule="auto"/>
        <w:ind w:firstLine="720"/>
        <w:jc w:val="both"/>
        <w:rPr>
          <w:color w:val="000000"/>
        </w:rPr>
      </w:pPr>
      <w:r w:rsidRPr="00EF268D">
        <w:rPr>
          <w:color w:val="000000"/>
        </w:rPr>
        <w:t>atteikt</w:t>
      </w:r>
      <w:r w:rsidR="004961C2" w:rsidRPr="00EF268D">
        <w:rPr>
          <w:color w:val="000000"/>
        </w:rPr>
        <w:t xml:space="preserve"> </w:t>
      </w:r>
      <w:r w:rsidR="00515AEA" w:rsidRPr="00EF268D">
        <w:rPr>
          <w:color w:val="000000"/>
        </w:rPr>
        <w:t xml:space="preserve">izskatīt </w:t>
      </w:r>
      <w:r w:rsidR="00361976">
        <w:rPr>
          <w:color w:val="000000"/>
        </w:rPr>
        <w:t xml:space="preserve">[pers. A] </w:t>
      </w:r>
      <w:r w:rsidR="005F6D23" w:rsidRPr="00EF268D">
        <w:rPr>
          <w:color w:val="000000"/>
        </w:rPr>
        <w:t xml:space="preserve">blakus </w:t>
      </w:r>
      <w:r w:rsidR="00515AEA" w:rsidRPr="00EF268D">
        <w:rPr>
          <w:color w:val="000000"/>
        </w:rPr>
        <w:t xml:space="preserve">sūdzību par </w:t>
      </w:r>
      <w:r w:rsidR="00540AF3" w:rsidRPr="00EF268D">
        <w:rPr>
          <w:color w:val="000000"/>
        </w:rPr>
        <w:t xml:space="preserve">Administratīvās </w:t>
      </w:r>
      <w:r w:rsidR="007A18EE">
        <w:rPr>
          <w:color w:val="000000"/>
        </w:rPr>
        <w:t>rajona tiesas</w:t>
      </w:r>
      <w:r w:rsidR="00540AF3" w:rsidRPr="00EF268D">
        <w:rPr>
          <w:color w:val="000000"/>
        </w:rPr>
        <w:t xml:space="preserve"> </w:t>
      </w:r>
      <w:r w:rsidR="004B634D">
        <w:rPr>
          <w:color w:val="000000"/>
        </w:rPr>
        <w:t xml:space="preserve">tiesneša </w:t>
      </w:r>
      <w:r w:rsidR="008E618A" w:rsidRPr="007D376D">
        <w:rPr>
          <w:color w:val="000000"/>
        </w:rPr>
        <w:t>202</w:t>
      </w:r>
      <w:r w:rsidR="00641825">
        <w:rPr>
          <w:color w:val="000000"/>
        </w:rPr>
        <w:t>4</w:t>
      </w:r>
      <w:r w:rsidR="008E618A" w:rsidRPr="007D376D">
        <w:rPr>
          <w:color w:val="000000"/>
        </w:rPr>
        <w:t xml:space="preserve">.gada </w:t>
      </w:r>
      <w:r w:rsidR="004B634D">
        <w:rPr>
          <w:color w:val="000000"/>
        </w:rPr>
        <w:t>7</w:t>
      </w:r>
      <w:r w:rsidR="004B634D" w:rsidRPr="007D376D">
        <w:rPr>
          <w:color w:val="000000"/>
        </w:rPr>
        <w:t>.</w:t>
      </w:r>
      <w:r w:rsidR="004B634D">
        <w:rPr>
          <w:color w:val="000000"/>
        </w:rPr>
        <w:t>maija</w:t>
      </w:r>
      <w:r w:rsidR="004B634D" w:rsidRPr="007D376D">
        <w:rPr>
          <w:color w:val="000000"/>
        </w:rPr>
        <w:t xml:space="preserve"> </w:t>
      </w:r>
      <w:r w:rsidR="008E618A">
        <w:rPr>
          <w:color w:val="000000"/>
        </w:rPr>
        <w:t>lēmumu</w:t>
      </w:r>
      <w:r w:rsidR="008E618A" w:rsidRPr="007D376D">
        <w:rPr>
          <w:color w:val="000000"/>
        </w:rPr>
        <w:t xml:space="preserve">, </w:t>
      </w:r>
      <w:r w:rsidR="000805D1" w:rsidRPr="007D376D">
        <w:rPr>
          <w:color w:val="000000"/>
        </w:rPr>
        <w:t xml:space="preserve">ar kuru </w:t>
      </w:r>
      <w:r w:rsidR="00ED49EF">
        <w:t xml:space="preserve">atteikts pieņemt </w:t>
      </w:r>
      <w:r w:rsidR="00361976">
        <w:t xml:space="preserve">[pers. A] </w:t>
      </w:r>
      <w:r w:rsidR="00ED49EF">
        <w:t>pieteikumu</w:t>
      </w:r>
      <w:r w:rsidR="007A18EE">
        <w:t>.</w:t>
      </w:r>
    </w:p>
    <w:p w14:paraId="0D313DA6" w14:textId="77777777" w:rsidR="007D376D" w:rsidRDefault="007D376D" w:rsidP="002C4531">
      <w:pPr>
        <w:spacing w:line="276" w:lineRule="auto"/>
        <w:ind w:firstLine="720"/>
        <w:jc w:val="both"/>
        <w:rPr>
          <w:color w:val="000000"/>
        </w:rPr>
      </w:pPr>
    </w:p>
    <w:p w14:paraId="6A327C11" w14:textId="043F5875" w:rsidR="00BA57C4" w:rsidRPr="007D376D" w:rsidRDefault="00BA57C4" w:rsidP="002C4531">
      <w:pPr>
        <w:keepNext/>
        <w:spacing w:line="276" w:lineRule="auto"/>
        <w:ind w:firstLine="720"/>
        <w:jc w:val="both"/>
        <w:rPr>
          <w:color w:val="000000"/>
        </w:rPr>
      </w:pPr>
      <w:r w:rsidRPr="007D376D">
        <w:rPr>
          <w:color w:val="000000"/>
        </w:rPr>
        <w:t>Lēmums nav pārsūdzams.</w:t>
      </w:r>
    </w:p>
    <w:p w14:paraId="3B6A9C60" w14:textId="69D6771C" w:rsidR="00120869" w:rsidRDefault="00120869" w:rsidP="002C4531">
      <w:pPr>
        <w:keepNext/>
        <w:spacing w:line="276" w:lineRule="auto"/>
        <w:ind w:firstLine="720"/>
        <w:jc w:val="both"/>
        <w:rPr>
          <w:color w:val="000000"/>
        </w:rPr>
      </w:pPr>
    </w:p>
    <w:p w14:paraId="63A46E32" w14:textId="48F45A65" w:rsidR="00384818" w:rsidRDefault="00384818" w:rsidP="002C4531">
      <w:pPr>
        <w:keepNext/>
        <w:spacing w:line="276" w:lineRule="auto"/>
        <w:ind w:firstLine="720"/>
        <w:jc w:val="both"/>
        <w:rPr>
          <w:color w:val="000000"/>
        </w:rPr>
      </w:pPr>
    </w:p>
    <w:p w14:paraId="594D657D" w14:textId="77777777" w:rsidR="00DE3537" w:rsidRDefault="00DE3537" w:rsidP="002C4531">
      <w:pPr>
        <w:keepNext/>
        <w:spacing w:line="276" w:lineRule="auto"/>
        <w:ind w:firstLine="720"/>
        <w:jc w:val="both"/>
        <w:rPr>
          <w:color w:val="000000"/>
        </w:rPr>
      </w:pPr>
    </w:p>
    <w:p w14:paraId="3B83F0E3" w14:textId="77777777" w:rsidR="00384818" w:rsidRPr="00FE2105" w:rsidRDefault="00384818" w:rsidP="002C4531">
      <w:pPr>
        <w:keepNext/>
        <w:spacing w:line="276" w:lineRule="auto"/>
        <w:ind w:firstLine="720"/>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30"/>
        <w:gridCol w:w="2794"/>
      </w:tblGrid>
      <w:tr w:rsidR="00384818" w:rsidRPr="00587DA8" w14:paraId="34535CA7" w14:textId="77777777" w:rsidTr="00384818">
        <w:tc>
          <w:tcPr>
            <w:tcW w:w="3020" w:type="dxa"/>
            <w:hideMark/>
          </w:tcPr>
          <w:p w14:paraId="75729C23" w14:textId="77777777" w:rsidR="00384818" w:rsidRPr="00900FA9" w:rsidRDefault="00384818" w:rsidP="002C4531">
            <w:pPr>
              <w:keepNext/>
              <w:tabs>
                <w:tab w:val="left" w:pos="2700"/>
                <w:tab w:val="left" w:pos="6660"/>
              </w:tabs>
              <w:spacing w:line="276" w:lineRule="auto"/>
              <w:ind w:firstLine="738"/>
              <w:jc w:val="center"/>
              <w:rPr>
                <w:rFonts w:asciiTheme="majorBidi" w:hAnsiTheme="majorBidi" w:cstheme="majorBidi"/>
                <w:sz w:val="24"/>
              </w:rPr>
            </w:pPr>
            <w:r w:rsidRPr="00900FA9">
              <w:rPr>
                <w:rFonts w:asciiTheme="majorBidi" w:hAnsiTheme="majorBidi" w:cstheme="majorBidi"/>
                <w:sz w:val="24"/>
              </w:rPr>
              <w:t>Senatore L. Slica</w:t>
            </w:r>
          </w:p>
        </w:tc>
        <w:tc>
          <w:tcPr>
            <w:tcW w:w="3020" w:type="dxa"/>
            <w:hideMark/>
          </w:tcPr>
          <w:p w14:paraId="48DCE7FF" w14:textId="084BEAD2" w:rsidR="00384818" w:rsidRPr="00900FA9" w:rsidRDefault="00384818" w:rsidP="002C4531">
            <w:pPr>
              <w:keepNext/>
              <w:tabs>
                <w:tab w:val="left" w:pos="2700"/>
                <w:tab w:val="left" w:pos="6660"/>
              </w:tabs>
              <w:spacing w:line="276" w:lineRule="auto"/>
              <w:jc w:val="center"/>
              <w:rPr>
                <w:rFonts w:asciiTheme="majorBidi" w:hAnsiTheme="majorBidi" w:cstheme="majorBidi"/>
                <w:sz w:val="24"/>
              </w:rPr>
            </w:pPr>
            <w:r w:rsidRPr="00900FA9">
              <w:rPr>
                <w:rFonts w:asciiTheme="majorBidi" w:hAnsiTheme="majorBidi" w:cstheme="majorBidi"/>
                <w:sz w:val="24"/>
              </w:rPr>
              <w:t>Senator</w:t>
            </w:r>
            <w:r w:rsidR="007A18EE">
              <w:rPr>
                <w:rFonts w:asciiTheme="majorBidi" w:hAnsiTheme="majorBidi" w:cstheme="majorBidi"/>
                <w:sz w:val="24"/>
              </w:rPr>
              <w:t>e</w:t>
            </w:r>
            <w:r w:rsidRPr="00900FA9">
              <w:rPr>
                <w:rFonts w:asciiTheme="majorBidi" w:hAnsiTheme="majorBidi" w:cstheme="majorBidi"/>
                <w:sz w:val="24"/>
              </w:rPr>
              <w:t xml:space="preserve"> </w:t>
            </w:r>
            <w:r w:rsidR="007A18EE">
              <w:rPr>
                <w:rFonts w:asciiTheme="majorBidi" w:hAnsiTheme="majorBidi" w:cstheme="majorBidi"/>
                <w:sz w:val="24"/>
              </w:rPr>
              <w:t>V</w:t>
            </w:r>
            <w:r w:rsidRPr="00900FA9">
              <w:rPr>
                <w:rFonts w:asciiTheme="majorBidi" w:hAnsiTheme="majorBidi" w:cstheme="majorBidi"/>
                <w:sz w:val="24"/>
              </w:rPr>
              <w:t>. </w:t>
            </w:r>
            <w:r w:rsidR="007A18EE">
              <w:rPr>
                <w:rFonts w:asciiTheme="majorBidi" w:hAnsiTheme="majorBidi" w:cstheme="majorBidi"/>
                <w:sz w:val="24"/>
              </w:rPr>
              <w:t>Krūmiņa</w:t>
            </w:r>
          </w:p>
        </w:tc>
        <w:tc>
          <w:tcPr>
            <w:tcW w:w="3021" w:type="dxa"/>
            <w:hideMark/>
          </w:tcPr>
          <w:p w14:paraId="5DBCF016" w14:textId="4F8019F5" w:rsidR="00384818" w:rsidRPr="00587DA8" w:rsidRDefault="00384818" w:rsidP="002C4531">
            <w:pPr>
              <w:keepNext/>
              <w:tabs>
                <w:tab w:val="left" w:pos="2700"/>
                <w:tab w:val="left" w:pos="6660"/>
              </w:tabs>
              <w:spacing w:line="276" w:lineRule="auto"/>
              <w:jc w:val="center"/>
              <w:rPr>
                <w:rFonts w:asciiTheme="majorBidi" w:hAnsiTheme="majorBidi" w:cstheme="majorBidi"/>
                <w:sz w:val="24"/>
              </w:rPr>
            </w:pPr>
            <w:r w:rsidRPr="00900FA9">
              <w:rPr>
                <w:rFonts w:asciiTheme="majorBidi" w:hAnsiTheme="majorBidi" w:cstheme="majorBidi"/>
                <w:sz w:val="24"/>
              </w:rPr>
              <w:t>Senator</w:t>
            </w:r>
            <w:r w:rsidR="007A18EE">
              <w:rPr>
                <w:rFonts w:asciiTheme="majorBidi" w:hAnsiTheme="majorBidi" w:cstheme="majorBidi"/>
                <w:sz w:val="24"/>
              </w:rPr>
              <w:t>s</w:t>
            </w:r>
            <w:r w:rsidRPr="00900FA9">
              <w:rPr>
                <w:rFonts w:asciiTheme="majorBidi" w:hAnsiTheme="majorBidi" w:cstheme="majorBidi"/>
                <w:sz w:val="24"/>
              </w:rPr>
              <w:t xml:space="preserve"> </w:t>
            </w:r>
            <w:r w:rsidR="007A18EE">
              <w:rPr>
                <w:rFonts w:asciiTheme="majorBidi" w:hAnsiTheme="majorBidi" w:cstheme="majorBidi"/>
                <w:sz w:val="24"/>
              </w:rPr>
              <w:t>J</w:t>
            </w:r>
            <w:r w:rsidRPr="00900FA9">
              <w:rPr>
                <w:rFonts w:asciiTheme="majorBidi" w:hAnsiTheme="majorBidi" w:cstheme="majorBidi"/>
                <w:sz w:val="24"/>
              </w:rPr>
              <w:t>. </w:t>
            </w:r>
            <w:r w:rsidR="007A18EE">
              <w:rPr>
                <w:rFonts w:asciiTheme="majorBidi" w:hAnsiTheme="majorBidi" w:cstheme="majorBidi"/>
                <w:sz w:val="24"/>
              </w:rPr>
              <w:t>Pleps</w:t>
            </w:r>
          </w:p>
        </w:tc>
      </w:tr>
    </w:tbl>
    <w:p w14:paraId="79CB111A" w14:textId="77777777" w:rsidR="00BA57C4" w:rsidRPr="001C22FB" w:rsidRDefault="00BA57C4" w:rsidP="00E170A0">
      <w:pPr>
        <w:keepNext/>
        <w:spacing w:line="276" w:lineRule="auto"/>
        <w:ind w:firstLine="720"/>
        <w:jc w:val="both"/>
        <w:rPr>
          <w:rFonts w:asciiTheme="majorBidi" w:hAnsiTheme="majorBidi" w:cstheme="majorBidi"/>
          <w:sz w:val="2"/>
          <w:szCs w:val="2"/>
        </w:rPr>
      </w:pPr>
    </w:p>
    <w:sectPr w:rsidR="00BA57C4" w:rsidRPr="001C22FB" w:rsidSect="005C350C">
      <w:footerReference w:type="default" r:id="rId1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3742" w14:textId="77777777" w:rsidR="002D0EE2" w:rsidRDefault="002D0EE2" w:rsidP="00D657BA">
      <w:r>
        <w:separator/>
      </w:r>
    </w:p>
  </w:endnote>
  <w:endnote w:type="continuationSeparator" w:id="0">
    <w:p w14:paraId="2452A062" w14:textId="77777777" w:rsidR="002D0EE2" w:rsidRDefault="002D0EE2" w:rsidP="00D6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6C13DC8" w14:textId="47D20E0B" w:rsidR="00684A29" w:rsidRPr="00F64E84" w:rsidRDefault="009B528C" w:rsidP="00CA63DE">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sidR="00BC03E3" w:rsidRPr="00F64E84">
              <w:rPr>
                <w:noProof/>
                <w:sz w:val="20"/>
                <w:szCs w:val="20"/>
              </w:rPr>
              <w:t>2</w:t>
            </w:r>
            <w:r w:rsidRPr="00F64E84">
              <w:rPr>
                <w:sz w:val="20"/>
                <w:szCs w:val="20"/>
              </w:rPr>
              <w:fldChar w:fldCharType="end"/>
            </w:r>
            <w:r w:rsidRPr="00F64E84">
              <w:rPr>
                <w:sz w:val="20"/>
                <w:szCs w:val="20"/>
              </w:rPr>
              <w:t xml:space="preserve"> no </w:t>
            </w:r>
            <w:r w:rsidR="009C07E7" w:rsidRPr="00F64E84">
              <w:rPr>
                <w:noProof/>
                <w:sz w:val="20"/>
                <w:szCs w:val="20"/>
              </w:rPr>
              <w:fldChar w:fldCharType="begin"/>
            </w:r>
            <w:r w:rsidR="009C07E7" w:rsidRPr="00F64E84">
              <w:rPr>
                <w:noProof/>
                <w:sz w:val="20"/>
                <w:szCs w:val="20"/>
              </w:rPr>
              <w:instrText xml:space="preserve"> NUMPAGES  </w:instrText>
            </w:r>
            <w:r w:rsidR="009C07E7" w:rsidRPr="00F64E84">
              <w:rPr>
                <w:noProof/>
                <w:sz w:val="20"/>
                <w:szCs w:val="20"/>
              </w:rPr>
              <w:fldChar w:fldCharType="separate"/>
            </w:r>
            <w:r w:rsidR="00BC03E3" w:rsidRPr="00F64E84">
              <w:rPr>
                <w:noProof/>
                <w:sz w:val="20"/>
                <w:szCs w:val="20"/>
              </w:rPr>
              <w:t>2</w:t>
            </w:r>
            <w:r w:rsidR="009C07E7" w:rsidRPr="00F64E84">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B7D7" w14:textId="77777777" w:rsidR="002D0EE2" w:rsidRDefault="002D0EE2" w:rsidP="00D657BA">
      <w:r>
        <w:separator/>
      </w:r>
    </w:p>
  </w:footnote>
  <w:footnote w:type="continuationSeparator" w:id="0">
    <w:p w14:paraId="3AE714D2" w14:textId="77777777" w:rsidR="002D0EE2" w:rsidRDefault="002D0EE2" w:rsidP="00D65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F7748"/>
    <w:multiLevelType w:val="multilevel"/>
    <w:tmpl w:val="0368E62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56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A7"/>
    <w:rsid w:val="0001104C"/>
    <w:rsid w:val="0001157F"/>
    <w:rsid w:val="00017086"/>
    <w:rsid w:val="000238D5"/>
    <w:rsid w:val="0002632A"/>
    <w:rsid w:val="000266ED"/>
    <w:rsid w:val="00026725"/>
    <w:rsid w:val="0002673E"/>
    <w:rsid w:val="00026782"/>
    <w:rsid w:val="00026C36"/>
    <w:rsid w:val="00030128"/>
    <w:rsid w:val="000302F0"/>
    <w:rsid w:val="000304FC"/>
    <w:rsid w:val="000322E3"/>
    <w:rsid w:val="000328B3"/>
    <w:rsid w:val="00035C4F"/>
    <w:rsid w:val="00045503"/>
    <w:rsid w:val="00045B3A"/>
    <w:rsid w:val="0004680C"/>
    <w:rsid w:val="00071D1F"/>
    <w:rsid w:val="00071D83"/>
    <w:rsid w:val="0007271A"/>
    <w:rsid w:val="00074640"/>
    <w:rsid w:val="00076317"/>
    <w:rsid w:val="0007642B"/>
    <w:rsid w:val="000805D1"/>
    <w:rsid w:val="00086D5E"/>
    <w:rsid w:val="00097ED5"/>
    <w:rsid w:val="000A1D61"/>
    <w:rsid w:val="000A2E48"/>
    <w:rsid w:val="000A4C18"/>
    <w:rsid w:val="000A6E67"/>
    <w:rsid w:val="000A7224"/>
    <w:rsid w:val="000B0CA4"/>
    <w:rsid w:val="000B163B"/>
    <w:rsid w:val="000B1DA4"/>
    <w:rsid w:val="000B2147"/>
    <w:rsid w:val="000B2326"/>
    <w:rsid w:val="000C04BF"/>
    <w:rsid w:val="000C114C"/>
    <w:rsid w:val="000C257C"/>
    <w:rsid w:val="000C652A"/>
    <w:rsid w:val="000C762C"/>
    <w:rsid w:val="000C7D0C"/>
    <w:rsid w:val="000D0D53"/>
    <w:rsid w:val="000D0E1D"/>
    <w:rsid w:val="000D1A2C"/>
    <w:rsid w:val="000D1CAA"/>
    <w:rsid w:val="000E7065"/>
    <w:rsid w:val="000F4D06"/>
    <w:rsid w:val="000F5859"/>
    <w:rsid w:val="000F64A9"/>
    <w:rsid w:val="00101AA5"/>
    <w:rsid w:val="001022C7"/>
    <w:rsid w:val="00102384"/>
    <w:rsid w:val="00107F2C"/>
    <w:rsid w:val="00111E71"/>
    <w:rsid w:val="0011307D"/>
    <w:rsid w:val="00113E66"/>
    <w:rsid w:val="00120869"/>
    <w:rsid w:val="00124E0A"/>
    <w:rsid w:val="00125244"/>
    <w:rsid w:val="0013314F"/>
    <w:rsid w:val="0013422C"/>
    <w:rsid w:val="00142F3A"/>
    <w:rsid w:val="00151861"/>
    <w:rsid w:val="0015186D"/>
    <w:rsid w:val="00162F60"/>
    <w:rsid w:val="00163389"/>
    <w:rsid w:val="00165FA0"/>
    <w:rsid w:val="00167023"/>
    <w:rsid w:val="001675BE"/>
    <w:rsid w:val="00171097"/>
    <w:rsid w:val="00176C22"/>
    <w:rsid w:val="00177F53"/>
    <w:rsid w:val="0018070F"/>
    <w:rsid w:val="00180A56"/>
    <w:rsid w:val="00183880"/>
    <w:rsid w:val="00183A64"/>
    <w:rsid w:val="00184AD4"/>
    <w:rsid w:val="00191112"/>
    <w:rsid w:val="00192D5E"/>
    <w:rsid w:val="00195ACC"/>
    <w:rsid w:val="001A0234"/>
    <w:rsid w:val="001A2E14"/>
    <w:rsid w:val="001A5AA6"/>
    <w:rsid w:val="001A65C8"/>
    <w:rsid w:val="001A7C59"/>
    <w:rsid w:val="001A7D5B"/>
    <w:rsid w:val="001B2080"/>
    <w:rsid w:val="001B228D"/>
    <w:rsid w:val="001B2449"/>
    <w:rsid w:val="001B6738"/>
    <w:rsid w:val="001B6902"/>
    <w:rsid w:val="001C22FB"/>
    <w:rsid w:val="001C2B8A"/>
    <w:rsid w:val="001C53A3"/>
    <w:rsid w:val="001C66AE"/>
    <w:rsid w:val="001D069C"/>
    <w:rsid w:val="001D1CB0"/>
    <w:rsid w:val="001D2D0E"/>
    <w:rsid w:val="001D2DA5"/>
    <w:rsid w:val="001D3163"/>
    <w:rsid w:val="001E0942"/>
    <w:rsid w:val="001E1A63"/>
    <w:rsid w:val="001E1DE3"/>
    <w:rsid w:val="001E3C28"/>
    <w:rsid w:val="001E5BBA"/>
    <w:rsid w:val="001E6CED"/>
    <w:rsid w:val="001E7EFF"/>
    <w:rsid w:val="001F07BD"/>
    <w:rsid w:val="001F3218"/>
    <w:rsid w:val="00201038"/>
    <w:rsid w:val="00202153"/>
    <w:rsid w:val="0020278D"/>
    <w:rsid w:val="002054F0"/>
    <w:rsid w:val="0020706D"/>
    <w:rsid w:val="002072DA"/>
    <w:rsid w:val="0020745C"/>
    <w:rsid w:val="00212017"/>
    <w:rsid w:val="002125D9"/>
    <w:rsid w:val="00212C8A"/>
    <w:rsid w:val="00221D53"/>
    <w:rsid w:val="002239B3"/>
    <w:rsid w:val="002251C6"/>
    <w:rsid w:val="00225409"/>
    <w:rsid w:val="002262A8"/>
    <w:rsid w:val="002308F7"/>
    <w:rsid w:val="00231B34"/>
    <w:rsid w:val="00242622"/>
    <w:rsid w:val="0024335F"/>
    <w:rsid w:val="00245F1C"/>
    <w:rsid w:val="002525C2"/>
    <w:rsid w:val="00254BB6"/>
    <w:rsid w:val="002566D5"/>
    <w:rsid w:val="00260B60"/>
    <w:rsid w:val="00263461"/>
    <w:rsid w:val="002641AE"/>
    <w:rsid w:val="00270632"/>
    <w:rsid w:val="00272B01"/>
    <w:rsid w:val="00276D78"/>
    <w:rsid w:val="00276E0C"/>
    <w:rsid w:val="00277484"/>
    <w:rsid w:val="002837DF"/>
    <w:rsid w:val="002840F8"/>
    <w:rsid w:val="002851BA"/>
    <w:rsid w:val="002874E2"/>
    <w:rsid w:val="0029102B"/>
    <w:rsid w:val="002917F5"/>
    <w:rsid w:val="00292527"/>
    <w:rsid w:val="00294707"/>
    <w:rsid w:val="00294770"/>
    <w:rsid w:val="00295DC8"/>
    <w:rsid w:val="002974BF"/>
    <w:rsid w:val="002A0096"/>
    <w:rsid w:val="002A7B9B"/>
    <w:rsid w:val="002B581A"/>
    <w:rsid w:val="002C1396"/>
    <w:rsid w:val="002C3558"/>
    <w:rsid w:val="002C4247"/>
    <w:rsid w:val="002C4531"/>
    <w:rsid w:val="002C4C1C"/>
    <w:rsid w:val="002C66B7"/>
    <w:rsid w:val="002C7D40"/>
    <w:rsid w:val="002D0EE2"/>
    <w:rsid w:val="002D14F7"/>
    <w:rsid w:val="002D1675"/>
    <w:rsid w:val="002D24DA"/>
    <w:rsid w:val="002D341F"/>
    <w:rsid w:val="002D5E27"/>
    <w:rsid w:val="002D6B0F"/>
    <w:rsid w:val="002D78CD"/>
    <w:rsid w:val="002E2D30"/>
    <w:rsid w:val="002E34D9"/>
    <w:rsid w:val="002E3B8E"/>
    <w:rsid w:val="002E5426"/>
    <w:rsid w:val="002F3C1F"/>
    <w:rsid w:val="002F3FB4"/>
    <w:rsid w:val="002F44DB"/>
    <w:rsid w:val="002F760B"/>
    <w:rsid w:val="003040B0"/>
    <w:rsid w:val="0030451E"/>
    <w:rsid w:val="0030568F"/>
    <w:rsid w:val="003063F5"/>
    <w:rsid w:val="00310AB0"/>
    <w:rsid w:val="00313D23"/>
    <w:rsid w:val="00314D02"/>
    <w:rsid w:val="003210DF"/>
    <w:rsid w:val="00330A62"/>
    <w:rsid w:val="00331E78"/>
    <w:rsid w:val="00332BE7"/>
    <w:rsid w:val="00333844"/>
    <w:rsid w:val="00333862"/>
    <w:rsid w:val="00337094"/>
    <w:rsid w:val="00337EA3"/>
    <w:rsid w:val="003405E7"/>
    <w:rsid w:val="00344BA5"/>
    <w:rsid w:val="00350F3F"/>
    <w:rsid w:val="00361853"/>
    <w:rsid w:val="00361976"/>
    <w:rsid w:val="003646AB"/>
    <w:rsid w:val="003679E8"/>
    <w:rsid w:val="00372179"/>
    <w:rsid w:val="003744C7"/>
    <w:rsid w:val="003765FA"/>
    <w:rsid w:val="00380C80"/>
    <w:rsid w:val="00380C8E"/>
    <w:rsid w:val="0038100F"/>
    <w:rsid w:val="003821AA"/>
    <w:rsid w:val="003829C2"/>
    <w:rsid w:val="003833AC"/>
    <w:rsid w:val="00384818"/>
    <w:rsid w:val="00391EAC"/>
    <w:rsid w:val="00392405"/>
    <w:rsid w:val="003941F7"/>
    <w:rsid w:val="00395C15"/>
    <w:rsid w:val="003A2149"/>
    <w:rsid w:val="003A5F27"/>
    <w:rsid w:val="003B1943"/>
    <w:rsid w:val="003B5838"/>
    <w:rsid w:val="003C0DA5"/>
    <w:rsid w:val="003C0ED3"/>
    <w:rsid w:val="003C3743"/>
    <w:rsid w:val="003D6E80"/>
    <w:rsid w:val="003D78A9"/>
    <w:rsid w:val="003D7D6B"/>
    <w:rsid w:val="003E07AA"/>
    <w:rsid w:val="003E46D5"/>
    <w:rsid w:val="003E524E"/>
    <w:rsid w:val="003E6FEF"/>
    <w:rsid w:val="003F20BF"/>
    <w:rsid w:val="003F551E"/>
    <w:rsid w:val="00401EAE"/>
    <w:rsid w:val="004079A3"/>
    <w:rsid w:val="00410AB2"/>
    <w:rsid w:val="00416552"/>
    <w:rsid w:val="004277B4"/>
    <w:rsid w:val="00427DA8"/>
    <w:rsid w:val="004321CF"/>
    <w:rsid w:val="00433A13"/>
    <w:rsid w:val="00436309"/>
    <w:rsid w:val="00442695"/>
    <w:rsid w:val="00442837"/>
    <w:rsid w:val="00443C32"/>
    <w:rsid w:val="00444285"/>
    <w:rsid w:val="00444A65"/>
    <w:rsid w:val="00447D17"/>
    <w:rsid w:val="004512BF"/>
    <w:rsid w:val="004515CE"/>
    <w:rsid w:val="0045640D"/>
    <w:rsid w:val="00462CB2"/>
    <w:rsid w:val="004675E3"/>
    <w:rsid w:val="004712CE"/>
    <w:rsid w:val="004716A6"/>
    <w:rsid w:val="00476509"/>
    <w:rsid w:val="00480E14"/>
    <w:rsid w:val="00485A10"/>
    <w:rsid w:val="004867C8"/>
    <w:rsid w:val="00490766"/>
    <w:rsid w:val="0049502C"/>
    <w:rsid w:val="0049615B"/>
    <w:rsid w:val="004961C2"/>
    <w:rsid w:val="00496659"/>
    <w:rsid w:val="004A18F2"/>
    <w:rsid w:val="004A41E3"/>
    <w:rsid w:val="004A52E8"/>
    <w:rsid w:val="004A5554"/>
    <w:rsid w:val="004A7AEB"/>
    <w:rsid w:val="004B1C33"/>
    <w:rsid w:val="004B501A"/>
    <w:rsid w:val="004B634D"/>
    <w:rsid w:val="004C11EA"/>
    <w:rsid w:val="004C182D"/>
    <w:rsid w:val="004C4089"/>
    <w:rsid w:val="004C4A3D"/>
    <w:rsid w:val="004C59CD"/>
    <w:rsid w:val="004C5AD6"/>
    <w:rsid w:val="004C5DEB"/>
    <w:rsid w:val="004D0855"/>
    <w:rsid w:val="004D5F35"/>
    <w:rsid w:val="004E1F4F"/>
    <w:rsid w:val="004E6738"/>
    <w:rsid w:val="004F1B61"/>
    <w:rsid w:val="004F6473"/>
    <w:rsid w:val="004F6A57"/>
    <w:rsid w:val="005003B1"/>
    <w:rsid w:val="00503CB7"/>
    <w:rsid w:val="00505950"/>
    <w:rsid w:val="00505966"/>
    <w:rsid w:val="00510818"/>
    <w:rsid w:val="00512638"/>
    <w:rsid w:val="00515AEA"/>
    <w:rsid w:val="0051622C"/>
    <w:rsid w:val="005327C1"/>
    <w:rsid w:val="00534451"/>
    <w:rsid w:val="00535195"/>
    <w:rsid w:val="00535687"/>
    <w:rsid w:val="00540AF3"/>
    <w:rsid w:val="0054185A"/>
    <w:rsid w:val="00545D9D"/>
    <w:rsid w:val="00551A32"/>
    <w:rsid w:val="00556BBB"/>
    <w:rsid w:val="005608BF"/>
    <w:rsid w:val="00561AA1"/>
    <w:rsid w:val="00562743"/>
    <w:rsid w:val="00565008"/>
    <w:rsid w:val="00567916"/>
    <w:rsid w:val="0057135D"/>
    <w:rsid w:val="00571F41"/>
    <w:rsid w:val="00575F1C"/>
    <w:rsid w:val="00576E29"/>
    <w:rsid w:val="00581481"/>
    <w:rsid w:val="0058170F"/>
    <w:rsid w:val="00582712"/>
    <w:rsid w:val="00582E53"/>
    <w:rsid w:val="00584AF5"/>
    <w:rsid w:val="00585777"/>
    <w:rsid w:val="00585F81"/>
    <w:rsid w:val="0058790D"/>
    <w:rsid w:val="00587DA8"/>
    <w:rsid w:val="00592B14"/>
    <w:rsid w:val="00596059"/>
    <w:rsid w:val="0059633E"/>
    <w:rsid w:val="0059648F"/>
    <w:rsid w:val="00597155"/>
    <w:rsid w:val="00597C8B"/>
    <w:rsid w:val="005A6780"/>
    <w:rsid w:val="005B0596"/>
    <w:rsid w:val="005B2733"/>
    <w:rsid w:val="005B3F3E"/>
    <w:rsid w:val="005C350C"/>
    <w:rsid w:val="005C39BE"/>
    <w:rsid w:val="005C4232"/>
    <w:rsid w:val="005C7FF1"/>
    <w:rsid w:val="005D0823"/>
    <w:rsid w:val="005D0FCA"/>
    <w:rsid w:val="005E1CDE"/>
    <w:rsid w:val="005E2908"/>
    <w:rsid w:val="005E330A"/>
    <w:rsid w:val="005E3A1E"/>
    <w:rsid w:val="005E5AA8"/>
    <w:rsid w:val="005E6042"/>
    <w:rsid w:val="005F18FC"/>
    <w:rsid w:val="005F2CEA"/>
    <w:rsid w:val="005F4555"/>
    <w:rsid w:val="005F6D23"/>
    <w:rsid w:val="0060045C"/>
    <w:rsid w:val="00602069"/>
    <w:rsid w:val="0060252A"/>
    <w:rsid w:val="006078CF"/>
    <w:rsid w:val="00613BEB"/>
    <w:rsid w:val="00616FD6"/>
    <w:rsid w:val="006203CA"/>
    <w:rsid w:val="00622C0C"/>
    <w:rsid w:val="00623832"/>
    <w:rsid w:val="00633FD7"/>
    <w:rsid w:val="006359C2"/>
    <w:rsid w:val="00640CBD"/>
    <w:rsid w:val="00641825"/>
    <w:rsid w:val="006426C8"/>
    <w:rsid w:val="006456DF"/>
    <w:rsid w:val="006517F1"/>
    <w:rsid w:val="00656DBC"/>
    <w:rsid w:val="00660EB7"/>
    <w:rsid w:val="006615C8"/>
    <w:rsid w:val="0066224E"/>
    <w:rsid w:val="006622F3"/>
    <w:rsid w:val="00666E2D"/>
    <w:rsid w:val="00670551"/>
    <w:rsid w:val="00670758"/>
    <w:rsid w:val="0067078D"/>
    <w:rsid w:val="0067278A"/>
    <w:rsid w:val="00677F02"/>
    <w:rsid w:val="00684604"/>
    <w:rsid w:val="00684A29"/>
    <w:rsid w:val="00695C92"/>
    <w:rsid w:val="006978EC"/>
    <w:rsid w:val="006A1AE8"/>
    <w:rsid w:val="006A282D"/>
    <w:rsid w:val="006A3F31"/>
    <w:rsid w:val="006A470A"/>
    <w:rsid w:val="006A5CDE"/>
    <w:rsid w:val="006A7257"/>
    <w:rsid w:val="006C11FF"/>
    <w:rsid w:val="006C1B45"/>
    <w:rsid w:val="006C7D00"/>
    <w:rsid w:val="006D4254"/>
    <w:rsid w:val="006D50C7"/>
    <w:rsid w:val="006D5115"/>
    <w:rsid w:val="006D51BE"/>
    <w:rsid w:val="006D715B"/>
    <w:rsid w:val="006E1909"/>
    <w:rsid w:val="006E4621"/>
    <w:rsid w:val="006E493A"/>
    <w:rsid w:val="006E5460"/>
    <w:rsid w:val="006E5A7C"/>
    <w:rsid w:val="006F1192"/>
    <w:rsid w:val="006F270F"/>
    <w:rsid w:val="006F62CF"/>
    <w:rsid w:val="00700B14"/>
    <w:rsid w:val="007022B1"/>
    <w:rsid w:val="00703A9D"/>
    <w:rsid w:val="00704720"/>
    <w:rsid w:val="00704B3A"/>
    <w:rsid w:val="00704F22"/>
    <w:rsid w:val="00705151"/>
    <w:rsid w:val="00705741"/>
    <w:rsid w:val="00707226"/>
    <w:rsid w:val="00725511"/>
    <w:rsid w:val="00735A51"/>
    <w:rsid w:val="00740523"/>
    <w:rsid w:val="00740CF4"/>
    <w:rsid w:val="00750126"/>
    <w:rsid w:val="00751A84"/>
    <w:rsid w:val="007570FD"/>
    <w:rsid w:val="0075799B"/>
    <w:rsid w:val="00761E11"/>
    <w:rsid w:val="007662E9"/>
    <w:rsid w:val="007705D5"/>
    <w:rsid w:val="00771797"/>
    <w:rsid w:val="007729C5"/>
    <w:rsid w:val="007738CD"/>
    <w:rsid w:val="00773E74"/>
    <w:rsid w:val="007742B6"/>
    <w:rsid w:val="007751A4"/>
    <w:rsid w:val="007773CA"/>
    <w:rsid w:val="00777D6A"/>
    <w:rsid w:val="0078069A"/>
    <w:rsid w:val="00782854"/>
    <w:rsid w:val="00783BB2"/>
    <w:rsid w:val="00784B15"/>
    <w:rsid w:val="00784CA7"/>
    <w:rsid w:val="00792794"/>
    <w:rsid w:val="00792E39"/>
    <w:rsid w:val="007A18EE"/>
    <w:rsid w:val="007A26C1"/>
    <w:rsid w:val="007A2815"/>
    <w:rsid w:val="007A38CF"/>
    <w:rsid w:val="007A3BCB"/>
    <w:rsid w:val="007A6942"/>
    <w:rsid w:val="007A7C2D"/>
    <w:rsid w:val="007B459B"/>
    <w:rsid w:val="007C0BD2"/>
    <w:rsid w:val="007C27B6"/>
    <w:rsid w:val="007C3855"/>
    <w:rsid w:val="007D286E"/>
    <w:rsid w:val="007D376D"/>
    <w:rsid w:val="007D630D"/>
    <w:rsid w:val="007D78C4"/>
    <w:rsid w:val="007E00FB"/>
    <w:rsid w:val="007E1176"/>
    <w:rsid w:val="007E1A10"/>
    <w:rsid w:val="007E1A1D"/>
    <w:rsid w:val="007E4EBD"/>
    <w:rsid w:val="007E567B"/>
    <w:rsid w:val="007E68BB"/>
    <w:rsid w:val="007E767E"/>
    <w:rsid w:val="007F065A"/>
    <w:rsid w:val="007F2E96"/>
    <w:rsid w:val="007F32A4"/>
    <w:rsid w:val="00800AC5"/>
    <w:rsid w:val="008029BA"/>
    <w:rsid w:val="00802F78"/>
    <w:rsid w:val="00806BEE"/>
    <w:rsid w:val="0080794A"/>
    <w:rsid w:val="00810555"/>
    <w:rsid w:val="008156E9"/>
    <w:rsid w:val="008166C2"/>
    <w:rsid w:val="00820822"/>
    <w:rsid w:val="00821181"/>
    <w:rsid w:val="00824211"/>
    <w:rsid w:val="008246CD"/>
    <w:rsid w:val="008328D4"/>
    <w:rsid w:val="008356B4"/>
    <w:rsid w:val="0084012E"/>
    <w:rsid w:val="00840365"/>
    <w:rsid w:val="008411BF"/>
    <w:rsid w:val="00843A01"/>
    <w:rsid w:val="00846BFB"/>
    <w:rsid w:val="00852305"/>
    <w:rsid w:val="00852AA2"/>
    <w:rsid w:val="008540A0"/>
    <w:rsid w:val="008554BA"/>
    <w:rsid w:val="0085609D"/>
    <w:rsid w:val="00862AE8"/>
    <w:rsid w:val="00866CFA"/>
    <w:rsid w:val="008725F4"/>
    <w:rsid w:val="00872D38"/>
    <w:rsid w:val="00872EED"/>
    <w:rsid w:val="00874D2C"/>
    <w:rsid w:val="008759CE"/>
    <w:rsid w:val="00884A3D"/>
    <w:rsid w:val="00887538"/>
    <w:rsid w:val="008876AB"/>
    <w:rsid w:val="00890B9A"/>
    <w:rsid w:val="00897BBB"/>
    <w:rsid w:val="00897D64"/>
    <w:rsid w:val="008A4341"/>
    <w:rsid w:val="008A50B1"/>
    <w:rsid w:val="008A53F5"/>
    <w:rsid w:val="008A7E50"/>
    <w:rsid w:val="008B2901"/>
    <w:rsid w:val="008B6555"/>
    <w:rsid w:val="008C4BE3"/>
    <w:rsid w:val="008C7336"/>
    <w:rsid w:val="008D13BD"/>
    <w:rsid w:val="008D4936"/>
    <w:rsid w:val="008D6775"/>
    <w:rsid w:val="008D68F7"/>
    <w:rsid w:val="008E366B"/>
    <w:rsid w:val="008E485B"/>
    <w:rsid w:val="008E5D68"/>
    <w:rsid w:val="008E618A"/>
    <w:rsid w:val="008F0592"/>
    <w:rsid w:val="008F2304"/>
    <w:rsid w:val="008F51B2"/>
    <w:rsid w:val="008F70D2"/>
    <w:rsid w:val="00900FA9"/>
    <w:rsid w:val="009017C4"/>
    <w:rsid w:val="00904090"/>
    <w:rsid w:val="00905A1E"/>
    <w:rsid w:val="0091172B"/>
    <w:rsid w:val="00911CC1"/>
    <w:rsid w:val="0091301B"/>
    <w:rsid w:val="00913D36"/>
    <w:rsid w:val="009153B2"/>
    <w:rsid w:val="00915822"/>
    <w:rsid w:val="00921496"/>
    <w:rsid w:val="00921965"/>
    <w:rsid w:val="009223EF"/>
    <w:rsid w:val="009239F6"/>
    <w:rsid w:val="009258F9"/>
    <w:rsid w:val="009275BC"/>
    <w:rsid w:val="00930B54"/>
    <w:rsid w:val="00931787"/>
    <w:rsid w:val="00931C53"/>
    <w:rsid w:val="00933296"/>
    <w:rsid w:val="00937A4B"/>
    <w:rsid w:val="0094063A"/>
    <w:rsid w:val="00942F32"/>
    <w:rsid w:val="00943577"/>
    <w:rsid w:val="00944B12"/>
    <w:rsid w:val="009459BC"/>
    <w:rsid w:val="00946732"/>
    <w:rsid w:val="00946931"/>
    <w:rsid w:val="00951F8A"/>
    <w:rsid w:val="00952778"/>
    <w:rsid w:val="0095387A"/>
    <w:rsid w:val="00953ABA"/>
    <w:rsid w:val="00955A2C"/>
    <w:rsid w:val="009670F0"/>
    <w:rsid w:val="009704D9"/>
    <w:rsid w:val="00975C1D"/>
    <w:rsid w:val="00980EDD"/>
    <w:rsid w:val="00980F14"/>
    <w:rsid w:val="009810C2"/>
    <w:rsid w:val="009817EC"/>
    <w:rsid w:val="00990739"/>
    <w:rsid w:val="0099655D"/>
    <w:rsid w:val="009A7711"/>
    <w:rsid w:val="009A7AA8"/>
    <w:rsid w:val="009B0157"/>
    <w:rsid w:val="009B0385"/>
    <w:rsid w:val="009B0E30"/>
    <w:rsid w:val="009B4578"/>
    <w:rsid w:val="009B528C"/>
    <w:rsid w:val="009C0676"/>
    <w:rsid w:val="009C07E7"/>
    <w:rsid w:val="009C11B8"/>
    <w:rsid w:val="009D18BB"/>
    <w:rsid w:val="009D3A56"/>
    <w:rsid w:val="009D6ABE"/>
    <w:rsid w:val="009D6DE1"/>
    <w:rsid w:val="009D7C65"/>
    <w:rsid w:val="009E641D"/>
    <w:rsid w:val="009F1089"/>
    <w:rsid w:val="009F26EB"/>
    <w:rsid w:val="009F2DBA"/>
    <w:rsid w:val="009F6CA4"/>
    <w:rsid w:val="009F7BB8"/>
    <w:rsid w:val="00A020F1"/>
    <w:rsid w:val="00A02DF1"/>
    <w:rsid w:val="00A03649"/>
    <w:rsid w:val="00A037CF"/>
    <w:rsid w:val="00A04780"/>
    <w:rsid w:val="00A051AF"/>
    <w:rsid w:val="00A055DA"/>
    <w:rsid w:val="00A0680B"/>
    <w:rsid w:val="00A100C2"/>
    <w:rsid w:val="00A10435"/>
    <w:rsid w:val="00A14A64"/>
    <w:rsid w:val="00A218A5"/>
    <w:rsid w:val="00A26E9E"/>
    <w:rsid w:val="00A3536C"/>
    <w:rsid w:val="00A376F2"/>
    <w:rsid w:val="00A428C8"/>
    <w:rsid w:val="00A43413"/>
    <w:rsid w:val="00A466F5"/>
    <w:rsid w:val="00A505B5"/>
    <w:rsid w:val="00A52D9C"/>
    <w:rsid w:val="00A558BA"/>
    <w:rsid w:val="00A55AC8"/>
    <w:rsid w:val="00A57D30"/>
    <w:rsid w:val="00A61B4F"/>
    <w:rsid w:val="00A6274D"/>
    <w:rsid w:val="00A65493"/>
    <w:rsid w:val="00A67378"/>
    <w:rsid w:val="00A67AE8"/>
    <w:rsid w:val="00A74D05"/>
    <w:rsid w:val="00A81877"/>
    <w:rsid w:val="00A82746"/>
    <w:rsid w:val="00A87742"/>
    <w:rsid w:val="00A87DF2"/>
    <w:rsid w:val="00A90219"/>
    <w:rsid w:val="00A90AEC"/>
    <w:rsid w:val="00A91624"/>
    <w:rsid w:val="00A938F9"/>
    <w:rsid w:val="00A94780"/>
    <w:rsid w:val="00AB0260"/>
    <w:rsid w:val="00AB4FCC"/>
    <w:rsid w:val="00AC173F"/>
    <w:rsid w:val="00AC229B"/>
    <w:rsid w:val="00AC3107"/>
    <w:rsid w:val="00AC60E0"/>
    <w:rsid w:val="00AD0DE4"/>
    <w:rsid w:val="00AD6BB3"/>
    <w:rsid w:val="00AE14E8"/>
    <w:rsid w:val="00AE3217"/>
    <w:rsid w:val="00AE3254"/>
    <w:rsid w:val="00AE4CA6"/>
    <w:rsid w:val="00AE52D2"/>
    <w:rsid w:val="00AE57A9"/>
    <w:rsid w:val="00AE57E3"/>
    <w:rsid w:val="00AF03AE"/>
    <w:rsid w:val="00AF2253"/>
    <w:rsid w:val="00AF2699"/>
    <w:rsid w:val="00AF2F5E"/>
    <w:rsid w:val="00AF2FF2"/>
    <w:rsid w:val="00AF7289"/>
    <w:rsid w:val="00AF7D3C"/>
    <w:rsid w:val="00B00464"/>
    <w:rsid w:val="00B1151A"/>
    <w:rsid w:val="00B13799"/>
    <w:rsid w:val="00B16853"/>
    <w:rsid w:val="00B2051C"/>
    <w:rsid w:val="00B220F8"/>
    <w:rsid w:val="00B26CF8"/>
    <w:rsid w:val="00B27D33"/>
    <w:rsid w:val="00B3045A"/>
    <w:rsid w:val="00B31D53"/>
    <w:rsid w:val="00B325B7"/>
    <w:rsid w:val="00B377DD"/>
    <w:rsid w:val="00B40F47"/>
    <w:rsid w:val="00B42F6A"/>
    <w:rsid w:val="00B44462"/>
    <w:rsid w:val="00B4523A"/>
    <w:rsid w:val="00B45C11"/>
    <w:rsid w:val="00B54A97"/>
    <w:rsid w:val="00B57CAA"/>
    <w:rsid w:val="00B57D73"/>
    <w:rsid w:val="00B668FD"/>
    <w:rsid w:val="00B7135D"/>
    <w:rsid w:val="00B73D71"/>
    <w:rsid w:val="00B76409"/>
    <w:rsid w:val="00B8086B"/>
    <w:rsid w:val="00B814DB"/>
    <w:rsid w:val="00B857ED"/>
    <w:rsid w:val="00B93C89"/>
    <w:rsid w:val="00B9507B"/>
    <w:rsid w:val="00BA1A3C"/>
    <w:rsid w:val="00BA57C4"/>
    <w:rsid w:val="00BA5F87"/>
    <w:rsid w:val="00BA69DE"/>
    <w:rsid w:val="00BB0ACF"/>
    <w:rsid w:val="00BB74AC"/>
    <w:rsid w:val="00BC03E3"/>
    <w:rsid w:val="00BC30AD"/>
    <w:rsid w:val="00BC6B82"/>
    <w:rsid w:val="00BC7001"/>
    <w:rsid w:val="00BD2306"/>
    <w:rsid w:val="00BD2EB0"/>
    <w:rsid w:val="00BD5171"/>
    <w:rsid w:val="00BD56C3"/>
    <w:rsid w:val="00BE14A1"/>
    <w:rsid w:val="00BE735C"/>
    <w:rsid w:val="00BF5323"/>
    <w:rsid w:val="00BF6F99"/>
    <w:rsid w:val="00BF7845"/>
    <w:rsid w:val="00C0146F"/>
    <w:rsid w:val="00C02049"/>
    <w:rsid w:val="00C02568"/>
    <w:rsid w:val="00C03C8F"/>
    <w:rsid w:val="00C03FB9"/>
    <w:rsid w:val="00C05034"/>
    <w:rsid w:val="00C07A21"/>
    <w:rsid w:val="00C12F4F"/>
    <w:rsid w:val="00C13AFE"/>
    <w:rsid w:val="00C2321B"/>
    <w:rsid w:val="00C23D76"/>
    <w:rsid w:val="00C24066"/>
    <w:rsid w:val="00C26F24"/>
    <w:rsid w:val="00C32A76"/>
    <w:rsid w:val="00C32F8D"/>
    <w:rsid w:val="00C3447D"/>
    <w:rsid w:val="00C35340"/>
    <w:rsid w:val="00C37EB2"/>
    <w:rsid w:val="00C4098E"/>
    <w:rsid w:val="00C44680"/>
    <w:rsid w:val="00C4470B"/>
    <w:rsid w:val="00C45DEF"/>
    <w:rsid w:val="00C507BA"/>
    <w:rsid w:val="00C52CCF"/>
    <w:rsid w:val="00C610D8"/>
    <w:rsid w:val="00C62B74"/>
    <w:rsid w:val="00C67398"/>
    <w:rsid w:val="00C67CCE"/>
    <w:rsid w:val="00C70DD3"/>
    <w:rsid w:val="00C717F5"/>
    <w:rsid w:val="00C74CC9"/>
    <w:rsid w:val="00C76FFC"/>
    <w:rsid w:val="00C87999"/>
    <w:rsid w:val="00C92ACD"/>
    <w:rsid w:val="00C94880"/>
    <w:rsid w:val="00C94EFB"/>
    <w:rsid w:val="00C9503B"/>
    <w:rsid w:val="00C97CC7"/>
    <w:rsid w:val="00CA2472"/>
    <w:rsid w:val="00CA2D8E"/>
    <w:rsid w:val="00CA519C"/>
    <w:rsid w:val="00CA63DE"/>
    <w:rsid w:val="00CA67A0"/>
    <w:rsid w:val="00CB303E"/>
    <w:rsid w:val="00CB407C"/>
    <w:rsid w:val="00CC1906"/>
    <w:rsid w:val="00CC1BDD"/>
    <w:rsid w:val="00CC226D"/>
    <w:rsid w:val="00CC5715"/>
    <w:rsid w:val="00CC60E7"/>
    <w:rsid w:val="00CC6C0E"/>
    <w:rsid w:val="00CD52A7"/>
    <w:rsid w:val="00CF0FDB"/>
    <w:rsid w:val="00CF3568"/>
    <w:rsid w:val="00CF3F34"/>
    <w:rsid w:val="00CF4607"/>
    <w:rsid w:val="00D04423"/>
    <w:rsid w:val="00D06FF8"/>
    <w:rsid w:val="00D16D8D"/>
    <w:rsid w:val="00D17F55"/>
    <w:rsid w:val="00D24DF2"/>
    <w:rsid w:val="00D25285"/>
    <w:rsid w:val="00D30388"/>
    <w:rsid w:val="00D40BEB"/>
    <w:rsid w:val="00D40D4A"/>
    <w:rsid w:val="00D43310"/>
    <w:rsid w:val="00D50FB5"/>
    <w:rsid w:val="00D52FA8"/>
    <w:rsid w:val="00D53B30"/>
    <w:rsid w:val="00D53CBF"/>
    <w:rsid w:val="00D61CEB"/>
    <w:rsid w:val="00D657BA"/>
    <w:rsid w:val="00D67AE7"/>
    <w:rsid w:val="00D753BA"/>
    <w:rsid w:val="00D81459"/>
    <w:rsid w:val="00D853C0"/>
    <w:rsid w:val="00D8791E"/>
    <w:rsid w:val="00D87D7B"/>
    <w:rsid w:val="00D94DB3"/>
    <w:rsid w:val="00DA167E"/>
    <w:rsid w:val="00DA1BE8"/>
    <w:rsid w:val="00DA2621"/>
    <w:rsid w:val="00DA30B0"/>
    <w:rsid w:val="00DA5682"/>
    <w:rsid w:val="00DA5AC4"/>
    <w:rsid w:val="00DA5D41"/>
    <w:rsid w:val="00DA7683"/>
    <w:rsid w:val="00DB0D5E"/>
    <w:rsid w:val="00DB18C9"/>
    <w:rsid w:val="00DB27FA"/>
    <w:rsid w:val="00DB63D6"/>
    <w:rsid w:val="00DB696E"/>
    <w:rsid w:val="00DC349D"/>
    <w:rsid w:val="00DC3A3A"/>
    <w:rsid w:val="00DC5EF6"/>
    <w:rsid w:val="00DD0462"/>
    <w:rsid w:val="00DD1970"/>
    <w:rsid w:val="00DD2460"/>
    <w:rsid w:val="00DD36C5"/>
    <w:rsid w:val="00DE018F"/>
    <w:rsid w:val="00DE0D89"/>
    <w:rsid w:val="00DE18EE"/>
    <w:rsid w:val="00DE3537"/>
    <w:rsid w:val="00DE4253"/>
    <w:rsid w:val="00DE56AE"/>
    <w:rsid w:val="00DE7452"/>
    <w:rsid w:val="00DE76D8"/>
    <w:rsid w:val="00DF43A9"/>
    <w:rsid w:val="00DF4A5F"/>
    <w:rsid w:val="00DF4BDD"/>
    <w:rsid w:val="00E01A01"/>
    <w:rsid w:val="00E02841"/>
    <w:rsid w:val="00E0655B"/>
    <w:rsid w:val="00E101ED"/>
    <w:rsid w:val="00E1210F"/>
    <w:rsid w:val="00E1246A"/>
    <w:rsid w:val="00E12512"/>
    <w:rsid w:val="00E128F2"/>
    <w:rsid w:val="00E170A0"/>
    <w:rsid w:val="00E2193C"/>
    <w:rsid w:val="00E367DA"/>
    <w:rsid w:val="00E3719F"/>
    <w:rsid w:val="00E3789E"/>
    <w:rsid w:val="00E409C6"/>
    <w:rsid w:val="00E43F9A"/>
    <w:rsid w:val="00E47B99"/>
    <w:rsid w:val="00E513A6"/>
    <w:rsid w:val="00E528EC"/>
    <w:rsid w:val="00E54B67"/>
    <w:rsid w:val="00E56FDE"/>
    <w:rsid w:val="00E608CF"/>
    <w:rsid w:val="00E7507F"/>
    <w:rsid w:val="00E757A0"/>
    <w:rsid w:val="00E75D2B"/>
    <w:rsid w:val="00E76243"/>
    <w:rsid w:val="00E80FBB"/>
    <w:rsid w:val="00E815DA"/>
    <w:rsid w:val="00E8220F"/>
    <w:rsid w:val="00E84173"/>
    <w:rsid w:val="00E87996"/>
    <w:rsid w:val="00E962C7"/>
    <w:rsid w:val="00EA2C10"/>
    <w:rsid w:val="00EA3A62"/>
    <w:rsid w:val="00EA4A23"/>
    <w:rsid w:val="00EC1548"/>
    <w:rsid w:val="00EC3FE0"/>
    <w:rsid w:val="00ED13FF"/>
    <w:rsid w:val="00ED364B"/>
    <w:rsid w:val="00ED49EF"/>
    <w:rsid w:val="00ED6A1E"/>
    <w:rsid w:val="00EE65CD"/>
    <w:rsid w:val="00EF2650"/>
    <w:rsid w:val="00EF268D"/>
    <w:rsid w:val="00EF4334"/>
    <w:rsid w:val="00EF591E"/>
    <w:rsid w:val="00F04C99"/>
    <w:rsid w:val="00F0597C"/>
    <w:rsid w:val="00F05C1D"/>
    <w:rsid w:val="00F071FF"/>
    <w:rsid w:val="00F12CFE"/>
    <w:rsid w:val="00F226CF"/>
    <w:rsid w:val="00F324DB"/>
    <w:rsid w:val="00F35B0E"/>
    <w:rsid w:val="00F42CCA"/>
    <w:rsid w:val="00F51A8A"/>
    <w:rsid w:val="00F5200A"/>
    <w:rsid w:val="00F523F0"/>
    <w:rsid w:val="00F537F6"/>
    <w:rsid w:val="00F54BFA"/>
    <w:rsid w:val="00F550AA"/>
    <w:rsid w:val="00F55622"/>
    <w:rsid w:val="00F601F1"/>
    <w:rsid w:val="00F611CE"/>
    <w:rsid w:val="00F620CB"/>
    <w:rsid w:val="00F64AA6"/>
    <w:rsid w:val="00F64E84"/>
    <w:rsid w:val="00F6538F"/>
    <w:rsid w:val="00F66408"/>
    <w:rsid w:val="00F66B6F"/>
    <w:rsid w:val="00F67164"/>
    <w:rsid w:val="00F7342B"/>
    <w:rsid w:val="00F74753"/>
    <w:rsid w:val="00F82A70"/>
    <w:rsid w:val="00F83448"/>
    <w:rsid w:val="00F84F30"/>
    <w:rsid w:val="00F859F3"/>
    <w:rsid w:val="00F85E82"/>
    <w:rsid w:val="00F9221A"/>
    <w:rsid w:val="00F939A7"/>
    <w:rsid w:val="00F96519"/>
    <w:rsid w:val="00F96987"/>
    <w:rsid w:val="00FA0628"/>
    <w:rsid w:val="00FA5D1A"/>
    <w:rsid w:val="00FA7626"/>
    <w:rsid w:val="00FB0256"/>
    <w:rsid w:val="00FB1330"/>
    <w:rsid w:val="00FB138D"/>
    <w:rsid w:val="00FB2B22"/>
    <w:rsid w:val="00FC1A19"/>
    <w:rsid w:val="00FC3FB6"/>
    <w:rsid w:val="00FC5813"/>
    <w:rsid w:val="00FC7A44"/>
    <w:rsid w:val="00FD0E32"/>
    <w:rsid w:val="00FD1E4E"/>
    <w:rsid w:val="00FD756C"/>
    <w:rsid w:val="00FE0BB6"/>
    <w:rsid w:val="00FE1167"/>
    <w:rsid w:val="00FE1C94"/>
    <w:rsid w:val="00FE2105"/>
    <w:rsid w:val="00FE2F19"/>
    <w:rsid w:val="00FE3278"/>
    <w:rsid w:val="00FE3801"/>
    <w:rsid w:val="00FE5CB7"/>
    <w:rsid w:val="00FE7E92"/>
    <w:rsid w:val="00FF1069"/>
    <w:rsid w:val="00FF1DDE"/>
    <w:rsid w:val="00FF412E"/>
    <w:rsid w:val="00FF437D"/>
    <w:rsid w:val="00FF62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4"/>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A57C4"/>
    <w:pPr>
      <w:spacing w:after="120" w:line="480" w:lineRule="auto"/>
    </w:pPr>
    <w:rPr>
      <w:lang w:val="x-none"/>
    </w:rPr>
  </w:style>
  <w:style w:type="character" w:customStyle="1" w:styleId="BodyText2Char">
    <w:name w:val="Body Text 2 Char"/>
    <w:basedOn w:val="DefaultParagraphFont"/>
    <w:link w:val="BodyText2"/>
    <w:semiHidden/>
    <w:rsid w:val="00BA57C4"/>
    <w:rPr>
      <w:rFonts w:eastAsia="Times New Roman" w:cs="Times New Roman"/>
      <w:szCs w:val="24"/>
      <w:lang w:val="x-none" w:eastAsia="ru-RU"/>
    </w:rPr>
  </w:style>
  <w:style w:type="paragraph" w:styleId="Header">
    <w:name w:val="header"/>
    <w:basedOn w:val="Normal"/>
    <w:link w:val="HeaderChar"/>
    <w:uiPriority w:val="99"/>
    <w:unhideWhenUsed/>
    <w:rsid w:val="00BA57C4"/>
    <w:pPr>
      <w:tabs>
        <w:tab w:val="center" w:pos="4153"/>
        <w:tab w:val="right" w:pos="8306"/>
      </w:tabs>
    </w:pPr>
  </w:style>
  <w:style w:type="character" w:customStyle="1" w:styleId="HeaderChar">
    <w:name w:val="Header Char"/>
    <w:basedOn w:val="DefaultParagraphFont"/>
    <w:link w:val="Header"/>
    <w:uiPriority w:val="99"/>
    <w:rsid w:val="00BA57C4"/>
    <w:rPr>
      <w:rFonts w:eastAsia="Times New Roman" w:cs="Times New Roman"/>
      <w:szCs w:val="24"/>
      <w:lang w:eastAsia="ru-RU"/>
    </w:rPr>
  </w:style>
  <w:style w:type="paragraph" w:styleId="Footer">
    <w:name w:val="footer"/>
    <w:basedOn w:val="Normal"/>
    <w:link w:val="FooterChar"/>
    <w:uiPriority w:val="99"/>
    <w:unhideWhenUsed/>
    <w:rsid w:val="00BA57C4"/>
    <w:pPr>
      <w:tabs>
        <w:tab w:val="center" w:pos="4153"/>
        <w:tab w:val="right" w:pos="8306"/>
      </w:tabs>
    </w:pPr>
  </w:style>
  <w:style w:type="character" w:customStyle="1" w:styleId="FooterChar">
    <w:name w:val="Footer Char"/>
    <w:basedOn w:val="DefaultParagraphFont"/>
    <w:link w:val="Footer"/>
    <w:uiPriority w:val="99"/>
    <w:rsid w:val="00BA57C4"/>
    <w:rPr>
      <w:rFonts w:eastAsia="Times New Roman" w:cs="Times New Roman"/>
      <w:szCs w:val="24"/>
      <w:lang w:eastAsia="ru-RU"/>
    </w:rPr>
  </w:style>
  <w:style w:type="table" w:styleId="TableGrid">
    <w:name w:val="Table Grid"/>
    <w:basedOn w:val="TableNormal"/>
    <w:uiPriority w:val="39"/>
    <w:rsid w:val="00BA57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7BA"/>
    <w:rPr>
      <w:color w:val="0563C1" w:themeColor="hyperlink"/>
      <w:u w:val="single"/>
    </w:rPr>
  </w:style>
  <w:style w:type="character" w:customStyle="1" w:styleId="UnresolvedMention1">
    <w:name w:val="Unresolved Mention1"/>
    <w:basedOn w:val="DefaultParagraphFont"/>
    <w:uiPriority w:val="99"/>
    <w:semiHidden/>
    <w:unhideWhenUsed/>
    <w:rsid w:val="00D657BA"/>
    <w:rPr>
      <w:color w:val="605E5C"/>
      <w:shd w:val="clear" w:color="auto" w:fill="E1DFDD"/>
    </w:rPr>
  </w:style>
  <w:style w:type="character" w:customStyle="1" w:styleId="UnresolvedMention2">
    <w:name w:val="Unresolved Mention2"/>
    <w:basedOn w:val="DefaultParagraphFont"/>
    <w:uiPriority w:val="99"/>
    <w:semiHidden/>
    <w:unhideWhenUsed/>
    <w:rsid w:val="000E7065"/>
    <w:rPr>
      <w:color w:val="605E5C"/>
      <w:shd w:val="clear" w:color="auto" w:fill="E1DFDD"/>
    </w:rPr>
  </w:style>
  <w:style w:type="paragraph" w:styleId="ListParagraph">
    <w:name w:val="List Paragraph"/>
    <w:basedOn w:val="Normal"/>
    <w:uiPriority w:val="34"/>
    <w:qFormat/>
    <w:rsid w:val="00124E0A"/>
    <w:pPr>
      <w:ind w:left="720"/>
      <w:contextualSpacing/>
    </w:pPr>
  </w:style>
  <w:style w:type="character" w:styleId="UnresolvedMention">
    <w:name w:val="Unresolved Mention"/>
    <w:basedOn w:val="DefaultParagraphFont"/>
    <w:uiPriority w:val="99"/>
    <w:semiHidden/>
    <w:unhideWhenUsed/>
    <w:rsid w:val="002E2D30"/>
    <w:rPr>
      <w:color w:val="605E5C"/>
      <w:shd w:val="clear" w:color="auto" w:fill="E1DFDD"/>
    </w:rPr>
  </w:style>
  <w:style w:type="character" w:customStyle="1" w:styleId="cf01">
    <w:name w:val="cf01"/>
    <w:basedOn w:val="DefaultParagraphFont"/>
    <w:rsid w:val="000C257C"/>
    <w:rPr>
      <w:rFonts w:ascii="Segoe UI" w:hAnsi="Segoe UI" w:cs="Segoe UI" w:hint="default"/>
      <w:sz w:val="18"/>
      <w:szCs w:val="18"/>
    </w:rPr>
  </w:style>
  <w:style w:type="paragraph" w:customStyle="1" w:styleId="pf0">
    <w:name w:val="pf0"/>
    <w:basedOn w:val="Normal"/>
    <w:rsid w:val="006359C2"/>
    <w:pPr>
      <w:spacing w:before="100" w:beforeAutospacing="1" w:after="100" w:afterAutospacing="1"/>
    </w:pPr>
    <w:rPr>
      <w:lang w:eastAsia="lv-LV"/>
    </w:rPr>
  </w:style>
  <w:style w:type="paragraph" w:styleId="NoSpacing">
    <w:name w:val="No Spacing"/>
    <w:basedOn w:val="Normal"/>
    <w:link w:val="NoSpacingChar"/>
    <w:uiPriority w:val="1"/>
    <w:qFormat/>
    <w:rsid w:val="001D2DA5"/>
    <w:pPr>
      <w:spacing w:before="100" w:after="100"/>
    </w:pPr>
    <w:rPr>
      <w:lang w:eastAsia="en-GB"/>
    </w:rPr>
  </w:style>
  <w:style w:type="character" w:customStyle="1" w:styleId="NoSpacingChar">
    <w:name w:val="No Spacing Char"/>
    <w:link w:val="NoSpacing"/>
    <w:uiPriority w:val="1"/>
    <w:locked/>
    <w:rsid w:val="001D2DA5"/>
    <w:rPr>
      <w:rFonts w:eastAsia="Times New Roman" w:cs="Times New Roman"/>
      <w:szCs w:val="24"/>
      <w:lang w:val="lv-LV"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4852">
      <w:bodyDiv w:val="1"/>
      <w:marLeft w:val="0"/>
      <w:marRight w:val="0"/>
      <w:marTop w:val="0"/>
      <w:marBottom w:val="0"/>
      <w:divBdr>
        <w:top w:val="none" w:sz="0" w:space="0" w:color="auto"/>
        <w:left w:val="none" w:sz="0" w:space="0" w:color="auto"/>
        <w:bottom w:val="none" w:sz="0" w:space="0" w:color="auto"/>
        <w:right w:val="none" w:sz="0" w:space="0" w:color="auto"/>
      </w:divBdr>
    </w:div>
    <w:div w:id="301623212">
      <w:bodyDiv w:val="1"/>
      <w:marLeft w:val="0"/>
      <w:marRight w:val="0"/>
      <w:marTop w:val="0"/>
      <w:marBottom w:val="0"/>
      <w:divBdr>
        <w:top w:val="none" w:sz="0" w:space="0" w:color="auto"/>
        <w:left w:val="none" w:sz="0" w:space="0" w:color="auto"/>
        <w:bottom w:val="none" w:sz="0" w:space="0" w:color="auto"/>
        <w:right w:val="none" w:sz="0" w:space="0" w:color="auto"/>
      </w:divBdr>
    </w:div>
    <w:div w:id="478350811">
      <w:bodyDiv w:val="1"/>
      <w:marLeft w:val="0"/>
      <w:marRight w:val="0"/>
      <w:marTop w:val="0"/>
      <w:marBottom w:val="0"/>
      <w:divBdr>
        <w:top w:val="none" w:sz="0" w:space="0" w:color="auto"/>
        <w:left w:val="none" w:sz="0" w:space="0" w:color="auto"/>
        <w:bottom w:val="none" w:sz="0" w:space="0" w:color="auto"/>
        <w:right w:val="none" w:sz="0" w:space="0" w:color="auto"/>
      </w:divBdr>
    </w:div>
    <w:div w:id="612250292">
      <w:bodyDiv w:val="1"/>
      <w:marLeft w:val="0"/>
      <w:marRight w:val="0"/>
      <w:marTop w:val="0"/>
      <w:marBottom w:val="0"/>
      <w:divBdr>
        <w:top w:val="none" w:sz="0" w:space="0" w:color="auto"/>
        <w:left w:val="none" w:sz="0" w:space="0" w:color="auto"/>
        <w:bottom w:val="none" w:sz="0" w:space="0" w:color="auto"/>
        <w:right w:val="none" w:sz="0" w:space="0" w:color="auto"/>
      </w:divBdr>
    </w:div>
    <w:div w:id="631251585">
      <w:bodyDiv w:val="1"/>
      <w:marLeft w:val="0"/>
      <w:marRight w:val="0"/>
      <w:marTop w:val="0"/>
      <w:marBottom w:val="0"/>
      <w:divBdr>
        <w:top w:val="none" w:sz="0" w:space="0" w:color="auto"/>
        <w:left w:val="none" w:sz="0" w:space="0" w:color="auto"/>
        <w:bottom w:val="none" w:sz="0" w:space="0" w:color="auto"/>
        <w:right w:val="none" w:sz="0" w:space="0" w:color="auto"/>
      </w:divBdr>
    </w:div>
    <w:div w:id="812336588">
      <w:bodyDiv w:val="1"/>
      <w:marLeft w:val="0"/>
      <w:marRight w:val="0"/>
      <w:marTop w:val="0"/>
      <w:marBottom w:val="0"/>
      <w:divBdr>
        <w:top w:val="none" w:sz="0" w:space="0" w:color="auto"/>
        <w:left w:val="none" w:sz="0" w:space="0" w:color="auto"/>
        <w:bottom w:val="none" w:sz="0" w:space="0" w:color="auto"/>
        <w:right w:val="none" w:sz="0" w:space="0" w:color="auto"/>
      </w:divBdr>
    </w:div>
    <w:div w:id="1222014010">
      <w:bodyDiv w:val="1"/>
      <w:marLeft w:val="0"/>
      <w:marRight w:val="0"/>
      <w:marTop w:val="0"/>
      <w:marBottom w:val="0"/>
      <w:divBdr>
        <w:top w:val="none" w:sz="0" w:space="0" w:color="auto"/>
        <w:left w:val="none" w:sz="0" w:space="0" w:color="auto"/>
        <w:bottom w:val="none" w:sz="0" w:space="0" w:color="auto"/>
        <w:right w:val="none" w:sz="0" w:space="0" w:color="auto"/>
      </w:divBdr>
    </w:div>
    <w:div w:id="1628781357">
      <w:bodyDiv w:val="1"/>
      <w:marLeft w:val="0"/>
      <w:marRight w:val="0"/>
      <w:marTop w:val="0"/>
      <w:marBottom w:val="0"/>
      <w:divBdr>
        <w:top w:val="none" w:sz="0" w:space="0" w:color="auto"/>
        <w:left w:val="none" w:sz="0" w:space="0" w:color="auto"/>
        <w:bottom w:val="none" w:sz="0" w:space="0" w:color="auto"/>
        <w:right w:val="none" w:sz="0" w:space="0" w:color="auto"/>
      </w:divBdr>
    </w:div>
    <w:div w:id="1935550472">
      <w:bodyDiv w:val="1"/>
      <w:marLeft w:val="0"/>
      <w:marRight w:val="0"/>
      <w:marTop w:val="0"/>
      <w:marBottom w:val="0"/>
      <w:divBdr>
        <w:top w:val="none" w:sz="0" w:space="0" w:color="auto"/>
        <w:left w:val="none" w:sz="0" w:space="0" w:color="auto"/>
        <w:bottom w:val="none" w:sz="0" w:space="0" w:color="auto"/>
        <w:right w:val="none" w:sz="0" w:space="0" w:color="auto"/>
      </w:divBdr>
    </w:div>
    <w:div w:id="1976373217">
      <w:bodyDiv w:val="1"/>
      <w:marLeft w:val="0"/>
      <w:marRight w:val="0"/>
      <w:marTop w:val="0"/>
      <w:marBottom w:val="0"/>
      <w:divBdr>
        <w:top w:val="none" w:sz="0" w:space="0" w:color="auto"/>
        <w:left w:val="none" w:sz="0" w:space="0" w:color="auto"/>
        <w:bottom w:val="none" w:sz="0" w:space="0" w:color="auto"/>
        <w:right w:val="none" w:sz="0" w:space="0" w:color="auto"/>
      </w:divBdr>
    </w:div>
    <w:div w:id="214519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514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nolemumi/pdf/36986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3:0406.SKA064723.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eclinolemumi/ECLI:LV:AT:2023:0531.SKA073123.5.L" TargetMode="External"/><Relationship Id="rId4" Type="http://schemas.openxmlformats.org/officeDocument/2006/relationships/settings" Target="settings.xml"/><Relationship Id="rId9" Type="http://schemas.openxmlformats.org/officeDocument/2006/relationships/hyperlink" Target="https://manas.tiesas.lv/eTiesasMvc/eclinolemumi/ECLI:LV:AT:2023:0406.SKA064723.9.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337B-E2F4-4201-9847-8E7DE6D5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5042</Words>
  <Characters>2874</Characters>
  <Application>Microsoft Office Word</Application>
  <DocSecurity>0</DocSecurity>
  <Lines>23</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2024-10-09T08:38:00Z</dcterms:created>
  <dcterms:modified xsi:type="dcterms:W3CDTF">2024-10-09T08:38:00Z</dcterms:modified>
</cp:coreProperties>
</file>