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623B" w14:textId="4ADD84CA" w:rsidR="0048030E" w:rsidRDefault="00F4072E" w:rsidP="00091219">
      <w:pPr>
        <w:spacing w:after="0" w:line="276" w:lineRule="auto"/>
        <w:jc w:val="both"/>
        <w:rPr>
          <w:b/>
          <w:bCs/>
        </w:rPr>
      </w:pPr>
      <w:r>
        <w:rPr>
          <w:b/>
          <w:bCs/>
        </w:rPr>
        <w:t>Brīvības atņemšanas soda noteikšana par personu grupā mantkārīgā nolūkā izdarītu mēģinājumu nodrošināt vairākām personām iespēju nelikumīgi uzturēties Latvijas Republikā (Krimināllikuma 15. panta ceturtā daļa un 285.</w:t>
      </w:r>
      <w:r>
        <w:rPr>
          <w:b/>
          <w:bCs/>
          <w:vertAlign w:val="superscript"/>
        </w:rPr>
        <w:t>1</w:t>
      </w:r>
      <w:r>
        <w:rPr>
          <w:b/>
          <w:bCs/>
        </w:rPr>
        <w:t xml:space="preserve"> panta otrā daļa)</w:t>
      </w:r>
    </w:p>
    <w:p w14:paraId="2E3BC912" w14:textId="77777777" w:rsidR="00091219" w:rsidRPr="00091219" w:rsidRDefault="00091219" w:rsidP="00091219">
      <w:pPr>
        <w:spacing w:after="0" w:line="276" w:lineRule="auto"/>
        <w:jc w:val="both"/>
        <w:rPr>
          <w:b/>
          <w:bCs/>
        </w:rPr>
      </w:pPr>
    </w:p>
    <w:p w14:paraId="1CD2CC96" w14:textId="77777777" w:rsidR="00353623" w:rsidRPr="00353623" w:rsidRDefault="00624068" w:rsidP="00F4072E">
      <w:pPr>
        <w:suppressAutoHyphens/>
        <w:autoSpaceDN w:val="0"/>
        <w:spacing w:after="0" w:line="276" w:lineRule="auto"/>
        <w:jc w:val="center"/>
        <w:rPr>
          <w:rFonts w:asciiTheme="majorBidi" w:eastAsia="Times New Roman" w:hAnsiTheme="majorBidi" w:cstheme="majorBidi"/>
          <w:b/>
          <w:color w:val="000000" w:themeColor="text1"/>
          <w:szCs w:val="24"/>
        </w:rPr>
      </w:pPr>
      <w:r w:rsidRPr="00353623">
        <w:rPr>
          <w:rFonts w:asciiTheme="majorBidi" w:eastAsia="Calibri" w:hAnsiTheme="majorBidi" w:cstheme="majorBidi"/>
          <w:b/>
          <w:szCs w:val="24"/>
        </w:rPr>
        <w:t>Latvijas Republikas Senāt</w:t>
      </w:r>
      <w:r w:rsidR="00353623" w:rsidRPr="00353623">
        <w:rPr>
          <w:rFonts w:asciiTheme="majorBidi" w:eastAsia="Calibri" w:hAnsiTheme="majorBidi" w:cstheme="majorBidi"/>
          <w:b/>
          <w:szCs w:val="24"/>
        </w:rPr>
        <w:t>a</w:t>
      </w:r>
      <w:r w:rsidR="00353623" w:rsidRPr="00353623">
        <w:rPr>
          <w:rFonts w:asciiTheme="majorBidi" w:eastAsia="Times New Roman" w:hAnsiTheme="majorBidi" w:cstheme="majorBidi"/>
          <w:b/>
          <w:color w:val="000000" w:themeColor="text1"/>
          <w:szCs w:val="24"/>
        </w:rPr>
        <w:t xml:space="preserve"> </w:t>
      </w:r>
    </w:p>
    <w:p w14:paraId="413C00CA" w14:textId="77777777" w:rsidR="00353623" w:rsidRPr="00353623" w:rsidRDefault="00353623" w:rsidP="00F4072E">
      <w:pPr>
        <w:suppressAutoHyphens/>
        <w:autoSpaceDN w:val="0"/>
        <w:spacing w:after="0" w:line="276" w:lineRule="auto"/>
        <w:jc w:val="center"/>
        <w:rPr>
          <w:rFonts w:asciiTheme="majorBidi" w:eastAsia="Times New Roman" w:hAnsiTheme="majorBidi" w:cstheme="majorBidi"/>
          <w:b/>
          <w:color w:val="000000" w:themeColor="text1"/>
          <w:szCs w:val="24"/>
        </w:rPr>
      </w:pPr>
      <w:r w:rsidRPr="00353623">
        <w:rPr>
          <w:rFonts w:asciiTheme="majorBidi" w:eastAsia="Times New Roman" w:hAnsiTheme="majorBidi" w:cstheme="majorBidi"/>
          <w:b/>
          <w:color w:val="000000" w:themeColor="text1"/>
          <w:szCs w:val="24"/>
        </w:rPr>
        <w:t>Krimināllietu departamenta</w:t>
      </w:r>
    </w:p>
    <w:p w14:paraId="34173DED" w14:textId="4B7777CE" w:rsidR="00624068" w:rsidRPr="00353623" w:rsidRDefault="00353623" w:rsidP="00F4072E">
      <w:pPr>
        <w:suppressAutoHyphens/>
        <w:autoSpaceDN w:val="0"/>
        <w:spacing w:after="0" w:line="276" w:lineRule="auto"/>
        <w:jc w:val="center"/>
        <w:rPr>
          <w:rFonts w:asciiTheme="majorBidi" w:eastAsia="Calibri" w:hAnsiTheme="majorBidi" w:cstheme="majorBidi"/>
          <w:b/>
          <w:szCs w:val="24"/>
        </w:rPr>
      </w:pPr>
      <w:r w:rsidRPr="00353623">
        <w:rPr>
          <w:rFonts w:asciiTheme="majorBidi" w:eastAsia="Calibri" w:hAnsiTheme="majorBidi" w:cstheme="majorBidi"/>
          <w:b/>
          <w:szCs w:val="24"/>
        </w:rPr>
        <w:t>2024. gada 4. jūnija</w:t>
      </w:r>
    </w:p>
    <w:p w14:paraId="7AAF8031" w14:textId="77777777" w:rsidR="00624068" w:rsidRPr="00353623" w:rsidRDefault="00624068" w:rsidP="00F4072E">
      <w:pPr>
        <w:suppressAutoHyphens/>
        <w:autoSpaceDN w:val="0"/>
        <w:spacing w:after="0" w:line="276" w:lineRule="auto"/>
        <w:jc w:val="center"/>
        <w:rPr>
          <w:rFonts w:asciiTheme="majorBidi" w:eastAsia="Calibri" w:hAnsiTheme="majorBidi" w:cstheme="majorBidi"/>
          <w:b/>
          <w:szCs w:val="24"/>
        </w:rPr>
      </w:pPr>
      <w:r w:rsidRPr="00353623">
        <w:rPr>
          <w:rFonts w:asciiTheme="majorBidi" w:eastAsia="Calibri" w:hAnsiTheme="majorBidi" w:cstheme="majorBidi"/>
          <w:b/>
          <w:szCs w:val="24"/>
        </w:rPr>
        <w:t>LĒMUMS</w:t>
      </w:r>
    </w:p>
    <w:p w14:paraId="39D5C280" w14:textId="5A55159A" w:rsidR="00624068" w:rsidRPr="00353623" w:rsidRDefault="00353623" w:rsidP="00F4072E">
      <w:pPr>
        <w:suppressAutoHyphens/>
        <w:autoSpaceDN w:val="0"/>
        <w:spacing w:after="0" w:line="276" w:lineRule="auto"/>
        <w:jc w:val="center"/>
        <w:rPr>
          <w:rFonts w:asciiTheme="majorBidi" w:eastAsia="Times New Roman" w:hAnsiTheme="majorBidi" w:cstheme="majorBidi"/>
          <w:color w:val="000000" w:themeColor="text1"/>
          <w:szCs w:val="24"/>
        </w:rPr>
      </w:pPr>
      <w:r w:rsidRPr="00353623">
        <w:rPr>
          <w:rFonts w:asciiTheme="majorBidi" w:eastAsia="Times New Roman" w:hAnsiTheme="majorBidi" w:cstheme="majorBidi"/>
          <w:b/>
          <w:color w:val="000000" w:themeColor="text1"/>
          <w:szCs w:val="24"/>
        </w:rPr>
        <w:t>Lieta Nr. 18240009823, SKK-244/2024</w:t>
      </w:r>
    </w:p>
    <w:p w14:paraId="3760A7EA" w14:textId="13B77D1A" w:rsidR="00353623" w:rsidRPr="00353623" w:rsidRDefault="00000000" w:rsidP="00F4072E">
      <w:pPr>
        <w:suppressAutoHyphens/>
        <w:autoSpaceDN w:val="0"/>
        <w:spacing w:after="0" w:line="276" w:lineRule="auto"/>
        <w:jc w:val="center"/>
        <w:rPr>
          <w:rFonts w:asciiTheme="majorBidi" w:eastAsia="Calibri" w:hAnsiTheme="majorBidi" w:cstheme="majorBidi"/>
          <w:szCs w:val="24"/>
        </w:rPr>
      </w:pPr>
      <w:hyperlink r:id="rId7" w:history="1">
        <w:r w:rsidR="00353623" w:rsidRPr="00353623">
          <w:rPr>
            <w:rStyle w:val="Hyperlink"/>
            <w:rFonts w:asciiTheme="majorBidi" w:hAnsiTheme="majorBidi" w:cstheme="majorBidi"/>
            <w:szCs w:val="24"/>
            <w:shd w:val="clear" w:color="auto" w:fill="FFFFFF"/>
          </w:rPr>
          <w:t>ECLI:LV:AT:2024:0604.18240009823.6.L</w:t>
        </w:r>
      </w:hyperlink>
    </w:p>
    <w:p w14:paraId="156D1629" w14:textId="77777777" w:rsidR="00A75311" w:rsidRPr="002D3A7D" w:rsidRDefault="00A75311" w:rsidP="003A262B">
      <w:pPr>
        <w:suppressAutoHyphens/>
        <w:autoSpaceDN w:val="0"/>
        <w:spacing w:after="0" w:line="276" w:lineRule="auto"/>
        <w:ind w:firstLine="720"/>
        <w:jc w:val="both"/>
        <w:rPr>
          <w:rFonts w:eastAsia="Calibri" w:cs="Times New Roman"/>
          <w:color w:val="000000" w:themeColor="text1"/>
          <w:szCs w:val="24"/>
        </w:rPr>
      </w:pPr>
    </w:p>
    <w:p w14:paraId="239AD4AB" w14:textId="7425072C" w:rsidR="0048030E" w:rsidRPr="002D3A7D" w:rsidRDefault="00E34C53" w:rsidP="003E7755">
      <w:pPr>
        <w:suppressAutoHyphens/>
        <w:autoSpaceDN w:val="0"/>
        <w:spacing w:after="0" w:line="276" w:lineRule="auto"/>
        <w:ind w:firstLine="720"/>
        <w:jc w:val="both"/>
        <w:rPr>
          <w:rFonts w:eastAsia="Calibri" w:cs="Times New Roman"/>
          <w:color w:val="000000" w:themeColor="text1"/>
          <w:szCs w:val="24"/>
        </w:rPr>
      </w:pPr>
      <w:r w:rsidRPr="002D3A7D">
        <w:rPr>
          <w:rFonts w:asciiTheme="majorBidi" w:hAnsiTheme="majorBidi" w:cstheme="majorBidi"/>
          <w:szCs w:val="24"/>
        </w:rPr>
        <w:t xml:space="preserve">Senāts </w:t>
      </w:r>
      <w:r w:rsidR="0048030E" w:rsidRPr="002D3A7D">
        <w:rPr>
          <w:rFonts w:eastAsia="Calibri" w:cs="Times New Roman"/>
          <w:color w:val="000000" w:themeColor="text1"/>
          <w:szCs w:val="24"/>
        </w:rPr>
        <w:t xml:space="preserve">šādā sastāvā: senatori Aivars Uminskis, </w:t>
      </w:r>
      <w:r w:rsidR="00624068" w:rsidRPr="002D3A7D">
        <w:rPr>
          <w:rFonts w:eastAsia="Calibri" w:cs="Times New Roman"/>
          <w:color w:val="000000" w:themeColor="text1"/>
          <w:szCs w:val="24"/>
        </w:rPr>
        <w:t>Ivars Bičkovičs</w:t>
      </w:r>
      <w:r w:rsidRPr="002D3A7D">
        <w:rPr>
          <w:rFonts w:eastAsia="Calibri" w:cs="Times New Roman"/>
          <w:color w:val="000000" w:themeColor="text1"/>
          <w:szCs w:val="24"/>
        </w:rPr>
        <w:t xml:space="preserve"> un </w:t>
      </w:r>
      <w:r w:rsidRPr="002D3A7D">
        <w:rPr>
          <w:rFonts w:eastAsia="Calibri" w:cs="Times New Roman"/>
          <w:szCs w:val="24"/>
        </w:rPr>
        <w:t>Sandra Kaija,</w:t>
      </w:r>
    </w:p>
    <w:p w14:paraId="68D938D5" w14:textId="03A12FEE" w:rsidR="008C3202" w:rsidRPr="002D3A7D" w:rsidRDefault="008C3202" w:rsidP="003E7755">
      <w:pPr>
        <w:suppressAutoHyphens/>
        <w:autoSpaceDN w:val="0"/>
        <w:spacing w:after="0" w:line="276" w:lineRule="auto"/>
        <w:ind w:firstLine="720"/>
        <w:jc w:val="both"/>
        <w:rPr>
          <w:rFonts w:eastAsia="Calibri" w:cs="Times New Roman"/>
          <w:color w:val="000000" w:themeColor="text1"/>
          <w:szCs w:val="24"/>
        </w:rPr>
      </w:pPr>
    </w:p>
    <w:p w14:paraId="05DD610B" w14:textId="6E8698EE" w:rsidR="0048030E" w:rsidRPr="002D3A7D" w:rsidRDefault="0048030E" w:rsidP="00353623">
      <w:pPr>
        <w:suppressAutoHyphens/>
        <w:autoSpaceDN w:val="0"/>
        <w:spacing w:after="0" w:line="276" w:lineRule="auto"/>
        <w:ind w:firstLine="720"/>
        <w:jc w:val="both"/>
        <w:rPr>
          <w:rFonts w:eastAsia="Calibri" w:cs="Times New Roman"/>
          <w:color w:val="000000" w:themeColor="text1"/>
          <w:szCs w:val="24"/>
        </w:rPr>
      </w:pPr>
      <w:r w:rsidRPr="002D3A7D">
        <w:rPr>
          <w:rFonts w:eastAsia="Calibri" w:cs="Times New Roman"/>
          <w:color w:val="000000" w:themeColor="text1"/>
          <w:szCs w:val="24"/>
        </w:rPr>
        <w:t>iepazin</w:t>
      </w:r>
      <w:r w:rsidR="00E34C53" w:rsidRPr="002D3A7D">
        <w:rPr>
          <w:rFonts w:eastAsia="Calibri" w:cs="Times New Roman"/>
          <w:color w:val="000000" w:themeColor="text1"/>
          <w:szCs w:val="24"/>
        </w:rPr>
        <w:t>ies</w:t>
      </w:r>
      <w:r w:rsidRPr="002D3A7D">
        <w:rPr>
          <w:rFonts w:eastAsia="Calibri" w:cs="Times New Roman"/>
          <w:color w:val="000000" w:themeColor="text1"/>
          <w:szCs w:val="24"/>
        </w:rPr>
        <w:t xml:space="preserve"> ar apsūdzētā</w:t>
      </w:r>
      <w:r w:rsidR="006A0346" w:rsidRPr="002D3A7D">
        <w:rPr>
          <w:rFonts w:eastAsia="Calibri" w:cs="Times New Roman"/>
          <w:color w:val="000000" w:themeColor="text1"/>
          <w:szCs w:val="24"/>
        </w:rPr>
        <w:t xml:space="preserve"> </w:t>
      </w:r>
      <w:r w:rsidR="00353623">
        <w:rPr>
          <w:rFonts w:eastAsia="Calibri" w:cs="Times New Roman"/>
          <w:color w:val="000000" w:themeColor="text1"/>
          <w:szCs w:val="24"/>
        </w:rPr>
        <w:t>[pers. </w:t>
      </w:r>
      <w:r w:rsidR="00353623">
        <w:t>A]</w:t>
      </w:r>
      <w:r w:rsidR="000D6B75" w:rsidRPr="002D3A7D">
        <w:rPr>
          <w:rFonts w:eastAsia="Calibri" w:cs="Times New Roman"/>
          <w:color w:val="000000" w:themeColor="text1"/>
          <w:szCs w:val="24"/>
        </w:rPr>
        <w:t xml:space="preserve"> aizstāves zvērinātas advokātes Ilzes </w:t>
      </w:r>
      <w:proofErr w:type="spellStart"/>
      <w:r w:rsidR="000D6B75" w:rsidRPr="002D3A7D">
        <w:rPr>
          <w:rFonts w:eastAsia="Calibri" w:cs="Times New Roman"/>
          <w:color w:val="000000" w:themeColor="text1"/>
          <w:szCs w:val="24"/>
        </w:rPr>
        <w:t>Grolmusas</w:t>
      </w:r>
      <w:proofErr w:type="spellEnd"/>
      <w:r w:rsidR="002D127E">
        <w:rPr>
          <w:rFonts w:eastAsia="Calibri" w:cs="Times New Roman"/>
          <w:color w:val="000000" w:themeColor="text1"/>
          <w:szCs w:val="24"/>
        </w:rPr>
        <w:t xml:space="preserve"> un</w:t>
      </w:r>
      <w:r w:rsidR="000D6B75" w:rsidRPr="002D3A7D">
        <w:rPr>
          <w:rFonts w:eastAsia="Calibri" w:cs="Times New Roman"/>
          <w:color w:val="000000" w:themeColor="text1"/>
          <w:szCs w:val="24"/>
        </w:rPr>
        <w:t xml:space="preserve"> apsūdzēto </w:t>
      </w:r>
      <w:r w:rsidR="00353623" w:rsidRPr="0017570E">
        <w:rPr>
          <w:rFonts w:eastAsia="Calibri" w:cs="Times New Roman"/>
          <w:color w:val="000000" w:themeColor="text1"/>
          <w:szCs w:val="24"/>
        </w:rPr>
        <w:t>[pers. B]</w:t>
      </w:r>
      <w:r w:rsidR="000D6B75" w:rsidRPr="002D3A7D">
        <w:rPr>
          <w:rFonts w:eastAsia="Calibri" w:cs="Times New Roman"/>
          <w:color w:val="000000" w:themeColor="text1"/>
          <w:szCs w:val="24"/>
        </w:rPr>
        <w:t xml:space="preserve"> un </w:t>
      </w:r>
      <w:r w:rsidR="00353623">
        <w:rPr>
          <w:rFonts w:eastAsia="Calibri" w:cs="Times New Roman"/>
          <w:color w:val="000000" w:themeColor="text1"/>
          <w:szCs w:val="24"/>
        </w:rPr>
        <w:t>[pers. </w:t>
      </w:r>
      <w:r w:rsidR="00353623">
        <w:t>C]</w:t>
      </w:r>
      <w:r w:rsidR="000D6B75" w:rsidRPr="002D3A7D">
        <w:rPr>
          <w:rFonts w:eastAsia="Calibri" w:cs="Times New Roman"/>
          <w:color w:val="000000" w:themeColor="text1"/>
          <w:szCs w:val="24"/>
        </w:rPr>
        <w:t xml:space="preserve"> aizstāves zvērinātas advokātes Ineses Volkovas </w:t>
      </w:r>
      <w:r w:rsidR="00CE0F55" w:rsidRPr="002D3A7D">
        <w:rPr>
          <w:rFonts w:eastAsia="Calibri" w:cs="Times New Roman"/>
          <w:color w:val="000000" w:themeColor="text1"/>
          <w:szCs w:val="24"/>
        </w:rPr>
        <w:t>kasācijas sūdzīb</w:t>
      </w:r>
      <w:r w:rsidR="00FB1C47" w:rsidRPr="002D3A7D">
        <w:rPr>
          <w:rFonts w:eastAsia="Calibri" w:cs="Times New Roman"/>
          <w:color w:val="000000" w:themeColor="text1"/>
          <w:szCs w:val="24"/>
        </w:rPr>
        <w:t xml:space="preserve">ām </w:t>
      </w:r>
      <w:r w:rsidR="00CE0F55" w:rsidRPr="002D3A7D">
        <w:rPr>
          <w:rFonts w:eastAsia="Calibri" w:cs="Times New Roman"/>
          <w:color w:val="000000" w:themeColor="text1"/>
          <w:szCs w:val="24"/>
        </w:rPr>
        <w:t xml:space="preserve">par </w:t>
      </w:r>
      <w:r w:rsidR="00FB1C47" w:rsidRPr="002D3A7D">
        <w:rPr>
          <w:rFonts w:eastAsia="Calibri" w:cs="Times New Roman"/>
          <w:color w:val="000000" w:themeColor="text1"/>
          <w:szCs w:val="24"/>
        </w:rPr>
        <w:t>Latgales</w:t>
      </w:r>
      <w:r w:rsidR="006A0346" w:rsidRPr="002D3A7D">
        <w:rPr>
          <w:rFonts w:eastAsia="Calibri" w:cs="Times New Roman"/>
          <w:color w:val="000000" w:themeColor="text1"/>
          <w:szCs w:val="24"/>
        </w:rPr>
        <w:t xml:space="preserve"> </w:t>
      </w:r>
      <w:r w:rsidR="00CE0F55" w:rsidRPr="002D3A7D">
        <w:rPr>
          <w:rFonts w:eastAsia="Calibri" w:cs="Times New Roman"/>
          <w:color w:val="000000" w:themeColor="text1"/>
          <w:szCs w:val="24"/>
        </w:rPr>
        <w:t>apgabaltiesas 202</w:t>
      </w:r>
      <w:r w:rsidR="00FB1C47" w:rsidRPr="002D3A7D">
        <w:rPr>
          <w:rFonts w:eastAsia="Calibri" w:cs="Times New Roman"/>
          <w:color w:val="000000" w:themeColor="text1"/>
          <w:szCs w:val="24"/>
        </w:rPr>
        <w:t>3</w:t>
      </w:r>
      <w:r w:rsidR="00CE0F55" w:rsidRPr="002D3A7D">
        <w:rPr>
          <w:rFonts w:eastAsia="Calibri" w:cs="Times New Roman"/>
          <w:color w:val="000000" w:themeColor="text1"/>
          <w:szCs w:val="24"/>
        </w:rPr>
        <w:t>.</w:t>
      </w:r>
      <w:r w:rsidR="00FB1C47" w:rsidRPr="002D3A7D">
        <w:rPr>
          <w:rFonts w:eastAsia="Calibri" w:cs="Times New Roman"/>
          <w:color w:val="000000" w:themeColor="text1"/>
          <w:szCs w:val="24"/>
        </w:rPr>
        <w:t> </w:t>
      </w:r>
      <w:r w:rsidR="00CE0F55" w:rsidRPr="002D3A7D">
        <w:rPr>
          <w:rFonts w:eastAsia="Calibri" w:cs="Times New Roman"/>
          <w:color w:val="000000" w:themeColor="text1"/>
          <w:szCs w:val="24"/>
        </w:rPr>
        <w:t xml:space="preserve">gada </w:t>
      </w:r>
      <w:r w:rsidR="006A0346" w:rsidRPr="002D3A7D">
        <w:rPr>
          <w:rFonts w:eastAsia="Calibri" w:cs="Times New Roman"/>
          <w:color w:val="000000" w:themeColor="text1"/>
          <w:szCs w:val="24"/>
        </w:rPr>
        <w:t>1</w:t>
      </w:r>
      <w:r w:rsidR="00FB1C47" w:rsidRPr="002D3A7D">
        <w:rPr>
          <w:rFonts w:eastAsia="Calibri" w:cs="Times New Roman"/>
          <w:color w:val="000000" w:themeColor="text1"/>
          <w:szCs w:val="24"/>
        </w:rPr>
        <w:t>3</w:t>
      </w:r>
      <w:r w:rsidR="006A0346" w:rsidRPr="002D3A7D">
        <w:rPr>
          <w:rFonts w:eastAsia="Calibri" w:cs="Times New Roman"/>
          <w:color w:val="000000" w:themeColor="text1"/>
          <w:szCs w:val="24"/>
        </w:rPr>
        <w:t>.</w:t>
      </w:r>
      <w:r w:rsidR="00FB1C47" w:rsidRPr="002D3A7D">
        <w:rPr>
          <w:rFonts w:eastAsia="Calibri" w:cs="Times New Roman"/>
          <w:color w:val="000000" w:themeColor="text1"/>
          <w:szCs w:val="24"/>
        </w:rPr>
        <w:t> </w:t>
      </w:r>
      <w:r w:rsidR="006A0346" w:rsidRPr="002D3A7D">
        <w:rPr>
          <w:rFonts w:eastAsia="Calibri" w:cs="Times New Roman"/>
          <w:color w:val="000000" w:themeColor="text1"/>
          <w:szCs w:val="24"/>
        </w:rPr>
        <w:t>decembra</w:t>
      </w:r>
      <w:r w:rsidR="00CE0F55" w:rsidRPr="002D3A7D">
        <w:rPr>
          <w:rFonts w:eastAsia="Calibri" w:cs="Times New Roman"/>
          <w:color w:val="000000" w:themeColor="text1"/>
          <w:szCs w:val="24"/>
        </w:rPr>
        <w:t xml:space="preserve"> </w:t>
      </w:r>
      <w:r w:rsidR="006A0346" w:rsidRPr="002D3A7D">
        <w:rPr>
          <w:rFonts w:eastAsia="Calibri" w:cs="Times New Roman"/>
          <w:color w:val="000000" w:themeColor="text1"/>
          <w:szCs w:val="24"/>
        </w:rPr>
        <w:t>spriedumu</w:t>
      </w:r>
      <w:r w:rsidRPr="002D3A7D">
        <w:rPr>
          <w:rFonts w:eastAsia="Calibri" w:cs="Times New Roman"/>
          <w:color w:val="000000" w:themeColor="text1"/>
          <w:szCs w:val="24"/>
        </w:rPr>
        <w:t>, atzīst, ka ir pamats atteikt ierosināt kasācijas tiesvedību.</w:t>
      </w:r>
    </w:p>
    <w:p w14:paraId="67C2858F" w14:textId="77777777" w:rsidR="006F64B8" w:rsidRPr="002D3A7D" w:rsidRDefault="006F64B8" w:rsidP="006F64B8">
      <w:pPr>
        <w:widowControl w:val="0"/>
        <w:spacing w:after="0" w:line="276" w:lineRule="auto"/>
        <w:ind w:firstLine="720"/>
        <w:contextualSpacing/>
        <w:jc w:val="both"/>
        <w:rPr>
          <w:rFonts w:asciiTheme="majorBidi" w:eastAsia="Calibri" w:hAnsiTheme="majorBidi" w:cstheme="majorBidi"/>
          <w:szCs w:val="24"/>
        </w:rPr>
      </w:pPr>
      <w:r w:rsidRPr="002D3A7D">
        <w:rPr>
          <w:rFonts w:asciiTheme="majorBidi" w:eastAsia="Calibri" w:hAnsiTheme="majorBidi" w:cstheme="majorBidi"/>
          <w:szCs w:val="24"/>
        </w:rPr>
        <w:t>Kriminālprocesa likuma 573.</w:t>
      </w:r>
      <w:r w:rsidRPr="002D3A7D">
        <w:rPr>
          <w:rFonts w:asciiTheme="majorBidi" w:eastAsia="Calibri" w:hAnsiTheme="majorBidi" w:cstheme="majorBidi"/>
          <w:szCs w:val="24"/>
          <w:vertAlign w:val="superscript"/>
        </w:rPr>
        <w:t>1 </w:t>
      </w:r>
      <w:r w:rsidRPr="002D3A7D">
        <w:rPr>
          <w:rFonts w:asciiTheme="majorBidi" w:eastAsia="Calibri" w:hAnsiTheme="majorBidi" w:cstheme="majorBidi"/>
          <w:szCs w:val="24"/>
        </w:rPr>
        <w:t>panta otrās daļas 2. punkts noteic, ka tiesa var atteikties ierosināt kasācijas tiesvedību, ja, izvērtējot kasācijas sūdzībā vai protestā minētos argumentus, nerodas šaubas par pārsūdzētā nolēmuma tiesiskumu un izskatāmajai lietai nav būtiskas nozīmes judikatūras veidošanā.</w:t>
      </w:r>
    </w:p>
    <w:p w14:paraId="6402EEE5" w14:textId="04257F45" w:rsidR="00F93200" w:rsidRPr="00A20655" w:rsidRDefault="001B4816" w:rsidP="00353623">
      <w:pPr>
        <w:widowControl w:val="0"/>
        <w:spacing w:after="0" w:line="276" w:lineRule="auto"/>
        <w:ind w:firstLine="720"/>
        <w:contextualSpacing/>
        <w:jc w:val="both"/>
        <w:rPr>
          <w:rFonts w:eastAsia="Calibri" w:cs="Times New Roman"/>
          <w:color w:val="000000" w:themeColor="text1"/>
          <w:szCs w:val="24"/>
        </w:rPr>
      </w:pPr>
      <w:r w:rsidRPr="00A20655">
        <w:t>Apsūdzētā</w:t>
      </w:r>
      <w:r w:rsidRPr="00A20655">
        <w:rPr>
          <w:rFonts w:eastAsia="Calibri" w:cs="Times New Roman"/>
          <w:color w:val="000000" w:themeColor="text1"/>
          <w:szCs w:val="24"/>
        </w:rPr>
        <w:t xml:space="preserve"> </w:t>
      </w:r>
      <w:r w:rsidR="00353623">
        <w:rPr>
          <w:rFonts w:eastAsia="Calibri" w:cs="Times New Roman"/>
          <w:color w:val="000000" w:themeColor="text1"/>
          <w:szCs w:val="24"/>
        </w:rPr>
        <w:t>[pers. A]</w:t>
      </w:r>
      <w:r w:rsidRPr="00A20655">
        <w:rPr>
          <w:rFonts w:eastAsia="Calibri" w:cs="Times New Roman"/>
          <w:color w:val="000000" w:themeColor="text1"/>
          <w:szCs w:val="24"/>
        </w:rPr>
        <w:t xml:space="preserve"> aizstāve I. </w:t>
      </w:r>
      <w:proofErr w:type="spellStart"/>
      <w:r w:rsidRPr="00A20655">
        <w:rPr>
          <w:rFonts w:eastAsia="Calibri" w:cs="Times New Roman"/>
          <w:color w:val="000000" w:themeColor="text1"/>
          <w:szCs w:val="24"/>
        </w:rPr>
        <w:t>Grolmusa</w:t>
      </w:r>
      <w:proofErr w:type="spellEnd"/>
      <w:r w:rsidRPr="00A20655">
        <w:rPr>
          <w:rFonts w:eastAsia="Calibri" w:cs="Times New Roman"/>
          <w:color w:val="000000" w:themeColor="text1"/>
          <w:szCs w:val="24"/>
        </w:rPr>
        <w:t xml:space="preserve"> </w:t>
      </w:r>
      <w:r w:rsidRPr="00A20655">
        <w:t>kasācijas sūdzībā norādījusi, ka pirmās instances</w:t>
      </w:r>
      <w:r w:rsidR="00A23033" w:rsidRPr="00A20655">
        <w:t xml:space="preserve"> </w:t>
      </w:r>
      <w:r w:rsidRPr="00A20655">
        <w:t>tiesa nepamatoti iztiesāju</w:t>
      </w:r>
      <w:r w:rsidR="00A23033" w:rsidRPr="00A20655">
        <w:t>si</w:t>
      </w:r>
      <w:r w:rsidR="00237AD3" w:rsidRPr="00A20655">
        <w:t xml:space="preserve"> </w:t>
      </w:r>
      <w:r w:rsidRPr="00A20655">
        <w:t>lietu bez pierādījumu pārbaudes, jo</w:t>
      </w:r>
      <w:r w:rsidR="00F93200" w:rsidRPr="00A20655">
        <w:t>,</w:t>
      </w:r>
      <w:r w:rsidR="00F93200" w:rsidRPr="00A20655">
        <w:rPr>
          <w:rFonts w:eastAsia="Calibri" w:cs="Times New Roman"/>
          <w:color w:val="000000" w:themeColor="text1"/>
          <w:szCs w:val="24"/>
        </w:rPr>
        <w:t xml:space="preserve"> ievērojot to, ka </w:t>
      </w:r>
      <w:r w:rsidR="00353623">
        <w:rPr>
          <w:rFonts w:eastAsia="Calibri" w:cs="Times New Roman"/>
          <w:color w:val="000000" w:themeColor="text1"/>
          <w:szCs w:val="24"/>
        </w:rPr>
        <w:t>[pers. </w:t>
      </w:r>
      <w:r w:rsidR="00353623">
        <w:t>A]</w:t>
      </w:r>
      <w:r w:rsidR="00F93200" w:rsidRPr="00A20655">
        <w:rPr>
          <w:rFonts w:eastAsia="Calibri" w:cs="Times New Roman"/>
          <w:color w:val="000000" w:themeColor="text1"/>
          <w:szCs w:val="24"/>
        </w:rPr>
        <w:t xml:space="preserve"> automašīnu nevadīja un lietā nav nopratināts neviens no astoņiem noziedzīgā nodarījuma aprakstā minētajiem migrantiem, </w:t>
      </w:r>
      <w:r w:rsidR="00A23033" w:rsidRPr="00A20655">
        <w:t xml:space="preserve">pirmās instances tiesai </w:t>
      </w:r>
      <w:r w:rsidR="00237AD3" w:rsidRPr="00A20655">
        <w:t>vajadzēja rasties šaubām par apsūdzētā</w:t>
      </w:r>
      <w:r w:rsidR="00237AD3" w:rsidRPr="00A20655">
        <w:rPr>
          <w:rFonts w:eastAsia="Calibri" w:cs="Times New Roman"/>
          <w:color w:val="000000" w:themeColor="text1"/>
          <w:szCs w:val="24"/>
        </w:rPr>
        <w:t xml:space="preserve"> </w:t>
      </w:r>
      <w:r w:rsidR="00353623">
        <w:rPr>
          <w:rFonts w:eastAsia="Calibri" w:cs="Times New Roman"/>
          <w:color w:val="000000" w:themeColor="text1"/>
          <w:szCs w:val="24"/>
        </w:rPr>
        <w:t>[pers. A]</w:t>
      </w:r>
      <w:r w:rsidR="00237AD3" w:rsidRPr="00A20655">
        <w:rPr>
          <w:rFonts w:eastAsia="Calibri" w:cs="Times New Roman"/>
          <w:color w:val="000000" w:themeColor="text1"/>
          <w:szCs w:val="24"/>
        </w:rPr>
        <w:t xml:space="preserve"> vainu</w:t>
      </w:r>
      <w:r w:rsidR="00F93200" w:rsidRPr="00A20655">
        <w:rPr>
          <w:rFonts w:eastAsia="Calibri" w:cs="Times New Roman"/>
          <w:color w:val="000000" w:themeColor="text1"/>
          <w:szCs w:val="24"/>
        </w:rPr>
        <w:t>.</w:t>
      </w:r>
      <w:r w:rsidR="00A23033" w:rsidRPr="00A20655">
        <w:rPr>
          <w:rFonts w:eastAsia="Calibri" w:cs="Times New Roman"/>
          <w:color w:val="000000" w:themeColor="text1"/>
          <w:szCs w:val="24"/>
        </w:rPr>
        <w:t xml:space="preserve"> Šādos apstākļos arī apelācijas instances tiesai vajadzēja rasties šaub</w:t>
      </w:r>
      <w:r w:rsidR="00A20655" w:rsidRPr="00A20655">
        <w:rPr>
          <w:rFonts w:eastAsia="Calibri" w:cs="Times New Roman"/>
          <w:color w:val="000000" w:themeColor="text1"/>
          <w:szCs w:val="24"/>
        </w:rPr>
        <w:t>ām</w:t>
      </w:r>
      <w:r w:rsidR="00A23033" w:rsidRPr="00A20655">
        <w:rPr>
          <w:rFonts w:eastAsia="Calibri" w:cs="Times New Roman"/>
          <w:color w:val="000000" w:themeColor="text1"/>
          <w:szCs w:val="24"/>
        </w:rPr>
        <w:t xml:space="preserve"> par apsūdzētā vainu.</w:t>
      </w:r>
    </w:p>
    <w:p w14:paraId="45F1356C" w14:textId="5BD0BAC9" w:rsidR="001D25E6" w:rsidRPr="002D3A7D" w:rsidRDefault="001D25E6" w:rsidP="00F93200">
      <w:pPr>
        <w:widowControl w:val="0"/>
        <w:spacing w:after="0" w:line="276" w:lineRule="auto"/>
        <w:ind w:firstLine="720"/>
        <w:contextualSpacing/>
        <w:jc w:val="both"/>
        <w:rPr>
          <w:rFonts w:eastAsia="Calibri" w:cs="Times New Roman"/>
          <w:color w:val="000000" w:themeColor="text1"/>
          <w:szCs w:val="24"/>
        </w:rPr>
      </w:pPr>
      <w:r w:rsidRPr="002D3A7D">
        <w:rPr>
          <w:rFonts w:eastAsia="Calibri" w:cs="Times New Roman"/>
          <w:color w:val="000000" w:themeColor="text1"/>
          <w:szCs w:val="24"/>
        </w:rPr>
        <w:t>Senātam</w:t>
      </w:r>
      <w:r w:rsidR="003068C0" w:rsidRPr="002D3A7D">
        <w:rPr>
          <w:rFonts w:eastAsia="Calibri" w:cs="Times New Roman"/>
          <w:color w:val="000000" w:themeColor="text1"/>
          <w:szCs w:val="24"/>
        </w:rPr>
        <w:t xml:space="preserve"> šajā daļā</w:t>
      </w:r>
      <w:r w:rsidRPr="002D3A7D">
        <w:rPr>
          <w:rFonts w:eastAsia="Calibri" w:cs="Times New Roman"/>
          <w:color w:val="000000" w:themeColor="text1"/>
          <w:szCs w:val="24"/>
        </w:rPr>
        <w:t xml:space="preserve"> nerodas šaubas par apelācijas instances tiesas sprieduma tiesiskumu un izskatāmajai lietai nav būtiskas nozīmes judikatūras veidošanā.</w:t>
      </w:r>
    </w:p>
    <w:p w14:paraId="23D779F2" w14:textId="756D3BA8" w:rsidR="003068C0" w:rsidRPr="002D3A7D" w:rsidRDefault="003068C0" w:rsidP="003068C0">
      <w:pPr>
        <w:spacing w:after="0" w:line="276" w:lineRule="auto"/>
        <w:ind w:firstLine="720"/>
        <w:jc w:val="both"/>
      </w:pPr>
      <w:r w:rsidRPr="002D3A7D">
        <w:t>Kriminālprocesa likuma 499. panta pirmā daļa noteic, ka tiesa var pieņemt lēmumu par pierādījumu pārbaudes neizdarīšanu attiecībā uz visu apsūdzību vai tās patstāvīgu daļu tikai ar nosacījumu, ka: 1) apsūdzētais atzīst savu vainu visā viņam izvirzītajā apsūdzībā vai attiecīgā tās daļā; 2) tiesai pēc lietas materiālu pārbaudes nav šaubu par apsūdzētā vainu; 3) apsūdzētais, bet obligātās aizstāvības gadījumos arī viņa aizstāvis un pārstāvis, piekrīt šādas pārbaudes neizdarīšanai.</w:t>
      </w:r>
    </w:p>
    <w:p w14:paraId="26583739" w14:textId="47F44C63" w:rsidR="00795339" w:rsidRPr="002D3A7D" w:rsidRDefault="00795339" w:rsidP="00353623">
      <w:pPr>
        <w:widowControl w:val="0"/>
        <w:spacing w:after="0" w:line="276" w:lineRule="auto"/>
        <w:ind w:firstLine="720"/>
        <w:jc w:val="both"/>
        <w:rPr>
          <w:color w:val="000000" w:themeColor="text1"/>
          <w:szCs w:val="24"/>
        </w:rPr>
      </w:pPr>
      <w:r w:rsidRPr="002D3A7D">
        <w:rPr>
          <w:color w:val="000000" w:themeColor="text1"/>
          <w:szCs w:val="24"/>
        </w:rPr>
        <w:t xml:space="preserve">Pirmās instances tiesa atbilstoši Kriminālprocesa likuma 499. panta pirmajai daļai tiesas izmeklēšanā noskaidrojusi, ka </w:t>
      </w:r>
      <w:r w:rsidR="00B11F84" w:rsidRPr="002D3A7D">
        <w:rPr>
          <w:color w:val="000000" w:themeColor="text1"/>
          <w:szCs w:val="24"/>
        </w:rPr>
        <w:t xml:space="preserve">apsūdzētais </w:t>
      </w:r>
      <w:r w:rsidR="00353623">
        <w:rPr>
          <w:rFonts w:eastAsia="Calibri" w:cs="Times New Roman"/>
          <w:color w:val="000000" w:themeColor="text1"/>
          <w:szCs w:val="24"/>
        </w:rPr>
        <w:t>[pers. </w:t>
      </w:r>
      <w:r w:rsidR="00353623">
        <w:t>A]</w:t>
      </w:r>
      <w:r w:rsidR="00B11F84" w:rsidRPr="002D3A7D">
        <w:rPr>
          <w:rFonts w:eastAsia="Calibri" w:cs="Times New Roman"/>
          <w:color w:val="000000" w:themeColor="text1"/>
          <w:szCs w:val="24"/>
        </w:rPr>
        <w:t xml:space="preserve"> un noziedzīgā nodarījuma līdzizdarītāji </w:t>
      </w:r>
      <w:r w:rsidRPr="002D3A7D">
        <w:rPr>
          <w:color w:val="000000" w:themeColor="text1"/>
          <w:szCs w:val="24"/>
        </w:rPr>
        <w:t>saprot, kāda noziedzīga nodarījuma izdarīšanā viņ</w:t>
      </w:r>
      <w:r w:rsidR="00B11F84" w:rsidRPr="002D3A7D">
        <w:rPr>
          <w:color w:val="000000" w:themeColor="text1"/>
          <w:szCs w:val="24"/>
        </w:rPr>
        <w:t>i</w:t>
      </w:r>
      <w:r w:rsidRPr="002D3A7D">
        <w:rPr>
          <w:color w:val="000000" w:themeColor="text1"/>
          <w:szCs w:val="24"/>
        </w:rPr>
        <w:t xml:space="preserve"> tiek apsūdzēt</w:t>
      </w:r>
      <w:r w:rsidR="00B11F84" w:rsidRPr="002D3A7D">
        <w:rPr>
          <w:color w:val="000000" w:themeColor="text1"/>
          <w:szCs w:val="24"/>
        </w:rPr>
        <w:t>i</w:t>
      </w:r>
      <w:r w:rsidRPr="002D3A7D">
        <w:rPr>
          <w:color w:val="000000" w:themeColor="text1"/>
          <w:szCs w:val="24"/>
        </w:rPr>
        <w:t xml:space="preserve">. </w:t>
      </w:r>
      <w:r w:rsidRPr="002D3A7D">
        <w:rPr>
          <w:rFonts w:eastAsia="Calibri" w:cs="Times New Roman"/>
          <w:color w:val="000000" w:themeColor="text1"/>
          <w:szCs w:val="24"/>
        </w:rPr>
        <w:t>Apsūdzēt</w:t>
      </w:r>
      <w:r w:rsidR="00B11F84" w:rsidRPr="002D3A7D">
        <w:rPr>
          <w:rFonts w:eastAsia="Calibri" w:cs="Times New Roman"/>
          <w:color w:val="000000" w:themeColor="text1"/>
          <w:szCs w:val="24"/>
        </w:rPr>
        <w:t xml:space="preserve">ie, tai skaitā </w:t>
      </w:r>
      <w:r w:rsidR="00353623">
        <w:rPr>
          <w:rFonts w:eastAsia="Calibri" w:cs="Times New Roman"/>
          <w:color w:val="000000" w:themeColor="text1"/>
          <w:szCs w:val="24"/>
        </w:rPr>
        <w:t>[pers. A]</w:t>
      </w:r>
      <w:r w:rsidR="00B11F84" w:rsidRPr="002D3A7D">
        <w:rPr>
          <w:rFonts w:eastAsia="Calibri" w:cs="Times New Roman"/>
          <w:color w:val="000000" w:themeColor="text1"/>
          <w:szCs w:val="24"/>
        </w:rPr>
        <w:t xml:space="preserve"> </w:t>
      </w:r>
      <w:r w:rsidRPr="002D3A7D">
        <w:rPr>
          <w:rFonts w:eastAsia="Calibri" w:cs="Times New Roman"/>
          <w:color w:val="000000" w:themeColor="text1"/>
          <w:szCs w:val="24"/>
        </w:rPr>
        <w:t>atzina sevi par vainīg</w:t>
      </w:r>
      <w:r w:rsidR="00F32B34">
        <w:rPr>
          <w:rFonts w:eastAsia="Calibri" w:cs="Times New Roman"/>
          <w:color w:val="000000" w:themeColor="text1"/>
          <w:szCs w:val="24"/>
        </w:rPr>
        <w:t>iem</w:t>
      </w:r>
      <w:r w:rsidRPr="002D3A7D">
        <w:rPr>
          <w:rFonts w:eastAsia="Calibri" w:cs="Times New Roman"/>
          <w:color w:val="000000" w:themeColor="text1"/>
          <w:szCs w:val="24"/>
        </w:rPr>
        <w:t xml:space="preserve"> </w:t>
      </w:r>
      <w:r w:rsidRPr="002D3A7D">
        <w:t>Krimināllikuma 15. panta ceturtajā daļā, 285.</w:t>
      </w:r>
      <w:r w:rsidRPr="002D3A7D">
        <w:rPr>
          <w:vertAlign w:val="superscript"/>
        </w:rPr>
        <w:t>1</w:t>
      </w:r>
      <w:r w:rsidRPr="002D3A7D">
        <w:t xml:space="preserve"> panta otrajā daļā </w:t>
      </w:r>
      <w:r w:rsidRPr="002D3A7D">
        <w:rPr>
          <w:rFonts w:eastAsia="Calibri" w:cs="Times New Roman"/>
          <w:color w:val="000000" w:themeColor="text1"/>
          <w:szCs w:val="24"/>
        </w:rPr>
        <w:t xml:space="preserve">paredzētajā noziedzīgajā nodarījumā. </w:t>
      </w:r>
      <w:r w:rsidRPr="002D3A7D">
        <w:rPr>
          <w:color w:val="000000" w:themeColor="text1"/>
          <w:szCs w:val="24"/>
        </w:rPr>
        <w:t>Apsūdzēta</w:t>
      </w:r>
      <w:r w:rsidR="00B937F1" w:rsidRPr="002D3A7D">
        <w:rPr>
          <w:color w:val="000000" w:themeColor="text1"/>
          <w:szCs w:val="24"/>
        </w:rPr>
        <w:t>j</w:t>
      </w:r>
      <w:r w:rsidR="00B11F84" w:rsidRPr="002D3A7D">
        <w:rPr>
          <w:color w:val="000000" w:themeColor="text1"/>
          <w:szCs w:val="24"/>
        </w:rPr>
        <w:t>iem</w:t>
      </w:r>
      <w:r w:rsidRPr="002D3A7D">
        <w:rPr>
          <w:color w:val="000000" w:themeColor="text1"/>
          <w:szCs w:val="24"/>
        </w:rPr>
        <w:t xml:space="preserve"> saskaņā ar Kriminālprocesa likuma 499. panta otro daļu izskaidrota pierādījumu pārbaudes neizdarīšanas procesuālā būtība un sekas, proti, ka šādu spriedumu apelācijas kārtībā var pārsūdzēt tikai daļā par tiesas piespriesto sodu, kompensāciju, rīcību ar mantu vai sakarā ar pieļautiem procesa pārkāpumiem. Tiesai nav radušās šaubas par apsūdzēt</w:t>
      </w:r>
      <w:r w:rsidR="00B11F84" w:rsidRPr="002D3A7D">
        <w:rPr>
          <w:color w:val="000000" w:themeColor="text1"/>
          <w:szCs w:val="24"/>
        </w:rPr>
        <w:t xml:space="preserve">o </w:t>
      </w:r>
      <w:r w:rsidRPr="002D3A7D">
        <w:rPr>
          <w:color w:val="000000" w:themeColor="text1"/>
          <w:szCs w:val="24"/>
        </w:rPr>
        <w:t xml:space="preserve">vainu un procesa dalībnieki, tai skaitā apsūdzētais </w:t>
      </w:r>
      <w:r w:rsidR="00353623">
        <w:rPr>
          <w:rFonts w:eastAsia="Calibri" w:cs="Times New Roman"/>
          <w:color w:val="000000" w:themeColor="text1"/>
          <w:szCs w:val="24"/>
        </w:rPr>
        <w:t>[pers. </w:t>
      </w:r>
      <w:r w:rsidR="00353623">
        <w:t>A]</w:t>
      </w:r>
      <w:r w:rsidR="00B11F84" w:rsidRPr="002D3A7D">
        <w:rPr>
          <w:rFonts w:eastAsia="Calibri" w:cs="Times New Roman"/>
          <w:color w:val="000000" w:themeColor="text1"/>
          <w:szCs w:val="24"/>
        </w:rPr>
        <w:t xml:space="preserve"> </w:t>
      </w:r>
      <w:r w:rsidRPr="002D3A7D">
        <w:rPr>
          <w:color w:val="000000" w:themeColor="text1"/>
          <w:szCs w:val="24"/>
        </w:rPr>
        <w:lastRenderedPageBreak/>
        <w:t>piekrita pierādījumu pārbaudes neizdarīšanai. Arī apelācijas instances tiesai pēc lietas materiālu pārbaudes nav radušās šaubas par apsūdzēt</w:t>
      </w:r>
      <w:r w:rsidR="00B11F84" w:rsidRPr="002D3A7D">
        <w:rPr>
          <w:color w:val="000000" w:themeColor="text1"/>
          <w:szCs w:val="24"/>
        </w:rPr>
        <w:t>o</w:t>
      </w:r>
      <w:r w:rsidRPr="002D3A7D">
        <w:rPr>
          <w:color w:val="000000" w:themeColor="text1"/>
          <w:szCs w:val="24"/>
        </w:rPr>
        <w:t xml:space="preserve"> vainīgumu un saskaņā ar Kriminālprocesa likuma 562. panta pirmo daļu apelācijas sūdzības un protestu izskatījusi daļā par pirmās instances tiesas piespriesto sodu.</w:t>
      </w:r>
    </w:p>
    <w:p w14:paraId="5F969EE5" w14:textId="18D1F2C4" w:rsidR="006B3E93" w:rsidRDefault="00423051" w:rsidP="00353623">
      <w:pPr>
        <w:widowControl w:val="0"/>
        <w:spacing w:after="0" w:line="276" w:lineRule="auto"/>
        <w:ind w:firstLine="720"/>
        <w:jc w:val="both"/>
        <w:rPr>
          <w:rFonts w:eastAsia="Calibri" w:cs="Times New Roman"/>
          <w:color w:val="000000" w:themeColor="text1"/>
          <w:szCs w:val="24"/>
        </w:rPr>
      </w:pPr>
      <w:r w:rsidRPr="002D3A7D">
        <w:rPr>
          <w:color w:val="000000" w:themeColor="text1"/>
          <w:szCs w:val="24"/>
        </w:rPr>
        <w:t xml:space="preserve">Tāpat </w:t>
      </w:r>
      <w:r w:rsidR="00383EC1" w:rsidRPr="002D3A7D">
        <w:rPr>
          <w:color w:val="000000" w:themeColor="text1"/>
          <w:szCs w:val="24"/>
        </w:rPr>
        <w:t xml:space="preserve">Senāts atzīst, ka šaubas </w:t>
      </w:r>
      <w:r w:rsidR="00B3433F" w:rsidRPr="002D3A7D">
        <w:rPr>
          <w:color w:val="000000" w:themeColor="text1"/>
          <w:szCs w:val="24"/>
        </w:rPr>
        <w:t xml:space="preserve">par noziedzīgā nodarījuma kvalifikāciju neizraisa arī </w:t>
      </w:r>
      <w:r w:rsidR="009A4962" w:rsidRPr="002D3A7D">
        <w:rPr>
          <w:color w:val="000000" w:themeColor="text1"/>
          <w:szCs w:val="24"/>
        </w:rPr>
        <w:t xml:space="preserve">aizstāves </w:t>
      </w:r>
      <w:r w:rsidR="00B3433F" w:rsidRPr="002D3A7D">
        <w:rPr>
          <w:color w:val="000000" w:themeColor="text1"/>
          <w:szCs w:val="24"/>
        </w:rPr>
        <w:t xml:space="preserve">arguments par to, ka </w:t>
      </w:r>
      <w:r w:rsidR="00353623">
        <w:rPr>
          <w:rFonts w:eastAsia="Calibri" w:cs="Times New Roman"/>
          <w:color w:val="000000" w:themeColor="text1"/>
          <w:szCs w:val="24"/>
        </w:rPr>
        <w:t>[pers. </w:t>
      </w:r>
      <w:r w:rsidR="00353623">
        <w:t>A]</w:t>
      </w:r>
      <w:r w:rsidR="009A4962" w:rsidRPr="002D3A7D">
        <w:rPr>
          <w:rFonts w:eastAsia="Calibri" w:cs="Times New Roman"/>
          <w:color w:val="000000" w:themeColor="text1"/>
          <w:szCs w:val="24"/>
        </w:rPr>
        <w:t xml:space="preserve"> nevarēja nodrošināt vairākām personām iespēju nelikumīgi uzturēties Latvijas Republikā, jo </w:t>
      </w:r>
      <w:r w:rsidR="00BB4E8D" w:rsidRPr="002D3A7D">
        <w:rPr>
          <w:rFonts w:eastAsia="Calibri" w:cs="Times New Roman"/>
          <w:color w:val="000000" w:themeColor="text1"/>
          <w:szCs w:val="24"/>
        </w:rPr>
        <w:t>viņš automašīnu nav vadījis</w:t>
      </w:r>
      <w:r w:rsidRPr="002D3A7D">
        <w:rPr>
          <w:rFonts w:eastAsia="Calibri" w:cs="Times New Roman"/>
          <w:color w:val="000000" w:themeColor="text1"/>
          <w:szCs w:val="24"/>
        </w:rPr>
        <w:t>.</w:t>
      </w:r>
    </w:p>
    <w:p w14:paraId="0921D3C9" w14:textId="793F6CCD" w:rsidR="008658AB" w:rsidRPr="006B3E93" w:rsidRDefault="006B3E93" w:rsidP="006B3E93">
      <w:pPr>
        <w:widowControl w:val="0"/>
        <w:spacing w:after="0" w:line="276" w:lineRule="auto"/>
        <w:ind w:firstLine="720"/>
        <w:jc w:val="both"/>
      </w:pPr>
      <w:r w:rsidRPr="002D3A7D">
        <w:rPr>
          <w:rFonts w:eastAsia="Calibri" w:cs="Times New Roman"/>
          <w:color w:val="000000" w:themeColor="text1"/>
          <w:szCs w:val="24"/>
        </w:rPr>
        <w:t>Senāts atzīst, ka</w:t>
      </w:r>
      <w:r>
        <w:rPr>
          <w:rFonts w:eastAsia="Calibri" w:cs="Times New Roman"/>
          <w:color w:val="000000" w:themeColor="text1"/>
          <w:szCs w:val="24"/>
        </w:rPr>
        <w:t xml:space="preserve"> minētajam apstāklim </w:t>
      </w:r>
      <w:r w:rsidRPr="002D3A7D">
        <w:t>nav izšķiroša nozīme inkriminētā noziedzīgā nodarījuma kvalifikācijā.</w:t>
      </w:r>
    </w:p>
    <w:p w14:paraId="7E0F3E9E" w14:textId="74331F71" w:rsidR="008658AB" w:rsidRDefault="00136FE4" w:rsidP="006B3E93">
      <w:pPr>
        <w:widowControl w:val="0"/>
        <w:spacing w:after="0" w:line="276" w:lineRule="auto"/>
        <w:ind w:firstLine="720"/>
        <w:jc w:val="both"/>
        <w:rPr>
          <w:rFonts w:eastAsia="Calibri" w:cs="Times New Roman"/>
          <w:color w:val="000000" w:themeColor="text1"/>
          <w:szCs w:val="24"/>
        </w:rPr>
      </w:pPr>
      <w:r>
        <w:rPr>
          <w:rFonts w:eastAsia="Calibri" w:cs="Times New Roman"/>
          <w:color w:val="000000" w:themeColor="text1"/>
          <w:szCs w:val="24"/>
        </w:rPr>
        <w:t xml:space="preserve">No </w:t>
      </w:r>
      <w:r w:rsidR="003B4AB1">
        <w:rPr>
          <w:rFonts w:eastAsia="Calibri" w:cs="Times New Roman"/>
          <w:color w:val="000000" w:themeColor="text1"/>
          <w:szCs w:val="24"/>
        </w:rPr>
        <w:t xml:space="preserve">tiesas sniegtā </w:t>
      </w:r>
      <w:r>
        <w:rPr>
          <w:rFonts w:eastAsia="Calibri" w:cs="Times New Roman"/>
          <w:color w:val="000000" w:themeColor="text1"/>
          <w:szCs w:val="24"/>
        </w:rPr>
        <w:t xml:space="preserve">pierādītā noziedzīgā nodarījuma apraksta izriet, ka </w:t>
      </w:r>
      <w:r w:rsidR="00353623">
        <w:rPr>
          <w:rFonts w:eastAsia="Calibri" w:cs="Times New Roman"/>
          <w:color w:val="000000" w:themeColor="text1"/>
          <w:szCs w:val="24"/>
        </w:rPr>
        <w:t>[pers. A]</w:t>
      </w:r>
      <w:r>
        <w:rPr>
          <w:rFonts w:eastAsia="Calibri" w:cs="Times New Roman"/>
          <w:color w:val="000000" w:themeColor="text1"/>
          <w:szCs w:val="24"/>
        </w:rPr>
        <w:t xml:space="preserve"> kopā ar citām personām norunātajā vietā </w:t>
      </w:r>
      <w:r w:rsidR="00540487">
        <w:rPr>
          <w:rFonts w:eastAsia="Calibri" w:cs="Times New Roman"/>
          <w:color w:val="000000" w:themeColor="text1"/>
          <w:szCs w:val="24"/>
        </w:rPr>
        <w:t>sa</w:t>
      </w:r>
      <w:r>
        <w:rPr>
          <w:rFonts w:eastAsia="Calibri" w:cs="Times New Roman"/>
          <w:color w:val="000000" w:themeColor="text1"/>
          <w:szCs w:val="24"/>
        </w:rPr>
        <w:t xml:space="preserve">gaidīja astoņus nelegālos migrantus, kas nelikumīgi šķērsoja Latvijas Republikas robežu no Baltkrievijas teritorijas, nolūkā </w:t>
      </w:r>
      <w:r w:rsidR="006B3E93">
        <w:rPr>
          <w:rFonts w:eastAsia="Calibri" w:cs="Times New Roman"/>
          <w:color w:val="000000" w:themeColor="text1"/>
          <w:szCs w:val="24"/>
        </w:rPr>
        <w:t>nodrošināt viņiem nelikumīgu uzturēšanos Latvijas Republikā,</w:t>
      </w:r>
      <w:r>
        <w:rPr>
          <w:rFonts w:eastAsia="Calibri" w:cs="Times New Roman"/>
          <w:color w:val="000000" w:themeColor="text1"/>
          <w:szCs w:val="24"/>
        </w:rPr>
        <w:t xml:space="preserve"> </w:t>
      </w:r>
      <w:r w:rsidR="003B4AB1">
        <w:rPr>
          <w:rFonts w:eastAsia="Calibri" w:cs="Times New Roman"/>
          <w:color w:val="000000" w:themeColor="text1"/>
          <w:szCs w:val="24"/>
        </w:rPr>
        <w:t xml:space="preserve">ar </w:t>
      </w:r>
      <w:r w:rsidR="006B3E93">
        <w:rPr>
          <w:rFonts w:eastAsia="Calibri" w:cs="Times New Roman"/>
          <w:color w:val="000000" w:themeColor="text1"/>
          <w:szCs w:val="24"/>
        </w:rPr>
        <w:t>automašīn</w:t>
      </w:r>
      <w:r w:rsidR="003B4AB1">
        <w:rPr>
          <w:rFonts w:eastAsia="Calibri" w:cs="Times New Roman"/>
          <w:color w:val="000000" w:themeColor="text1"/>
          <w:szCs w:val="24"/>
        </w:rPr>
        <w:t>u</w:t>
      </w:r>
      <w:r w:rsidR="006B3E93">
        <w:rPr>
          <w:rFonts w:eastAsia="Calibri" w:cs="Times New Roman"/>
          <w:color w:val="000000" w:themeColor="text1"/>
          <w:szCs w:val="24"/>
        </w:rPr>
        <w:t xml:space="preserve"> </w:t>
      </w:r>
      <w:r>
        <w:rPr>
          <w:rFonts w:eastAsia="Calibri" w:cs="Times New Roman"/>
          <w:color w:val="000000" w:themeColor="text1"/>
          <w:szCs w:val="24"/>
        </w:rPr>
        <w:t>aizve</w:t>
      </w:r>
      <w:r w:rsidR="006B3E93">
        <w:rPr>
          <w:rFonts w:eastAsia="Calibri" w:cs="Times New Roman"/>
          <w:color w:val="000000" w:themeColor="text1"/>
          <w:szCs w:val="24"/>
        </w:rPr>
        <w:t>dot</w:t>
      </w:r>
      <w:r>
        <w:rPr>
          <w:rFonts w:eastAsia="Calibri" w:cs="Times New Roman"/>
          <w:color w:val="000000" w:themeColor="text1"/>
          <w:szCs w:val="24"/>
        </w:rPr>
        <w:t xml:space="preserve"> </w:t>
      </w:r>
      <w:r w:rsidR="003B4AB1">
        <w:rPr>
          <w:rFonts w:eastAsia="Calibri" w:cs="Times New Roman"/>
          <w:color w:val="000000" w:themeColor="text1"/>
          <w:szCs w:val="24"/>
        </w:rPr>
        <w:t xml:space="preserve">nelegālos migrantus </w:t>
      </w:r>
      <w:r w:rsidR="006B3E93">
        <w:rPr>
          <w:rFonts w:eastAsia="Calibri" w:cs="Times New Roman"/>
          <w:color w:val="000000" w:themeColor="text1"/>
          <w:szCs w:val="24"/>
        </w:rPr>
        <w:t>uz Vāciju.</w:t>
      </w:r>
    </w:p>
    <w:p w14:paraId="4C945169" w14:textId="77777777" w:rsidR="000E5220" w:rsidRPr="002D3A7D" w:rsidRDefault="000E5220" w:rsidP="000E5220">
      <w:pPr>
        <w:widowControl w:val="0"/>
        <w:spacing w:after="0" w:line="276" w:lineRule="auto"/>
        <w:ind w:firstLine="720"/>
        <w:jc w:val="both"/>
        <w:rPr>
          <w:color w:val="000000" w:themeColor="text1"/>
        </w:rPr>
      </w:pPr>
      <w:r w:rsidRPr="002D3A7D">
        <w:rPr>
          <w:rFonts w:asciiTheme="majorBidi" w:eastAsia="Calibri" w:hAnsiTheme="majorBidi" w:cstheme="majorBidi"/>
          <w:szCs w:val="24"/>
        </w:rPr>
        <w:t>Minētais šajā daļā ir pamats atteikumam ierosināt kasācijas tiesvedību saskaņā ar Kriminālprocesa likuma 573.</w:t>
      </w:r>
      <w:r w:rsidRPr="002D3A7D">
        <w:rPr>
          <w:rFonts w:asciiTheme="majorBidi" w:eastAsia="Calibri" w:hAnsiTheme="majorBidi" w:cstheme="majorBidi"/>
          <w:szCs w:val="24"/>
          <w:vertAlign w:val="superscript"/>
        </w:rPr>
        <w:t>1 </w:t>
      </w:r>
      <w:r w:rsidRPr="002D3A7D">
        <w:rPr>
          <w:rFonts w:asciiTheme="majorBidi" w:eastAsia="Calibri" w:hAnsiTheme="majorBidi" w:cstheme="majorBidi"/>
          <w:szCs w:val="24"/>
        </w:rPr>
        <w:t xml:space="preserve">panta </w:t>
      </w:r>
      <w:r w:rsidRPr="002D3A7D">
        <w:rPr>
          <w:color w:val="000000" w:themeColor="text1"/>
        </w:rPr>
        <w:t>otrās daļas 2. punktu.</w:t>
      </w:r>
    </w:p>
    <w:p w14:paraId="7E35D25C" w14:textId="1C10D3A6" w:rsidR="00E34C53" w:rsidRPr="002D3A7D" w:rsidRDefault="00E34C53" w:rsidP="000E5220">
      <w:pPr>
        <w:widowControl w:val="0"/>
        <w:spacing w:after="0" w:line="276" w:lineRule="auto"/>
        <w:ind w:firstLine="720"/>
        <w:jc w:val="both"/>
        <w:rPr>
          <w:rFonts w:asciiTheme="majorBidi" w:eastAsia="Calibri" w:hAnsiTheme="majorBidi" w:cstheme="majorBidi"/>
          <w:color w:val="000000" w:themeColor="text1"/>
          <w:szCs w:val="24"/>
        </w:rPr>
      </w:pPr>
      <w:r w:rsidRPr="002D3A7D">
        <w:rPr>
          <w:rFonts w:asciiTheme="majorBidi" w:eastAsia="Calibri" w:hAnsiTheme="majorBidi" w:cstheme="majorBidi"/>
          <w:color w:val="000000" w:themeColor="text1"/>
          <w:szCs w:val="24"/>
        </w:rPr>
        <w:t>Kriminālprocesa likuma 573.</w:t>
      </w:r>
      <w:r w:rsidRPr="002D3A7D">
        <w:rPr>
          <w:rFonts w:asciiTheme="majorBidi" w:eastAsia="Calibri" w:hAnsiTheme="majorBidi" w:cstheme="majorBidi"/>
          <w:color w:val="000000" w:themeColor="text1"/>
          <w:szCs w:val="24"/>
          <w:vertAlign w:val="superscript"/>
        </w:rPr>
        <w:t>1 </w:t>
      </w:r>
      <w:r w:rsidRPr="002D3A7D">
        <w:rPr>
          <w:rFonts w:asciiTheme="majorBidi" w:eastAsia="Calibri" w:hAnsiTheme="majorBidi" w:cstheme="majorBidi"/>
          <w:color w:val="000000" w:themeColor="text1"/>
          <w:szCs w:val="24"/>
        </w:rPr>
        <w:t>panta pirmā daļa noteic, ka tiesa atsakās ierosināt kasācijas tiesvedību, ja kasācijas sūdzība vai protests neatbilst šā likuma 569., 571., 572. pantā un 573. panta pirmajā daļā minētajām prasībām.</w:t>
      </w:r>
    </w:p>
    <w:p w14:paraId="71D41B44" w14:textId="77777777" w:rsidR="00E34C53" w:rsidRPr="002D3A7D" w:rsidRDefault="00E34C53" w:rsidP="00E34C53">
      <w:pPr>
        <w:widowControl w:val="0"/>
        <w:spacing w:after="0" w:line="276" w:lineRule="auto"/>
        <w:ind w:firstLine="720"/>
        <w:jc w:val="both"/>
        <w:rPr>
          <w:rFonts w:asciiTheme="majorBidi" w:hAnsiTheme="majorBidi" w:cstheme="majorBidi"/>
          <w:szCs w:val="24"/>
        </w:rPr>
      </w:pPr>
      <w:r w:rsidRPr="002D3A7D">
        <w:rPr>
          <w:rFonts w:asciiTheme="majorBidi" w:hAnsiTheme="majorBidi" w:cstheme="majorBidi"/>
          <w:szCs w:val="24"/>
        </w:rPr>
        <w:t>Atbilstoši Kriminālprocesa likuma 569. panta pirmajai daļai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 Minētā panta trešā daļa noteic, ka kasācijas instances tiesa pierādījumus lietā no jauna neizvērtē.</w:t>
      </w:r>
    </w:p>
    <w:p w14:paraId="158C33E5" w14:textId="7CB92EFE" w:rsidR="00F416E5" w:rsidRPr="002D3A7D" w:rsidRDefault="001278B1" w:rsidP="00353623">
      <w:pPr>
        <w:spacing w:after="0" w:line="276" w:lineRule="auto"/>
        <w:ind w:firstLine="720"/>
        <w:jc w:val="both"/>
      </w:pPr>
      <w:r w:rsidRPr="002D3A7D">
        <w:t xml:space="preserve">Senāts konstatē, ka </w:t>
      </w:r>
      <w:r w:rsidRPr="002D3A7D">
        <w:rPr>
          <w:rFonts w:eastAsia="Calibri" w:cs="Times New Roman"/>
          <w:color w:val="000000" w:themeColor="text1"/>
          <w:szCs w:val="24"/>
        </w:rPr>
        <w:t xml:space="preserve">apsūdzēto </w:t>
      </w:r>
      <w:r w:rsidR="00353623" w:rsidRPr="0017570E">
        <w:rPr>
          <w:rFonts w:eastAsia="Calibri" w:cs="Times New Roman"/>
          <w:color w:val="000000" w:themeColor="text1"/>
          <w:szCs w:val="24"/>
        </w:rPr>
        <w:t>[pers. </w:t>
      </w:r>
      <w:r w:rsidR="00353623" w:rsidRPr="0017570E">
        <w:t>B]</w:t>
      </w:r>
      <w:r w:rsidRPr="002D3A7D">
        <w:rPr>
          <w:rFonts w:eastAsia="Calibri" w:cs="Times New Roman"/>
          <w:color w:val="000000" w:themeColor="text1"/>
          <w:szCs w:val="24"/>
        </w:rPr>
        <w:t xml:space="preserve"> un </w:t>
      </w:r>
      <w:r w:rsidR="00353623">
        <w:rPr>
          <w:rFonts w:eastAsia="Calibri" w:cs="Times New Roman"/>
          <w:color w:val="000000" w:themeColor="text1"/>
          <w:szCs w:val="24"/>
        </w:rPr>
        <w:t>[pers. C]</w:t>
      </w:r>
      <w:r w:rsidRPr="002D3A7D">
        <w:rPr>
          <w:rFonts w:eastAsia="Calibri" w:cs="Times New Roman"/>
          <w:color w:val="000000" w:themeColor="text1"/>
          <w:szCs w:val="24"/>
        </w:rPr>
        <w:t xml:space="preserve"> aizstāves </w:t>
      </w:r>
      <w:r w:rsidRPr="002D3A7D">
        <w:t>kasācijas sūdzībās pamatā atkārtoti apelācijas sūdzībās norādītie argumenti par apsūdzētajiem piespriestā soda bargumu.</w:t>
      </w:r>
    </w:p>
    <w:p w14:paraId="242738FF" w14:textId="6FB4D891" w:rsidR="00F03D6B" w:rsidRPr="002D3A7D" w:rsidRDefault="00F03D6B" w:rsidP="00353623">
      <w:pPr>
        <w:widowControl w:val="0"/>
        <w:spacing w:after="0" w:line="276" w:lineRule="auto"/>
        <w:ind w:firstLine="720"/>
        <w:jc w:val="both"/>
      </w:pPr>
      <w:r w:rsidRPr="002D3A7D">
        <w:t xml:space="preserve">No apelācijas instances tiesas sprieduma konstatējams, ka, lemjot par </w:t>
      </w:r>
      <w:r w:rsidRPr="0017570E">
        <w:t xml:space="preserve">apsūdzētajiem </w:t>
      </w:r>
      <w:r w:rsidR="00353623" w:rsidRPr="0017570E">
        <w:rPr>
          <w:rFonts w:eastAsia="Calibri" w:cs="Times New Roman"/>
          <w:color w:val="000000" w:themeColor="text1"/>
          <w:szCs w:val="24"/>
        </w:rPr>
        <w:t>[pers. B]</w:t>
      </w:r>
      <w:r w:rsidRPr="002D3A7D">
        <w:rPr>
          <w:rFonts w:eastAsia="Calibri" w:cs="Times New Roman"/>
          <w:color w:val="000000" w:themeColor="text1"/>
          <w:szCs w:val="24"/>
        </w:rPr>
        <w:t xml:space="preserve"> un </w:t>
      </w:r>
      <w:r w:rsidR="00353623">
        <w:rPr>
          <w:rFonts w:eastAsia="Calibri" w:cs="Times New Roman"/>
          <w:color w:val="000000" w:themeColor="text1"/>
          <w:szCs w:val="24"/>
        </w:rPr>
        <w:t>[pers. C]</w:t>
      </w:r>
      <w:r w:rsidRPr="002D3A7D">
        <w:rPr>
          <w:rFonts w:eastAsia="Calibri" w:cs="Times New Roman"/>
          <w:color w:val="000000" w:themeColor="text1"/>
          <w:szCs w:val="24"/>
        </w:rPr>
        <w:t xml:space="preserve"> </w:t>
      </w:r>
      <w:r w:rsidRPr="002D3A7D">
        <w:t>nosakāmo sodu, tiesa pretēji</w:t>
      </w:r>
      <w:r w:rsidR="00F416E5">
        <w:t xml:space="preserve"> </w:t>
      </w:r>
      <w:r w:rsidRPr="002D3A7D">
        <w:rPr>
          <w:rFonts w:eastAsia="Calibri" w:cs="Times New Roman"/>
          <w:color w:val="000000" w:themeColor="text1"/>
          <w:szCs w:val="24"/>
        </w:rPr>
        <w:t xml:space="preserve">apsūdzēto </w:t>
      </w:r>
      <w:r w:rsidR="00353623" w:rsidRPr="0017570E">
        <w:rPr>
          <w:rFonts w:eastAsia="Calibri" w:cs="Times New Roman"/>
          <w:color w:val="000000" w:themeColor="text1"/>
          <w:szCs w:val="24"/>
        </w:rPr>
        <w:t>[pers. B]</w:t>
      </w:r>
      <w:r w:rsidRPr="0017570E">
        <w:rPr>
          <w:rFonts w:eastAsia="Calibri" w:cs="Times New Roman"/>
          <w:color w:val="000000" w:themeColor="text1"/>
          <w:szCs w:val="24"/>
        </w:rPr>
        <w:t xml:space="preserve"> un</w:t>
      </w:r>
      <w:r w:rsidRPr="002D3A7D">
        <w:rPr>
          <w:rFonts w:eastAsia="Calibri" w:cs="Times New Roman"/>
          <w:color w:val="000000" w:themeColor="text1"/>
          <w:szCs w:val="24"/>
        </w:rPr>
        <w:t xml:space="preserve"> </w:t>
      </w:r>
      <w:r w:rsidR="00353623">
        <w:rPr>
          <w:rFonts w:eastAsia="Calibri" w:cs="Times New Roman"/>
          <w:color w:val="000000" w:themeColor="text1"/>
          <w:szCs w:val="24"/>
        </w:rPr>
        <w:t>[pers. C]</w:t>
      </w:r>
      <w:r w:rsidRPr="002D3A7D">
        <w:rPr>
          <w:rFonts w:eastAsia="Calibri" w:cs="Times New Roman"/>
          <w:color w:val="000000" w:themeColor="text1"/>
          <w:szCs w:val="24"/>
        </w:rPr>
        <w:t xml:space="preserve"> aizstāves </w:t>
      </w:r>
      <w:r w:rsidRPr="002D3A7D">
        <w:t>kasācijas sūdzībās norādītajam ir vērtējusi noziedzīgā nodarījuma raksturu un radīto kaitējumu, kas atšķir to no citiem tāda paša veida noziedzīgajiem nodarījumiem, apsūdzēt</w:t>
      </w:r>
      <w:r w:rsidR="009B00D8" w:rsidRPr="002D3A7D">
        <w:t xml:space="preserve">o </w:t>
      </w:r>
      <w:r w:rsidR="00353623">
        <w:rPr>
          <w:rFonts w:eastAsia="Calibri" w:cs="Times New Roman"/>
          <w:color w:val="000000" w:themeColor="text1"/>
          <w:szCs w:val="24"/>
        </w:rPr>
        <w:t>[pers. </w:t>
      </w:r>
      <w:r w:rsidR="00EC5C2B">
        <w:t>B</w:t>
      </w:r>
      <w:r w:rsidR="00353623">
        <w:t>]</w:t>
      </w:r>
      <w:r w:rsidR="009B00D8" w:rsidRPr="002D3A7D">
        <w:rPr>
          <w:rFonts w:eastAsia="Calibri" w:cs="Times New Roman"/>
          <w:color w:val="000000" w:themeColor="text1"/>
          <w:szCs w:val="24"/>
        </w:rPr>
        <w:t xml:space="preserve"> un </w:t>
      </w:r>
      <w:r w:rsidR="00353623">
        <w:rPr>
          <w:rFonts w:eastAsia="Calibri" w:cs="Times New Roman"/>
          <w:color w:val="000000" w:themeColor="text1"/>
          <w:szCs w:val="24"/>
        </w:rPr>
        <w:t>[pers. </w:t>
      </w:r>
      <w:r w:rsidR="00353623">
        <w:t>C]</w:t>
      </w:r>
      <w:r w:rsidRPr="002D3A7D">
        <w:t xml:space="preserve"> personīb</w:t>
      </w:r>
      <w:r w:rsidR="009B00D8" w:rsidRPr="002D3A7D">
        <w:t>as</w:t>
      </w:r>
      <w:r w:rsidRPr="002D3A7D">
        <w:t>, kā arī Krimināllikuma 35. pantā noteikto soda mērķi.</w:t>
      </w:r>
    </w:p>
    <w:p w14:paraId="6E7B6487" w14:textId="4A6A3E03" w:rsidR="004D7C54" w:rsidRPr="002D3A7D" w:rsidRDefault="00AB15A4" w:rsidP="00255EC8">
      <w:pPr>
        <w:widowControl w:val="0"/>
        <w:spacing w:after="0" w:line="276" w:lineRule="auto"/>
        <w:ind w:firstLine="720"/>
        <w:jc w:val="both"/>
        <w:rPr>
          <w:rFonts w:asciiTheme="majorBidi" w:eastAsia="Times New Roman" w:hAnsiTheme="majorBidi" w:cstheme="majorBidi"/>
          <w:szCs w:val="24"/>
        </w:rPr>
      </w:pPr>
      <w:r w:rsidRPr="002D3A7D">
        <w:rPr>
          <w:rFonts w:asciiTheme="majorBidi" w:eastAsia="Times New Roman" w:hAnsiTheme="majorBidi" w:cstheme="majorBidi"/>
          <w:szCs w:val="24"/>
        </w:rPr>
        <w:t>Apelācijas instances tiesa atzinusi, ka pirmās instances tiesa atbilstoši Krimināllikuma 46. panta ceturtās daļas prasībām pamatojusi, kāpēc tikai ar brīvības atņemšanas piemērošanu sasniedzams soda mērķis. Tiesa norādījusi, ka</w:t>
      </w:r>
      <w:r w:rsidR="00255EC8" w:rsidRPr="002D3A7D">
        <w:rPr>
          <w:rFonts w:asciiTheme="majorBidi" w:eastAsia="Times New Roman" w:hAnsiTheme="majorBidi" w:cstheme="majorBidi"/>
          <w:szCs w:val="24"/>
        </w:rPr>
        <w:t xml:space="preserve"> ir </w:t>
      </w:r>
      <w:r w:rsidR="00255EC8" w:rsidRPr="002D3A7D">
        <w:t>būtiski pieaudzis to konstatēto noziedzīgo nodarījumu skaits, kas saistīti ar Latvijas Republikas valsts robežu nelikumīgi šķērsojošo personu nodrošināšanu ar iespēju nelikumīgi uzturēties Latvijas Republikā, tās pārvietojot pa valsts teritoriju</w:t>
      </w:r>
      <w:r w:rsidR="002D3A7D" w:rsidRPr="002D3A7D">
        <w:t>,</w:t>
      </w:r>
      <w:r w:rsidR="00255EC8" w:rsidRPr="002D3A7D">
        <w:t xml:space="preserve"> un </w:t>
      </w:r>
      <w:r w:rsidR="004D7C54" w:rsidRPr="002D3A7D">
        <w:rPr>
          <w:rFonts w:asciiTheme="majorBidi" w:eastAsia="Times New Roman" w:hAnsiTheme="majorBidi" w:cstheme="majorBidi"/>
          <w:szCs w:val="24"/>
        </w:rPr>
        <w:t>iepriekš piespriestie sodi līdzīgās lietās nav atturējuši apsūdzētos no noziedzīgā nodarījuma izdarīšanas, turklāt reģionā, kurā izsludināts ārkārtas stāvoklis</w:t>
      </w:r>
      <w:r w:rsidR="00255EC8" w:rsidRPr="002D3A7D">
        <w:rPr>
          <w:rFonts w:asciiTheme="majorBidi" w:eastAsia="Times New Roman" w:hAnsiTheme="majorBidi" w:cstheme="majorBidi"/>
          <w:szCs w:val="24"/>
        </w:rPr>
        <w:t xml:space="preserve"> saistībā ar migrācijas krīzi uz starpvalstu robežām.</w:t>
      </w:r>
    </w:p>
    <w:p w14:paraId="355E7A48" w14:textId="77777777" w:rsidR="0027014C" w:rsidRDefault="002134C2" w:rsidP="0027014C">
      <w:pPr>
        <w:widowControl w:val="0"/>
        <w:spacing w:after="0" w:line="276" w:lineRule="auto"/>
        <w:ind w:firstLine="720"/>
        <w:jc w:val="both"/>
        <w:rPr>
          <w:rFonts w:asciiTheme="majorBidi" w:eastAsia="Calibri" w:hAnsiTheme="majorBidi" w:cstheme="majorBidi"/>
          <w:szCs w:val="24"/>
        </w:rPr>
      </w:pPr>
      <w:r w:rsidRPr="002D3A7D">
        <w:rPr>
          <w:rFonts w:asciiTheme="majorBidi" w:eastAsia="Calibri" w:hAnsiTheme="majorBidi" w:cstheme="majorBidi"/>
          <w:szCs w:val="24"/>
        </w:rPr>
        <w:t xml:space="preserve">Tiesa, izvērtējot noziedzīgā nodarījuma raksturu, ņēmusi vērā, ka </w:t>
      </w:r>
      <w:r w:rsidR="00A74395" w:rsidRPr="002D3A7D">
        <w:rPr>
          <w:rFonts w:asciiTheme="majorBidi" w:eastAsia="Calibri" w:hAnsiTheme="majorBidi" w:cstheme="majorBidi"/>
          <w:szCs w:val="24"/>
        </w:rPr>
        <w:t xml:space="preserve">apsūdzētie </w:t>
      </w:r>
      <w:r w:rsidR="005868F0">
        <w:rPr>
          <w:rFonts w:asciiTheme="majorBidi" w:eastAsia="Calibri" w:hAnsiTheme="majorBidi" w:cstheme="majorBidi"/>
          <w:szCs w:val="24"/>
        </w:rPr>
        <w:t xml:space="preserve">personu grupā </w:t>
      </w:r>
      <w:r w:rsidR="005868F0" w:rsidRPr="005868F0">
        <w:rPr>
          <w:rFonts w:asciiTheme="majorBidi" w:eastAsia="Calibri" w:hAnsiTheme="majorBidi" w:cstheme="majorBidi"/>
          <w:szCs w:val="24"/>
        </w:rPr>
        <w:t>mantkārīgā nolūkā</w:t>
      </w:r>
      <w:r w:rsidR="005868F0">
        <w:rPr>
          <w:rFonts w:asciiTheme="majorBidi" w:eastAsia="Calibri" w:hAnsiTheme="majorBidi" w:cstheme="majorBidi"/>
          <w:szCs w:val="24"/>
        </w:rPr>
        <w:t xml:space="preserve"> </w:t>
      </w:r>
      <w:r w:rsidR="00AC7032" w:rsidRPr="002D3A7D">
        <w:rPr>
          <w:rFonts w:asciiTheme="majorBidi" w:eastAsia="Calibri" w:hAnsiTheme="majorBidi" w:cstheme="majorBidi"/>
          <w:szCs w:val="24"/>
        </w:rPr>
        <w:t xml:space="preserve">mēģināja </w:t>
      </w:r>
      <w:r w:rsidR="00A74395" w:rsidRPr="002D3A7D">
        <w:rPr>
          <w:rFonts w:asciiTheme="majorBidi" w:eastAsia="Calibri" w:hAnsiTheme="majorBidi" w:cstheme="majorBidi"/>
          <w:szCs w:val="24"/>
        </w:rPr>
        <w:t>izdarī</w:t>
      </w:r>
      <w:r w:rsidR="00AC7032" w:rsidRPr="002D3A7D">
        <w:rPr>
          <w:rFonts w:asciiTheme="majorBidi" w:eastAsia="Calibri" w:hAnsiTheme="majorBidi" w:cstheme="majorBidi"/>
          <w:szCs w:val="24"/>
        </w:rPr>
        <w:t xml:space="preserve">t </w:t>
      </w:r>
      <w:r w:rsidR="00A74395" w:rsidRPr="002D3A7D">
        <w:rPr>
          <w:rFonts w:asciiTheme="majorBidi" w:eastAsia="Calibri" w:hAnsiTheme="majorBidi" w:cstheme="majorBidi"/>
          <w:szCs w:val="24"/>
        </w:rPr>
        <w:t>smagu noziegumu, kas vērsts pret pārvaldības kārtību</w:t>
      </w:r>
      <w:r w:rsidR="00255EC8" w:rsidRPr="002D3A7D">
        <w:rPr>
          <w:rFonts w:asciiTheme="majorBidi" w:eastAsia="Calibri" w:hAnsiTheme="majorBidi" w:cstheme="majorBidi"/>
          <w:szCs w:val="24"/>
        </w:rPr>
        <w:t xml:space="preserve"> –</w:t>
      </w:r>
      <w:r w:rsidR="009C4853" w:rsidRPr="002D3A7D">
        <w:rPr>
          <w:rFonts w:asciiTheme="majorBidi" w:eastAsia="Calibri" w:hAnsiTheme="majorBidi" w:cstheme="majorBidi"/>
          <w:szCs w:val="24"/>
        </w:rPr>
        <w:t xml:space="preserve"> mēģināja nodrošināt iespēju nelikumīgi uzturēties Latvijas </w:t>
      </w:r>
      <w:r w:rsidR="009C4853" w:rsidRPr="002D3A7D">
        <w:rPr>
          <w:rFonts w:asciiTheme="majorBidi" w:eastAsia="Calibri" w:hAnsiTheme="majorBidi" w:cstheme="majorBidi"/>
          <w:szCs w:val="24"/>
        </w:rPr>
        <w:lastRenderedPageBreak/>
        <w:t>Republikā astoņ</w:t>
      </w:r>
      <w:r w:rsidR="00255EC8" w:rsidRPr="002D3A7D">
        <w:rPr>
          <w:rFonts w:asciiTheme="majorBidi" w:eastAsia="Calibri" w:hAnsiTheme="majorBidi" w:cstheme="majorBidi"/>
          <w:szCs w:val="24"/>
        </w:rPr>
        <w:t>u</w:t>
      </w:r>
      <w:r w:rsidR="009C4853" w:rsidRPr="002D3A7D">
        <w:rPr>
          <w:rFonts w:asciiTheme="majorBidi" w:eastAsia="Calibri" w:hAnsiTheme="majorBidi" w:cstheme="majorBidi"/>
          <w:szCs w:val="24"/>
        </w:rPr>
        <w:t xml:space="preserve"> person</w:t>
      </w:r>
      <w:r w:rsidR="00255EC8" w:rsidRPr="002D3A7D">
        <w:rPr>
          <w:rFonts w:asciiTheme="majorBidi" w:eastAsia="Calibri" w:hAnsiTheme="majorBidi" w:cstheme="majorBidi"/>
          <w:szCs w:val="24"/>
        </w:rPr>
        <w:t xml:space="preserve">u grupai. </w:t>
      </w:r>
      <w:r w:rsidR="009C4853" w:rsidRPr="002D3A7D">
        <w:rPr>
          <w:rFonts w:asciiTheme="majorBidi" w:eastAsia="Calibri" w:hAnsiTheme="majorBidi" w:cstheme="majorBidi"/>
          <w:szCs w:val="24"/>
        </w:rPr>
        <w:t xml:space="preserve">Tādējādi </w:t>
      </w:r>
      <w:r w:rsidR="00791C9D" w:rsidRPr="002D3A7D">
        <w:rPr>
          <w:rFonts w:asciiTheme="majorBidi" w:eastAsia="Calibri" w:hAnsiTheme="majorBidi" w:cstheme="majorBidi"/>
          <w:szCs w:val="24"/>
        </w:rPr>
        <w:t xml:space="preserve">apsūdzētie mēģināja radīt apdraudējumu </w:t>
      </w:r>
      <w:r w:rsidR="00BD175E" w:rsidRPr="002D3A7D">
        <w:t xml:space="preserve">sabiedrības un </w:t>
      </w:r>
      <w:r w:rsidR="00791C9D" w:rsidRPr="002D3A7D">
        <w:rPr>
          <w:rFonts w:asciiTheme="majorBidi" w:eastAsia="Calibri" w:hAnsiTheme="majorBidi" w:cstheme="majorBidi"/>
          <w:szCs w:val="24"/>
        </w:rPr>
        <w:t>valsts drošībai</w:t>
      </w:r>
      <w:r w:rsidR="00AC7032" w:rsidRPr="002D3A7D">
        <w:rPr>
          <w:rFonts w:asciiTheme="majorBidi" w:eastAsia="Calibri" w:hAnsiTheme="majorBidi" w:cstheme="majorBidi"/>
          <w:szCs w:val="24"/>
        </w:rPr>
        <w:t>, ko neizdevās realizēt no apsūdzēto gri</w:t>
      </w:r>
      <w:r w:rsidR="00BD175E" w:rsidRPr="002D3A7D">
        <w:rPr>
          <w:rFonts w:asciiTheme="majorBidi" w:eastAsia="Calibri" w:hAnsiTheme="majorBidi" w:cstheme="majorBidi"/>
          <w:szCs w:val="24"/>
        </w:rPr>
        <w:t>b</w:t>
      </w:r>
      <w:r w:rsidR="00AC7032" w:rsidRPr="002D3A7D">
        <w:rPr>
          <w:rFonts w:asciiTheme="majorBidi" w:eastAsia="Calibri" w:hAnsiTheme="majorBidi" w:cstheme="majorBidi"/>
          <w:szCs w:val="24"/>
        </w:rPr>
        <w:t>as neatkarīgu iemeslu dēļ.</w:t>
      </w:r>
    </w:p>
    <w:p w14:paraId="2CA8DFD2" w14:textId="0A1AEA7A" w:rsidR="00E102FF" w:rsidRPr="002D3A7D" w:rsidRDefault="00F03D6B" w:rsidP="00353623">
      <w:pPr>
        <w:widowControl w:val="0"/>
        <w:spacing w:after="0" w:line="276" w:lineRule="auto"/>
        <w:ind w:firstLine="720"/>
        <w:jc w:val="both"/>
      </w:pPr>
      <w:r w:rsidRPr="002D3A7D">
        <w:t>A</w:t>
      </w:r>
      <w:r w:rsidR="00F11EC8" w:rsidRPr="002D3A7D">
        <w:t xml:space="preserve">pelācijas instances tiesa ir detalizēti vērtējusi </w:t>
      </w:r>
      <w:r w:rsidR="00CB3CEF" w:rsidRPr="002D3A7D">
        <w:t>apsūdzēto</w:t>
      </w:r>
      <w:r w:rsidR="00F11EC8" w:rsidRPr="002D3A7D">
        <w:t xml:space="preserve"> </w:t>
      </w:r>
      <w:r w:rsidR="00353623">
        <w:rPr>
          <w:rFonts w:eastAsia="Calibri" w:cs="Times New Roman"/>
          <w:color w:val="000000" w:themeColor="text1"/>
          <w:szCs w:val="24"/>
        </w:rPr>
        <w:t>[pers. B]</w:t>
      </w:r>
      <w:r w:rsidRPr="002D3A7D">
        <w:rPr>
          <w:rFonts w:eastAsia="Calibri" w:cs="Times New Roman"/>
          <w:color w:val="000000" w:themeColor="text1"/>
          <w:szCs w:val="24"/>
        </w:rPr>
        <w:t xml:space="preserve"> un </w:t>
      </w:r>
      <w:r w:rsidR="00353623">
        <w:rPr>
          <w:rFonts w:eastAsia="Calibri" w:cs="Times New Roman"/>
          <w:color w:val="000000" w:themeColor="text1"/>
          <w:szCs w:val="24"/>
        </w:rPr>
        <w:t>[pers. </w:t>
      </w:r>
      <w:r w:rsidR="00353623">
        <w:t>C]</w:t>
      </w:r>
      <w:r w:rsidRPr="002D3A7D">
        <w:rPr>
          <w:rFonts w:eastAsia="Calibri" w:cs="Times New Roman"/>
          <w:color w:val="000000" w:themeColor="text1"/>
          <w:szCs w:val="24"/>
        </w:rPr>
        <w:t xml:space="preserve"> </w:t>
      </w:r>
      <w:r w:rsidR="00F11EC8" w:rsidRPr="0027014C">
        <w:t>personīb</w:t>
      </w:r>
      <w:r w:rsidR="00CB3CEF" w:rsidRPr="0027014C">
        <w:t>as</w:t>
      </w:r>
      <w:r w:rsidR="00F11EC8" w:rsidRPr="002D3A7D">
        <w:t xml:space="preserve"> raksturojošās ziņas, tostarp to, ka apsūdzēt</w:t>
      </w:r>
      <w:r w:rsidR="00CB3CEF" w:rsidRPr="002D3A7D">
        <w:t xml:space="preserve">ie </w:t>
      </w:r>
      <w:r w:rsidR="00F11EC8" w:rsidRPr="002D3A7D">
        <w:t>agrāk nav sodīt</w:t>
      </w:r>
      <w:r w:rsidR="00CB3CEF" w:rsidRPr="002D3A7D">
        <w:t>i</w:t>
      </w:r>
      <w:r w:rsidR="00F11EC8" w:rsidRPr="002D3A7D">
        <w:t>, līdz aizturēšanai strādāj</w:t>
      </w:r>
      <w:r w:rsidR="00CB3CEF" w:rsidRPr="002D3A7D">
        <w:t>uši</w:t>
      </w:r>
      <w:r w:rsidR="00F11EC8" w:rsidRPr="002D3A7D">
        <w:t xml:space="preserve"> algotu</w:t>
      </w:r>
      <w:r w:rsidR="00CB3CEF" w:rsidRPr="002D3A7D">
        <w:t>s</w:t>
      </w:r>
      <w:r w:rsidR="00F11EC8" w:rsidRPr="002D3A7D">
        <w:t xml:space="preserve"> darbu</w:t>
      </w:r>
      <w:r w:rsidR="00CB3CEF" w:rsidRPr="002D3A7D">
        <w:t>s</w:t>
      </w:r>
      <w:r w:rsidR="001278B1" w:rsidRPr="002D3A7D">
        <w:t xml:space="preserve">, </w:t>
      </w:r>
      <w:r w:rsidR="00CB3CEF" w:rsidRPr="002D3A7D">
        <w:t xml:space="preserve">apsūdzētā </w:t>
      </w:r>
      <w:r w:rsidR="00353623">
        <w:rPr>
          <w:rFonts w:eastAsia="Calibri" w:cs="Times New Roman"/>
          <w:color w:val="000000" w:themeColor="text1"/>
          <w:szCs w:val="24"/>
        </w:rPr>
        <w:t>[pers. C]</w:t>
      </w:r>
      <w:r w:rsidR="00CB3CEF" w:rsidRPr="002D3A7D">
        <w:rPr>
          <w:rFonts w:eastAsia="Calibri" w:cs="Times New Roman"/>
          <w:color w:val="000000" w:themeColor="text1"/>
          <w:szCs w:val="24"/>
        </w:rPr>
        <w:t xml:space="preserve"> apgādībā ir trīs nepilngadīgi bērni, </w:t>
      </w:r>
      <w:r w:rsidR="001278B1" w:rsidRPr="002D3A7D">
        <w:t>un norādījusi, ka minētās apsūdzēt</w:t>
      </w:r>
      <w:r w:rsidR="00CB3CEF" w:rsidRPr="002D3A7D">
        <w:t>o</w:t>
      </w:r>
      <w:r w:rsidR="001278B1" w:rsidRPr="002D3A7D">
        <w:t xml:space="preserve"> personī</w:t>
      </w:r>
      <w:r w:rsidR="002D3A7D" w:rsidRPr="002D3A7D">
        <w:t>b</w:t>
      </w:r>
      <w:r w:rsidR="001278B1" w:rsidRPr="002D3A7D">
        <w:t>u raksturojošās ziņas ir vērtējamas kopumā ar noziedzīgā nodarījuma raksturu un radīto kaitējumu</w:t>
      </w:r>
      <w:r w:rsidR="00E102FF" w:rsidRPr="002D3A7D">
        <w:t>.</w:t>
      </w:r>
    </w:p>
    <w:p w14:paraId="341AF967" w14:textId="41C1602B" w:rsidR="00B3741E" w:rsidRPr="002D3A7D" w:rsidRDefault="00B3741E" w:rsidP="00B3741E">
      <w:pPr>
        <w:widowControl w:val="0"/>
        <w:spacing w:after="0" w:line="276" w:lineRule="auto"/>
        <w:ind w:firstLine="720"/>
        <w:jc w:val="both"/>
      </w:pPr>
      <w:r w:rsidRPr="002D3A7D">
        <w:rPr>
          <w:rFonts w:eastAsia="Calibri" w:cs="Times New Roman"/>
          <w:color w:val="000000" w:themeColor="text1"/>
          <w:szCs w:val="24"/>
        </w:rPr>
        <w:t>Vienlaikus apelācijas instances tiesa konstatējusi, ka pirmās instances tiesa jau ņēmusi vērā apsūdzēt</w:t>
      </w:r>
      <w:r w:rsidR="002B6845">
        <w:rPr>
          <w:rFonts w:eastAsia="Calibri" w:cs="Times New Roman"/>
          <w:color w:val="000000" w:themeColor="text1"/>
          <w:szCs w:val="24"/>
        </w:rPr>
        <w:t xml:space="preserve">ā </w:t>
      </w:r>
      <w:r w:rsidR="00353623">
        <w:rPr>
          <w:rFonts w:eastAsia="Calibri" w:cs="Times New Roman"/>
          <w:color w:val="000000" w:themeColor="text1"/>
          <w:szCs w:val="24"/>
        </w:rPr>
        <w:t>[pers. C]</w:t>
      </w:r>
      <w:r w:rsidRPr="002D3A7D">
        <w:rPr>
          <w:rFonts w:eastAsia="Calibri" w:cs="Times New Roman"/>
          <w:color w:val="000000" w:themeColor="text1"/>
          <w:szCs w:val="24"/>
        </w:rPr>
        <w:t xml:space="preserve"> sadarbību ar procesa virzītāju, nosakot sodu.</w:t>
      </w:r>
    </w:p>
    <w:p w14:paraId="2655128E" w14:textId="31A7DE1A" w:rsidR="00B46FFC" w:rsidRPr="002D3A7D" w:rsidRDefault="002134C2" w:rsidP="002134C2">
      <w:pPr>
        <w:widowControl w:val="0"/>
        <w:spacing w:after="0" w:line="276" w:lineRule="auto"/>
        <w:ind w:firstLine="720"/>
        <w:jc w:val="both"/>
        <w:rPr>
          <w:rFonts w:eastAsia="Times New Roman"/>
          <w:szCs w:val="24"/>
        </w:rPr>
      </w:pPr>
      <w:r w:rsidRPr="002D3A7D">
        <w:rPr>
          <w:rFonts w:eastAsia="Times New Roman"/>
          <w:szCs w:val="24"/>
        </w:rPr>
        <w:t>Savukārt to, ka apsūdzētie ir atzinuši savu vainu noziedzīgā nodarījuma izdarīšanā un nožēlo izdarīto, pirmās instances tiesa pamatoti atzinusi par atbildību mīkstinošu apstākli atbilstoši Krimināllikuma 47. panta otrajai daļai</w:t>
      </w:r>
      <w:r w:rsidR="00E06DF7" w:rsidRPr="002D3A7D">
        <w:rPr>
          <w:rFonts w:eastAsia="Times New Roman"/>
          <w:szCs w:val="24"/>
        </w:rPr>
        <w:t>, un saskaņā ar Krimināllikuma 46. panta trešo daļu to ir ņēmusi vērā, nosakot apsūdzētajiem soda mēru.</w:t>
      </w:r>
    </w:p>
    <w:p w14:paraId="10903F35" w14:textId="1A0F2979" w:rsidR="0028719E" w:rsidRPr="002D3A7D" w:rsidRDefault="009A508F" w:rsidP="00353623">
      <w:pPr>
        <w:suppressAutoHyphens/>
        <w:autoSpaceDN w:val="0"/>
        <w:spacing w:after="0" w:line="276" w:lineRule="auto"/>
        <w:ind w:firstLine="720"/>
        <w:jc w:val="both"/>
        <w:rPr>
          <w:rFonts w:cs="Times New Roman"/>
          <w:color w:val="000000" w:themeColor="text1"/>
          <w:szCs w:val="24"/>
        </w:rPr>
      </w:pPr>
      <w:r w:rsidRPr="002D3A7D">
        <w:rPr>
          <w:rFonts w:cs="Times New Roman"/>
          <w:color w:val="000000" w:themeColor="text1"/>
          <w:szCs w:val="24"/>
        </w:rPr>
        <w:t xml:space="preserve">Izvērtējot </w:t>
      </w:r>
      <w:r w:rsidR="00883C44" w:rsidRPr="002D3A7D">
        <w:rPr>
          <w:rFonts w:cs="Times New Roman"/>
          <w:color w:val="000000" w:themeColor="text1"/>
          <w:szCs w:val="24"/>
        </w:rPr>
        <w:t xml:space="preserve">Ministru kabineta 2021. gada 10. augusta rīkojumā Nr. 518 „Par ārkārtējas situācijas izsludināšanu” un krimināllietas materiālos </w:t>
      </w:r>
      <w:r w:rsidRPr="002D3A7D">
        <w:rPr>
          <w:rFonts w:cs="Times New Roman"/>
          <w:color w:val="000000" w:themeColor="text1"/>
          <w:szCs w:val="24"/>
        </w:rPr>
        <w:t>esošās ziņas par to, ka</w:t>
      </w:r>
      <w:r w:rsidR="00883C44" w:rsidRPr="002D3A7D">
        <w:rPr>
          <w:rFonts w:cs="Times New Roman"/>
          <w:color w:val="000000" w:themeColor="text1"/>
          <w:szCs w:val="24"/>
        </w:rPr>
        <w:t xml:space="preserve"> </w:t>
      </w:r>
      <w:r w:rsidR="00883C44" w:rsidRPr="002D3A7D">
        <w:rPr>
          <w:rFonts w:ascii="TimesNewRomanPSMT" w:hAnsi="TimesNewRomanPSMT" w:cs="TimesNewRomanPSMT"/>
          <w:szCs w:val="24"/>
        </w:rPr>
        <w:t xml:space="preserve">apsūdzētie ārkārtējas situācijas laikā mēģināja izdarīt tādu noziedzīgu nodarījumu, kas tieši saistīts ar apstākļiem, kuru dēļ </w:t>
      </w:r>
      <w:r w:rsidR="00C55B37" w:rsidRPr="002D3A7D">
        <w:rPr>
          <w:rFonts w:ascii="TimesNewRomanPSMT" w:hAnsi="TimesNewRomanPSMT" w:cs="TimesNewRomanPSMT"/>
          <w:szCs w:val="24"/>
        </w:rPr>
        <w:t xml:space="preserve">noziedzīgā nodarījuma izdarīšanas vietā </w:t>
      </w:r>
      <w:r w:rsidR="00883C44" w:rsidRPr="002D3A7D">
        <w:rPr>
          <w:rFonts w:ascii="TimesNewRomanPSMT" w:hAnsi="TimesNewRomanPSMT" w:cs="TimesNewRomanPSMT"/>
          <w:szCs w:val="24"/>
        </w:rPr>
        <w:t>tika noteikta ārkārtējā situācija,</w:t>
      </w:r>
      <w:r w:rsidR="005F7DB0" w:rsidRPr="002D3A7D">
        <w:rPr>
          <w:rFonts w:cs="Times New Roman"/>
          <w:color w:val="000000" w:themeColor="text1"/>
          <w:szCs w:val="24"/>
        </w:rPr>
        <w:t xml:space="preserve"> tiesa konstatējusi, ka pirmās instances tiesa pamatoti par apsūdzēto </w:t>
      </w:r>
      <w:r w:rsidR="00353623">
        <w:rPr>
          <w:rFonts w:eastAsia="Calibri" w:cs="Times New Roman"/>
          <w:color w:val="000000" w:themeColor="text1"/>
          <w:szCs w:val="24"/>
        </w:rPr>
        <w:t>[pers. </w:t>
      </w:r>
      <w:r w:rsidR="00353623">
        <w:t>B]</w:t>
      </w:r>
      <w:r w:rsidR="005F7DB0" w:rsidRPr="002D3A7D">
        <w:rPr>
          <w:rFonts w:eastAsia="Calibri" w:cs="Times New Roman"/>
          <w:color w:val="000000" w:themeColor="text1"/>
          <w:szCs w:val="24"/>
        </w:rPr>
        <w:t xml:space="preserve"> un </w:t>
      </w:r>
      <w:r w:rsidR="00353623">
        <w:rPr>
          <w:rFonts w:eastAsia="Calibri" w:cs="Times New Roman"/>
          <w:color w:val="000000" w:themeColor="text1"/>
          <w:szCs w:val="24"/>
        </w:rPr>
        <w:t>[pers. C]</w:t>
      </w:r>
      <w:r w:rsidR="005F7DB0" w:rsidRPr="002D3A7D">
        <w:rPr>
          <w:rFonts w:cs="Times New Roman"/>
          <w:color w:val="000000" w:themeColor="text1"/>
          <w:szCs w:val="24"/>
        </w:rPr>
        <w:t xml:space="preserve"> atbildību pastiprinoš</w:t>
      </w:r>
      <w:r w:rsidR="005E13BA" w:rsidRPr="002D3A7D">
        <w:rPr>
          <w:rFonts w:cs="Times New Roman"/>
          <w:color w:val="000000" w:themeColor="text1"/>
          <w:szCs w:val="24"/>
        </w:rPr>
        <w:t>u</w:t>
      </w:r>
      <w:r w:rsidR="005F7DB0" w:rsidRPr="002D3A7D">
        <w:rPr>
          <w:rFonts w:cs="Times New Roman"/>
          <w:color w:val="000000" w:themeColor="text1"/>
          <w:szCs w:val="24"/>
        </w:rPr>
        <w:t xml:space="preserve"> apstāk</w:t>
      </w:r>
      <w:r w:rsidR="005E13BA" w:rsidRPr="002D3A7D">
        <w:rPr>
          <w:rFonts w:cs="Times New Roman"/>
          <w:color w:val="000000" w:themeColor="text1"/>
          <w:szCs w:val="24"/>
        </w:rPr>
        <w:t>li</w:t>
      </w:r>
      <w:r w:rsidR="005F7DB0" w:rsidRPr="002D3A7D">
        <w:rPr>
          <w:rFonts w:cs="Times New Roman"/>
          <w:color w:val="000000" w:themeColor="text1"/>
          <w:szCs w:val="24"/>
        </w:rPr>
        <w:t xml:space="preserve"> atzinusi to, ka noziedzīgais nodarījums izdarīts ārkārtējās situācijas laikā</w:t>
      </w:r>
      <w:r w:rsidR="00016403" w:rsidRPr="002D3A7D">
        <w:rPr>
          <w:rFonts w:cs="Times New Roman"/>
          <w:color w:val="000000" w:themeColor="text1"/>
          <w:szCs w:val="24"/>
        </w:rPr>
        <w:t xml:space="preserve">. Tiesa pievienojusies pirmās instances tiesas atzinumam, ka apsūdzētie </w:t>
      </w:r>
      <w:r w:rsidR="00903C80" w:rsidRPr="002D3A7D">
        <w:rPr>
          <w:rFonts w:cs="Times New Roman"/>
          <w:color w:val="000000" w:themeColor="text1"/>
          <w:szCs w:val="24"/>
        </w:rPr>
        <w:t>radīj</w:t>
      </w:r>
      <w:r w:rsidR="00016403" w:rsidRPr="002D3A7D">
        <w:rPr>
          <w:rFonts w:cs="Times New Roman"/>
          <w:color w:val="000000" w:themeColor="text1"/>
          <w:szCs w:val="24"/>
        </w:rPr>
        <w:t>uši</w:t>
      </w:r>
      <w:r w:rsidR="00903C80" w:rsidRPr="002D3A7D">
        <w:rPr>
          <w:rFonts w:cs="Times New Roman"/>
          <w:color w:val="000000" w:themeColor="text1"/>
          <w:szCs w:val="24"/>
        </w:rPr>
        <w:t xml:space="preserve"> papildu kaitējumu</w:t>
      </w:r>
      <w:r w:rsidR="00016403" w:rsidRPr="002D3A7D">
        <w:rPr>
          <w:rFonts w:cs="Times New Roman"/>
          <w:color w:val="000000" w:themeColor="text1"/>
          <w:szCs w:val="24"/>
        </w:rPr>
        <w:t xml:space="preserve"> valsts</w:t>
      </w:r>
      <w:r w:rsidR="004A6F94" w:rsidRPr="002D3A7D">
        <w:rPr>
          <w:rFonts w:cs="Times New Roman"/>
          <w:color w:val="000000" w:themeColor="text1"/>
          <w:szCs w:val="24"/>
        </w:rPr>
        <w:t xml:space="preserve"> </w:t>
      </w:r>
      <w:r w:rsidR="00F64903" w:rsidRPr="002D3A7D">
        <w:rPr>
          <w:rFonts w:cs="Times New Roman"/>
          <w:color w:val="000000" w:themeColor="text1"/>
          <w:szCs w:val="24"/>
        </w:rPr>
        <w:t>pārvaldības kārtībai,</w:t>
      </w:r>
      <w:r w:rsidR="00016403" w:rsidRPr="002D3A7D">
        <w:rPr>
          <w:rFonts w:cs="Times New Roman"/>
          <w:color w:val="000000" w:themeColor="text1"/>
          <w:szCs w:val="24"/>
        </w:rPr>
        <w:t xml:space="preserve"> jo </w:t>
      </w:r>
      <w:r w:rsidR="00F64903" w:rsidRPr="002D3A7D">
        <w:rPr>
          <w:rFonts w:cs="Times New Roman"/>
          <w:color w:val="000000" w:themeColor="text1"/>
          <w:szCs w:val="24"/>
        </w:rPr>
        <w:t>ārkārtējās situācijas kontrolē iesaistītajiem dienestiem, papildus noteikto funkciju pildīšanai, bija jāiesaistās arī noziedzīgā nodarījuma atklāšanā.</w:t>
      </w:r>
    </w:p>
    <w:p w14:paraId="73C781F5" w14:textId="418C4D82" w:rsidR="00E64336" w:rsidRDefault="00016403" w:rsidP="0028719E">
      <w:pPr>
        <w:suppressAutoHyphens/>
        <w:autoSpaceDN w:val="0"/>
        <w:spacing w:after="0" w:line="276" w:lineRule="auto"/>
        <w:ind w:firstLine="720"/>
        <w:jc w:val="both"/>
        <w:rPr>
          <w:rFonts w:cs="Times New Roman"/>
          <w:color w:val="000000" w:themeColor="text1"/>
          <w:szCs w:val="24"/>
        </w:rPr>
      </w:pPr>
      <w:r w:rsidRPr="002D3A7D">
        <w:rPr>
          <w:rFonts w:cs="Times New Roman"/>
          <w:color w:val="000000" w:themeColor="text1"/>
          <w:szCs w:val="24"/>
        </w:rPr>
        <w:t xml:space="preserve">Vienlaikus </w:t>
      </w:r>
      <w:r w:rsidR="0028719E" w:rsidRPr="002D3A7D">
        <w:rPr>
          <w:rFonts w:cs="Times New Roman"/>
          <w:color w:val="000000" w:themeColor="text1"/>
          <w:szCs w:val="24"/>
        </w:rPr>
        <w:t xml:space="preserve">apelācijas instances tiesa konstatējusi, ka pirmās instances tiesa nav ņēmusi vērā arī to, ka apsūdzētie, izdarot noziedzīgo nodarījumu ārkārtējās situācijas laikā, radījuši papildu kaitējumu arī valsts drošībai, jo destabilizējuši tiesisko kārtību valsts pierobežā, apgrūtinājuši valsts robežas apsardzībā iesaistīto iestāžu darbību, mēģinājuši nodrošināt valsts robežu nelikumīgu šķērsojošu personu pārvietošanos Eiropas Savienības teritorijā. Ievērojot minēto apstākli, to, ka apsūdzētajiem konstatējams viens atbildību mīkstinošs apstāklis un divi atbildību pastiprinoši apstākļi – </w:t>
      </w:r>
      <w:r w:rsidR="00E64336" w:rsidRPr="002D3A7D">
        <w:rPr>
          <w:rFonts w:cs="Times New Roman"/>
          <w:color w:val="000000" w:themeColor="text1"/>
          <w:szCs w:val="24"/>
        </w:rPr>
        <w:t>noziedzīgais nodarījums izdarīts personu grupā un ārkārtējās situācijas laikā</w:t>
      </w:r>
      <w:r w:rsidR="00F9118D" w:rsidRPr="002D3A7D">
        <w:rPr>
          <w:rFonts w:cs="Times New Roman"/>
          <w:color w:val="000000" w:themeColor="text1"/>
          <w:szCs w:val="24"/>
        </w:rPr>
        <w:t xml:space="preserve"> –</w:t>
      </w:r>
      <w:r w:rsidR="00E64336" w:rsidRPr="002D3A7D">
        <w:rPr>
          <w:rFonts w:cs="Times New Roman"/>
          <w:color w:val="000000" w:themeColor="text1"/>
          <w:szCs w:val="24"/>
        </w:rPr>
        <w:t xml:space="preserve">, </w:t>
      </w:r>
      <w:r w:rsidR="0028719E" w:rsidRPr="002D3A7D">
        <w:rPr>
          <w:rFonts w:cs="Times New Roman"/>
          <w:color w:val="000000" w:themeColor="text1"/>
          <w:szCs w:val="24"/>
        </w:rPr>
        <w:t xml:space="preserve">tiesa atzinusi, ka pirmās instances tiesa nepamatoti </w:t>
      </w:r>
      <w:r w:rsidR="00E64336" w:rsidRPr="002D3A7D">
        <w:rPr>
          <w:rFonts w:cs="Times New Roman"/>
          <w:color w:val="000000" w:themeColor="text1"/>
          <w:szCs w:val="24"/>
        </w:rPr>
        <w:t>noteikusi nesamērīgi mīkstu sodu</w:t>
      </w:r>
      <w:r w:rsidR="00B768EF" w:rsidRPr="002D3A7D">
        <w:rPr>
          <w:rFonts w:cs="Times New Roman"/>
          <w:color w:val="000000" w:themeColor="text1"/>
          <w:szCs w:val="24"/>
        </w:rPr>
        <w:t>, kas pietuvināts sankcijas minimālajai robežai,</w:t>
      </w:r>
      <w:r w:rsidR="00E64336" w:rsidRPr="002D3A7D">
        <w:rPr>
          <w:rFonts w:cs="Times New Roman"/>
          <w:color w:val="000000" w:themeColor="text1"/>
          <w:szCs w:val="24"/>
        </w:rPr>
        <w:t xml:space="preserve"> un brīvības atņemšanas soda mēru apsūdzētajiem noteikusi bargāku.</w:t>
      </w:r>
    </w:p>
    <w:p w14:paraId="38E429F7" w14:textId="4F5FF934" w:rsidR="002D3A7D" w:rsidRDefault="00165EE8" w:rsidP="002D3A7D">
      <w:pPr>
        <w:widowControl w:val="0"/>
        <w:spacing w:after="0" w:line="276" w:lineRule="auto"/>
        <w:ind w:firstLine="720"/>
        <w:jc w:val="both"/>
      </w:pPr>
      <w:r w:rsidRPr="002D3A7D">
        <w:t>Ievērojot norādīto, Senāts atzīst, ka kasācijas sūdzībās ietvertās norādes uz Krimināllikuma pārkāpumiem ir pamatotas ar vēlmi panākt apsūdzēt</w:t>
      </w:r>
      <w:r w:rsidR="000952FC">
        <w:t>ajiem</w:t>
      </w:r>
      <w:r w:rsidRPr="002D3A7D">
        <w:t xml:space="preserve"> </w:t>
      </w:r>
      <w:r w:rsidR="00353623">
        <w:rPr>
          <w:rFonts w:eastAsia="Calibri" w:cs="Times New Roman"/>
          <w:color w:val="000000" w:themeColor="text1"/>
          <w:szCs w:val="24"/>
        </w:rPr>
        <w:t>[pers. B]</w:t>
      </w:r>
      <w:r w:rsidRPr="002D3A7D">
        <w:rPr>
          <w:rFonts w:eastAsia="Calibri" w:cs="Times New Roman"/>
          <w:color w:val="000000" w:themeColor="text1"/>
          <w:szCs w:val="24"/>
        </w:rPr>
        <w:t xml:space="preserve"> un </w:t>
      </w:r>
      <w:r w:rsidR="00353623">
        <w:rPr>
          <w:rFonts w:eastAsia="Calibri" w:cs="Times New Roman"/>
          <w:color w:val="000000" w:themeColor="text1"/>
          <w:szCs w:val="24"/>
        </w:rPr>
        <w:t>[pers. C]</w:t>
      </w:r>
      <w:r w:rsidRPr="002D3A7D">
        <w:rPr>
          <w:rFonts w:eastAsia="Calibri" w:cs="Times New Roman"/>
          <w:color w:val="000000" w:themeColor="text1"/>
          <w:szCs w:val="24"/>
        </w:rPr>
        <w:t xml:space="preserve"> </w:t>
      </w:r>
      <w:r w:rsidRPr="002D3A7D">
        <w:t>nosakāmā soda ietekmējošo apstākļu atkārtotu izvērtējumu kasācijas instances tiesā. Atbilstoši Kriminālprocesa likuma 569. panta trešajā daļā noteiktajam kasācijas instances tiesa pierādījums lietā un sodu ietekmējošos apstākļus no jauna neizvērtē.</w:t>
      </w:r>
    </w:p>
    <w:p w14:paraId="4D2F6C05" w14:textId="20821173" w:rsidR="007A5489" w:rsidRPr="002D3A7D" w:rsidRDefault="007A5489" w:rsidP="002D3A7D">
      <w:pPr>
        <w:widowControl w:val="0"/>
        <w:spacing w:after="0" w:line="276" w:lineRule="auto"/>
        <w:ind w:firstLine="720"/>
        <w:jc w:val="both"/>
        <w:rPr>
          <w:rFonts w:asciiTheme="majorBidi" w:eastAsia="Calibri" w:hAnsiTheme="majorBidi" w:cstheme="majorBidi"/>
          <w:szCs w:val="24"/>
        </w:rPr>
      </w:pPr>
      <w:r w:rsidRPr="002D3A7D">
        <w:rPr>
          <w:rFonts w:asciiTheme="majorBidi" w:eastAsia="Calibri" w:hAnsiTheme="majorBidi" w:cstheme="majorBidi"/>
          <w:szCs w:val="24"/>
        </w:rPr>
        <w:t>Atbilstoši Kriminālprocesa likuma 572. pantam kasācijas sūdzībā un protestā jāiekļauj tajā izteikto prasību pamatojums ar norādi uz Krimināllikuma pārkāpumu vai šā likuma normu būtisku pārkāpumu.</w:t>
      </w:r>
    </w:p>
    <w:p w14:paraId="2F4FDB0D" w14:textId="34468685" w:rsidR="007A5489" w:rsidRPr="002D3A7D" w:rsidRDefault="007A5489" w:rsidP="007A5489">
      <w:pPr>
        <w:widowControl w:val="0"/>
        <w:spacing w:after="0" w:line="276" w:lineRule="auto"/>
        <w:ind w:firstLine="720"/>
        <w:jc w:val="both"/>
        <w:rPr>
          <w:rFonts w:asciiTheme="majorBidi" w:hAnsiTheme="majorBidi" w:cstheme="majorBidi"/>
        </w:rPr>
      </w:pPr>
      <w:r w:rsidRPr="002D3A7D">
        <w:t xml:space="preserve">Apsūdzētā </w:t>
      </w:r>
      <w:r w:rsidR="00353623">
        <w:t>[pers. A]</w:t>
      </w:r>
      <w:r w:rsidRPr="002D3A7D">
        <w:t xml:space="preserve"> aizstāves </w:t>
      </w:r>
      <w:r w:rsidRPr="002D3A7D">
        <w:rPr>
          <w:rFonts w:asciiTheme="majorBidi" w:hAnsiTheme="majorBidi" w:cstheme="majorBidi"/>
          <w:color w:val="000000" w:themeColor="text1"/>
          <w:szCs w:val="24"/>
        </w:rPr>
        <w:t xml:space="preserve">kasācijas sūdzībā </w:t>
      </w:r>
      <w:r w:rsidRPr="002D3A7D">
        <w:rPr>
          <w:rFonts w:asciiTheme="majorBidi" w:eastAsia="Calibri" w:hAnsiTheme="majorBidi" w:cstheme="majorBidi"/>
          <w:szCs w:val="24"/>
        </w:rPr>
        <w:t>norādīts, ka</w:t>
      </w:r>
      <w:r w:rsidRPr="002D3A7D">
        <w:rPr>
          <w:rFonts w:asciiTheme="majorBidi" w:hAnsiTheme="majorBidi" w:cstheme="majorBidi"/>
          <w:szCs w:val="24"/>
        </w:rPr>
        <w:t xml:space="preserve"> apelācijas instances</w:t>
      </w:r>
      <w:r w:rsidRPr="002D3A7D">
        <w:rPr>
          <w:rFonts w:asciiTheme="majorBidi" w:eastAsia="Calibri" w:hAnsiTheme="majorBidi" w:cstheme="majorBidi"/>
          <w:szCs w:val="24"/>
        </w:rPr>
        <w:t xml:space="preserve"> tiesa </w:t>
      </w:r>
      <w:r w:rsidRPr="002D3A7D">
        <w:rPr>
          <w:rFonts w:asciiTheme="majorBidi" w:hAnsiTheme="majorBidi" w:cstheme="majorBidi"/>
        </w:rPr>
        <w:t>noteikusi apsūdzētajam panta sankcijā neparedzētu papildsodu – tiesību atņemšanu ieņemt amatus pasažieru pārvadājumu jomā –, tādējādi pieļaujot Kriminālprocesa likuma 574. panta 1. un 3. punkta pārkāpumus.</w:t>
      </w:r>
    </w:p>
    <w:p w14:paraId="25935665" w14:textId="77777777" w:rsidR="007A5489" w:rsidRPr="002D3A7D" w:rsidRDefault="007A5489" w:rsidP="007A5489">
      <w:pPr>
        <w:widowControl w:val="0"/>
        <w:spacing w:after="0" w:line="276" w:lineRule="auto"/>
        <w:ind w:firstLine="720"/>
        <w:jc w:val="both"/>
        <w:rPr>
          <w:rFonts w:asciiTheme="majorBidi" w:hAnsiTheme="majorBidi" w:cstheme="majorBidi"/>
        </w:rPr>
      </w:pPr>
      <w:r w:rsidRPr="002D3A7D">
        <w:rPr>
          <w:rFonts w:asciiTheme="majorBidi" w:hAnsiTheme="majorBidi" w:cstheme="majorBidi"/>
        </w:rPr>
        <w:lastRenderedPageBreak/>
        <w:t>Krimināllikuma 44. panta trešā daļa noteic, ka atbilstoši noziedzīga nodarījuma raksturam tiesību ierobežošanu var noteikt arī gadījumos, kad šis sods nav paredzēts šā likuma sevišķās daļas attiecīgā panta sankcijā, vai papildus šā likuma sevišķās daļas attiecīgā panta sankcijā paredzētajam tiesību ierobežojumam noteikt arī citu tiesību ierobežojumu.</w:t>
      </w:r>
    </w:p>
    <w:p w14:paraId="20661DE9" w14:textId="6DC6E67D" w:rsidR="007A5489" w:rsidRDefault="007A5489" w:rsidP="007A5489">
      <w:pPr>
        <w:spacing w:after="0" w:line="276" w:lineRule="auto"/>
        <w:ind w:firstLine="720"/>
        <w:contextualSpacing/>
        <w:jc w:val="both"/>
        <w:rPr>
          <w:rFonts w:asciiTheme="majorBidi" w:eastAsia="Calibri" w:hAnsiTheme="majorBidi" w:cstheme="majorBidi"/>
          <w:szCs w:val="24"/>
        </w:rPr>
      </w:pPr>
      <w:r w:rsidRPr="002D3A7D">
        <w:rPr>
          <w:rFonts w:asciiTheme="majorBidi" w:hAnsiTheme="majorBidi" w:cstheme="majorBidi"/>
          <w:szCs w:val="24"/>
        </w:rPr>
        <w:t>Senāts konstatē, ka apsūdzētā</w:t>
      </w:r>
      <w:r w:rsidRPr="002D3A7D">
        <w:t xml:space="preserve"> </w:t>
      </w:r>
      <w:r w:rsidR="00353623">
        <w:t>[pers. A]</w:t>
      </w:r>
      <w:r w:rsidRPr="002D3A7D">
        <w:t xml:space="preserve"> </w:t>
      </w:r>
      <w:r w:rsidRPr="002D3A7D">
        <w:rPr>
          <w:rFonts w:asciiTheme="majorBidi" w:hAnsiTheme="majorBidi" w:cstheme="majorBidi"/>
          <w:szCs w:val="24"/>
        </w:rPr>
        <w:t xml:space="preserve">aizstāve, norādot, ka apsūdzētajam </w:t>
      </w:r>
      <w:r w:rsidRPr="002D3A7D">
        <w:rPr>
          <w:rFonts w:asciiTheme="majorBidi" w:hAnsiTheme="majorBidi" w:cstheme="majorBidi"/>
        </w:rPr>
        <w:t xml:space="preserve">noteikts panta sankcijā neparedzēts papildsods, </w:t>
      </w:r>
      <w:r w:rsidRPr="002D3A7D">
        <w:rPr>
          <w:rFonts w:asciiTheme="majorBidi" w:eastAsia="Calibri" w:hAnsiTheme="majorBidi" w:cstheme="majorBidi"/>
          <w:szCs w:val="24"/>
        </w:rPr>
        <w:t>nav pamatojusi, kādā veidā apelācijas instances tiesa</w:t>
      </w:r>
      <w:r w:rsidR="0078105A">
        <w:rPr>
          <w:rFonts w:asciiTheme="majorBidi" w:eastAsia="Calibri" w:hAnsiTheme="majorBidi" w:cstheme="majorBidi"/>
          <w:szCs w:val="24"/>
        </w:rPr>
        <w:t xml:space="preserve"> </w:t>
      </w:r>
      <w:r w:rsidRPr="002D3A7D">
        <w:rPr>
          <w:rFonts w:asciiTheme="majorBidi" w:eastAsia="Calibri" w:hAnsiTheme="majorBidi" w:cstheme="majorBidi"/>
          <w:szCs w:val="24"/>
        </w:rPr>
        <w:t>pieļāvusi Krimināllikuma pārkāpumu.</w:t>
      </w:r>
    </w:p>
    <w:p w14:paraId="58174E36" w14:textId="619483CA" w:rsidR="00076DBA" w:rsidRPr="002D3A7D" w:rsidRDefault="00076DBA" w:rsidP="007A5489">
      <w:pPr>
        <w:spacing w:after="0" w:line="276" w:lineRule="auto"/>
        <w:ind w:firstLine="720"/>
        <w:contextualSpacing/>
        <w:jc w:val="both"/>
        <w:rPr>
          <w:rFonts w:asciiTheme="majorBidi" w:eastAsia="Calibri" w:hAnsiTheme="majorBidi" w:cstheme="majorBidi"/>
          <w:szCs w:val="24"/>
        </w:rPr>
      </w:pPr>
      <w:r>
        <w:rPr>
          <w:rFonts w:asciiTheme="majorBidi" w:eastAsia="Calibri" w:hAnsiTheme="majorBidi" w:cstheme="majorBidi"/>
          <w:szCs w:val="24"/>
        </w:rPr>
        <w:t>S</w:t>
      </w:r>
      <w:r w:rsidRPr="002D3A7D">
        <w:rPr>
          <w:rFonts w:asciiTheme="majorBidi" w:eastAsia="Calibri" w:hAnsiTheme="majorBidi" w:cstheme="majorBidi"/>
          <w:szCs w:val="24"/>
        </w:rPr>
        <w:t xml:space="preserve">askaņā </w:t>
      </w:r>
      <w:r w:rsidRPr="002D3A7D">
        <w:rPr>
          <w:rFonts w:asciiTheme="majorBidi" w:hAnsiTheme="majorBidi" w:cstheme="majorBidi"/>
        </w:rPr>
        <w:t>ar Krimināllikuma 44. panta trešo daļu</w:t>
      </w:r>
      <w:r>
        <w:rPr>
          <w:rFonts w:asciiTheme="majorBidi" w:hAnsiTheme="majorBidi" w:cstheme="majorBidi"/>
        </w:rPr>
        <w:t xml:space="preserve"> tiesa var noteikt tiesību ierobežošanu arī gadījumos, kad šis sods nav paredzēts šā likuma sevišķās daļas attiecīgā panta sankcijā.</w:t>
      </w:r>
    </w:p>
    <w:p w14:paraId="40340299" w14:textId="6F544B39" w:rsidR="001A5082" w:rsidRPr="002D3A7D" w:rsidRDefault="001A5082" w:rsidP="001A5082">
      <w:pPr>
        <w:spacing w:after="0" w:line="276" w:lineRule="auto"/>
        <w:ind w:firstLine="720"/>
        <w:jc w:val="both"/>
        <w:rPr>
          <w:szCs w:val="24"/>
        </w:rPr>
      </w:pPr>
      <w:r w:rsidRPr="002D3A7D">
        <w:rPr>
          <w:rFonts w:asciiTheme="majorBidi" w:hAnsiTheme="majorBidi" w:cstheme="majorBidi"/>
          <w:color w:val="000000" w:themeColor="text1"/>
          <w:szCs w:val="24"/>
        </w:rPr>
        <w:t xml:space="preserve">Savukārt </w:t>
      </w:r>
      <w:r w:rsidR="00353623">
        <w:rPr>
          <w:rFonts w:asciiTheme="majorBidi" w:hAnsiTheme="majorBidi" w:cstheme="majorBidi"/>
          <w:color w:val="000000" w:themeColor="text1"/>
          <w:szCs w:val="24"/>
        </w:rPr>
        <w:t>[pers. B]</w:t>
      </w:r>
      <w:r w:rsidRPr="002D3A7D">
        <w:rPr>
          <w:rFonts w:asciiTheme="majorBidi" w:hAnsiTheme="majorBidi" w:cstheme="majorBidi"/>
          <w:color w:val="000000" w:themeColor="text1"/>
          <w:szCs w:val="24"/>
        </w:rPr>
        <w:t xml:space="preserve"> un </w:t>
      </w:r>
      <w:r w:rsidR="00353623">
        <w:rPr>
          <w:rFonts w:asciiTheme="majorBidi" w:hAnsiTheme="majorBidi" w:cstheme="majorBidi"/>
          <w:color w:val="000000" w:themeColor="text1"/>
          <w:szCs w:val="24"/>
        </w:rPr>
        <w:t>[pers. C]</w:t>
      </w:r>
      <w:r w:rsidRPr="002D3A7D">
        <w:rPr>
          <w:rFonts w:asciiTheme="majorBidi" w:hAnsiTheme="majorBidi" w:cstheme="majorBidi"/>
          <w:color w:val="000000" w:themeColor="text1"/>
          <w:szCs w:val="24"/>
        </w:rPr>
        <w:t xml:space="preserve"> aizstāve kasācijas sūdzībā</w:t>
      </w:r>
      <w:r w:rsidR="0078105A">
        <w:rPr>
          <w:rFonts w:asciiTheme="majorBidi" w:hAnsiTheme="majorBidi" w:cstheme="majorBidi"/>
          <w:color w:val="000000" w:themeColor="text1"/>
          <w:szCs w:val="24"/>
        </w:rPr>
        <w:t>s</w:t>
      </w:r>
      <w:r w:rsidRPr="002D3A7D">
        <w:rPr>
          <w:rFonts w:asciiTheme="majorBidi" w:hAnsiTheme="majorBidi" w:cstheme="majorBidi"/>
          <w:color w:val="000000" w:themeColor="text1"/>
          <w:szCs w:val="24"/>
        </w:rPr>
        <w:t xml:space="preserve"> nav pamatojusi, kāpēc tiesai bija nepieciešams vērtēt iespēju ar brīvības atņemšanas sodu apsūdzētos </w:t>
      </w:r>
      <w:r w:rsidRPr="002D3A7D">
        <w:rPr>
          <w:szCs w:val="24"/>
        </w:rPr>
        <w:t>notiesāt nosacīti</w:t>
      </w:r>
      <w:r w:rsidRPr="002D3A7D">
        <w:rPr>
          <w:rFonts w:eastAsia="Times New Roman"/>
          <w:szCs w:val="24"/>
        </w:rPr>
        <w:t>, ja apelācijas sūdzībās tas netika lūgts.</w:t>
      </w:r>
    </w:p>
    <w:p w14:paraId="273F3DD6" w14:textId="207DF65A" w:rsidR="001A5082" w:rsidRPr="002D3A7D" w:rsidRDefault="001A5082" w:rsidP="001A5082">
      <w:pPr>
        <w:widowControl w:val="0"/>
        <w:spacing w:after="0" w:line="276" w:lineRule="auto"/>
        <w:ind w:firstLine="720"/>
        <w:jc w:val="both"/>
        <w:rPr>
          <w:rFonts w:asciiTheme="majorBidi" w:eastAsia="Calibri" w:hAnsiTheme="majorBidi" w:cstheme="majorBidi"/>
          <w:szCs w:val="24"/>
        </w:rPr>
      </w:pPr>
      <w:r w:rsidRPr="002D3A7D">
        <w:rPr>
          <w:rFonts w:eastAsia="Times New Roman"/>
          <w:szCs w:val="24"/>
        </w:rPr>
        <w:t>Senāta judikatūrā ir izteikta atziņa, ka nosacītas notiesāšanas nepiemērošana tiesai nav jāmotivē (</w:t>
      </w:r>
      <w:r w:rsidRPr="002D3A7D">
        <w:rPr>
          <w:rFonts w:eastAsia="Times New Roman"/>
          <w:i/>
          <w:iCs/>
          <w:szCs w:val="24"/>
        </w:rPr>
        <w:t>Senāta 2017. gada 23. februāra lēmums lietā Nr. </w:t>
      </w:r>
      <w:hyperlink r:id="rId8" w:history="1">
        <w:r w:rsidRPr="002D3A7D">
          <w:rPr>
            <w:rStyle w:val="Hyperlink"/>
            <w:rFonts w:eastAsia="Times New Roman"/>
            <w:i/>
            <w:iCs/>
            <w:szCs w:val="24"/>
          </w:rPr>
          <w:t>SKK-68/2017</w:t>
        </w:r>
      </w:hyperlink>
      <w:r w:rsidRPr="002D3A7D">
        <w:rPr>
          <w:rFonts w:eastAsia="Times New Roman"/>
          <w:i/>
          <w:iCs/>
          <w:szCs w:val="24"/>
        </w:rPr>
        <w:t>, 11815006815</w:t>
      </w:r>
      <w:r w:rsidRPr="002D3A7D">
        <w:rPr>
          <w:rFonts w:eastAsia="Times New Roman"/>
          <w:szCs w:val="24"/>
        </w:rPr>
        <w:t>).</w:t>
      </w:r>
    </w:p>
    <w:p w14:paraId="7133040D" w14:textId="5B5C5000" w:rsidR="007A5489" w:rsidRPr="002D3A7D" w:rsidRDefault="007A5489" w:rsidP="001A5082">
      <w:pPr>
        <w:widowControl w:val="0"/>
        <w:tabs>
          <w:tab w:val="left" w:pos="6096"/>
        </w:tabs>
        <w:spacing w:after="0" w:line="276" w:lineRule="auto"/>
        <w:ind w:firstLine="720"/>
        <w:jc w:val="both"/>
        <w:rPr>
          <w:rFonts w:eastAsia="Calibri" w:cs="Times New Roman"/>
          <w:szCs w:val="24"/>
        </w:rPr>
      </w:pPr>
      <w:r w:rsidRPr="002D3A7D">
        <w:rPr>
          <w:rFonts w:asciiTheme="majorBidi" w:hAnsiTheme="majorBidi" w:cstheme="majorBidi"/>
          <w:szCs w:val="24"/>
        </w:rPr>
        <w:t>Ievērojot minēto, Senāts atzīst, ka</w:t>
      </w:r>
      <w:r w:rsidRPr="002D3A7D">
        <w:t xml:space="preserve"> apsūdzēt</w:t>
      </w:r>
      <w:r w:rsidR="001A5082" w:rsidRPr="002D3A7D">
        <w:t>o</w:t>
      </w:r>
      <w:r w:rsidRPr="002D3A7D">
        <w:t xml:space="preserve"> </w:t>
      </w:r>
      <w:r w:rsidR="00353623">
        <w:t>[pers. A]</w:t>
      </w:r>
      <w:r w:rsidR="001A5082" w:rsidRPr="002D3A7D">
        <w:t>,</w:t>
      </w:r>
      <w:r w:rsidR="001A5082" w:rsidRPr="002D3A7D">
        <w:rPr>
          <w:rFonts w:asciiTheme="majorBidi" w:hAnsiTheme="majorBidi" w:cstheme="majorBidi"/>
          <w:color w:val="000000" w:themeColor="text1"/>
          <w:szCs w:val="24"/>
        </w:rPr>
        <w:t xml:space="preserve"> </w:t>
      </w:r>
      <w:r w:rsidR="00353623">
        <w:rPr>
          <w:rFonts w:asciiTheme="majorBidi" w:hAnsiTheme="majorBidi" w:cstheme="majorBidi"/>
          <w:color w:val="000000" w:themeColor="text1"/>
          <w:szCs w:val="24"/>
        </w:rPr>
        <w:t>[pers. B]</w:t>
      </w:r>
      <w:r w:rsidR="001A5082" w:rsidRPr="002D3A7D">
        <w:rPr>
          <w:rFonts w:asciiTheme="majorBidi" w:hAnsiTheme="majorBidi" w:cstheme="majorBidi"/>
          <w:color w:val="000000" w:themeColor="text1"/>
          <w:szCs w:val="24"/>
        </w:rPr>
        <w:t xml:space="preserve"> un </w:t>
      </w:r>
      <w:r w:rsidR="00353623">
        <w:rPr>
          <w:rFonts w:asciiTheme="majorBidi" w:hAnsiTheme="majorBidi" w:cstheme="majorBidi"/>
          <w:color w:val="000000" w:themeColor="text1"/>
          <w:szCs w:val="24"/>
        </w:rPr>
        <w:t>[pers. C]</w:t>
      </w:r>
      <w:r w:rsidR="001A5082" w:rsidRPr="002D3A7D">
        <w:rPr>
          <w:rFonts w:asciiTheme="majorBidi" w:hAnsiTheme="majorBidi" w:cstheme="majorBidi"/>
          <w:color w:val="000000" w:themeColor="text1"/>
          <w:szCs w:val="24"/>
        </w:rPr>
        <w:t xml:space="preserve"> aizstāvju </w:t>
      </w:r>
      <w:r w:rsidRPr="002D3A7D">
        <w:rPr>
          <w:rFonts w:asciiTheme="majorBidi" w:hAnsiTheme="majorBidi" w:cstheme="majorBidi"/>
          <w:szCs w:val="24"/>
        </w:rPr>
        <w:t>kasācijas sūdzīb</w:t>
      </w:r>
      <w:r w:rsidR="001A5082" w:rsidRPr="002D3A7D">
        <w:rPr>
          <w:rFonts w:asciiTheme="majorBidi" w:hAnsiTheme="majorBidi" w:cstheme="majorBidi"/>
          <w:szCs w:val="24"/>
        </w:rPr>
        <w:t>u</w:t>
      </w:r>
      <w:r w:rsidRPr="002D3A7D">
        <w:rPr>
          <w:rFonts w:asciiTheme="majorBidi" w:hAnsiTheme="majorBidi" w:cstheme="majorBidi"/>
          <w:szCs w:val="24"/>
        </w:rPr>
        <w:t xml:space="preserve"> argument</w:t>
      </w:r>
      <w:r w:rsidR="001A5082" w:rsidRPr="002D3A7D">
        <w:rPr>
          <w:rFonts w:asciiTheme="majorBidi" w:hAnsiTheme="majorBidi" w:cstheme="majorBidi"/>
          <w:szCs w:val="24"/>
        </w:rPr>
        <w:t>i</w:t>
      </w:r>
      <w:r w:rsidRPr="002D3A7D">
        <w:rPr>
          <w:rFonts w:asciiTheme="majorBidi" w:hAnsiTheme="majorBidi" w:cstheme="majorBidi"/>
          <w:szCs w:val="24"/>
        </w:rPr>
        <w:t xml:space="preserve"> šajā daļā neatbilst Kriminālprocesa likuma 572. panta prasībām.</w:t>
      </w:r>
    </w:p>
    <w:p w14:paraId="17BFB54A" w14:textId="4C6A8907" w:rsidR="000E5220" w:rsidRPr="002D3A7D" w:rsidRDefault="000E5220" w:rsidP="000E5220">
      <w:pPr>
        <w:widowControl w:val="0"/>
        <w:spacing w:after="0" w:line="276" w:lineRule="auto"/>
        <w:ind w:firstLine="720"/>
        <w:jc w:val="both"/>
        <w:rPr>
          <w:rFonts w:asciiTheme="majorBidi" w:eastAsia="Calibri" w:hAnsiTheme="majorBidi" w:cstheme="majorBidi"/>
          <w:szCs w:val="24"/>
        </w:rPr>
      </w:pPr>
      <w:r w:rsidRPr="002D3A7D">
        <w:rPr>
          <w:rFonts w:asciiTheme="majorBidi" w:eastAsia="Calibri" w:hAnsiTheme="majorBidi" w:cstheme="majorBidi"/>
          <w:szCs w:val="24"/>
        </w:rPr>
        <w:t>Minētais šajā daļā ir pamats atteikumam ierosināt kasācijas tiesvedību saskaņā ar Kriminālprocesa likuma 573.</w:t>
      </w:r>
      <w:r w:rsidRPr="002D3A7D">
        <w:rPr>
          <w:rFonts w:asciiTheme="majorBidi" w:eastAsia="Calibri" w:hAnsiTheme="majorBidi" w:cstheme="majorBidi"/>
          <w:szCs w:val="24"/>
          <w:vertAlign w:val="superscript"/>
        </w:rPr>
        <w:t>1 </w:t>
      </w:r>
      <w:r w:rsidRPr="002D3A7D">
        <w:rPr>
          <w:rFonts w:asciiTheme="majorBidi" w:eastAsia="Calibri" w:hAnsiTheme="majorBidi" w:cstheme="majorBidi"/>
          <w:szCs w:val="24"/>
        </w:rPr>
        <w:t>panta pirmo daļu.</w:t>
      </w:r>
    </w:p>
    <w:p w14:paraId="44166264" w14:textId="0CF2B0C8" w:rsidR="00292AF9" w:rsidRPr="002D3A7D" w:rsidRDefault="00E34C53" w:rsidP="00E34C53">
      <w:pPr>
        <w:spacing w:after="0" w:line="276" w:lineRule="auto"/>
        <w:ind w:firstLine="720"/>
        <w:jc w:val="both"/>
        <w:rPr>
          <w:rFonts w:cs="Times New Roman"/>
          <w:szCs w:val="24"/>
        </w:rPr>
      </w:pPr>
      <w:r w:rsidRPr="002D3A7D">
        <w:rPr>
          <w:rFonts w:cs="Times New Roman"/>
          <w:szCs w:val="24"/>
        </w:rPr>
        <w:t>Pamatojoties uz Kriminālprocesa likuma 573. panta trešo un piekto daļu, 573.</w:t>
      </w:r>
      <w:r w:rsidRPr="002D3A7D">
        <w:rPr>
          <w:rFonts w:cs="Times New Roman"/>
          <w:szCs w:val="24"/>
          <w:vertAlign w:val="superscript"/>
        </w:rPr>
        <w:t>1 </w:t>
      </w:r>
      <w:r w:rsidRPr="002D3A7D">
        <w:rPr>
          <w:rFonts w:cs="Times New Roman"/>
          <w:szCs w:val="24"/>
        </w:rPr>
        <w:t xml:space="preserve">panta pirmo daļu un </w:t>
      </w:r>
      <w:r w:rsidRPr="002D3A7D">
        <w:rPr>
          <w:color w:val="000000" w:themeColor="text1"/>
          <w:szCs w:val="24"/>
        </w:rPr>
        <w:t>otrās daļas 2. punktu</w:t>
      </w:r>
      <w:r w:rsidRPr="002D3A7D">
        <w:rPr>
          <w:rFonts w:cs="Times New Roman"/>
          <w:szCs w:val="24"/>
        </w:rPr>
        <w:t xml:space="preserve">, </w:t>
      </w:r>
      <w:r w:rsidRPr="002D3A7D">
        <w:rPr>
          <w:rFonts w:asciiTheme="majorBidi" w:hAnsiTheme="majorBidi" w:cstheme="majorBidi"/>
          <w:szCs w:val="24"/>
        </w:rPr>
        <w:t>Senāts</w:t>
      </w:r>
    </w:p>
    <w:p w14:paraId="2E516545" w14:textId="77777777" w:rsidR="00292AF9" w:rsidRPr="002D3A7D" w:rsidRDefault="00292AF9" w:rsidP="003E7755">
      <w:pPr>
        <w:spacing w:after="0" w:line="276" w:lineRule="auto"/>
        <w:ind w:firstLine="720"/>
        <w:jc w:val="both"/>
        <w:rPr>
          <w:rFonts w:eastAsia="Calibri" w:cs="Times New Roman"/>
          <w:color w:val="000000" w:themeColor="text1"/>
          <w:szCs w:val="24"/>
        </w:rPr>
      </w:pPr>
    </w:p>
    <w:p w14:paraId="01D9C2AD" w14:textId="4F8B148A" w:rsidR="0048030E" w:rsidRPr="002D3A7D" w:rsidRDefault="0048030E" w:rsidP="003A262B">
      <w:pPr>
        <w:spacing w:line="276" w:lineRule="auto"/>
        <w:contextualSpacing/>
        <w:jc w:val="center"/>
        <w:rPr>
          <w:b/>
          <w:color w:val="000000" w:themeColor="text1"/>
          <w:szCs w:val="24"/>
        </w:rPr>
      </w:pPr>
      <w:r w:rsidRPr="002D3A7D">
        <w:rPr>
          <w:b/>
          <w:color w:val="000000" w:themeColor="text1"/>
          <w:szCs w:val="24"/>
        </w:rPr>
        <w:t>nolēma</w:t>
      </w:r>
    </w:p>
    <w:p w14:paraId="79AB1D29" w14:textId="77777777" w:rsidR="002B2BD6" w:rsidRPr="002D3A7D" w:rsidRDefault="002B2BD6" w:rsidP="003A262B">
      <w:pPr>
        <w:spacing w:line="276" w:lineRule="auto"/>
        <w:contextualSpacing/>
        <w:jc w:val="center"/>
        <w:rPr>
          <w:b/>
          <w:color w:val="000000" w:themeColor="text1"/>
          <w:szCs w:val="24"/>
        </w:rPr>
      </w:pPr>
    </w:p>
    <w:p w14:paraId="1A0E274A" w14:textId="77777777" w:rsidR="0048030E" w:rsidRPr="002D3A7D" w:rsidRDefault="0048030E" w:rsidP="003A262B">
      <w:pPr>
        <w:spacing w:after="0" w:line="276" w:lineRule="auto"/>
        <w:ind w:firstLine="720"/>
        <w:rPr>
          <w:color w:val="000000" w:themeColor="text1"/>
          <w:szCs w:val="24"/>
        </w:rPr>
      </w:pPr>
      <w:r w:rsidRPr="002D3A7D">
        <w:rPr>
          <w:color w:val="000000" w:themeColor="text1"/>
          <w:szCs w:val="24"/>
        </w:rPr>
        <w:t>atteikt ierosināt kasācijas tiesvedību.</w:t>
      </w:r>
    </w:p>
    <w:p w14:paraId="7CA3552C" w14:textId="77777777" w:rsidR="00E34C53" w:rsidRPr="002D3A7D" w:rsidRDefault="00E34C53" w:rsidP="008F759A">
      <w:pPr>
        <w:spacing w:after="0" w:line="276" w:lineRule="auto"/>
        <w:ind w:firstLine="720"/>
        <w:rPr>
          <w:color w:val="000000" w:themeColor="text1"/>
          <w:szCs w:val="24"/>
        </w:rPr>
      </w:pPr>
    </w:p>
    <w:p w14:paraId="7E443806" w14:textId="7435572C" w:rsidR="00FB11A9" w:rsidRPr="002D3A7D" w:rsidRDefault="0048030E" w:rsidP="008F759A">
      <w:pPr>
        <w:spacing w:after="0" w:line="276" w:lineRule="auto"/>
        <w:ind w:firstLine="720"/>
        <w:rPr>
          <w:color w:val="000000" w:themeColor="text1"/>
          <w:szCs w:val="24"/>
        </w:rPr>
      </w:pPr>
      <w:r w:rsidRPr="002D3A7D">
        <w:rPr>
          <w:color w:val="000000" w:themeColor="text1"/>
          <w:szCs w:val="24"/>
        </w:rPr>
        <w:t>Lēmums nav pārsūdzams.</w:t>
      </w:r>
    </w:p>
    <w:sectPr w:rsidR="00FB11A9" w:rsidRPr="002D3A7D" w:rsidSect="00E34C53">
      <w:footerReference w:type="default" r:id="rId9"/>
      <w:pgSz w:w="11906" w:h="16838" w:code="9"/>
      <w:pgMar w:top="1134" w:right="1701" w:bottom="1134" w:left="1701"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BA8C" w14:textId="77777777" w:rsidR="00B32876" w:rsidRDefault="00B32876" w:rsidP="00956BC6">
      <w:pPr>
        <w:spacing w:after="0" w:line="240" w:lineRule="auto"/>
      </w:pPr>
      <w:r>
        <w:separator/>
      </w:r>
    </w:p>
  </w:endnote>
  <w:endnote w:type="continuationSeparator" w:id="0">
    <w:p w14:paraId="1E1BB4FA" w14:textId="77777777" w:rsidR="00B32876" w:rsidRDefault="00B32876" w:rsidP="0095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36993657"/>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274862F" w14:textId="771859D5" w:rsidR="00292AF9" w:rsidRPr="00E102FF" w:rsidRDefault="00292AF9">
            <w:pPr>
              <w:pStyle w:val="Footer"/>
              <w:jc w:val="center"/>
              <w:rPr>
                <w:sz w:val="20"/>
                <w:szCs w:val="20"/>
              </w:rPr>
            </w:pPr>
            <w:r w:rsidRPr="00E102FF">
              <w:rPr>
                <w:sz w:val="20"/>
                <w:szCs w:val="20"/>
              </w:rPr>
              <w:fldChar w:fldCharType="begin"/>
            </w:r>
            <w:r w:rsidRPr="00E102FF">
              <w:rPr>
                <w:sz w:val="20"/>
                <w:szCs w:val="20"/>
              </w:rPr>
              <w:instrText xml:space="preserve"> PAGE </w:instrText>
            </w:r>
            <w:r w:rsidRPr="00E102FF">
              <w:rPr>
                <w:sz w:val="20"/>
                <w:szCs w:val="20"/>
              </w:rPr>
              <w:fldChar w:fldCharType="separate"/>
            </w:r>
            <w:r w:rsidRPr="00E102FF">
              <w:rPr>
                <w:noProof/>
                <w:sz w:val="20"/>
                <w:szCs w:val="20"/>
              </w:rPr>
              <w:t>2</w:t>
            </w:r>
            <w:r w:rsidRPr="00E102FF">
              <w:rPr>
                <w:sz w:val="20"/>
                <w:szCs w:val="20"/>
              </w:rPr>
              <w:fldChar w:fldCharType="end"/>
            </w:r>
            <w:r w:rsidRPr="00E102FF">
              <w:rPr>
                <w:sz w:val="20"/>
                <w:szCs w:val="20"/>
              </w:rPr>
              <w:t xml:space="preserve"> no </w:t>
            </w:r>
            <w:r w:rsidR="00AE297B" w:rsidRPr="00E102FF">
              <w:rPr>
                <w:sz w:val="20"/>
                <w:szCs w:val="20"/>
              </w:rPr>
              <w:fldChar w:fldCharType="begin"/>
            </w:r>
            <w:r w:rsidR="00AE297B" w:rsidRPr="00E102FF">
              <w:rPr>
                <w:sz w:val="20"/>
                <w:szCs w:val="20"/>
              </w:rPr>
              <w:instrText xml:space="preserve"> NUMPAGES  </w:instrText>
            </w:r>
            <w:r w:rsidR="00AE297B" w:rsidRPr="00E102FF">
              <w:rPr>
                <w:sz w:val="20"/>
                <w:szCs w:val="20"/>
              </w:rPr>
              <w:fldChar w:fldCharType="separate"/>
            </w:r>
            <w:r w:rsidRPr="00E102FF">
              <w:rPr>
                <w:noProof/>
                <w:sz w:val="20"/>
                <w:szCs w:val="20"/>
              </w:rPr>
              <w:t>2</w:t>
            </w:r>
            <w:r w:rsidR="00AE297B" w:rsidRPr="00E102FF">
              <w:rPr>
                <w:noProof/>
                <w:sz w:val="20"/>
                <w:szCs w:val="20"/>
              </w:rPr>
              <w:fldChar w:fldCharType="end"/>
            </w:r>
          </w:p>
        </w:sdtContent>
      </w:sdt>
    </w:sdtContent>
  </w:sdt>
  <w:p w14:paraId="3F24E07F" w14:textId="77777777" w:rsidR="00956BC6" w:rsidRPr="00E102FF" w:rsidRDefault="00956BC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A0E91" w14:textId="77777777" w:rsidR="00B32876" w:rsidRDefault="00B32876" w:rsidP="00956BC6">
      <w:pPr>
        <w:spacing w:after="0" w:line="240" w:lineRule="auto"/>
      </w:pPr>
      <w:r>
        <w:separator/>
      </w:r>
    </w:p>
  </w:footnote>
  <w:footnote w:type="continuationSeparator" w:id="0">
    <w:p w14:paraId="1E657294" w14:textId="77777777" w:rsidR="00B32876" w:rsidRDefault="00B32876" w:rsidP="00956B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0E"/>
    <w:rsid w:val="000024A2"/>
    <w:rsid w:val="00016403"/>
    <w:rsid w:val="00016B6B"/>
    <w:rsid w:val="00035B8E"/>
    <w:rsid w:val="00076DBA"/>
    <w:rsid w:val="00082230"/>
    <w:rsid w:val="00091219"/>
    <w:rsid w:val="0009224F"/>
    <w:rsid w:val="000952FC"/>
    <w:rsid w:val="000B1B49"/>
    <w:rsid w:val="000C4D9A"/>
    <w:rsid w:val="000D6B75"/>
    <w:rsid w:val="000E5220"/>
    <w:rsid w:val="000E7290"/>
    <w:rsid w:val="000E77F7"/>
    <w:rsid w:val="000F2F3B"/>
    <w:rsid w:val="000F3ECC"/>
    <w:rsid w:val="001131AA"/>
    <w:rsid w:val="001176BF"/>
    <w:rsid w:val="001246F8"/>
    <w:rsid w:val="001278B1"/>
    <w:rsid w:val="00130BAE"/>
    <w:rsid w:val="00136FE4"/>
    <w:rsid w:val="001416A3"/>
    <w:rsid w:val="00147308"/>
    <w:rsid w:val="001504D2"/>
    <w:rsid w:val="00154622"/>
    <w:rsid w:val="001566B7"/>
    <w:rsid w:val="00165EE8"/>
    <w:rsid w:val="0017570E"/>
    <w:rsid w:val="001A4F51"/>
    <w:rsid w:val="001A5082"/>
    <w:rsid w:val="001B4816"/>
    <w:rsid w:val="001C5736"/>
    <w:rsid w:val="001D25E6"/>
    <w:rsid w:val="001D36DC"/>
    <w:rsid w:val="00206F8E"/>
    <w:rsid w:val="0021305C"/>
    <w:rsid w:val="00213263"/>
    <w:rsid w:val="002134C2"/>
    <w:rsid w:val="0021693E"/>
    <w:rsid w:val="002268B4"/>
    <w:rsid w:val="00237AD3"/>
    <w:rsid w:val="00247D54"/>
    <w:rsid w:val="00247FE4"/>
    <w:rsid w:val="00255EC8"/>
    <w:rsid w:val="002661F0"/>
    <w:rsid w:val="0026658A"/>
    <w:rsid w:val="0027014C"/>
    <w:rsid w:val="00275CEF"/>
    <w:rsid w:val="00282B31"/>
    <w:rsid w:val="0028719E"/>
    <w:rsid w:val="00292AF9"/>
    <w:rsid w:val="00295077"/>
    <w:rsid w:val="002B2BD6"/>
    <w:rsid w:val="002B6845"/>
    <w:rsid w:val="002B68BE"/>
    <w:rsid w:val="002B7185"/>
    <w:rsid w:val="002B7625"/>
    <w:rsid w:val="002C57E6"/>
    <w:rsid w:val="002D0199"/>
    <w:rsid w:val="002D127E"/>
    <w:rsid w:val="002D3A7D"/>
    <w:rsid w:val="002E3960"/>
    <w:rsid w:val="002E60C7"/>
    <w:rsid w:val="00303740"/>
    <w:rsid w:val="003068C0"/>
    <w:rsid w:val="00326B21"/>
    <w:rsid w:val="00326C29"/>
    <w:rsid w:val="00327E58"/>
    <w:rsid w:val="00336831"/>
    <w:rsid w:val="00353623"/>
    <w:rsid w:val="00361DF3"/>
    <w:rsid w:val="00383EC1"/>
    <w:rsid w:val="00395C30"/>
    <w:rsid w:val="00396ABE"/>
    <w:rsid w:val="003A262B"/>
    <w:rsid w:val="003B4AB1"/>
    <w:rsid w:val="003B6B92"/>
    <w:rsid w:val="003C428A"/>
    <w:rsid w:val="003C7368"/>
    <w:rsid w:val="003E11E8"/>
    <w:rsid w:val="003E664B"/>
    <w:rsid w:val="003E6F6A"/>
    <w:rsid w:val="003E7755"/>
    <w:rsid w:val="003F04EE"/>
    <w:rsid w:val="003F62B4"/>
    <w:rsid w:val="0040669D"/>
    <w:rsid w:val="0041148D"/>
    <w:rsid w:val="0041573C"/>
    <w:rsid w:val="00417D83"/>
    <w:rsid w:val="00423051"/>
    <w:rsid w:val="00425E0F"/>
    <w:rsid w:val="00427AF7"/>
    <w:rsid w:val="00434A9D"/>
    <w:rsid w:val="00453988"/>
    <w:rsid w:val="00477E07"/>
    <w:rsid w:val="0048030E"/>
    <w:rsid w:val="00480FBB"/>
    <w:rsid w:val="00483522"/>
    <w:rsid w:val="004A6F94"/>
    <w:rsid w:val="004C043C"/>
    <w:rsid w:val="004C60D1"/>
    <w:rsid w:val="004D7C54"/>
    <w:rsid w:val="004D7C70"/>
    <w:rsid w:val="004E1138"/>
    <w:rsid w:val="004E2931"/>
    <w:rsid w:val="004F5404"/>
    <w:rsid w:val="0050041F"/>
    <w:rsid w:val="00527ACC"/>
    <w:rsid w:val="005319BE"/>
    <w:rsid w:val="00540487"/>
    <w:rsid w:val="00552011"/>
    <w:rsid w:val="0055647C"/>
    <w:rsid w:val="0055669B"/>
    <w:rsid w:val="0056098F"/>
    <w:rsid w:val="00570DCC"/>
    <w:rsid w:val="005751EE"/>
    <w:rsid w:val="005824D5"/>
    <w:rsid w:val="005868F0"/>
    <w:rsid w:val="00592799"/>
    <w:rsid w:val="00592813"/>
    <w:rsid w:val="0059566B"/>
    <w:rsid w:val="005A5023"/>
    <w:rsid w:val="005C1EA8"/>
    <w:rsid w:val="005D5EF0"/>
    <w:rsid w:val="005D60B0"/>
    <w:rsid w:val="005D7069"/>
    <w:rsid w:val="005E13BA"/>
    <w:rsid w:val="005F7DB0"/>
    <w:rsid w:val="00604B54"/>
    <w:rsid w:val="006078DD"/>
    <w:rsid w:val="0061698D"/>
    <w:rsid w:val="00623707"/>
    <w:rsid w:val="00624068"/>
    <w:rsid w:val="00627BB4"/>
    <w:rsid w:val="00631F31"/>
    <w:rsid w:val="006359D8"/>
    <w:rsid w:val="006400FA"/>
    <w:rsid w:val="0064301E"/>
    <w:rsid w:val="006615CF"/>
    <w:rsid w:val="00670DE1"/>
    <w:rsid w:val="00670EF2"/>
    <w:rsid w:val="00681F2B"/>
    <w:rsid w:val="0068622D"/>
    <w:rsid w:val="00687A14"/>
    <w:rsid w:val="006A0346"/>
    <w:rsid w:val="006A1671"/>
    <w:rsid w:val="006B3711"/>
    <w:rsid w:val="006B3E93"/>
    <w:rsid w:val="006B5225"/>
    <w:rsid w:val="006B6E44"/>
    <w:rsid w:val="006E7FAC"/>
    <w:rsid w:val="006F64B8"/>
    <w:rsid w:val="00700B80"/>
    <w:rsid w:val="0070145B"/>
    <w:rsid w:val="00714B14"/>
    <w:rsid w:val="00724252"/>
    <w:rsid w:val="00727B14"/>
    <w:rsid w:val="007331A1"/>
    <w:rsid w:val="0074211E"/>
    <w:rsid w:val="00747689"/>
    <w:rsid w:val="00757D2C"/>
    <w:rsid w:val="0078105A"/>
    <w:rsid w:val="00782D18"/>
    <w:rsid w:val="00782FF8"/>
    <w:rsid w:val="00791C9D"/>
    <w:rsid w:val="00791FE4"/>
    <w:rsid w:val="00795339"/>
    <w:rsid w:val="007A5489"/>
    <w:rsid w:val="007A6534"/>
    <w:rsid w:val="007C5C4A"/>
    <w:rsid w:val="007C7BA0"/>
    <w:rsid w:val="007D36CB"/>
    <w:rsid w:val="007D4176"/>
    <w:rsid w:val="007E2496"/>
    <w:rsid w:val="007F4B17"/>
    <w:rsid w:val="00800C2A"/>
    <w:rsid w:val="008100A5"/>
    <w:rsid w:val="008107EE"/>
    <w:rsid w:val="008111AF"/>
    <w:rsid w:val="00813FFE"/>
    <w:rsid w:val="008166EC"/>
    <w:rsid w:val="008200CD"/>
    <w:rsid w:val="00827B6C"/>
    <w:rsid w:val="00831F04"/>
    <w:rsid w:val="008335C2"/>
    <w:rsid w:val="008353DF"/>
    <w:rsid w:val="00845132"/>
    <w:rsid w:val="00846555"/>
    <w:rsid w:val="00860391"/>
    <w:rsid w:val="008658AB"/>
    <w:rsid w:val="00883C44"/>
    <w:rsid w:val="00887142"/>
    <w:rsid w:val="00892C2C"/>
    <w:rsid w:val="008B6CA7"/>
    <w:rsid w:val="008C1E92"/>
    <w:rsid w:val="008C3202"/>
    <w:rsid w:val="008C59A0"/>
    <w:rsid w:val="008D216F"/>
    <w:rsid w:val="008D6ED0"/>
    <w:rsid w:val="008E4DE8"/>
    <w:rsid w:val="008F736B"/>
    <w:rsid w:val="008F759A"/>
    <w:rsid w:val="009035BB"/>
    <w:rsid w:val="00903C80"/>
    <w:rsid w:val="00906DEE"/>
    <w:rsid w:val="00927B14"/>
    <w:rsid w:val="00931323"/>
    <w:rsid w:val="0093693C"/>
    <w:rsid w:val="00946498"/>
    <w:rsid w:val="00956BC6"/>
    <w:rsid w:val="009603DE"/>
    <w:rsid w:val="00964AF6"/>
    <w:rsid w:val="0097363F"/>
    <w:rsid w:val="009805A3"/>
    <w:rsid w:val="009821F2"/>
    <w:rsid w:val="00987601"/>
    <w:rsid w:val="009A4962"/>
    <w:rsid w:val="009A508F"/>
    <w:rsid w:val="009B00D8"/>
    <w:rsid w:val="009B14B9"/>
    <w:rsid w:val="009B2C3F"/>
    <w:rsid w:val="009B6FD8"/>
    <w:rsid w:val="009C4853"/>
    <w:rsid w:val="009D15CA"/>
    <w:rsid w:val="009E6EE6"/>
    <w:rsid w:val="009E7AE3"/>
    <w:rsid w:val="009F6EDD"/>
    <w:rsid w:val="00A060DD"/>
    <w:rsid w:val="00A20655"/>
    <w:rsid w:val="00A23033"/>
    <w:rsid w:val="00A245ED"/>
    <w:rsid w:val="00A37D8B"/>
    <w:rsid w:val="00A55E6B"/>
    <w:rsid w:val="00A64550"/>
    <w:rsid w:val="00A74395"/>
    <w:rsid w:val="00A75311"/>
    <w:rsid w:val="00A81B12"/>
    <w:rsid w:val="00A909C0"/>
    <w:rsid w:val="00A95809"/>
    <w:rsid w:val="00AA26CA"/>
    <w:rsid w:val="00AB15A4"/>
    <w:rsid w:val="00AB53DA"/>
    <w:rsid w:val="00AC7032"/>
    <w:rsid w:val="00AD65E8"/>
    <w:rsid w:val="00AE297B"/>
    <w:rsid w:val="00B07C6B"/>
    <w:rsid w:val="00B11F84"/>
    <w:rsid w:val="00B1447F"/>
    <w:rsid w:val="00B20E37"/>
    <w:rsid w:val="00B21E27"/>
    <w:rsid w:val="00B2440B"/>
    <w:rsid w:val="00B3050C"/>
    <w:rsid w:val="00B31B65"/>
    <w:rsid w:val="00B32876"/>
    <w:rsid w:val="00B3433F"/>
    <w:rsid w:val="00B3741E"/>
    <w:rsid w:val="00B41CEF"/>
    <w:rsid w:val="00B4558B"/>
    <w:rsid w:val="00B46FFC"/>
    <w:rsid w:val="00B60B5B"/>
    <w:rsid w:val="00B61A6F"/>
    <w:rsid w:val="00B768EF"/>
    <w:rsid w:val="00B80873"/>
    <w:rsid w:val="00B84951"/>
    <w:rsid w:val="00B87DFD"/>
    <w:rsid w:val="00B937F1"/>
    <w:rsid w:val="00BB0E1E"/>
    <w:rsid w:val="00BB278B"/>
    <w:rsid w:val="00BB2ECC"/>
    <w:rsid w:val="00BB4E8D"/>
    <w:rsid w:val="00BD175E"/>
    <w:rsid w:val="00BD17F5"/>
    <w:rsid w:val="00BD4725"/>
    <w:rsid w:val="00BE2ABC"/>
    <w:rsid w:val="00BE6C96"/>
    <w:rsid w:val="00BF4C6C"/>
    <w:rsid w:val="00C00791"/>
    <w:rsid w:val="00C04801"/>
    <w:rsid w:val="00C10453"/>
    <w:rsid w:val="00C174CF"/>
    <w:rsid w:val="00C1766A"/>
    <w:rsid w:val="00C2480B"/>
    <w:rsid w:val="00C55767"/>
    <w:rsid w:val="00C55B37"/>
    <w:rsid w:val="00C65E5C"/>
    <w:rsid w:val="00C705EF"/>
    <w:rsid w:val="00C720EC"/>
    <w:rsid w:val="00C75B19"/>
    <w:rsid w:val="00C91598"/>
    <w:rsid w:val="00C94EB2"/>
    <w:rsid w:val="00C96558"/>
    <w:rsid w:val="00CA1457"/>
    <w:rsid w:val="00CB3CEF"/>
    <w:rsid w:val="00CB79CA"/>
    <w:rsid w:val="00CE06F7"/>
    <w:rsid w:val="00CE0F55"/>
    <w:rsid w:val="00D02FCD"/>
    <w:rsid w:val="00D05847"/>
    <w:rsid w:val="00D2776A"/>
    <w:rsid w:val="00D4779B"/>
    <w:rsid w:val="00D53A77"/>
    <w:rsid w:val="00D77E50"/>
    <w:rsid w:val="00DA7EBB"/>
    <w:rsid w:val="00DD05C2"/>
    <w:rsid w:val="00DD1C0F"/>
    <w:rsid w:val="00E06DF7"/>
    <w:rsid w:val="00E102FF"/>
    <w:rsid w:val="00E11BAF"/>
    <w:rsid w:val="00E1689E"/>
    <w:rsid w:val="00E316AF"/>
    <w:rsid w:val="00E34C53"/>
    <w:rsid w:val="00E53DC6"/>
    <w:rsid w:val="00E64336"/>
    <w:rsid w:val="00E65167"/>
    <w:rsid w:val="00E660A3"/>
    <w:rsid w:val="00E71EED"/>
    <w:rsid w:val="00E72D5A"/>
    <w:rsid w:val="00E83F70"/>
    <w:rsid w:val="00E9290F"/>
    <w:rsid w:val="00E95BC8"/>
    <w:rsid w:val="00E96681"/>
    <w:rsid w:val="00E97D97"/>
    <w:rsid w:val="00EB2EAA"/>
    <w:rsid w:val="00EB594C"/>
    <w:rsid w:val="00EC422B"/>
    <w:rsid w:val="00EC5C2B"/>
    <w:rsid w:val="00EE03DB"/>
    <w:rsid w:val="00EF2672"/>
    <w:rsid w:val="00F03D6B"/>
    <w:rsid w:val="00F11EC8"/>
    <w:rsid w:val="00F22184"/>
    <w:rsid w:val="00F27108"/>
    <w:rsid w:val="00F3245E"/>
    <w:rsid w:val="00F32B34"/>
    <w:rsid w:val="00F33511"/>
    <w:rsid w:val="00F4072E"/>
    <w:rsid w:val="00F416E5"/>
    <w:rsid w:val="00F63F99"/>
    <w:rsid w:val="00F64903"/>
    <w:rsid w:val="00F675E2"/>
    <w:rsid w:val="00F67C88"/>
    <w:rsid w:val="00F760E9"/>
    <w:rsid w:val="00F80A29"/>
    <w:rsid w:val="00F812F6"/>
    <w:rsid w:val="00F9118D"/>
    <w:rsid w:val="00F93200"/>
    <w:rsid w:val="00FB11A9"/>
    <w:rsid w:val="00FB1A6C"/>
    <w:rsid w:val="00FB1C47"/>
    <w:rsid w:val="00FB4BB6"/>
    <w:rsid w:val="00FC196D"/>
    <w:rsid w:val="00FC1B18"/>
    <w:rsid w:val="00FD7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84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0E"/>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30E"/>
    <w:rPr>
      <w:color w:val="0563C1" w:themeColor="hyperlink"/>
      <w:u w:val="single"/>
    </w:rPr>
  </w:style>
  <w:style w:type="table" w:styleId="TableGrid">
    <w:name w:val="Table Grid"/>
    <w:basedOn w:val="TableNormal"/>
    <w:uiPriority w:val="39"/>
    <w:rsid w:val="0048030E"/>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BC6"/>
    <w:rPr>
      <w:rFonts w:ascii="Times New Roman" w:hAnsi="Times New Roman"/>
      <w:sz w:val="24"/>
    </w:rPr>
  </w:style>
  <w:style w:type="paragraph" w:styleId="Footer">
    <w:name w:val="footer"/>
    <w:basedOn w:val="Normal"/>
    <w:link w:val="FooterChar"/>
    <w:uiPriority w:val="99"/>
    <w:unhideWhenUsed/>
    <w:rsid w:val="00956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BC6"/>
    <w:rPr>
      <w:rFonts w:ascii="Times New Roman" w:hAnsi="Times New Roman"/>
      <w:sz w:val="24"/>
    </w:rPr>
  </w:style>
  <w:style w:type="paragraph" w:styleId="BalloonText">
    <w:name w:val="Balloon Text"/>
    <w:basedOn w:val="Normal"/>
    <w:link w:val="BalloonTextChar"/>
    <w:uiPriority w:val="99"/>
    <w:semiHidden/>
    <w:unhideWhenUsed/>
    <w:rsid w:val="00A75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11"/>
    <w:rPr>
      <w:rFonts w:ascii="Segoe UI" w:hAnsi="Segoe UI" w:cs="Segoe UI"/>
      <w:sz w:val="18"/>
      <w:szCs w:val="18"/>
    </w:rPr>
  </w:style>
  <w:style w:type="character" w:styleId="CommentReference">
    <w:name w:val="annotation reference"/>
    <w:basedOn w:val="DefaultParagraphFont"/>
    <w:uiPriority w:val="99"/>
    <w:semiHidden/>
    <w:unhideWhenUsed/>
    <w:rsid w:val="00EF2672"/>
    <w:rPr>
      <w:sz w:val="16"/>
      <w:szCs w:val="16"/>
    </w:rPr>
  </w:style>
  <w:style w:type="paragraph" w:styleId="CommentText">
    <w:name w:val="annotation text"/>
    <w:basedOn w:val="Normal"/>
    <w:link w:val="CommentTextChar"/>
    <w:uiPriority w:val="99"/>
    <w:semiHidden/>
    <w:unhideWhenUsed/>
    <w:rsid w:val="00EF2672"/>
    <w:pPr>
      <w:spacing w:line="240" w:lineRule="auto"/>
    </w:pPr>
    <w:rPr>
      <w:sz w:val="20"/>
      <w:szCs w:val="20"/>
    </w:rPr>
  </w:style>
  <w:style w:type="character" w:customStyle="1" w:styleId="CommentTextChar">
    <w:name w:val="Comment Text Char"/>
    <w:basedOn w:val="DefaultParagraphFont"/>
    <w:link w:val="CommentText"/>
    <w:uiPriority w:val="99"/>
    <w:semiHidden/>
    <w:rsid w:val="00EF26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2672"/>
    <w:rPr>
      <w:b/>
      <w:bCs/>
    </w:rPr>
  </w:style>
  <w:style w:type="character" w:customStyle="1" w:styleId="CommentSubjectChar">
    <w:name w:val="Comment Subject Char"/>
    <w:basedOn w:val="CommentTextChar"/>
    <w:link w:val="CommentSubject"/>
    <w:uiPriority w:val="99"/>
    <w:semiHidden/>
    <w:rsid w:val="00EF2672"/>
    <w:rPr>
      <w:rFonts w:ascii="Times New Roman" w:hAnsi="Times New Roman"/>
      <w:b/>
      <w:bCs/>
      <w:sz w:val="20"/>
      <w:szCs w:val="20"/>
    </w:rPr>
  </w:style>
  <w:style w:type="paragraph" w:styleId="Revision">
    <w:name w:val="Revision"/>
    <w:hidden/>
    <w:uiPriority w:val="99"/>
    <w:semiHidden/>
    <w:rsid w:val="003B4AB1"/>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353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249069">
      <w:bodyDiv w:val="1"/>
      <w:marLeft w:val="0"/>
      <w:marRight w:val="0"/>
      <w:marTop w:val="0"/>
      <w:marBottom w:val="0"/>
      <w:divBdr>
        <w:top w:val="none" w:sz="0" w:space="0" w:color="auto"/>
        <w:left w:val="none" w:sz="0" w:space="0" w:color="auto"/>
        <w:bottom w:val="none" w:sz="0" w:space="0" w:color="auto"/>
        <w:right w:val="none" w:sz="0" w:space="0" w:color="auto"/>
      </w:divBdr>
    </w:div>
    <w:div w:id="1269238112">
      <w:bodyDiv w:val="1"/>
      <w:marLeft w:val="0"/>
      <w:marRight w:val="0"/>
      <w:marTop w:val="0"/>
      <w:marBottom w:val="0"/>
      <w:divBdr>
        <w:top w:val="none" w:sz="0" w:space="0" w:color="auto"/>
        <w:left w:val="none" w:sz="0" w:space="0" w:color="auto"/>
        <w:bottom w:val="none" w:sz="0" w:space="0" w:color="auto"/>
        <w:right w:val="none" w:sz="0" w:space="0" w:color="auto"/>
      </w:divBdr>
      <w:divsChild>
        <w:div w:id="1452750407">
          <w:marLeft w:val="0"/>
          <w:marRight w:val="0"/>
          <w:marTop w:val="0"/>
          <w:marBottom w:val="0"/>
          <w:divBdr>
            <w:top w:val="none" w:sz="0" w:space="0" w:color="auto"/>
            <w:left w:val="none" w:sz="0" w:space="0" w:color="auto"/>
            <w:bottom w:val="none" w:sz="0" w:space="0" w:color="auto"/>
            <w:right w:val="none" w:sz="0" w:space="0" w:color="auto"/>
          </w:divBdr>
          <w:divsChild>
            <w:div w:id="4609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112" TargetMode="External"/><Relationship Id="rId3" Type="http://schemas.openxmlformats.org/officeDocument/2006/relationships/settings" Target="settings.xml"/><Relationship Id="rId7" Type="http://schemas.openxmlformats.org/officeDocument/2006/relationships/hyperlink" Target="https://manas.tiesas.lv/eTiesasMvc/nolemumi/pdf/53332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A4AB-BFDD-412E-9F92-2D22E1AF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7591</Words>
  <Characters>4327</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2024-06-19T12:56:00Z</dcterms:created>
  <dcterms:modified xsi:type="dcterms:W3CDTF">2024-09-20T10:40:00Z</dcterms:modified>
</cp:coreProperties>
</file>