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F4154" w14:textId="77777777" w:rsidR="00747DBB" w:rsidRPr="00C42517" w:rsidRDefault="00747DBB" w:rsidP="00747DBB">
      <w:pPr>
        <w:spacing w:before="120" w:line="276" w:lineRule="auto"/>
        <w:contextualSpacing/>
        <w:jc w:val="both"/>
        <w:rPr>
          <w:rFonts w:asciiTheme="majorBidi" w:hAnsiTheme="majorBidi" w:cstheme="majorBidi"/>
          <w:b/>
          <w:bCs/>
        </w:rPr>
      </w:pPr>
      <w:r w:rsidRPr="00C42517">
        <w:rPr>
          <w:rFonts w:asciiTheme="majorBidi" w:hAnsiTheme="majorBidi" w:cstheme="majorBidi"/>
          <w:b/>
          <w:bCs/>
          <w:shd w:val="clear" w:color="auto" w:fill="FFFFFF"/>
        </w:rPr>
        <w:t xml:space="preserve">Piesārņojošās darbības atļaujas nosacījumi; </w:t>
      </w:r>
      <w:r>
        <w:rPr>
          <w:rFonts w:asciiTheme="majorBidi" w:hAnsiTheme="majorBidi" w:cstheme="majorBidi"/>
          <w:b/>
          <w:bCs/>
          <w:shd w:val="clear" w:color="auto" w:fill="FFFFFF"/>
        </w:rPr>
        <w:t>p</w:t>
      </w:r>
      <w:r w:rsidRPr="00C42517">
        <w:rPr>
          <w:rFonts w:asciiTheme="majorBidi" w:hAnsiTheme="majorBidi" w:cstheme="majorBidi"/>
          <w:b/>
          <w:bCs/>
        </w:rPr>
        <w:t>iesardzības un preventīvās darbības princips</w:t>
      </w:r>
    </w:p>
    <w:p w14:paraId="607A0E8D" w14:textId="77777777" w:rsidR="00747DBB" w:rsidRPr="00C42517" w:rsidRDefault="00747DBB" w:rsidP="00747DBB">
      <w:pPr>
        <w:spacing w:before="120" w:line="276" w:lineRule="auto"/>
        <w:contextualSpacing/>
        <w:jc w:val="both"/>
        <w:rPr>
          <w:rFonts w:asciiTheme="majorBidi" w:hAnsiTheme="majorBidi" w:cstheme="majorBidi"/>
        </w:rPr>
      </w:pPr>
      <w:r w:rsidRPr="00C42517">
        <w:rPr>
          <w:rFonts w:asciiTheme="majorBidi" w:hAnsiTheme="majorBidi" w:cstheme="majorBidi"/>
          <w:shd w:val="clear" w:color="auto" w:fill="FFFFFF"/>
        </w:rPr>
        <w:t xml:space="preserve">Apstākļiem par vides pārkāpumu neesību nav izšķirošas nozīmes, vērtējot piesārņojošas darbības atļaujas nosacījumus, jo normatīvajos aktos noteiktās vides aizsardzības prasības, attiecīgi arī piesārņojošās darbības atļaujas nosacījumi visupirms ir vērsti uz to, lai kaitējums videi vai cilvēku veselībai vispār netiktu nodarīts. </w:t>
      </w:r>
      <w:r w:rsidRPr="00C42517">
        <w:rPr>
          <w:rFonts w:asciiTheme="majorBidi" w:hAnsiTheme="majorBidi" w:cstheme="majorBidi"/>
        </w:rPr>
        <w:t>Minētais izriet no piesardzības un preventīvās darbības principa, kas ir Eiropas Savienības vides politikas īstenošanas pamatā esošs princips un attiecīgi piemērojams arī Latvijas tiesiskajā sistēmā.</w:t>
      </w:r>
    </w:p>
    <w:p w14:paraId="458D2BA9" w14:textId="77777777" w:rsidR="00747DBB" w:rsidRPr="00C42517" w:rsidRDefault="00747DBB" w:rsidP="00747DBB">
      <w:pPr>
        <w:spacing w:before="120" w:line="276" w:lineRule="auto"/>
        <w:contextualSpacing/>
        <w:jc w:val="both"/>
        <w:rPr>
          <w:rFonts w:asciiTheme="majorBidi" w:hAnsiTheme="majorBidi" w:cstheme="majorBidi"/>
        </w:rPr>
      </w:pPr>
      <w:r w:rsidRPr="00C42517">
        <w:rPr>
          <w:rFonts w:asciiTheme="majorBidi" w:hAnsiTheme="majorBidi" w:cstheme="majorBidi"/>
        </w:rPr>
        <w:t>Piesardzības princips ļauj veikt aizsardzības pasākumus situācijā, kad pastāv šaubas (neskaidrības) par riska esību vai tā pakāpi attiecībā uz cilvēku veselību vai vidi, negaidot to, kad šo risku faktiskā esība un nopietnība ir pilnībā pierādīta. Savukārt preventīvās darbības princips ļauj veikt nepieciešamos aizsardzības pasākumus,</w:t>
      </w:r>
      <w:r w:rsidRPr="00C42517">
        <w:rPr>
          <w:rFonts w:asciiTheme="majorBidi" w:hAnsiTheme="majorBidi" w:cstheme="majorBidi"/>
          <w:color w:val="000000" w:themeColor="text1"/>
        </w:rPr>
        <w:t xml:space="preserve"> kas novērš jau zināmo risku, kas var noteikti iestāties, tādējādi jau no paša sākuma nepieļaujot piesārņojuma vai kaitējuma rašanos. </w:t>
      </w:r>
      <w:r w:rsidRPr="00C42517">
        <w:rPr>
          <w:rFonts w:asciiTheme="majorBidi" w:hAnsiTheme="majorBidi" w:cstheme="majorBidi"/>
        </w:rPr>
        <w:t xml:space="preserve">Parasti paši piesārņotāji ir tās personas, kas var veikt visefektīvākos pasākumus. Līdz ar to no </w:t>
      </w:r>
      <w:r w:rsidRPr="00C42517">
        <w:rPr>
          <w:rFonts w:asciiTheme="majorBidi" w:hAnsiTheme="majorBidi" w:cstheme="majorBidi"/>
          <w:shd w:val="clear" w:color="auto" w:fill="FFFFFF"/>
        </w:rPr>
        <w:t>piesardzības principa izriet kompetentās iestādes tiesības noteikt piesārņojošās darbības atļaujā tādus nosacījumus, kuru mērķis ir aizsargāt cilvēku veselību vai vidi pret piesārņojuma rašanos situācijā,</w:t>
      </w:r>
      <w:r w:rsidRPr="00C42517">
        <w:rPr>
          <w:rFonts w:asciiTheme="majorBidi" w:hAnsiTheme="majorBidi" w:cstheme="majorBidi"/>
          <w:lang w:eastAsia="en-US"/>
        </w:rPr>
        <w:t xml:space="preserve"> kad iztrūkst precīzas ziņas par šā piesārņojuma riska varbūtību, citiem vārdiem sakot – noteikt prasības arī </w:t>
      </w:r>
      <w:r w:rsidRPr="00C42517">
        <w:rPr>
          <w:rFonts w:asciiTheme="majorBidi" w:hAnsiTheme="majorBidi" w:cstheme="majorBidi"/>
        </w:rPr>
        <w:t>šaubu gadījumā, negaidot, kamēr šo risku nopietnība kļūst pierādīta.</w:t>
      </w:r>
    </w:p>
    <w:p w14:paraId="4A4648E5" w14:textId="77777777" w:rsidR="00747DBB" w:rsidRDefault="00747DBB" w:rsidP="00747DBB">
      <w:pPr>
        <w:spacing w:before="120" w:line="276" w:lineRule="auto"/>
        <w:contextualSpacing/>
        <w:jc w:val="both"/>
        <w:rPr>
          <w:rFonts w:asciiTheme="majorBidi" w:hAnsiTheme="majorBidi" w:cstheme="majorBidi"/>
          <w:i/>
          <w:iCs/>
        </w:rPr>
      </w:pPr>
    </w:p>
    <w:p w14:paraId="056754C2" w14:textId="77777777" w:rsidR="00747DBB" w:rsidRPr="00C42517" w:rsidRDefault="00747DBB" w:rsidP="00747DBB">
      <w:pPr>
        <w:spacing w:before="120" w:line="276" w:lineRule="auto"/>
        <w:contextualSpacing/>
        <w:jc w:val="both"/>
        <w:rPr>
          <w:rFonts w:asciiTheme="majorBidi" w:hAnsiTheme="majorBidi" w:cstheme="majorBidi"/>
          <w:b/>
          <w:bCs/>
        </w:rPr>
      </w:pPr>
      <w:r w:rsidRPr="00C42517">
        <w:rPr>
          <w:rFonts w:asciiTheme="majorBidi" w:hAnsiTheme="majorBidi" w:cstheme="majorBidi"/>
          <w:b/>
          <w:bCs/>
        </w:rPr>
        <w:t xml:space="preserve">Deleģējums Ministru kabinetam paredzēt piesārņojošās darbības atļaujas saņemšanu </w:t>
      </w:r>
      <w:r>
        <w:rPr>
          <w:rFonts w:asciiTheme="majorBidi" w:hAnsiTheme="majorBidi" w:cstheme="majorBidi"/>
          <w:b/>
          <w:bCs/>
        </w:rPr>
        <w:t>ogļūdeņražu</w:t>
      </w:r>
      <w:r w:rsidRPr="00C42517">
        <w:rPr>
          <w:rFonts w:asciiTheme="majorBidi" w:hAnsiTheme="majorBidi" w:cstheme="majorBidi"/>
          <w:b/>
          <w:bCs/>
        </w:rPr>
        <w:t xml:space="preserve"> ieguvei neatkarīgi no tā, vai to ieguve ir plānota jūrā vai sauszemē</w:t>
      </w:r>
    </w:p>
    <w:p w14:paraId="682B489A" w14:textId="77777777" w:rsidR="00747DBB" w:rsidRDefault="00747DBB" w:rsidP="00747DBB">
      <w:pPr>
        <w:spacing w:before="120" w:line="276" w:lineRule="auto"/>
        <w:contextualSpacing/>
        <w:jc w:val="both"/>
        <w:rPr>
          <w:rFonts w:asciiTheme="majorBidi" w:hAnsiTheme="majorBidi" w:cstheme="majorBidi"/>
        </w:rPr>
      </w:pPr>
      <w:r w:rsidRPr="00C42517">
        <w:rPr>
          <w:rFonts w:asciiTheme="majorBidi" w:hAnsiTheme="majorBidi" w:cstheme="majorBidi"/>
        </w:rPr>
        <w:t xml:space="preserve">No likuma „Par zemes dzīlēm” 10.panta septītās daļas pirmā teikuma izriet deleģējums Ministru kabinetam izdot noteikumus ne tikai par vides aizsardzību ogļūdeņražu izpētes un ieguves darbiem jūrā, bet arī deleģējums ogļūdeņražu ieguves kārtības ietvaros regulēt nepieciešamos vides aizsardzības pasākumus ogļūdeņražu izpētes un ieguves darbiem sauszemē, tostarp arī paredzēt piesārņojošās darbības atļaujas saņemšanu neatkarīgi no tā, vai to ieguve ir plānota jūrā vai sauszemē. </w:t>
      </w:r>
    </w:p>
    <w:p w14:paraId="07C5237F" w14:textId="764F7B21" w:rsidR="00447EE6" w:rsidRPr="00FE6281" w:rsidRDefault="00447EE6" w:rsidP="00747DBB">
      <w:pPr>
        <w:spacing w:line="276" w:lineRule="auto"/>
        <w:rPr>
          <w:lang w:eastAsia="lv-LV"/>
        </w:rPr>
      </w:pPr>
    </w:p>
    <w:p w14:paraId="30EF74F0" w14:textId="00B4DF81" w:rsidR="00447EE6" w:rsidRPr="00FD217A" w:rsidRDefault="00447EE6" w:rsidP="00747DBB">
      <w:pPr>
        <w:spacing w:line="276" w:lineRule="auto"/>
        <w:jc w:val="center"/>
        <w:rPr>
          <w:b/>
        </w:rPr>
      </w:pPr>
      <w:r w:rsidRPr="00FD217A">
        <w:rPr>
          <w:b/>
        </w:rPr>
        <w:t>Latvijas Republikas Senāt</w:t>
      </w:r>
      <w:r w:rsidR="00747DBB">
        <w:rPr>
          <w:b/>
        </w:rPr>
        <w:t>a</w:t>
      </w:r>
      <w:r w:rsidR="00747DBB">
        <w:rPr>
          <w:b/>
        </w:rPr>
        <w:br/>
        <w:t xml:space="preserve">Administratīvo lietu departamenta </w:t>
      </w:r>
      <w:r w:rsidR="00747DBB">
        <w:rPr>
          <w:b/>
        </w:rPr>
        <w:br/>
        <w:t>2024.gada 29.aprīļa</w:t>
      </w:r>
    </w:p>
    <w:p w14:paraId="6D65DEB2" w14:textId="0F03A300" w:rsidR="00447EE6" w:rsidRDefault="00447EE6" w:rsidP="00747DBB">
      <w:pPr>
        <w:spacing w:line="276" w:lineRule="auto"/>
        <w:jc w:val="center"/>
        <w:rPr>
          <w:b/>
        </w:rPr>
      </w:pPr>
      <w:r w:rsidRPr="00FE6281">
        <w:rPr>
          <w:b/>
        </w:rPr>
        <w:t>SPRIEDUMS</w:t>
      </w:r>
    </w:p>
    <w:p w14:paraId="095A19C8" w14:textId="77777777" w:rsidR="00747DBB" w:rsidRPr="00747DBB" w:rsidRDefault="00747DBB" w:rsidP="00747DBB">
      <w:pPr>
        <w:spacing w:line="276" w:lineRule="auto"/>
        <w:jc w:val="center"/>
        <w:rPr>
          <w:b/>
          <w:bCs/>
          <w:lang w:eastAsia="lv-LV"/>
        </w:rPr>
      </w:pPr>
      <w:r w:rsidRPr="00747DBB">
        <w:rPr>
          <w:b/>
          <w:bCs/>
          <w:lang w:eastAsia="lv-LV"/>
        </w:rPr>
        <w:t>Lieta Nr. A420198519, SKA</w:t>
      </w:r>
      <w:r w:rsidRPr="00747DBB">
        <w:rPr>
          <w:b/>
          <w:bCs/>
          <w:lang w:eastAsia="lv-LV"/>
        </w:rPr>
        <w:noBreakHyphen/>
        <w:t>39/2024</w:t>
      </w:r>
    </w:p>
    <w:p w14:paraId="43340537" w14:textId="4D916C5B" w:rsidR="00747DBB" w:rsidRPr="00FE6281" w:rsidRDefault="00000000" w:rsidP="00747DBB">
      <w:pPr>
        <w:spacing w:line="276" w:lineRule="auto"/>
        <w:jc w:val="center"/>
      </w:pPr>
      <w:hyperlink r:id="rId8" w:history="1">
        <w:r w:rsidR="00747DBB" w:rsidRPr="00747DBB">
          <w:rPr>
            <w:rStyle w:val="Hyperlink"/>
            <w:rFonts w:ascii="TimesNewRomanPSMT" w:eastAsiaTheme="minorHAnsi" w:hAnsi="TimesNewRomanPSMT" w:cs="TimesNewRomanPSMT"/>
            <w:lang w:eastAsia="en-US"/>
          </w:rPr>
          <w:t>ECLI:LV:AT:2024:0429.A420198519.15.S</w:t>
        </w:r>
      </w:hyperlink>
    </w:p>
    <w:p w14:paraId="0BE99DA0" w14:textId="77777777" w:rsidR="00DB3CAB" w:rsidRPr="00FE6281" w:rsidRDefault="00DB3CAB" w:rsidP="00747DBB">
      <w:pPr>
        <w:spacing w:line="276" w:lineRule="auto"/>
        <w:ind w:firstLine="709"/>
      </w:pPr>
    </w:p>
    <w:p w14:paraId="4CB10B26" w14:textId="4BBB738E" w:rsidR="008E0E30" w:rsidRPr="00FE6281" w:rsidRDefault="0040099D" w:rsidP="00747DBB">
      <w:pPr>
        <w:spacing w:line="276" w:lineRule="auto"/>
        <w:ind w:firstLine="720"/>
        <w:jc w:val="both"/>
      </w:pPr>
      <w:r w:rsidRPr="00FE6281">
        <w:t>Senāts šādā sastāvā: senator</w:t>
      </w:r>
      <w:r w:rsidR="00A177E9" w:rsidRPr="00FE6281">
        <w:t>s</w:t>
      </w:r>
      <w:r w:rsidRPr="00FE6281">
        <w:t xml:space="preserve"> referent</w:t>
      </w:r>
      <w:r w:rsidR="00A177E9" w:rsidRPr="00FE6281">
        <w:t>s</w:t>
      </w:r>
      <w:r w:rsidR="00D91ECD" w:rsidRPr="00FE6281">
        <w:t xml:space="preserve"> </w:t>
      </w:r>
      <w:r w:rsidR="00A177E9" w:rsidRPr="00FE6281">
        <w:t>Jānis Pleps</w:t>
      </w:r>
      <w:r w:rsidRPr="00FE6281">
        <w:t xml:space="preserve">, senatores </w:t>
      </w:r>
      <w:r w:rsidR="00A177E9" w:rsidRPr="00FE6281">
        <w:t>Veronika Krūmiņa</w:t>
      </w:r>
      <w:r w:rsidR="008E0E30" w:rsidRPr="00FE6281">
        <w:t xml:space="preserve"> un </w:t>
      </w:r>
      <w:r w:rsidR="00A177E9" w:rsidRPr="00FE6281">
        <w:t>Līvija Slica</w:t>
      </w:r>
    </w:p>
    <w:p w14:paraId="5778C869" w14:textId="465D696D" w:rsidR="00DB3CAB" w:rsidRPr="00FE6281" w:rsidRDefault="00DB3CAB" w:rsidP="00747DBB">
      <w:pPr>
        <w:spacing w:line="276" w:lineRule="auto"/>
        <w:ind w:firstLine="720"/>
        <w:jc w:val="both"/>
      </w:pPr>
    </w:p>
    <w:p w14:paraId="772598AC" w14:textId="6917FA93" w:rsidR="0006272B" w:rsidRPr="00FE6281" w:rsidRDefault="0040099D" w:rsidP="00747DBB">
      <w:pPr>
        <w:spacing w:line="276" w:lineRule="auto"/>
        <w:ind w:firstLine="720"/>
        <w:jc w:val="both"/>
      </w:pPr>
      <w:r w:rsidRPr="00FE6281">
        <w:t xml:space="preserve">rakstveida procesā izskatīja administratīvo lietu, kas ierosināta, </w:t>
      </w:r>
      <w:r w:rsidRPr="00FE6281">
        <w:rPr>
          <w:lang w:eastAsia="lv-LV"/>
        </w:rPr>
        <w:t xml:space="preserve">pamatojoties uz </w:t>
      </w:r>
      <w:r w:rsidR="00A177E9" w:rsidRPr="00FE6281">
        <w:rPr>
          <w:lang w:eastAsia="lv-LV"/>
        </w:rPr>
        <w:t>SIA „BALTIC OIL MANAGEMENT”</w:t>
      </w:r>
      <w:r w:rsidRPr="00FE6281">
        <w:t xml:space="preserve"> pieteikumu par</w:t>
      </w:r>
      <w:r w:rsidR="00D91ECD" w:rsidRPr="00FE6281">
        <w:t xml:space="preserve"> </w:t>
      </w:r>
      <w:r w:rsidR="00A177E9" w:rsidRPr="00FE6281">
        <w:t>Vides pārraudzības valsts biroja 2019.gada 1.marta lēmuma Nr. 10</w:t>
      </w:r>
      <w:r w:rsidR="00A177E9" w:rsidRPr="00FE6281">
        <w:noBreakHyphen/>
        <w:t xml:space="preserve">04/5 </w:t>
      </w:r>
      <w:r w:rsidR="00BD58E5" w:rsidRPr="00FE6281">
        <w:t>un</w:t>
      </w:r>
      <w:r w:rsidR="0045693F" w:rsidRPr="00FE6281">
        <w:t xml:space="preserve"> </w:t>
      </w:r>
      <w:r w:rsidR="00A177E9" w:rsidRPr="00FE6281">
        <w:t>2019.gada 30.augusta lēmuma Nr.</w:t>
      </w:r>
      <w:r w:rsidR="00666C44" w:rsidRPr="00FE6281">
        <w:t> </w:t>
      </w:r>
      <w:r w:rsidR="00A177E9" w:rsidRPr="00FE6281">
        <w:t>10</w:t>
      </w:r>
      <w:r w:rsidR="00A177E9" w:rsidRPr="00FE6281">
        <w:noBreakHyphen/>
        <w:t xml:space="preserve">04/33 </w:t>
      </w:r>
      <w:r w:rsidR="00A177E9" w:rsidRPr="00FE6281">
        <w:lastRenderedPageBreak/>
        <w:t>atcelšanu,</w:t>
      </w:r>
      <w:r w:rsidRPr="00FE6281">
        <w:t xml:space="preserve"> sakarā ar </w:t>
      </w:r>
      <w:r w:rsidR="00A177E9" w:rsidRPr="00FE6281">
        <w:t>SIA „BALTIC OIL MANAGEMENT”</w:t>
      </w:r>
      <w:r w:rsidRPr="00FE6281">
        <w:t xml:space="preserve"> kasācijas sūdzību par Administratīvās apgabaltiesas 20</w:t>
      </w:r>
      <w:r w:rsidR="00D91ECD" w:rsidRPr="00FE6281">
        <w:t>2</w:t>
      </w:r>
      <w:r w:rsidR="00A177E9" w:rsidRPr="00FE6281">
        <w:t>1</w:t>
      </w:r>
      <w:r w:rsidRPr="00FE6281">
        <w:t xml:space="preserve">.gada </w:t>
      </w:r>
      <w:r w:rsidR="00A177E9" w:rsidRPr="00FE6281">
        <w:t>16.septembra</w:t>
      </w:r>
      <w:r w:rsidRPr="00FE6281">
        <w:t xml:space="preserve"> spriedumu.</w:t>
      </w:r>
    </w:p>
    <w:p w14:paraId="648F8C5D" w14:textId="77777777" w:rsidR="00DB3CAB" w:rsidRPr="00FE6281" w:rsidRDefault="00DB3CAB" w:rsidP="00747DBB">
      <w:pPr>
        <w:spacing w:line="276" w:lineRule="auto"/>
        <w:ind w:firstLine="720"/>
        <w:jc w:val="both"/>
      </w:pPr>
    </w:p>
    <w:p w14:paraId="6D131210" w14:textId="5B45D1E2" w:rsidR="0006272B" w:rsidRPr="00FE6281" w:rsidRDefault="00447EE6" w:rsidP="00747DBB">
      <w:pPr>
        <w:spacing w:line="276" w:lineRule="auto"/>
        <w:jc w:val="center"/>
        <w:rPr>
          <w:b/>
          <w:shd w:val="clear" w:color="auto" w:fill="FFFFFF"/>
        </w:rPr>
      </w:pPr>
      <w:r w:rsidRPr="00FE6281">
        <w:rPr>
          <w:b/>
          <w:shd w:val="clear" w:color="auto" w:fill="FFFFFF"/>
        </w:rPr>
        <w:t>Aprakstošā daļa</w:t>
      </w:r>
    </w:p>
    <w:p w14:paraId="42D85DF9" w14:textId="77777777" w:rsidR="00DB3CAB" w:rsidRPr="00FE6281" w:rsidRDefault="00DB3CAB" w:rsidP="00747DBB">
      <w:pPr>
        <w:spacing w:line="276" w:lineRule="auto"/>
        <w:ind w:firstLine="709"/>
        <w:rPr>
          <w:bCs/>
          <w:shd w:val="clear" w:color="auto" w:fill="FFFFFF"/>
        </w:rPr>
      </w:pPr>
    </w:p>
    <w:p w14:paraId="429E5643" w14:textId="7BBEBBB2" w:rsidR="00DA572A" w:rsidRPr="00FE6281" w:rsidRDefault="00447EE6" w:rsidP="00747DBB">
      <w:pPr>
        <w:spacing w:line="276" w:lineRule="auto"/>
        <w:ind w:firstLine="720"/>
        <w:jc w:val="both"/>
      </w:pPr>
      <w:r w:rsidRPr="00FE6281">
        <w:t>[1]</w:t>
      </w:r>
      <w:r w:rsidR="00900199" w:rsidRPr="00FE6281">
        <w:t> </w:t>
      </w:r>
      <w:r w:rsidR="00DA572A" w:rsidRPr="00FE6281">
        <w:t xml:space="preserve">Valsts vides dienesta Liepājas reģionālā vides pārvalde (turpmāk – pārvalde) </w:t>
      </w:r>
      <w:r w:rsidR="00A1631A" w:rsidRPr="00FE6281">
        <w:t xml:space="preserve">2018.gada 2.oktobrī </w:t>
      </w:r>
      <w:r w:rsidR="00DA572A" w:rsidRPr="00FE6281">
        <w:t>izsniedza pieteicējai SIA</w:t>
      </w:r>
      <w:r w:rsidR="00666C44" w:rsidRPr="00FE6281">
        <w:t> </w:t>
      </w:r>
      <w:r w:rsidR="00DA572A" w:rsidRPr="00FE6281">
        <w:t>„BALTIC OIL MANAGEMENT” atļauju B</w:t>
      </w:r>
      <w:r w:rsidR="00193CF9" w:rsidRPr="00FE6281">
        <w:t> </w:t>
      </w:r>
      <w:r w:rsidR="00DA572A" w:rsidRPr="00FE6281">
        <w:t>kategorijas piesārņojošai darbībai Nr. LI18IB0004 (turpmāk – atļauja)</w:t>
      </w:r>
      <w:r w:rsidR="00EB0DAC" w:rsidRPr="00FE6281">
        <w:t>, kas paredz</w:t>
      </w:r>
      <w:r w:rsidR="004F76A4" w:rsidRPr="00FE6281">
        <w:t xml:space="preserve"> </w:t>
      </w:r>
      <w:r w:rsidR="00DA572A" w:rsidRPr="00FE6281">
        <w:t>ogļūdeņražu ieguvi Kuldīgas novada Gudenieku pagastā.</w:t>
      </w:r>
    </w:p>
    <w:p w14:paraId="72FC39F8" w14:textId="6F00716F" w:rsidR="0045013A" w:rsidRPr="00FE6281" w:rsidRDefault="00035ABE" w:rsidP="00747DBB">
      <w:pPr>
        <w:spacing w:line="276" w:lineRule="auto"/>
        <w:ind w:firstLine="720"/>
        <w:jc w:val="both"/>
      </w:pPr>
      <w:r w:rsidRPr="00FE6281">
        <w:t xml:space="preserve">Pieteicēja </w:t>
      </w:r>
      <w:r w:rsidR="00EE5A98" w:rsidRPr="00FE6281">
        <w:t xml:space="preserve">nepiekrita </w:t>
      </w:r>
      <w:r w:rsidR="004F76A4" w:rsidRPr="00FE6281">
        <w:t>atsevišķiem</w:t>
      </w:r>
      <w:r w:rsidR="00EE5A98" w:rsidRPr="00FE6281">
        <w:t xml:space="preserve"> </w:t>
      </w:r>
      <w:r w:rsidR="00EB0DAC" w:rsidRPr="00FE6281">
        <w:t xml:space="preserve">izsniegtās </w:t>
      </w:r>
      <w:r w:rsidR="00EE5A98" w:rsidRPr="00FE6281">
        <w:t xml:space="preserve">atļaujas </w:t>
      </w:r>
      <w:r w:rsidR="00EE5A98" w:rsidRPr="00FE6281">
        <w:rPr>
          <w:shd w:val="clear" w:color="auto" w:fill="FFFFFF"/>
        </w:rPr>
        <w:t>nosacījumiem un apstrīdēja tos</w:t>
      </w:r>
      <w:r w:rsidR="00EE5A98" w:rsidRPr="00FE6281">
        <w:t xml:space="preserve"> </w:t>
      </w:r>
      <w:r w:rsidR="00193CF9" w:rsidRPr="00FE6281">
        <w:t>Vides pārraudzības valsts biroj</w:t>
      </w:r>
      <w:r w:rsidR="00364A10" w:rsidRPr="00FE6281">
        <w:t>ā</w:t>
      </w:r>
      <w:r w:rsidRPr="00FE6281">
        <w:t xml:space="preserve"> </w:t>
      </w:r>
      <w:r w:rsidR="00DA572A" w:rsidRPr="00FE6281">
        <w:t>(turpmāk – birojs</w:t>
      </w:r>
      <w:r w:rsidR="00EE5A98" w:rsidRPr="00FE6281">
        <w:t>), k</w:t>
      </w:r>
      <w:r w:rsidR="004F76A4" w:rsidRPr="00FE6281">
        <w:t>as</w:t>
      </w:r>
      <w:r w:rsidR="00EE5A98" w:rsidRPr="00FE6281">
        <w:t xml:space="preserve"> ar </w:t>
      </w:r>
      <w:r w:rsidR="00DA572A" w:rsidRPr="00FE6281">
        <w:t>2019.gada 1.marta lēmumu Nr. 10</w:t>
      </w:r>
      <w:r w:rsidR="00EE5A98" w:rsidRPr="00FE6281">
        <w:noBreakHyphen/>
      </w:r>
      <w:r w:rsidR="00DA572A" w:rsidRPr="00FE6281">
        <w:t xml:space="preserve">04/5 (turpmāk – pirmais lēmums) </w:t>
      </w:r>
      <w:r w:rsidR="002374CE" w:rsidRPr="00FE6281">
        <w:t>uzd</w:t>
      </w:r>
      <w:r w:rsidR="00EE5A98" w:rsidRPr="00FE6281">
        <w:t xml:space="preserve">eva </w:t>
      </w:r>
      <w:r w:rsidR="00DA572A" w:rsidRPr="00FE6281">
        <w:t>pārvaldei</w:t>
      </w:r>
      <w:r w:rsidR="0011577B" w:rsidRPr="00FE6281">
        <w:t xml:space="preserve"> </w:t>
      </w:r>
      <w:r w:rsidR="00946962" w:rsidRPr="00FE6281">
        <w:t xml:space="preserve">daļu </w:t>
      </w:r>
      <w:r w:rsidR="00E70091" w:rsidRPr="00FE6281">
        <w:t xml:space="preserve">no </w:t>
      </w:r>
      <w:r w:rsidR="00BD58E5" w:rsidRPr="00FE6281">
        <w:t>nosacījumiem</w:t>
      </w:r>
      <w:r w:rsidR="00E70091" w:rsidRPr="00FE6281">
        <w:t xml:space="preserve"> </w:t>
      </w:r>
      <w:r w:rsidR="0011577B" w:rsidRPr="00FE6281">
        <w:t>grozīt</w:t>
      </w:r>
      <w:r w:rsidR="00DA572A" w:rsidRPr="00FE6281">
        <w:t>.</w:t>
      </w:r>
    </w:p>
    <w:p w14:paraId="1FA1E0B9" w14:textId="73913C0D" w:rsidR="00B70F57" w:rsidRPr="00FE6281" w:rsidRDefault="00682861"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P</w:t>
      </w:r>
      <w:r w:rsidR="00B70F57" w:rsidRPr="00FE6281">
        <w:rPr>
          <w:shd w:val="clear" w:color="auto" w:fill="FFFFFF"/>
        </w:rPr>
        <w:t>ieteicēj</w:t>
      </w:r>
      <w:r w:rsidR="001124C8" w:rsidRPr="00FE6281">
        <w:rPr>
          <w:shd w:val="clear" w:color="auto" w:fill="FFFFFF"/>
        </w:rPr>
        <w:t>a</w:t>
      </w:r>
      <w:r w:rsidR="00B70F57" w:rsidRPr="00FE6281">
        <w:rPr>
          <w:shd w:val="clear" w:color="auto" w:fill="FFFFFF"/>
        </w:rPr>
        <w:t xml:space="preserve"> </w:t>
      </w:r>
      <w:r w:rsidR="00D142ED" w:rsidRPr="00FE6281">
        <w:rPr>
          <w:shd w:val="clear" w:color="auto" w:fill="FFFFFF"/>
        </w:rPr>
        <w:t>vērsās</w:t>
      </w:r>
      <w:r w:rsidR="00B70F57" w:rsidRPr="00FE6281">
        <w:rPr>
          <w:shd w:val="clear" w:color="auto" w:fill="FFFFFF"/>
        </w:rPr>
        <w:t xml:space="preserve"> </w:t>
      </w:r>
      <w:r w:rsidR="0045013A" w:rsidRPr="00FE6281">
        <w:rPr>
          <w:shd w:val="clear" w:color="auto" w:fill="FFFFFF"/>
        </w:rPr>
        <w:t xml:space="preserve">administratīvajā tiesā </w:t>
      </w:r>
      <w:r w:rsidR="00D142ED" w:rsidRPr="00FE6281">
        <w:rPr>
          <w:shd w:val="clear" w:color="auto" w:fill="FFFFFF"/>
        </w:rPr>
        <w:t xml:space="preserve">ar </w:t>
      </w:r>
      <w:r w:rsidR="0045013A" w:rsidRPr="00FE6281">
        <w:rPr>
          <w:shd w:val="clear" w:color="auto" w:fill="FFFFFF"/>
        </w:rPr>
        <w:t>pieteikumu</w:t>
      </w:r>
      <w:r w:rsidR="00BA5AA7" w:rsidRPr="00FE6281">
        <w:rPr>
          <w:shd w:val="clear" w:color="auto" w:fill="FFFFFF"/>
        </w:rPr>
        <w:t xml:space="preserve"> un </w:t>
      </w:r>
      <w:r w:rsidR="0015724D" w:rsidRPr="00FE6281">
        <w:rPr>
          <w:shd w:val="clear" w:color="auto" w:fill="FFFFFF"/>
        </w:rPr>
        <w:t xml:space="preserve">lūdza </w:t>
      </w:r>
      <w:r w:rsidR="00D142ED" w:rsidRPr="00FE6281">
        <w:rPr>
          <w:shd w:val="clear" w:color="auto" w:fill="FFFFFF"/>
        </w:rPr>
        <w:t xml:space="preserve">atcelt </w:t>
      </w:r>
      <w:r w:rsidR="001124C8" w:rsidRPr="00FE6281">
        <w:rPr>
          <w:shd w:val="clear" w:color="auto" w:fill="FFFFFF"/>
        </w:rPr>
        <w:t>biroja</w:t>
      </w:r>
      <w:r w:rsidR="00D142ED" w:rsidRPr="00FE6281">
        <w:rPr>
          <w:shd w:val="clear" w:color="auto" w:fill="FFFFFF"/>
        </w:rPr>
        <w:t xml:space="preserve"> </w:t>
      </w:r>
      <w:r w:rsidR="001124C8" w:rsidRPr="00FE6281">
        <w:rPr>
          <w:shd w:val="clear" w:color="auto" w:fill="FFFFFF"/>
        </w:rPr>
        <w:t xml:space="preserve">pirmo </w:t>
      </w:r>
      <w:r w:rsidR="0045013A" w:rsidRPr="00FE6281">
        <w:rPr>
          <w:shd w:val="clear" w:color="auto" w:fill="FFFFFF"/>
        </w:rPr>
        <w:t>lēmumu daļā</w:t>
      </w:r>
      <w:r w:rsidR="001124C8" w:rsidRPr="00FE6281">
        <w:rPr>
          <w:shd w:val="clear" w:color="auto" w:fill="FFFFFF"/>
        </w:rPr>
        <w:t>, ar kuru</w:t>
      </w:r>
      <w:r w:rsidR="0011577B" w:rsidRPr="00FE6281">
        <w:rPr>
          <w:shd w:val="clear" w:color="auto" w:fill="FFFFFF"/>
        </w:rPr>
        <w:t xml:space="preserve"> </w:t>
      </w:r>
      <w:r w:rsidR="00946962" w:rsidRPr="00FE6281">
        <w:rPr>
          <w:shd w:val="clear" w:color="auto" w:fill="FFFFFF"/>
        </w:rPr>
        <w:t>pārējie</w:t>
      </w:r>
      <w:r w:rsidR="002374CE" w:rsidRPr="00FE6281">
        <w:rPr>
          <w:shd w:val="clear" w:color="auto" w:fill="FFFFFF"/>
        </w:rPr>
        <w:t xml:space="preserve"> </w:t>
      </w:r>
      <w:r w:rsidR="0045693F" w:rsidRPr="00FE6281">
        <w:rPr>
          <w:shd w:val="clear" w:color="auto" w:fill="FFFFFF"/>
        </w:rPr>
        <w:t xml:space="preserve">apstrīdētie </w:t>
      </w:r>
      <w:r w:rsidR="001124C8" w:rsidRPr="00FE6281">
        <w:rPr>
          <w:shd w:val="clear" w:color="auto" w:fill="FFFFFF"/>
        </w:rPr>
        <w:t>atļaujas nosacījumi</w:t>
      </w:r>
      <w:r w:rsidR="00EC2DBE" w:rsidRPr="00FE6281">
        <w:rPr>
          <w:shd w:val="clear" w:color="auto" w:fill="FFFFFF"/>
        </w:rPr>
        <w:t xml:space="preserve"> atstāti spēkā</w:t>
      </w:r>
      <w:r w:rsidRPr="00FE6281">
        <w:rPr>
          <w:shd w:val="clear" w:color="auto" w:fill="FFFFFF"/>
        </w:rPr>
        <w:t>.</w:t>
      </w:r>
    </w:p>
    <w:p w14:paraId="0D2499A2" w14:textId="77777777" w:rsidR="001124C8" w:rsidRPr="00FE6281" w:rsidRDefault="001124C8" w:rsidP="00747DBB">
      <w:pPr>
        <w:pStyle w:val="NormalWeb"/>
        <w:shd w:val="clear" w:color="auto" w:fill="FFFFFF"/>
        <w:spacing w:before="0" w:beforeAutospacing="0" w:after="0" w:afterAutospacing="0" w:line="276" w:lineRule="auto"/>
        <w:ind w:firstLine="720"/>
        <w:jc w:val="both"/>
        <w:rPr>
          <w:shd w:val="clear" w:color="auto" w:fill="FFFFFF"/>
        </w:rPr>
      </w:pPr>
    </w:p>
    <w:p w14:paraId="7BE48B38" w14:textId="0651B756" w:rsidR="001124C8" w:rsidRPr="00FE6281" w:rsidRDefault="001124C8"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[2] </w:t>
      </w:r>
      <w:r w:rsidR="0045693F" w:rsidRPr="00FE6281">
        <w:rPr>
          <w:shd w:val="clear" w:color="auto" w:fill="FFFFFF"/>
        </w:rPr>
        <w:t>Ievērojot</w:t>
      </w:r>
      <w:r w:rsidRPr="00FE6281">
        <w:rPr>
          <w:shd w:val="clear" w:color="auto" w:fill="FFFFFF"/>
        </w:rPr>
        <w:t xml:space="preserve"> </w:t>
      </w:r>
      <w:r w:rsidR="00B87646" w:rsidRPr="00FE6281">
        <w:rPr>
          <w:shd w:val="clear" w:color="auto" w:fill="FFFFFF"/>
        </w:rPr>
        <w:t xml:space="preserve">biroja </w:t>
      </w:r>
      <w:r w:rsidR="00595874" w:rsidRPr="00FE6281">
        <w:rPr>
          <w:shd w:val="clear" w:color="auto" w:fill="FFFFFF"/>
        </w:rPr>
        <w:t>pirm</w:t>
      </w:r>
      <w:r w:rsidR="00E70091" w:rsidRPr="00FE6281">
        <w:rPr>
          <w:shd w:val="clear" w:color="auto" w:fill="FFFFFF"/>
        </w:rPr>
        <w:t>ajā</w:t>
      </w:r>
      <w:r w:rsidR="00595874" w:rsidRPr="00FE6281">
        <w:rPr>
          <w:shd w:val="clear" w:color="auto" w:fill="FFFFFF"/>
        </w:rPr>
        <w:t xml:space="preserve"> lēmum</w:t>
      </w:r>
      <w:r w:rsidR="00E70091" w:rsidRPr="00FE6281">
        <w:rPr>
          <w:shd w:val="clear" w:color="auto" w:fill="FFFFFF"/>
        </w:rPr>
        <w:t>ā</w:t>
      </w:r>
      <w:r w:rsidR="00595874" w:rsidRPr="00FE6281">
        <w:rPr>
          <w:shd w:val="clear" w:color="auto" w:fill="FFFFFF"/>
        </w:rPr>
        <w:t xml:space="preserve"> </w:t>
      </w:r>
      <w:r w:rsidR="0045693F" w:rsidRPr="00FE6281">
        <w:rPr>
          <w:shd w:val="clear" w:color="auto" w:fill="FFFFFF"/>
        </w:rPr>
        <w:t>noteikto</w:t>
      </w:r>
      <w:r w:rsidRPr="00FE6281">
        <w:rPr>
          <w:shd w:val="clear" w:color="auto" w:fill="FFFFFF"/>
        </w:rPr>
        <w:t xml:space="preserve"> pienākumu, pārva</w:t>
      </w:r>
      <w:r w:rsidR="00F673C1" w:rsidRPr="00FE6281">
        <w:rPr>
          <w:shd w:val="clear" w:color="auto" w:fill="FFFFFF"/>
        </w:rPr>
        <w:t>l</w:t>
      </w:r>
      <w:r w:rsidRPr="00FE6281">
        <w:rPr>
          <w:shd w:val="clear" w:color="auto" w:fill="FFFFFF"/>
        </w:rPr>
        <w:t xml:space="preserve">de ar 2019.gada 3.jūlija lēmumu veica </w:t>
      </w:r>
      <w:r w:rsidR="00DC6535" w:rsidRPr="00FE6281">
        <w:rPr>
          <w:shd w:val="clear" w:color="auto" w:fill="FFFFFF"/>
        </w:rPr>
        <w:t xml:space="preserve">izmaiņas </w:t>
      </w:r>
      <w:r w:rsidR="00EB0DAC" w:rsidRPr="00FE6281">
        <w:rPr>
          <w:shd w:val="clear" w:color="auto" w:fill="FFFFFF"/>
        </w:rPr>
        <w:t>atļaujā</w:t>
      </w:r>
      <w:r w:rsidR="00B175E1" w:rsidRPr="00FE6281">
        <w:rPr>
          <w:shd w:val="clear" w:color="auto" w:fill="FFFFFF"/>
        </w:rPr>
        <w:t>.</w:t>
      </w:r>
      <w:r w:rsidR="00E70091" w:rsidRPr="00FE6281">
        <w:rPr>
          <w:shd w:val="clear" w:color="auto" w:fill="FFFFFF"/>
        </w:rPr>
        <w:t xml:space="preserve"> T</w:t>
      </w:r>
      <w:r w:rsidR="00DC6535" w:rsidRPr="00FE6281">
        <w:rPr>
          <w:shd w:val="clear" w:color="auto" w:fill="FFFFFF"/>
        </w:rPr>
        <w:t>omēr</w:t>
      </w:r>
      <w:r w:rsidR="00E70091" w:rsidRPr="00FE6281">
        <w:rPr>
          <w:shd w:val="clear" w:color="auto" w:fill="FFFFFF"/>
        </w:rPr>
        <w:t xml:space="preserve"> p</w:t>
      </w:r>
      <w:r w:rsidR="002374CE" w:rsidRPr="00FE6281">
        <w:rPr>
          <w:shd w:val="clear" w:color="auto" w:fill="FFFFFF"/>
        </w:rPr>
        <w:t>ieteicēja nepiekrita</w:t>
      </w:r>
      <w:r w:rsidR="00E70091" w:rsidRPr="00FE6281">
        <w:rPr>
          <w:shd w:val="clear" w:color="auto" w:fill="FFFFFF"/>
        </w:rPr>
        <w:t xml:space="preserve"> </w:t>
      </w:r>
      <w:r w:rsidR="00DC6535" w:rsidRPr="00FE6281">
        <w:rPr>
          <w:shd w:val="clear" w:color="auto" w:fill="FFFFFF"/>
        </w:rPr>
        <w:t xml:space="preserve">arī </w:t>
      </w:r>
      <w:r w:rsidR="00E70091" w:rsidRPr="00FE6281">
        <w:rPr>
          <w:shd w:val="clear" w:color="auto" w:fill="FFFFFF"/>
        </w:rPr>
        <w:t>šīm</w:t>
      </w:r>
      <w:r w:rsidR="002374CE" w:rsidRPr="00FE6281">
        <w:rPr>
          <w:shd w:val="clear" w:color="auto" w:fill="FFFFFF"/>
        </w:rPr>
        <w:t xml:space="preserve"> izmaiņām</w:t>
      </w:r>
      <w:r w:rsidR="00DC6535" w:rsidRPr="00FE6281">
        <w:rPr>
          <w:shd w:val="clear" w:color="auto" w:fill="FFFFFF"/>
        </w:rPr>
        <w:t xml:space="preserve"> </w:t>
      </w:r>
      <w:r w:rsidR="002374CE" w:rsidRPr="00FE6281">
        <w:rPr>
          <w:shd w:val="clear" w:color="auto" w:fill="FFFFFF"/>
        </w:rPr>
        <w:t>un apstrīdēja tās</w:t>
      </w:r>
      <w:r w:rsidR="00E70091" w:rsidRPr="00FE6281">
        <w:rPr>
          <w:shd w:val="clear" w:color="auto" w:fill="FFFFFF"/>
        </w:rPr>
        <w:t xml:space="preserve"> </w:t>
      </w:r>
      <w:r w:rsidR="002374CE" w:rsidRPr="00FE6281">
        <w:rPr>
          <w:shd w:val="clear" w:color="auto" w:fill="FFFFFF"/>
        </w:rPr>
        <w:t>birojam</w:t>
      </w:r>
      <w:r w:rsidRPr="00FE6281">
        <w:rPr>
          <w:shd w:val="clear" w:color="auto" w:fill="FFFFFF"/>
        </w:rPr>
        <w:t xml:space="preserve">, </w:t>
      </w:r>
      <w:r w:rsidR="00EE5A98" w:rsidRPr="00FE6281">
        <w:rPr>
          <w:shd w:val="clear" w:color="auto" w:fill="FFFFFF"/>
        </w:rPr>
        <w:t>kas</w:t>
      </w:r>
      <w:r w:rsidRPr="00FE6281">
        <w:rPr>
          <w:shd w:val="clear" w:color="auto" w:fill="FFFFFF"/>
        </w:rPr>
        <w:t xml:space="preserve"> ar 2019.gada 30.augusta lēmumu Nr. 10</w:t>
      </w:r>
      <w:r w:rsidRPr="00FE6281">
        <w:rPr>
          <w:shd w:val="clear" w:color="auto" w:fill="FFFFFF"/>
        </w:rPr>
        <w:noBreakHyphen/>
        <w:t>04/3</w:t>
      </w:r>
      <w:r w:rsidR="00EE5A98" w:rsidRPr="00FE6281">
        <w:rPr>
          <w:shd w:val="clear" w:color="auto" w:fill="FFFFFF"/>
        </w:rPr>
        <w:t>3</w:t>
      </w:r>
      <w:r w:rsidRPr="00FE6281">
        <w:rPr>
          <w:shd w:val="clear" w:color="auto" w:fill="FFFFFF"/>
        </w:rPr>
        <w:t xml:space="preserve"> (turpmāk – otrai</w:t>
      </w:r>
      <w:r w:rsidR="00193CF9" w:rsidRPr="00FE6281">
        <w:rPr>
          <w:shd w:val="clear" w:color="auto" w:fill="FFFFFF"/>
        </w:rPr>
        <w:t>s</w:t>
      </w:r>
      <w:r w:rsidRPr="00FE6281">
        <w:rPr>
          <w:shd w:val="clear" w:color="auto" w:fill="FFFFFF"/>
        </w:rPr>
        <w:t xml:space="preserve"> lēmums) atstāja </w:t>
      </w:r>
      <w:r w:rsidR="00193CF9" w:rsidRPr="00FE6281">
        <w:rPr>
          <w:shd w:val="clear" w:color="auto" w:fill="FFFFFF"/>
        </w:rPr>
        <w:t>pārvaldes</w:t>
      </w:r>
      <w:r w:rsidRPr="00FE6281">
        <w:rPr>
          <w:shd w:val="clear" w:color="auto" w:fill="FFFFFF"/>
        </w:rPr>
        <w:t xml:space="preserve"> lēmumu </w:t>
      </w:r>
      <w:r w:rsidR="00EE5A98" w:rsidRPr="00FE6281">
        <w:rPr>
          <w:shd w:val="clear" w:color="auto" w:fill="FFFFFF"/>
        </w:rPr>
        <w:t>negrozītu</w:t>
      </w:r>
      <w:r w:rsidRPr="00FE6281">
        <w:rPr>
          <w:shd w:val="clear" w:color="auto" w:fill="FFFFFF"/>
        </w:rPr>
        <w:t>.</w:t>
      </w:r>
    </w:p>
    <w:p w14:paraId="171E0258" w14:textId="26CB8835" w:rsidR="001124C8" w:rsidRPr="00FE6281" w:rsidRDefault="001124C8"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 xml:space="preserve">Pieteicēja vērsās administratīvajā tiesā ar pieteikumu un lūdza atcelt </w:t>
      </w:r>
      <w:r w:rsidR="00BD58E5" w:rsidRPr="00FE6281">
        <w:rPr>
          <w:shd w:val="clear" w:color="auto" w:fill="FFFFFF"/>
        </w:rPr>
        <w:t xml:space="preserve">arī </w:t>
      </w:r>
      <w:r w:rsidRPr="00FE6281">
        <w:rPr>
          <w:shd w:val="clear" w:color="auto" w:fill="FFFFFF"/>
        </w:rPr>
        <w:t>biroja otro lēmumu.</w:t>
      </w:r>
    </w:p>
    <w:p w14:paraId="07267074" w14:textId="77777777" w:rsidR="00352F08" w:rsidRPr="00FE6281" w:rsidRDefault="00352F08" w:rsidP="00747DBB">
      <w:pPr>
        <w:pStyle w:val="NormalWeb"/>
        <w:shd w:val="clear" w:color="auto" w:fill="FFFFFF"/>
        <w:spacing w:before="0" w:beforeAutospacing="0" w:after="0" w:afterAutospacing="0" w:line="276" w:lineRule="auto"/>
        <w:ind w:firstLine="720"/>
        <w:jc w:val="both"/>
        <w:rPr>
          <w:shd w:val="clear" w:color="auto" w:fill="FFFFFF"/>
        </w:rPr>
      </w:pPr>
    </w:p>
    <w:p w14:paraId="608EB25B" w14:textId="3835633E" w:rsidR="0098540B" w:rsidRPr="00FE6281" w:rsidRDefault="008E6D96"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w:t>
      </w:r>
      <w:r w:rsidR="004F76A4" w:rsidRPr="00FE6281">
        <w:rPr>
          <w:shd w:val="clear" w:color="auto" w:fill="FFFFFF"/>
        </w:rPr>
        <w:t>3</w:t>
      </w:r>
      <w:r w:rsidRPr="00FE6281">
        <w:rPr>
          <w:shd w:val="clear" w:color="auto" w:fill="FFFFFF"/>
        </w:rPr>
        <w:t>]</w:t>
      </w:r>
      <w:r w:rsidR="001124C8" w:rsidRPr="00FE6281">
        <w:rPr>
          <w:shd w:val="clear" w:color="auto" w:fill="FFFFFF"/>
        </w:rPr>
        <w:t> Ar Administratīvā</w:t>
      </w:r>
      <w:r w:rsidR="00E66233" w:rsidRPr="00FE6281">
        <w:rPr>
          <w:shd w:val="clear" w:color="auto" w:fill="FFFFFF"/>
        </w:rPr>
        <w:t>s</w:t>
      </w:r>
      <w:r w:rsidR="001124C8" w:rsidRPr="00FE6281">
        <w:rPr>
          <w:shd w:val="clear" w:color="auto" w:fill="FFFFFF"/>
        </w:rPr>
        <w:t xml:space="preserve"> apgabaltiesas 2021.gada 16.septembra spriedumu noraidīts pieteikums par biroja pirmā lēmuma atcelšanu daļā un otrā lēmuma atcelšanu.</w:t>
      </w:r>
    </w:p>
    <w:p w14:paraId="694CBB63" w14:textId="4EC8DA8B" w:rsidR="001124C8" w:rsidRPr="00FE6281" w:rsidRDefault="000D6DAF"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 xml:space="preserve">Tiesa, pievienojusies </w:t>
      </w:r>
      <w:r w:rsidR="00076B03" w:rsidRPr="00FE6281">
        <w:rPr>
          <w:shd w:val="clear" w:color="auto" w:fill="FFFFFF"/>
        </w:rPr>
        <w:t xml:space="preserve">Administratīvās </w:t>
      </w:r>
      <w:r w:rsidRPr="00FE6281">
        <w:rPr>
          <w:shd w:val="clear" w:color="auto" w:fill="FFFFFF"/>
        </w:rPr>
        <w:t>rajona tiesas</w:t>
      </w:r>
      <w:r w:rsidR="00076B03" w:rsidRPr="00FE6281">
        <w:rPr>
          <w:shd w:val="clear" w:color="auto" w:fill="FFFFFF"/>
        </w:rPr>
        <w:t xml:space="preserve"> 2020.gada 8.jūlija</w:t>
      </w:r>
      <w:r w:rsidRPr="00FE6281">
        <w:rPr>
          <w:shd w:val="clear" w:color="auto" w:fill="FFFFFF"/>
        </w:rPr>
        <w:t xml:space="preserve"> sprieduma motivācijai, </w:t>
      </w:r>
      <w:r w:rsidR="00A20951" w:rsidRPr="00FE6281">
        <w:rPr>
          <w:shd w:val="clear" w:color="auto" w:fill="FFFFFF"/>
        </w:rPr>
        <w:t>atzin</w:t>
      </w:r>
      <w:r w:rsidR="008F2151" w:rsidRPr="00FE6281">
        <w:rPr>
          <w:shd w:val="clear" w:color="auto" w:fill="FFFFFF"/>
        </w:rPr>
        <w:t>a</w:t>
      </w:r>
      <w:r w:rsidR="00DC6535" w:rsidRPr="00FE6281">
        <w:rPr>
          <w:shd w:val="clear" w:color="auto" w:fill="FFFFFF"/>
        </w:rPr>
        <w:t xml:space="preserve"> par pamatotu</w:t>
      </w:r>
      <w:r w:rsidR="00A20951" w:rsidRPr="00FE6281">
        <w:rPr>
          <w:shd w:val="clear" w:color="auto" w:fill="FFFFFF"/>
        </w:rPr>
        <w:t xml:space="preserve">, ka pieteicējas plānotajai darbībai </w:t>
      </w:r>
      <w:r w:rsidR="0098540B" w:rsidRPr="00FE6281">
        <w:rPr>
          <w:shd w:val="clear" w:color="auto" w:fill="FFFFFF"/>
        </w:rPr>
        <w:t xml:space="preserve">ir </w:t>
      </w:r>
      <w:r w:rsidR="00A20951" w:rsidRPr="00FE6281">
        <w:rPr>
          <w:shd w:val="clear" w:color="auto" w:fill="FFFFFF"/>
        </w:rPr>
        <w:t>nepieciešams saņemt atļauju B kategorijas piesārņojošajai darbībai</w:t>
      </w:r>
      <w:r w:rsidR="00EB0DAC" w:rsidRPr="00FE6281">
        <w:rPr>
          <w:shd w:val="clear" w:color="auto" w:fill="FFFFFF"/>
        </w:rPr>
        <w:t xml:space="preserve"> saskaņā ar </w:t>
      </w:r>
      <w:r w:rsidR="00D8676A" w:rsidRPr="00FE6281">
        <w:t>Ministru kabineta 2015.gada 22.decembra noteikumu Nr. 805 „Noteikumi par ogļūdeņražu meklēšanu, izpēti un ieguvi” (turpmāk</w:t>
      </w:r>
      <w:r w:rsidR="008A309A">
        <w:t> </w:t>
      </w:r>
      <w:r w:rsidR="00D8676A" w:rsidRPr="00FE6281">
        <w:t>–</w:t>
      </w:r>
      <w:r w:rsidR="008A309A">
        <w:t> </w:t>
      </w:r>
      <w:r w:rsidR="00D8676A" w:rsidRPr="00FE6281">
        <w:t>noteikumi Nr. 805)</w:t>
      </w:r>
      <w:r w:rsidR="00D8676A" w:rsidRPr="00FE6281">
        <w:rPr>
          <w:shd w:val="clear" w:color="auto" w:fill="FFFFFF"/>
        </w:rPr>
        <w:t xml:space="preserve"> 151.punktu</w:t>
      </w:r>
      <w:r w:rsidR="00D8676A" w:rsidRPr="00FE6281">
        <w:t xml:space="preserve"> un </w:t>
      </w:r>
      <w:r w:rsidR="006224AC" w:rsidRPr="00FE6281">
        <w:t>Ministru kabineta 2010.gada 30.novembra noteikumu Nr. 1082 „Kārtība, kādā piesakāmas A, B un C kategorijas piesārņojošās darbības un izsniedzamas atļaujas A un B kategorijas piesārņojošo darbību veikšanai” (turpmāk</w:t>
      </w:r>
      <w:r w:rsidR="00DA4519">
        <w:t> </w:t>
      </w:r>
      <w:r w:rsidR="006224AC" w:rsidRPr="00FE6281">
        <w:t>–</w:t>
      </w:r>
      <w:r w:rsidR="00DA4519">
        <w:t> </w:t>
      </w:r>
      <w:r w:rsidR="006224AC" w:rsidRPr="00FE6281">
        <w:t>noteikumi Nr. 1082)</w:t>
      </w:r>
      <w:r w:rsidR="00A20951" w:rsidRPr="00FE6281">
        <w:rPr>
          <w:shd w:val="clear" w:color="auto" w:fill="FFFFFF"/>
        </w:rPr>
        <w:t xml:space="preserve"> 1.pielikuma 8.8.apakšpunkt</w:t>
      </w:r>
      <w:r w:rsidR="00EB0DAC" w:rsidRPr="00FE6281">
        <w:rPr>
          <w:shd w:val="clear" w:color="auto" w:fill="FFFFFF"/>
        </w:rPr>
        <w:t>u</w:t>
      </w:r>
      <w:r w:rsidR="00035ABE" w:rsidRPr="00FE6281">
        <w:rPr>
          <w:shd w:val="clear" w:color="auto" w:fill="FFFFFF"/>
        </w:rPr>
        <w:t>.</w:t>
      </w:r>
      <w:r w:rsidR="0079065D" w:rsidRPr="00FE6281">
        <w:rPr>
          <w:shd w:val="clear" w:color="auto" w:fill="FFFFFF"/>
        </w:rPr>
        <w:t xml:space="preserve"> </w:t>
      </w:r>
      <w:r w:rsidR="00EB0DAC" w:rsidRPr="00FE6281">
        <w:rPr>
          <w:shd w:val="clear" w:color="auto" w:fill="FFFFFF"/>
        </w:rPr>
        <w:t>T</w:t>
      </w:r>
      <w:r w:rsidR="0079065D" w:rsidRPr="00FE6281">
        <w:rPr>
          <w:shd w:val="clear" w:color="auto" w:fill="FFFFFF"/>
        </w:rPr>
        <w:t>iesa</w:t>
      </w:r>
      <w:r w:rsidR="006224AC" w:rsidRPr="00FE6281">
        <w:rPr>
          <w:shd w:val="clear" w:color="auto" w:fill="FFFFFF"/>
        </w:rPr>
        <w:t xml:space="preserve"> </w:t>
      </w:r>
      <w:r w:rsidR="00DC6535" w:rsidRPr="00FE6281">
        <w:rPr>
          <w:shd w:val="clear" w:color="auto" w:fill="FFFFFF"/>
        </w:rPr>
        <w:t>arī atzina</w:t>
      </w:r>
      <w:r w:rsidR="0079065D" w:rsidRPr="00FE6281">
        <w:rPr>
          <w:shd w:val="clear" w:color="auto" w:fill="FFFFFF"/>
        </w:rPr>
        <w:t xml:space="preserve">, ka atļaujā ietvertie </w:t>
      </w:r>
      <w:r w:rsidR="0045693F" w:rsidRPr="00FE6281">
        <w:rPr>
          <w:shd w:val="clear" w:color="auto" w:fill="FFFFFF"/>
        </w:rPr>
        <w:t xml:space="preserve">strīdus </w:t>
      </w:r>
      <w:r w:rsidR="0079065D" w:rsidRPr="00FE6281">
        <w:rPr>
          <w:shd w:val="clear" w:color="auto" w:fill="FFFFFF"/>
        </w:rPr>
        <w:t>nosacījumi ir</w:t>
      </w:r>
      <w:r w:rsidR="0045693F" w:rsidRPr="00FE6281">
        <w:rPr>
          <w:shd w:val="clear" w:color="auto" w:fill="FFFFFF"/>
        </w:rPr>
        <w:t xml:space="preserve"> </w:t>
      </w:r>
      <w:r w:rsidR="00346632" w:rsidRPr="00FE6281">
        <w:rPr>
          <w:shd w:val="clear" w:color="auto" w:fill="FFFFFF"/>
        </w:rPr>
        <w:t xml:space="preserve">noteikti </w:t>
      </w:r>
      <w:r w:rsidR="0045693F" w:rsidRPr="00FE6281">
        <w:rPr>
          <w:shd w:val="clear" w:color="auto" w:fill="FFFFFF"/>
        </w:rPr>
        <w:t xml:space="preserve">pamatoti </w:t>
      </w:r>
      <w:r w:rsidR="00346632" w:rsidRPr="00FE6281">
        <w:rPr>
          <w:shd w:val="clear" w:color="auto" w:fill="FFFFFF"/>
        </w:rPr>
        <w:t>un</w:t>
      </w:r>
      <w:r w:rsidR="0045693F" w:rsidRPr="00FE6281">
        <w:rPr>
          <w:shd w:val="clear" w:color="auto" w:fill="FFFFFF"/>
        </w:rPr>
        <w:t xml:space="preserve"> atbilstoši </w:t>
      </w:r>
      <w:r w:rsidR="0079065D" w:rsidRPr="00FE6281">
        <w:rPr>
          <w:shd w:val="clear" w:color="auto" w:fill="FFFFFF"/>
        </w:rPr>
        <w:t>normatīvo aktu prasīb</w:t>
      </w:r>
      <w:r w:rsidR="0045693F" w:rsidRPr="00FE6281">
        <w:rPr>
          <w:shd w:val="clear" w:color="auto" w:fill="FFFFFF"/>
        </w:rPr>
        <w:t>ām. Saskaņā ar likuma „Par piesārņojumu” 31.panta pirmo daļu šo nosacījumu ievērošana ir nepieciešama, lai sasniegtu augstu vides aizsardzības līmeni kopumā.</w:t>
      </w:r>
    </w:p>
    <w:p w14:paraId="749A1C2C" w14:textId="77777777" w:rsidR="00666C44" w:rsidRPr="00FE6281" w:rsidRDefault="00666C44" w:rsidP="00747DBB">
      <w:pPr>
        <w:pStyle w:val="NormalWeb"/>
        <w:shd w:val="clear" w:color="auto" w:fill="FFFFFF"/>
        <w:spacing w:before="0" w:beforeAutospacing="0" w:after="0" w:afterAutospacing="0" w:line="276" w:lineRule="auto"/>
        <w:ind w:firstLine="720"/>
        <w:jc w:val="both"/>
        <w:rPr>
          <w:shd w:val="clear" w:color="auto" w:fill="FFFFFF"/>
        </w:rPr>
      </w:pPr>
    </w:p>
    <w:p w14:paraId="37436466" w14:textId="15D605FD" w:rsidR="008E6D96" w:rsidRPr="00FE6281" w:rsidRDefault="001124C8"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w:t>
      </w:r>
      <w:r w:rsidR="004F76A4" w:rsidRPr="00FE6281">
        <w:rPr>
          <w:shd w:val="clear" w:color="auto" w:fill="FFFFFF"/>
        </w:rPr>
        <w:t>4</w:t>
      </w:r>
      <w:r w:rsidRPr="00FE6281">
        <w:rPr>
          <w:shd w:val="clear" w:color="auto" w:fill="FFFFFF"/>
        </w:rPr>
        <w:t>]</w:t>
      </w:r>
      <w:r w:rsidR="0006272B" w:rsidRPr="00FE6281">
        <w:rPr>
          <w:shd w:val="clear" w:color="auto" w:fill="FFFFFF"/>
        </w:rPr>
        <w:t> </w:t>
      </w:r>
      <w:r w:rsidR="00457527" w:rsidRPr="00FE6281">
        <w:rPr>
          <w:shd w:val="clear" w:color="auto" w:fill="FFFFFF"/>
        </w:rPr>
        <w:t>Pieteicēj</w:t>
      </w:r>
      <w:r w:rsidRPr="00FE6281">
        <w:rPr>
          <w:shd w:val="clear" w:color="auto" w:fill="FFFFFF"/>
        </w:rPr>
        <w:t>a</w:t>
      </w:r>
      <w:r w:rsidR="00200B26" w:rsidRPr="00FE6281">
        <w:rPr>
          <w:shd w:val="clear" w:color="auto" w:fill="FFFFFF"/>
        </w:rPr>
        <w:t xml:space="preserve"> par apgabaltiesas spriedumu </w:t>
      </w:r>
      <w:r w:rsidR="008E6D96" w:rsidRPr="00FE6281">
        <w:rPr>
          <w:shd w:val="clear" w:color="auto" w:fill="FFFFFF"/>
        </w:rPr>
        <w:t>iesniedza kasācijas sūdzību</w:t>
      </w:r>
      <w:r w:rsidR="00EB0DAC" w:rsidRPr="00FE6281">
        <w:rPr>
          <w:shd w:val="clear" w:color="auto" w:fill="FFFFFF"/>
        </w:rPr>
        <w:t xml:space="preserve">. Tajā </w:t>
      </w:r>
      <w:r w:rsidR="008E6D96" w:rsidRPr="00FE6281">
        <w:rPr>
          <w:shd w:val="clear" w:color="auto" w:fill="FFFFFF"/>
        </w:rPr>
        <w:t>norād</w:t>
      </w:r>
      <w:r w:rsidR="00BE6747" w:rsidRPr="00FE6281">
        <w:rPr>
          <w:shd w:val="clear" w:color="auto" w:fill="FFFFFF"/>
        </w:rPr>
        <w:t>ī</w:t>
      </w:r>
      <w:r w:rsidR="008E6D96" w:rsidRPr="00FE6281">
        <w:rPr>
          <w:shd w:val="clear" w:color="auto" w:fill="FFFFFF"/>
        </w:rPr>
        <w:t>t</w:t>
      </w:r>
      <w:r w:rsidR="00BE6747" w:rsidRPr="00FE6281">
        <w:rPr>
          <w:shd w:val="clear" w:color="auto" w:fill="FFFFFF"/>
        </w:rPr>
        <w:t>s</w:t>
      </w:r>
      <w:r w:rsidR="008E6D96" w:rsidRPr="00FE6281">
        <w:rPr>
          <w:shd w:val="clear" w:color="auto" w:fill="FFFFFF"/>
        </w:rPr>
        <w:t xml:space="preserve"> turpmāk minēt</w:t>
      </w:r>
      <w:r w:rsidR="00BE6747" w:rsidRPr="00FE6281">
        <w:rPr>
          <w:shd w:val="clear" w:color="auto" w:fill="FFFFFF"/>
        </w:rPr>
        <w:t>ais</w:t>
      </w:r>
      <w:r w:rsidR="008E6D96" w:rsidRPr="00FE6281">
        <w:rPr>
          <w:shd w:val="clear" w:color="auto" w:fill="FFFFFF"/>
        </w:rPr>
        <w:t>.</w:t>
      </w:r>
    </w:p>
    <w:p w14:paraId="07D9270F" w14:textId="177F76C9" w:rsidR="00AD388F" w:rsidRPr="00FE6281" w:rsidRDefault="008E6D96" w:rsidP="00747DBB">
      <w:pPr>
        <w:spacing w:line="276" w:lineRule="auto"/>
        <w:ind w:firstLine="720"/>
        <w:jc w:val="both"/>
        <w:rPr>
          <w:rFonts w:asciiTheme="majorBidi" w:hAnsiTheme="majorBidi" w:cstheme="majorBidi"/>
        </w:rPr>
      </w:pPr>
      <w:r w:rsidRPr="00FE6281">
        <w:rPr>
          <w:lang w:eastAsia="lv-LV"/>
        </w:rPr>
        <w:t>[</w:t>
      </w:r>
      <w:r w:rsidR="004F76A4" w:rsidRPr="00FE6281">
        <w:rPr>
          <w:lang w:eastAsia="lv-LV"/>
        </w:rPr>
        <w:t>4</w:t>
      </w:r>
      <w:r w:rsidR="003F36E8" w:rsidRPr="00FE6281">
        <w:rPr>
          <w:lang w:eastAsia="lv-LV"/>
        </w:rPr>
        <w:t>.1</w:t>
      </w:r>
      <w:r w:rsidRPr="00FE6281">
        <w:rPr>
          <w:lang w:eastAsia="lv-LV"/>
        </w:rPr>
        <w:t>]</w:t>
      </w:r>
      <w:r w:rsidR="00A805BB" w:rsidRPr="00FE6281">
        <w:rPr>
          <w:lang w:eastAsia="lv-LV"/>
        </w:rPr>
        <w:t> </w:t>
      </w:r>
      <w:r w:rsidR="00A0776A" w:rsidRPr="00FE6281">
        <w:rPr>
          <w:lang w:eastAsia="lv-LV"/>
        </w:rPr>
        <w:t>Tiesa nepareizi interpretēj</w:t>
      </w:r>
      <w:r w:rsidR="0045693F" w:rsidRPr="00FE6281">
        <w:rPr>
          <w:lang w:eastAsia="lv-LV"/>
        </w:rPr>
        <w:t>a</w:t>
      </w:r>
      <w:r w:rsidR="00A0776A" w:rsidRPr="00FE6281">
        <w:rPr>
          <w:lang w:eastAsia="lv-LV"/>
        </w:rPr>
        <w:t xml:space="preserve"> un piemēroj</w:t>
      </w:r>
      <w:r w:rsidR="0045693F" w:rsidRPr="00FE6281">
        <w:rPr>
          <w:lang w:eastAsia="lv-LV"/>
        </w:rPr>
        <w:t>a</w:t>
      </w:r>
      <w:r w:rsidR="00A0776A" w:rsidRPr="00FE6281">
        <w:rPr>
          <w:lang w:eastAsia="lv-LV"/>
        </w:rPr>
        <w:t xml:space="preserve"> likuma „Par zemes dzīlēm” 10.panta septīto daļu. Ar minēto </w:t>
      </w:r>
      <w:r w:rsidR="00F673C1" w:rsidRPr="00FE6281">
        <w:rPr>
          <w:lang w:eastAsia="lv-LV"/>
        </w:rPr>
        <w:t xml:space="preserve">tiesību </w:t>
      </w:r>
      <w:r w:rsidR="00A0776A" w:rsidRPr="00FE6281">
        <w:rPr>
          <w:lang w:eastAsia="lv-LV"/>
        </w:rPr>
        <w:t xml:space="preserve">normu likumdevējs nav </w:t>
      </w:r>
      <w:r w:rsidR="00DC6535" w:rsidRPr="00FE6281">
        <w:rPr>
          <w:lang w:eastAsia="lv-LV"/>
        </w:rPr>
        <w:t xml:space="preserve">deleģējis </w:t>
      </w:r>
      <w:r w:rsidR="00A0776A" w:rsidRPr="00FE6281">
        <w:rPr>
          <w:lang w:eastAsia="lv-LV"/>
        </w:rPr>
        <w:t>Ministru kabinetam izdot noteikumus par vides aizsardzības prasībām ogļūdeņražu izpēt</w:t>
      </w:r>
      <w:r w:rsidR="00BD58E5" w:rsidRPr="00FE6281">
        <w:rPr>
          <w:lang w:eastAsia="lv-LV"/>
        </w:rPr>
        <w:t>ei</w:t>
      </w:r>
      <w:r w:rsidR="00A0776A" w:rsidRPr="00FE6281">
        <w:rPr>
          <w:lang w:eastAsia="lv-LV"/>
        </w:rPr>
        <w:t xml:space="preserve"> un ieguve</w:t>
      </w:r>
      <w:r w:rsidR="00BD58E5" w:rsidRPr="00FE6281">
        <w:rPr>
          <w:lang w:eastAsia="lv-LV"/>
        </w:rPr>
        <w:t>i</w:t>
      </w:r>
      <w:r w:rsidR="00A0776A" w:rsidRPr="00FE6281">
        <w:rPr>
          <w:lang w:eastAsia="lv-LV"/>
        </w:rPr>
        <w:t xml:space="preserve"> sauszemē, bet gan </w:t>
      </w:r>
      <w:r w:rsidR="00B425FA" w:rsidRPr="00FE6281">
        <w:rPr>
          <w:lang w:eastAsia="lv-LV"/>
        </w:rPr>
        <w:t xml:space="preserve">tikai </w:t>
      </w:r>
      <w:r w:rsidR="00A0776A" w:rsidRPr="00FE6281">
        <w:rPr>
          <w:lang w:eastAsia="lv-LV"/>
        </w:rPr>
        <w:t>jūrā.</w:t>
      </w:r>
      <w:r w:rsidR="006946C9" w:rsidRPr="00FE6281">
        <w:rPr>
          <w:lang w:eastAsia="lv-LV"/>
        </w:rPr>
        <w:t xml:space="preserve"> Apstāklis</w:t>
      </w:r>
      <w:r w:rsidR="00501EC1" w:rsidRPr="00FE6281">
        <w:rPr>
          <w:lang w:eastAsia="lv-LV"/>
        </w:rPr>
        <w:t>, ka saskaņā ar noteikumu Nr. 805</w:t>
      </w:r>
      <w:r w:rsidR="00E70091" w:rsidRPr="00FE6281">
        <w:rPr>
          <w:lang w:eastAsia="lv-LV"/>
        </w:rPr>
        <w:t xml:space="preserve"> </w:t>
      </w:r>
      <w:r w:rsidR="00501EC1" w:rsidRPr="00FE6281">
        <w:rPr>
          <w:lang w:eastAsia="lv-LV"/>
        </w:rPr>
        <w:t>1.6.</w:t>
      </w:r>
      <w:r w:rsidR="000065BA" w:rsidRPr="00FE6281">
        <w:rPr>
          <w:lang w:eastAsia="lv-LV"/>
        </w:rPr>
        <w:t>apakš</w:t>
      </w:r>
      <w:r w:rsidR="00501EC1" w:rsidRPr="00FE6281">
        <w:rPr>
          <w:lang w:eastAsia="lv-LV"/>
        </w:rPr>
        <w:t xml:space="preserve">punktu </w:t>
      </w:r>
      <w:r w:rsidR="00BD58E5" w:rsidRPr="00FE6281">
        <w:rPr>
          <w:lang w:eastAsia="lv-LV"/>
        </w:rPr>
        <w:t>tie</w:t>
      </w:r>
      <w:r w:rsidR="00501EC1" w:rsidRPr="00FE6281">
        <w:rPr>
          <w:lang w:eastAsia="lv-LV"/>
        </w:rPr>
        <w:t xml:space="preserve"> nosaka </w:t>
      </w:r>
      <w:r w:rsidR="000065BA" w:rsidRPr="00FE6281">
        <w:rPr>
          <w:lang w:eastAsia="lv-LV"/>
        </w:rPr>
        <w:t xml:space="preserve">arī </w:t>
      </w:r>
      <w:r w:rsidR="00501EC1" w:rsidRPr="00FE6281">
        <w:rPr>
          <w:lang w:eastAsia="lv-LV"/>
        </w:rPr>
        <w:lastRenderedPageBreak/>
        <w:t>ogļūdeņražu meklēšanas, izpētes un ieguves kārtību Latvijas Republikas teritorijā uz sauszemes, nepadara šo noteikum</w:t>
      </w:r>
      <w:r w:rsidR="00E70091" w:rsidRPr="00FE6281">
        <w:rPr>
          <w:lang w:eastAsia="lv-LV"/>
        </w:rPr>
        <w:t>u</w:t>
      </w:r>
      <w:r w:rsidR="00501EC1" w:rsidRPr="00FE6281">
        <w:rPr>
          <w:lang w:eastAsia="lv-LV"/>
        </w:rPr>
        <w:t xml:space="preserve"> 151.pun</w:t>
      </w:r>
      <w:r w:rsidR="004C3F0D">
        <w:rPr>
          <w:lang w:eastAsia="lv-LV"/>
        </w:rPr>
        <w:t>k</w:t>
      </w:r>
      <w:r w:rsidR="00501EC1" w:rsidRPr="00FE6281">
        <w:rPr>
          <w:lang w:eastAsia="lv-LV"/>
        </w:rPr>
        <w:t xml:space="preserve">tu par </w:t>
      </w:r>
      <w:r w:rsidR="00501EC1" w:rsidRPr="00FE6281">
        <w:rPr>
          <w:rFonts w:asciiTheme="majorBidi" w:hAnsiTheme="majorBidi" w:cstheme="majorBidi"/>
          <w:lang w:eastAsia="lv-LV"/>
        </w:rPr>
        <w:t>leģitīmu attiecībā uz ogļūdeņražu izpētes un ieguves darbiem sauszemē</w:t>
      </w:r>
      <w:r w:rsidR="008B65D0" w:rsidRPr="00FE6281">
        <w:rPr>
          <w:rFonts w:asciiTheme="majorBidi" w:hAnsiTheme="majorBidi" w:cstheme="majorBidi"/>
          <w:lang w:eastAsia="lv-LV"/>
        </w:rPr>
        <w:t>. Tā kā ogļūdeņražu izpēte un ieguve jūrā ir atšķirīg</w:t>
      </w:r>
      <w:r w:rsidR="00BD58E5" w:rsidRPr="00FE6281">
        <w:rPr>
          <w:rFonts w:asciiTheme="majorBidi" w:hAnsiTheme="majorBidi" w:cstheme="majorBidi"/>
          <w:lang w:eastAsia="lv-LV"/>
        </w:rPr>
        <w:t>a</w:t>
      </w:r>
      <w:r w:rsidR="008B65D0" w:rsidRPr="00FE6281">
        <w:rPr>
          <w:rFonts w:asciiTheme="majorBidi" w:hAnsiTheme="majorBidi" w:cstheme="majorBidi"/>
          <w:lang w:eastAsia="lv-LV"/>
        </w:rPr>
        <w:t xml:space="preserve"> no darbiem sauszemē, nav pieļaujama vides prasību vienādošana.</w:t>
      </w:r>
      <w:r w:rsidR="00AD0A38" w:rsidRPr="00FE6281">
        <w:rPr>
          <w:rFonts w:asciiTheme="majorBidi" w:hAnsiTheme="majorBidi" w:cstheme="majorBidi"/>
          <w:lang w:eastAsia="lv-LV"/>
        </w:rPr>
        <w:t xml:space="preserve"> Turklāt </w:t>
      </w:r>
      <w:r w:rsidR="00AD0A38" w:rsidRPr="00FE6281">
        <w:rPr>
          <w:rFonts w:asciiTheme="majorBidi" w:hAnsiTheme="majorBidi" w:cstheme="majorBidi"/>
        </w:rPr>
        <w:t xml:space="preserve">atbilstoši noteikumu anotācijai </w:t>
      </w:r>
      <w:r w:rsidR="00BD58E5" w:rsidRPr="00FE6281">
        <w:rPr>
          <w:rFonts w:asciiTheme="majorBidi" w:hAnsiTheme="majorBidi" w:cstheme="majorBidi"/>
        </w:rPr>
        <w:t>tie</w:t>
      </w:r>
      <w:r w:rsidR="00AD0A38" w:rsidRPr="00FE6281">
        <w:rPr>
          <w:rFonts w:asciiTheme="majorBidi" w:hAnsiTheme="majorBidi" w:cstheme="majorBidi"/>
        </w:rPr>
        <w:t xml:space="preserve"> </w:t>
      </w:r>
      <w:r w:rsidR="00DC6535" w:rsidRPr="00FE6281">
        <w:rPr>
          <w:rFonts w:asciiTheme="majorBidi" w:hAnsiTheme="majorBidi" w:cstheme="majorBidi"/>
        </w:rPr>
        <w:t xml:space="preserve">ir </w:t>
      </w:r>
      <w:r w:rsidR="00AD0A38" w:rsidRPr="00FE6281">
        <w:rPr>
          <w:rFonts w:asciiTheme="majorBidi" w:hAnsiTheme="majorBidi" w:cstheme="majorBidi"/>
        </w:rPr>
        <w:t xml:space="preserve">pieņemti, lai izpildītu prasības, kas izriet no </w:t>
      </w:r>
      <w:r w:rsidR="00AD0A38" w:rsidRPr="00FE6281">
        <w:rPr>
          <w:rFonts w:asciiTheme="majorBidi" w:hAnsiTheme="majorBidi" w:cstheme="majorBidi"/>
          <w:shd w:val="clear" w:color="auto" w:fill="FFFFFF"/>
        </w:rPr>
        <w:t>Eiropas Parlamenta un Padomes 2013.gada 12.jūnija Direktīvas</w:t>
      </w:r>
      <w:r w:rsidR="00666C44" w:rsidRPr="00FE6281">
        <w:rPr>
          <w:rFonts w:asciiTheme="majorBidi" w:hAnsiTheme="majorBidi" w:cstheme="majorBidi"/>
          <w:shd w:val="clear" w:color="auto" w:fill="FFFFFF"/>
        </w:rPr>
        <w:t xml:space="preserve"> </w:t>
      </w:r>
      <w:r w:rsidR="00AD0A38" w:rsidRPr="00FE6281">
        <w:rPr>
          <w:rFonts w:asciiTheme="majorBidi" w:hAnsiTheme="majorBidi" w:cstheme="majorBidi"/>
          <w:shd w:val="clear" w:color="auto" w:fill="FFFFFF"/>
        </w:rPr>
        <w:t>2013/30/ES</w:t>
      </w:r>
      <w:r w:rsidR="000225B9">
        <w:rPr>
          <w:rFonts w:asciiTheme="majorBidi" w:hAnsiTheme="majorBidi" w:cstheme="majorBidi"/>
          <w:shd w:val="clear" w:color="auto" w:fill="FFFFFF"/>
        </w:rPr>
        <w:t xml:space="preserve"> </w:t>
      </w:r>
      <w:r w:rsidR="00AD0A38" w:rsidRPr="00FE6281">
        <w:rPr>
          <w:rFonts w:asciiTheme="majorBidi" w:hAnsiTheme="majorBidi" w:cstheme="majorBidi"/>
          <w:shd w:val="clear" w:color="auto" w:fill="FFFFFF"/>
        </w:rPr>
        <w:t>par to darbību drošumu, kas saistītas ar naftas un gāzes nozares darbībām jūrā, un ar kuru groza Direktīvu</w:t>
      </w:r>
      <w:r w:rsidR="00666C44" w:rsidRPr="00FE6281">
        <w:rPr>
          <w:rFonts w:asciiTheme="majorBidi" w:hAnsiTheme="majorBidi" w:cstheme="majorBidi"/>
          <w:shd w:val="clear" w:color="auto" w:fill="FFFFFF"/>
        </w:rPr>
        <w:t xml:space="preserve"> </w:t>
      </w:r>
      <w:r w:rsidR="00AD0A38" w:rsidRPr="00FE6281">
        <w:rPr>
          <w:rFonts w:asciiTheme="majorBidi" w:hAnsiTheme="majorBidi" w:cstheme="majorBidi"/>
          <w:shd w:val="clear" w:color="auto" w:fill="FFFFFF"/>
        </w:rPr>
        <w:t>2004/35/EK</w:t>
      </w:r>
      <w:r w:rsidR="00AD0A38" w:rsidRPr="00FE6281">
        <w:rPr>
          <w:rFonts w:asciiTheme="majorBidi" w:hAnsiTheme="majorBidi" w:cstheme="majorBidi"/>
          <w:color w:val="414142"/>
          <w:shd w:val="clear" w:color="auto" w:fill="FFFFFF"/>
        </w:rPr>
        <w:t xml:space="preserve"> </w:t>
      </w:r>
      <w:r w:rsidR="00AD0A38" w:rsidRPr="00FE6281">
        <w:rPr>
          <w:rFonts w:asciiTheme="majorBidi" w:hAnsiTheme="majorBidi" w:cstheme="majorBidi"/>
          <w:shd w:val="clear" w:color="auto" w:fill="FFFFFF"/>
        </w:rPr>
        <w:t>(turpmāk</w:t>
      </w:r>
      <w:r w:rsidR="004C3F0D">
        <w:rPr>
          <w:rFonts w:asciiTheme="majorBidi" w:hAnsiTheme="majorBidi" w:cstheme="majorBidi"/>
          <w:shd w:val="clear" w:color="auto" w:fill="FFFFFF"/>
        </w:rPr>
        <w:t> </w:t>
      </w:r>
      <w:r w:rsidR="00C972ED" w:rsidRPr="00FE6281">
        <w:rPr>
          <w:rFonts w:asciiTheme="majorBidi" w:hAnsiTheme="majorBidi" w:cstheme="majorBidi"/>
          <w:shd w:val="clear" w:color="auto" w:fill="FFFFFF"/>
        </w:rPr>
        <w:t>–</w:t>
      </w:r>
      <w:r w:rsidR="004C3F0D">
        <w:rPr>
          <w:rFonts w:asciiTheme="majorBidi" w:hAnsiTheme="majorBidi" w:cstheme="majorBidi"/>
          <w:shd w:val="clear" w:color="auto" w:fill="FFFFFF"/>
        </w:rPr>
        <w:t> </w:t>
      </w:r>
      <w:r w:rsidR="00AD388F" w:rsidRPr="00FE6281">
        <w:rPr>
          <w:rFonts w:asciiTheme="majorBidi" w:hAnsiTheme="majorBidi" w:cstheme="majorBidi"/>
          <w:shd w:val="clear" w:color="auto" w:fill="FFFFFF"/>
        </w:rPr>
        <w:t>D</w:t>
      </w:r>
      <w:r w:rsidR="00AD0A38" w:rsidRPr="00FE6281">
        <w:rPr>
          <w:rFonts w:asciiTheme="majorBidi" w:hAnsiTheme="majorBidi" w:cstheme="majorBidi"/>
        </w:rPr>
        <w:t xml:space="preserve">irektīva </w:t>
      </w:r>
      <w:hyperlink r:id="rId9" w:history="1">
        <w:r w:rsidR="00AD0A38" w:rsidRPr="00FE6281">
          <w:rPr>
            <w:rStyle w:val="Hyperlink"/>
            <w:rFonts w:asciiTheme="majorBidi" w:hAnsiTheme="majorBidi" w:cstheme="majorBidi"/>
          </w:rPr>
          <w:t>2013/30/ES</w:t>
        </w:r>
      </w:hyperlink>
      <w:r w:rsidR="00AD0A38" w:rsidRPr="00FE6281">
        <w:rPr>
          <w:rFonts w:asciiTheme="majorBidi" w:hAnsiTheme="majorBidi" w:cstheme="majorBidi"/>
        </w:rPr>
        <w:t xml:space="preserve">). Atbilstoši </w:t>
      </w:r>
      <w:r w:rsidR="00DC6535" w:rsidRPr="00FE6281">
        <w:rPr>
          <w:rFonts w:asciiTheme="majorBidi" w:hAnsiTheme="majorBidi" w:cstheme="majorBidi"/>
        </w:rPr>
        <w:t xml:space="preserve">šīs </w:t>
      </w:r>
      <w:r w:rsidR="00AD388F" w:rsidRPr="00FE6281">
        <w:rPr>
          <w:rFonts w:asciiTheme="majorBidi" w:hAnsiTheme="majorBidi" w:cstheme="majorBidi"/>
        </w:rPr>
        <w:t xml:space="preserve">direktīvas </w:t>
      </w:r>
      <w:r w:rsidR="00AD0A38" w:rsidRPr="00FE6281">
        <w:rPr>
          <w:rFonts w:asciiTheme="majorBidi" w:hAnsiTheme="majorBidi" w:cstheme="majorBidi"/>
        </w:rPr>
        <w:t xml:space="preserve">1.pantam </w:t>
      </w:r>
      <w:r w:rsidR="00AD388F" w:rsidRPr="00FE6281">
        <w:rPr>
          <w:rFonts w:asciiTheme="majorBidi" w:hAnsiTheme="majorBidi" w:cstheme="majorBidi"/>
        </w:rPr>
        <w:t>tā</w:t>
      </w:r>
      <w:r w:rsidR="00AD0A38" w:rsidRPr="00FE6281">
        <w:rPr>
          <w:rFonts w:asciiTheme="majorBidi" w:hAnsiTheme="majorBidi" w:cstheme="majorBidi"/>
        </w:rPr>
        <w:t xml:space="preserve"> neskar </w:t>
      </w:r>
      <w:r w:rsidR="00AD388F" w:rsidRPr="00FE6281">
        <w:rPr>
          <w:rFonts w:asciiTheme="majorBidi" w:hAnsiTheme="majorBidi" w:cstheme="majorBidi"/>
          <w:shd w:val="clear" w:color="auto" w:fill="FFFFFF"/>
        </w:rPr>
        <w:t>Eiropas Parlamenta un Padomes 1994.gada 30.maija Direktīvu</w:t>
      </w:r>
      <w:r w:rsidR="00666C44" w:rsidRPr="00FE6281">
        <w:rPr>
          <w:rFonts w:asciiTheme="majorBidi" w:hAnsiTheme="majorBidi" w:cstheme="majorBidi"/>
          <w:shd w:val="clear" w:color="auto" w:fill="FFFFFF"/>
        </w:rPr>
        <w:t xml:space="preserve"> </w:t>
      </w:r>
      <w:r w:rsidR="00AD388F" w:rsidRPr="00FE6281">
        <w:rPr>
          <w:rFonts w:asciiTheme="majorBidi" w:hAnsiTheme="majorBidi" w:cstheme="majorBidi"/>
          <w:shd w:val="clear" w:color="auto" w:fill="FFFFFF"/>
        </w:rPr>
        <w:t>94/22/EK</w:t>
      </w:r>
      <w:r w:rsidR="00666C44" w:rsidRPr="00FE6281">
        <w:rPr>
          <w:rFonts w:asciiTheme="majorBidi" w:hAnsiTheme="majorBidi" w:cstheme="majorBidi"/>
          <w:shd w:val="clear" w:color="auto" w:fill="FFFFFF"/>
        </w:rPr>
        <w:t xml:space="preserve"> </w:t>
      </w:r>
      <w:r w:rsidR="00AD388F" w:rsidRPr="00FE6281">
        <w:rPr>
          <w:rFonts w:asciiTheme="majorBidi" w:hAnsiTheme="majorBidi" w:cstheme="majorBidi"/>
          <w:shd w:val="clear" w:color="auto" w:fill="FFFFFF"/>
        </w:rPr>
        <w:t>par atļauju piešķiršanas un izmantošanas noteikumiem ogļūdeņražu meklēšanai, izpētei un ieguvei (turpmāk – Direktīva</w:t>
      </w:r>
      <w:r w:rsidR="00666C44" w:rsidRPr="00FE6281">
        <w:rPr>
          <w:rFonts w:asciiTheme="majorBidi" w:hAnsiTheme="majorBidi" w:cstheme="majorBidi"/>
          <w:shd w:val="clear" w:color="auto" w:fill="FFFFFF"/>
        </w:rPr>
        <w:t xml:space="preserve"> </w:t>
      </w:r>
      <w:hyperlink r:id="rId10" w:history="1">
        <w:r w:rsidR="00AD388F" w:rsidRPr="00FE6281">
          <w:rPr>
            <w:rStyle w:val="Hyperlink"/>
            <w:rFonts w:asciiTheme="majorBidi" w:hAnsiTheme="majorBidi" w:cstheme="majorBidi"/>
            <w:shd w:val="clear" w:color="auto" w:fill="FFFFFF"/>
          </w:rPr>
          <w:t>94/22/EK</w:t>
        </w:r>
      </w:hyperlink>
      <w:r w:rsidR="00AD388F" w:rsidRPr="00FE6281">
        <w:rPr>
          <w:rFonts w:asciiTheme="majorBidi" w:hAnsiTheme="majorBidi" w:cstheme="majorBidi"/>
        </w:rPr>
        <w:t>).</w:t>
      </w:r>
    </w:p>
    <w:p w14:paraId="36764D9A" w14:textId="637BB47F" w:rsidR="00556063" w:rsidRPr="00FE6281" w:rsidRDefault="006946C9" w:rsidP="00747DBB">
      <w:pPr>
        <w:spacing w:line="276" w:lineRule="auto"/>
        <w:ind w:firstLine="720"/>
        <w:jc w:val="both"/>
        <w:rPr>
          <w:lang w:eastAsia="lv-LV"/>
        </w:rPr>
      </w:pPr>
      <w:r w:rsidRPr="00FE6281">
        <w:rPr>
          <w:lang w:eastAsia="lv-LV"/>
        </w:rPr>
        <w:t>[</w:t>
      </w:r>
      <w:r w:rsidR="004F76A4" w:rsidRPr="00FE6281">
        <w:rPr>
          <w:lang w:eastAsia="lv-LV"/>
        </w:rPr>
        <w:t>4</w:t>
      </w:r>
      <w:r w:rsidRPr="00FE6281">
        <w:rPr>
          <w:lang w:eastAsia="lv-LV"/>
        </w:rPr>
        <w:t>.2] </w:t>
      </w:r>
      <w:r w:rsidR="008B65D0" w:rsidRPr="00FE6281">
        <w:rPr>
          <w:lang w:eastAsia="lv-LV"/>
        </w:rPr>
        <w:t>Tiesa nepamatoti piemēroj</w:t>
      </w:r>
      <w:r w:rsidR="008E13C8" w:rsidRPr="00FE6281">
        <w:rPr>
          <w:lang w:eastAsia="lv-LV"/>
        </w:rPr>
        <w:t>a</w:t>
      </w:r>
      <w:r w:rsidR="008B65D0" w:rsidRPr="00FE6281">
        <w:rPr>
          <w:lang w:eastAsia="lv-LV"/>
        </w:rPr>
        <w:t xml:space="preserve"> likuma „Par piesārņojumu” 22.pantu</w:t>
      </w:r>
      <w:r w:rsidR="00556063" w:rsidRPr="00FE6281">
        <w:rPr>
          <w:lang w:eastAsia="lv-LV"/>
        </w:rPr>
        <w:t xml:space="preserve"> un</w:t>
      </w:r>
      <w:r w:rsidR="008B65D0" w:rsidRPr="00FE6281">
        <w:rPr>
          <w:lang w:eastAsia="lv-LV"/>
        </w:rPr>
        <w:t xml:space="preserve"> noteikumu Nr. 1082</w:t>
      </w:r>
      <w:r w:rsidR="00E70091" w:rsidRPr="00FE6281">
        <w:rPr>
          <w:lang w:eastAsia="lv-LV"/>
        </w:rPr>
        <w:t xml:space="preserve"> </w:t>
      </w:r>
      <w:r w:rsidR="008B65D0" w:rsidRPr="00FE6281">
        <w:rPr>
          <w:lang w:eastAsia="lv-LV"/>
        </w:rPr>
        <w:t>1.pielikuma 8.8.apakšpunktu.</w:t>
      </w:r>
      <w:r w:rsidR="00556063" w:rsidRPr="00FE6281">
        <w:rPr>
          <w:lang w:eastAsia="lv-LV"/>
        </w:rPr>
        <w:t xml:space="preserve"> Tiesa nav ņēmusi vērā, ka noteikumu 1.pielikum</w:t>
      </w:r>
      <w:r w:rsidR="00203E46" w:rsidRPr="00FE6281">
        <w:rPr>
          <w:lang w:eastAsia="lv-LV"/>
        </w:rPr>
        <w:t>ā</w:t>
      </w:r>
      <w:r w:rsidR="00556063" w:rsidRPr="00FE6281">
        <w:rPr>
          <w:lang w:eastAsia="lv-LV"/>
        </w:rPr>
        <w:t xml:space="preserve"> </w:t>
      </w:r>
      <w:r w:rsidR="00203E46" w:rsidRPr="00FE6281">
        <w:rPr>
          <w:lang w:eastAsia="lv-LV"/>
        </w:rPr>
        <w:t>nav paredzēta</w:t>
      </w:r>
      <w:r w:rsidR="00556063" w:rsidRPr="00FE6281">
        <w:rPr>
          <w:lang w:eastAsia="lv-LV"/>
        </w:rPr>
        <w:t xml:space="preserve"> tād</w:t>
      </w:r>
      <w:r w:rsidR="00203E46" w:rsidRPr="00FE6281">
        <w:rPr>
          <w:lang w:eastAsia="lv-LV"/>
        </w:rPr>
        <w:t>a</w:t>
      </w:r>
      <w:r w:rsidR="00556063" w:rsidRPr="00FE6281">
        <w:rPr>
          <w:lang w:eastAsia="lv-LV"/>
        </w:rPr>
        <w:t xml:space="preserve"> piesārņojoš</w:t>
      </w:r>
      <w:r w:rsidR="00203E46" w:rsidRPr="00FE6281">
        <w:rPr>
          <w:lang w:eastAsia="lv-LV"/>
        </w:rPr>
        <w:t>ā</w:t>
      </w:r>
      <w:r w:rsidR="00556063" w:rsidRPr="00FE6281">
        <w:rPr>
          <w:lang w:eastAsia="lv-LV"/>
        </w:rPr>
        <w:t xml:space="preserve"> darbīb</w:t>
      </w:r>
      <w:r w:rsidR="00203E46" w:rsidRPr="00FE6281">
        <w:rPr>
          <w:lang w:eastAsia="lv-LV"/>
        </w:rPr>
        <w:t>a</w:t>
      </w:r>
      <w:r w:rsidR="00556063" w:rsidRPr="00FE6281">
        <w:rPr>
          <w:lang w:eastAsia="lv-LV"/>
        </w:rPr>
        <w:t xml:space="preserve"> kā ogļūdeņražu ieguve, kura</w:t>
      </w:r>
      <w:r w:rsidR="00031BA9" w:rsidRPr="00FE6281">
        <w:rPr>
          <w:lang w:eastAsia="lv-LV"/>
        </w:rPr>
        <w:t>s veikšanai</w:t>
      </w:r>
      <w:r w:rsidR="00556063" w:rsidRPr="00FE6281">
        <w:rPr>
          <w:lang w:eastAsia="lv-LV"/>
        </w:rPr>
        <w:t xml:space="preserve"> būtu </w:t>
      </w:r>
      <w:r w:rsidR="00BD58E5" w:rsidRPr="00FE6281">
        <w:rPr>
          <w:lang w:eastAsia="lv-LV"/>
        </w:rPr>
        <w:t>jā</w:t>
      </w:r>
      <w:r w:rsidR="00031BA9" w:rsidRPr="00FE6281">
        <w:rPr>
          <w:lang w:eastAsia="lv-LV"/>
        </w:rPr>
        <w:t>saņem</w:t>
      </w:r>
      <w:r w:rsidR="00BB73D1" w:rsidRPr="00FE6281">
        <w:rPr>
          <w:lang w:eastAsia="lv-LV"/>
        </w:rPr>
        <w:t xml:space="preserve"> </w:t>
      </w:r>
      <w:r w:rsidR="008E13C8" w:rsidRPr="00FE6281">
        <w:rPr>
          <w:lang w:eastAsia="lv-LV"/>
        </w:rPr>
        <w:t>B</w:t>
      </w:r>
      <w:r w:rsidR="0053646E">
        <w:rPr>
          <w:lang w:eastAsia="lv-LV"/>
        </w:rPr>
        <w:t> </w:t>
      </w:r>
      <w:r w:rsidR="008E13C8" w:rsidRPr="00FE6281">
        <w:rPr>
          <w:lang w:eastAsia="lv-LV"/>
        </w:rPr>
        <w:t xml:space="preserve">kategorijas </w:t>
      </w:r>
      <w:r w:rsidR="00203E46" w:rsidRPr="00FE6281">
        <w:rPr>
          <w:lang w:eastAsia="lv-LV"/>
        </w:rPr>
        <w:t>atļauj</w:t>
      </w:r>
      <w:r w:rsidR="00BD58E5" w:rsidRPr="00FE6281">
        <w:rPr>
          <w:lang w:eastAsia="lv-LV"/>
        </w:rPr>
        <w:t>a</w:t>
      </w:r>
      <w:r w:rsidR="00556063" w:rsidRPr="00FE6281">
        <w:rPr>
          <w:lang w:eastAsia="lv-LV"/>
        </w:rPr>
        <w:t xml:space="preserve">. </w:t>
      </w:r>
      <w:r w:rsidR="00031BA9" w:rsidRPr="00FE6281">
        <w:rPr>
          <w:lang w:eastAsia="lv-LV"/>
        </w:rPr>
        <w:t>Arī</w:t>
      </w:r>
      <w:r w:rsidR="00556063" w:rsidRPr="00FE6281">
        <w:rPr>
          <w:lang w:eastAsia="lv-LV"/>
        </w:rPr>
        <w:t xml:space="preserve"> noteikum</w:t>
      </w:r>
      <w:r w:rsidR="00031BA9" w:rsidRPr="00FE6281">
        <w:rPr>
          <w:lang w:eastAsia="lv-LV"/>
        </w:rPr>
        <w:t>u</w:t>
      </w:r>
      <w:r w:rsidR="00556063" w:rsidRPr="00FE6281">
        <w:rPr>
          <w:lang w:eastAsia="lv-LV"/>
        </w:rPr>
        <w:t xml:space="preserve"> Nr.</w:t>
      </w:r>
      <w:r w:rsidR="00666C44" w:rsidRPr="00FE6281">
        <w:rPr>
          <w:lang w:eastAsia="lv-LV"/>
        </w:rPr>
        <w:t> </w:t>
      </w:r>
      <w:r w:rsidR="00556063" w:rsidRPr="00FE6281">
        <w:rPr>
          <w:lang w:eastAsia="lv-LV"/>
        </w:rPr>
        <w:t>805</w:t>
      </w:r>
      <w:r w:rsidR="00031BA9" w:rsidRPr="00FE6281">
        <w:rPr>
          <w:lang w:eastAsia="lv-LV"/>
        </w:rPr>
        <w:t xml:space="preserve"> </w:t>
      </w:r>
      <w:r w:rsidR="00556063" w:rsidRPr="00FE6281">
        <w:rPr>
          <w:lang w:eastAsia="lv-LV"/>
        </w:rPr>
        <w:t>151.punkts nenosaka nepieciešamību</w:t>
      </w:r>
      <w:r w:rsidR="00031BA9" w:rsidRPr="00FE6281">
        <w:rPr>
          <w:lang w:eastAsia="lv-LV"/>
        </w:rPr>
        <w:t xml:space="preserve"> šādai darbībai</w:t>
      </w:r>
      <w:r w:rsidR="00556063" w:rsidRPr="00FE6281">
        <w:rPr>
          <w:lang w:eastAsia="lv-LV"/>
        </w:rPr>
        <w:t xml:space="preserve"> saņemt atļauju piesārņojuma emisijai vidē</w:t>
      </w:r>
      <w:r w:rsidR="00BD58E5" w:rsidRPr="00FE6281">
        <w:rPr>
          <w:lang w:eastAsia="lv-LV"/>
        </w:rPr>
        <w:t>. T</w:t>
      </w:r>
      <w:r w:rsidR="005759CB" w:rsidRPr="00FE6281">
        <w:rPr>
          <w:lang w:eastAsia="lv-LV"/>
        </w:rPr>
        <w:t xml:space="preserve">āpat šis </w:t>
      </w:r>
      <w:r w:rsidR="00D20D9E" w:rsidRPr="00FE6281">
        <w:rPr>
          <w:lang w:eastAsia="lv-LV"/>
        </w:rPr>
        <w:t xml:space="preserve">noteikumu </w:t>
      </w:r>
      <w:r w:rsidR="005759CB" w:rsidRPr="00FE6281">
        <w:rPr>
          <w:lang w:eastAsia="lv-LV"/>
        </w:rPr>
        <w:t xml:space="preserve">punkts </w:t>
      </w:r>
      <w:r w:rsidR="0081632C" w:rsidRPr="00FE6281">
        <w:rPr>
          <w:lang w:eastAsia="lv-LV"/>
        </w:rPr>
        <w:t xml:space="preserve">nemaz </w:t>
      </w:r>
      <w:r w:rsidR="005759CB" w:rsidRPr="00FE6281">
        <w:rPr>
          <w:lang w:eastAsia="lv-LV"/>
        </w:rPr>
        <w:t xml:space="preserve">arī </w:t>
      </w:r>
      <w:r w:rsidR="00EB0DAC" w:rsidRPr="00FE6281">
        <w:rPr>
          <w:lang w:eastAsia="lv-LV"/>
        </w:rPr>
        <w:t xml:space="preserve">nepaskaidro, kāda </w:t>
      </w:r>
      <w:r w:rsidR="00BB73D1" w:rsidRPr="00FE6281">
        <w:rPr>
          <w:lang w:eastAsia="lv-LV"/>
        </w:rPr>
        <w:t xml:space="preserve">veida </w:t>
      </w:r>
      <w:r w:rsidR="00EB0DAC" w:rsidRPr="00FE6281">
        <w:rPr>
          <w:lang w:eastAsia="lv-LV"/>
        </w:rPr>
        <w:t xml:space="preserve">atļauja </w:t>
      </w:r>
      <w:r w:rsidR="000F03A6" w:rsidRPr="00FE6281">
        <w:rPr>
          <w:lang w:eastAsia="lv-LV"/>
        </w:rPr>
        <w:t xml:space="preserve">konkrētajā gadījumā </w:t>
      </w:r>
      <w:r w:rsidR="00EB0DAC" w:rsidRPr="00FE6281">
        <w:rPr>
          <w:lang w:eastAsia="lv-LV"/>
        </w:rPr>
        <w:t xml:space="preserve">būtu </w:t>
      </w:r>
      <w:r w:rsidR="00031BA9" w:rsidRPr="00FE6281">
        <w:rPr>
          <w:lang w:eastAsia="lv-LV"/>
        </w:rPr>
        <w:t>saņemama</w:t>
      </w:r>
      <w:r w:rsidR="00EB0DAC" w:rsidRPr="00FE6281">
        <w:rPr>
          <w:lang w:eastAsia="lv-LV"/>
        </w:rPr>
        <w:t xml:space="preserve"> un uz kāda normatīvā akta pamata</w:t>
      </w:r>
      <w:r w:rsidR="00BB73D1" w:rsidRPr="00FE6281">
        <w:rPr>
          <w:lang w:eastAsia="lv-LV"/>
        </w:rPr>
        <w:t>.</w:t>
      </w:r>
      <w:r w:rsidR="00EB0DAC" w:rsidRPr="00FE6281">
        <w:rPr>
          <w:lang w:eastAsia="lv-LV"/>
        </w:rPr>
        <w:t xml:space="preserve"> </w:t>
      </w:r>
      <w:r w:rsidR="00346632" w:rsidRPr="00FE6281">
        <w:rPr>
          <w:lang w:eastAsia="lv-LV"/>
        </w:rPr>
        <w:t>T</w:t>
      </w:r>
      <w:r w:rsidR="00BB73D1" w:rsidRPr="00FE6281">
        <w:rPr>
          <w:lang w:eastAsia="lv-LV"/>
        </w:rPr>
        <w:t>iesa</w:t>
      </w:r>
      <w:r w:rsidR="00556063" w:rsidRPr="00FE6281">
        <w:rPr>
          <w:lang w:eastAsia="lv-LV"/>
        </w:rPr>
        <w:t xml:space="preserve"> nav ņēmusi vērā</w:t>
      </w:r>
      <w:r w:rsidR="00031BA9" w:rsidRPr="00FE6281">
        <w:rPr>
          <w:lang w:eastAsia="lv-LV"/>
        </w:rPr>
        <w:t xml:space="preserve"> to</w:t>
      </w:r>
      <w:r w:rsidR="00556063" w:rsidRPr="00FE6281">
        <w:rPr>
          <w:lang w:eastAsia="lv-LV"/>
        </w:rPr>
        <w:t>, ka Ministru kabinetam</w:t>
      </w:r>
      <w:r w:rsidR="00BB73D1" w:rsidRPr="00FE6281">
        <w:rPr>
          <w:lang w:eastAsia="lv-LV"/>
        </w:rPr>
        <w:t xml:space="preserve"> </w:t>
      </w:r>
      <w:r w:rsidR="00346632" w:rsidRPr="00FE6281">
        <w:rPr>
          <w:lang w:eastAsia="lv-LV"/>
        </w:rPr>
        <w:t>nemaz nav</w:t>
      </w:r>
      <w:r w:rsidR="00556063" w:rsidRPr="00FE6281">
        <w:rPr>
          <w:lang w:eastAsia="lv-LV"/>
        </w:rPr>
        <w:t xml:space="preserve"> </w:t>
      </w:r>
      <w:r w:rsidR="001D64DA" w:rsidRPr="00FE6281">
        <w:rPr>
          <w:lang w:eastAsia="lv-LV"/>
        </w:rPr>
        <w:t xml:space="preserve">piešķirts </w:t>
      </w:r>
      <w:r w:rsidR="00556063" w:rsidRPr="00FE6281">
        <w:rPr>
          <w:lang w:eastAsia="lv-LV"/>
        </w:rPr>
        <w:t>deleģējums</w:t>
      </w:r>
      <w:r w:rsidR="00BB73D1" w:rsidRPr="00FE6281">
        <w:rPr>
          <w:lang w:eastAsia="lv-LV"/>
        </w:rPr>
        <w:t xml:space="preserve"> noteikumos Nr. 805</w:t>
      </w:r>
      <w:r w:rsidR="00556063" w:rsidRPr="00FE6281">
        <w:rPr>
          <w:lang w:eastAsia="lv-LV"/>
        </w:rPr>
        <w:t xml:space="preserve"> noteikt </w:t>
      </w:r>
      <w:r w:rsidR="00BB73D1" w:rsidRPr="00FE6281">
        <w:rPr>
          <w:lang w:eastAsia="lv-LV"/>
        </w:rPr>
        <w:t xml:space="preserve">prasību </w:t>
      </w:r>
      <w:r w:rsidR="00556063" w:rsidRPr="00FE6281">
        <w:rPr>
          <w:lang w:eastAsia="lv-LV"/>
        </w:rPr>
        <w:t xml:space="preserve">ogļūdeņražu ieguvei saņemt atļauju piesārņojuma emisijai vidē. </w:t>
      </w:r>
      <w:r w:rsidR="00031BA9" w:rsidRPr="00FE6281">
        <w:rPr>
          <w:lang w:eastAsia="lv-LV"/>
        </w:rPr>
        <w:t>Turklāt</w:t>
      </w:r>
      <w:r w:rsidR="00556063" w:rsidRPr="00FE6281">
        <w:rPr>
          <w:lang w:eastAsia="lv-LV"/>
        </w:rPr>
        <w:t xml:space="preserve"> noteikumu Nr. 1082 1.pielikuma 8.8.apakšpunkts un noteikumu Nr. 805</w:t>
      </w:r>
      <w:r w:rsidR="00B175E1" w:rsidRPr="00FE6281">
        <w:rPr>
          <w:lang w:eastAsia="lv-LV"/>
        </w:rPr>
        <w:t xml:space="preserve"> </w:t>
      </w:r>
      <w:r w:rsidR="00556063" w:rsidRPr="00FE6281">
        <w:rPr>
          <w:lang w:eastAsia="lv-LV"/>
        </w:rPr>
        <w:t>151</w:t>
      </w:r>
      <w:r w:rsidR="000065BA" w:rsidRPr="00FE6281">
        <w:rPr>
          <w:lang w:eastAsia="lv-LV"/>
        </w:rPr>
        <w:t>.</w:t>
      </w:r>
      <w:r w:rsidR="00556063" w:rsidRPr="00FE6281">
        <w:rPr>
          <w:lang w:eastAsia="lv-LV"/>
        </w:rPr>
        <w:t>punkts neatbilst Eiropas Cilvēktiesību tiesas noteiktajiem diviem tiesību normas kvalitātes kritērijiem</w:t>
      </w:r>
      <w:r w:rsidR="00E46920" w:rsidRPr="00FE6281">
        <w:rPr>
          <w:lang w:eastAsia="lv-LV"/>
        </w:rPr>
        <w:t>, proti,</w:t>
      </w:r>
      <w:r w:rsidR="00556063" w:rsidRPr="00FE6281">
        <w:rPr>
          <w:lang w:eastAsia="lv-LV"/>
        </w:rPr>
        <w:t xml:space="preserve"> na</w:t>
      </w:r>
      <w:r w:rsidR="00031BA9" w:rsidRPr="00FE6281">
        <w:rPr>
          <w:lang w:eastAsia="lv-LV"/>
        </w:rPr>
        <w:t>v</w:t>
      </w:r>
      <w:r w:rsidR="00556063" w:rsidRPr="00FE6281">
        <w:rPr>
          <w:lang w:eastAsia="lv-LV"/>
        </w:rPr>
        <w:t xml:space="preserve"> pietiekami skaidri formulēts </w:t>
      </w:r>
      <w:r w:rsidR="006940B1" w:rsidRPr="00FE6281">
        <w:rPr>
          <w:lang w:eastAsia="lv-LV"/>
        </w:rPr>
        <w:t xml:space="preserve">šo tiesību normu nepieciešamības </w:t>
      </w:r>
      <w:r w:rsidR="00556063" w:rsidRPr="00FE6281">
        <w:rPr>
          <w:lang w:eastAsia="lv-LV"/>
        </w:rPr>
        <w:t xml:space="preserve">pamatojums, </w:t>
      </w:r>
      <w:r w:rsidR="00031BA9" w:rsidRPr="00FE6281">
        <w:rPr>
          <w:lang w:eastAsia="lv-LV"/>
        </w:rPr>
        <w:t>kā arī</w:t>
      </w:r>
      <w:r w:rsidR="00556063" w:rsidRPr="00FE6281">
        <w:rPr>
          <w:lang w:eastAsia="lv-LV"/>
        </w:rPr>
        <w:t xml:space="preserve"> </w:t>
      </w:r>
      <w:r w:rsidR="006940B1" w:rsidRPr="00FE6281">
        <w:rPr>
          <w:lang w:eastAsia="lv-LV"/>
        </w:rPr>
        <w:t>pašas</w:t>
      </w:r>
      <w:r w:rsidR="00C75AB8" w:rsidRPr="00FE6281">
        <w:rPr>
          <w:lang w:eastAsia="lv-LV"/>
        </w:rPr>
        <w:t xml:space="preserve"> </w:t>
      </w:r>
      <w:r w:rsidR="008F5EB5" w:rsidRPr="00FE6281">
        <w:rPr>
          <w:lang w:eastAsia="lv-LV"/>
        </w:rPr>
        <w:t xml:space="preserve">tiesību </w:t>
      </w:r>
      <w:r w:rsidR="00556063" w:rsidRPr="00FE6281">
        <w:rPr>
          <w:lang w:eastAsia="lv-LV"/>
        </w:rPr>
        <w:t>norma</w:t>
      </w:r>
      <w:r w:rsidR="0071592F" w:rsidRPr="00FE6281">
        <w:rPr>
          <w:lang w:eastAsia="lv-LV"/>
        </w:rPr>
        <w:t>s</w:t>
      </w:r>
      <w:r w:rsidR="00556063" w:rsidRPr="00FE6281">
        <w:rPr>
          <w:lang w:eastAsia="lv-LV"/>
        </w:rPr>
        <w:t xml:space="preserve"> nav</w:t>
      </w:r>
      <w:r w:rsidR="00031BA9" w:rsidRPr="00FE6281">
        <w:rPr>
          <w:lang w:eastAsia="lv-LV"/>
        </w:rPr>
        <w:t xml:space="preserve"> </w:t>
      </w:r>
      <w:r w:rsidR="00556063" w:rsidRPr="00FE6281">
        <w:rPr>
          <w:lang w:eastAsia="lv-LV"/>
        </w:rPr>
        <w:t>pietiekami skaid</w:t>
      </w:r>
      <w:r w:rsidR="0071592F" w:rsidRPr="00FE6281">
        <w:rPr>
          <w:lang w:eastAsia="lv-LV"/>
        </w:rPr>
        <w:t>r</w:t>
      </w:r>
      <w:r w:rsidR="00031BA9" w:rsidRPr="00FE6281">
        <w:rPr>
          <w:lang w:eastAsia="lv-LV"/>
        </w:rPr>
        <w:t>a</w:t>
      </w:r>
      <w:r w:rsidR="0071592F" w:rsidRPr="00FE6281">
        <w:rPr>
          <w:lang w:eastAsia="lv-LV"/>
        </w:rPr>
        <w:t>s</w:t>
      </w:r>
      <w:r w:rsidR="00556063" w:rsidRPr="00FE6281">
        <w:rPr>
          <w:lang w:eastAsia="lv-LV"/>
        </w:rPr>
        <w:t>.</w:t>
      </w:r>
      <w:r w:rsidR="00BB2D68" w:rsidRPr="00FE6281">
        <w:rPr>
          <w:lang w:eastAsia="lv-LV"/>
        </w:rPr>
        <w:t xml:space="preserve"> </w:t>
      </w:r>
      <w:r w:rsidR="00556063" w:rsidRPr="00FE6281">
        <w:rPr>
          <w:lang w:eastAsia="lv-LV"/>
        </w:rPr>
        <w:t>Pieteicējas darbības atbilstība normatīvajiem aktiem vides aizsardzī</w:t>
      </w:r>
      <w:r w:rsidR="00031BA9" w:rsidRPr="00FE6281">
        <w:rPr>
          <w:lang w:eastAsia="lv-LV"/>
        </w:rPr>
        <w:t>bas jomā</w:t>
      </w:r>
      <w:r w:rsidR="00556063" w:rsidRPr="00FE6281">
        <w:rPr>
          <w:lang w:eastAsia="lv-LV"/>
        </w:rPr>
        <w:t xml:space="preserve"> jau ir novērtēta ietekmes uz vidi novērtējuma procesa ietvaros</w:t>
      </w:r>
      <w:r w:rsidR="00031BA9" w:rsidRPr="00FE6281">
        <w:rPr>
          <w:lang w:eastAsia="lv-LV"/>
        </w:rPr>
        <w:t>,</w:t>
      </w:r>
      <w:r w:rsidR="00556063" w:rsidRPr="00FE6281">
        <w:rPr>
          <w:lang w:eastAsia="lv-LV"/>
        </w:rPr>
        <w:t xml:space="preserve"> un nav objektīva pamata </w:t>
      </w:r>
      <w:r w:rsidR="00031BA9" w:rsidRPr="00FE6281">
        <w:rPr>
          <w:lang w:eastAsia="lv-LV"/>
        </w:rPr>
        <w:t xml:space="preserve">atļaujā </w:t>
      </w:r>
      <w:r w:rsidR="00556063" w:rsidRPr="00FE6281">
        <w:rPr>
          <w:lang w:eastAsia="lv-LV"/>
        </w:rPr>
        <w:t xml:space="preserve">prasīt </w:t>
      </w:r>
      <w:r w:rsidR="00BB2D68" w:rsidRPr="00FE6281">
        <w:rPr>
          <w:lang w:eastAsia="lv-LV"/>
        </w:rPr>
        <w:t xml:space="preserve">vēl </w:t>
      </w:r>
      <w:r w:rsidR="00556063" w:rsidRPr="00FE6281">
        <w:rPr>
          <w:lang w:eastAsia="lv-LV"/>
        </w:rPr>
        <w:t>papildu prasību izpildi</w:t>
      </w:r>
      <w:r w:rsidR="004E65D2" w:rsidRPr="00FE6281">
        <w:rPr>
          <w:lang w:eastAsia="lv-LV"/>
        </w:rPr>
        <w:t xml:space="preserve">, kuru īstenošanas rezultātā vides kvalitātes rādītāji nekādā veidā netiks uzlaboti. </w:t>
      </w:r>
      <w:r w:rsidR="00203E46" w:rsidRPr="00FE6281">
        <w:rPr>
          <w:lang w:eastAsia="lv-LV"/>
        </w:rPr>
        <w:t>Līdz ar to</w:t>
      </w:r>
      <w:r w:rsidR="00031BA9" w:rsidRPr="00FE6281">
        <w:rPr>
          <w:lang w:eastAsia="lv-LV"/>
        </w:rPr>
        <w:t xml:space="preserve"> a</w:t>
      </w:r>
      <w:r w:rsidR="004E65D2" w:rsidRPr="00FE6281">
        <w:rPr>
          <w:lang w:eastAsia="lv-LV"/>
        </w:rPr>
        <w:t>tļaujas nosacījumi nav samērīgi.</w:t>
      </w:r>
    </w:p>
    <w:p w14:paraId="0AC32F3D" w14:textId="711557A4" w:rsidR="006946C9" w:rsidRPr="00FE6281" w:rsidRDefault="00556063" w:rsidP="00747DBB">
      <w:pPr>
        <w:spacing w:line="276" w:lineRule="auto"/>
        <w:ind w:firstLine="720"/>
        <w:jc w:val="both"/>
        <w:rPr>
          <w:lang w:eastAsia="lv-LV"/>
        </w:rPr>
      </w:pPr>
      <w:r w:rsidRPr="00FE6281">
        <w:rPr>
          <w:lang w:eastAsia="lv-LV"/>
        </w:rPr>
        <w:t>[</w:t>
      </w:r>
      <w:r w:rsidR="004F76A4" w:rsidRPr="00FE6281">
        <w:rPr>
          <w:lang w:eastAsia="lv-LV"/>
        </w:rPr>
        <w:t>4</w:t>
      </w:r>
      <w:r w:rsidRPr="00FE6281">
        <w:rPr>
          <w:lang w:eastAsia="lv-LV"/>
        </w:rPr>
        <w:t>.3]</w:t>
      </w:r>
      <w:r w:rsidR="00B175E1" w:rsidRPr="00FE6281">
        <w:rPr>
          <w:lang w:eastAsia="lv-LV"/>
        </w:rPr>
        <w:t> </w:t>
      </w:r>
      <w:r w:rsidR="004E65D2" w:rsidRPr="00FE6281">
        <w:rPr>
          <w:lang w:eastAsia="lv-LV"/>
        </w:rPr>
        <w:t xml:space="preserve">Tiesa nav </w:t>
      </w:r>
      <w:r w:rsidR="003D1589" w:rsidRPr="00FE6281">
        <w:rPr>
          <w:lang w:eastAsia="lv-LV"/>
        </w:rPr>
        <w:t>pamatojusi</w:t>
      </w:r>
      <w:r w:rsidR="004E65D2" w:rsidRPr="00FE6281">
        <w:rPr>
          <w:lang w:eastAsia="lv-LV"/>
        </w:rPr>
        <w:t xml:space="preserve"> likuma „Par mērījumu vien</w:t>
      </w:r>
      <w:r w:rsidR="00F94543" w:rsidRPr="00FE6281">
        <w:rPr>
          <w:lang w:eastAsia="lv-LV"/>
        </w:rPr>
        <w:t>ot</w:t>
      </w:r>
      <w:r w:rsidR="004E65D2" w:rsidRPr="00FE6281">
        <w:rPr>
          <w:lang w:eastAsia="lv-LV"/>
        </w:rPr>
        <w:t>ību” un Ministru kabineta 2007.gada 9.janvāra noteikumu Nr. 40 „Noteikumi par valsts metroloģiskajai kontrolei pakļauto mērīšanas līdzekļu sarakstu”</w:t>
      </w:r>
      <w:r w:rsidR="00E46920" w:rsidRPr="00FE6281">
        <w:rPr>
          <w:lang w:eastAsia="lv-LV"/>
        </w:rPr>
        <w:t xml:space="preserve"> (turpmāk – noteikumi Nr. 40)</w:t>
      </w:r>
      <w:r w:rsidR="003D1589" w:rsidRPr="00FE6281">
        <w:rPr>
          <w:lang w:eastAsia="lv-LV"/>
        </w:rPr>
        <w:t xml:space="preserve"> normu</w:t>
      </w:r>
      <w:r w:rsidR="004E65D2" w:rsidRPr="00FE6281">
        <w:rPr>
          <w:lang w:eastAsia="lv-LV"/>
        </w:rPr>
        <w:t xml:space="preserve"> piemērošan</w:t>
      </w:r>
      <w:r w:rsidR="003D1589" w:rsidRPr="00FE6281">
        <w:rPr>
          <w:lang w:eastAsia="lv-LV"/>
        </w:rPr>
        <w:t>u</w:t>
      </w:r>
      <w:r w:rsidR="004E65D2" w:rsidRPr="00FE6281">
        <w:rPr>
          <w:lang w:eastAsia="lv-LV"/>
        </w:rPr>
        <w:t xml:space="preserve">. Atbilstoši šo normatīvo aktu prasībām </w:t>
      </w:r>
      <w:r w:rsidR="009D5114" w:rsidRPr="00FE6281">
        <w:rPr>
          <w:lang w:eastAsia="lv-LV"/>
        </w:rPr>
        <w:t>mērīšanas</w:t>
      </w:r>
      <w:r w:rsidR="004E65D2" w:rsidRPr="00FE6281">
        <w:rPr>
          <w:lang w:eastAsia="lv-LV"/>
        </w:rPr>
        <w:t xml:space="preserve"> līdzekļi, kas paredzēti sep</w:t>
      </w:r>
      <w:r w:rsidR="006A1068" w:rsidRPr="00FE6281">
        <w:rPr>
          <w:lang w:eastAsia="lv-LV"/>
        </w:rPr>
        <w:t>a</w:t>
      </w:r>
      <w:r w:rsidR="004E65D2" w:rsidRPr="00FE6281">
        <w:rPr>
          <w:lang w:eastAsia="lv-LV"/>
        </w:rPr>
        <w:t xml:space="preserve">rācijas ceļā atdalītā </w:t>
      </w:r>
      <w:r w:rsidR="00E46920" w:rsidRPr="00FE6281">
        <w:rPr>
          <w:lang w:eastAsia="lv-LV"/>
        </w:rPr>
        <w:t>galaprodukta</w:t>
      </w:r>
      <w:r w:rsidR="004E65D2" w:rsidRPr="00FE6281">
        <w:rPr>
          <w:lang w:eastAsia="lv-LV"/>
        </w:rPr>
        <w:t xml:space="preserve"> (ogļūdeņražu) un sālsūdens automātiskajai uzskaitei, nav pakļauti verificēšanai. </w:t>
      </w:r>
      <w:r w:rsidR="003D1589" w:rsidRPr="00FE6281">
        <w:rPr>
          <w:lang w:eastAsia="lv-LV"/>
        </w:rPr>
        <w:t>N</w:t>
      </w:r>
      <w:r w:rsidR="004E65D2" w:rsidRPr="00FE6281">
        <w:rPr>
          <w:lang w:eastAsia="lv-LV"/>
        </w:rPr>
        <w:t xml:space="preserve">av </w:t>
      </w:r>
      <w:r w:rsidR="00203E46" w:rsidRPr="00FE6281">
        <w:rPr>
          <w:lang w:eastAsia="lv-LV"/>
        </w:rPr>
        <w:t xml:space="preserve">arī </w:t>
      </w:r>
      <w:r w:rsidR="004E65D2" w:rsidRPr="00FE6281">
        <w:rPr>
          <w:lang w:eastAsia="lv-LV"/>
        </w:rPr>
        <w:t>pamata</w:t>
      </w:r>
      <w:r w:rsidR="003D1589" w:rsidRPr="00FE6281">
        <w:rPr>
          <w:lang w:eastAsia="lv-LV"/>
        </w:rPr>
        <w:t xml:space="preserve"> </w:t>
      </w:r>
      <w:r w:rsidR="004E65D2" w:rsidRPr="00FE6281">
        <w:rPr>
          <w:lang w:eastAsia="lv-LV"/>
        </w:rPr>
        <w:t>apšaubīt Patērētāju tiesību aizsardzības centra 2019.gada 25.septembra atbildē Nr. 4</w:t>
      </w:r>
      <w:r w:rsidR="004E65D2" w:rsidRPr="00FE6281">
        <w:rPr>
          <w:lang w:eastAsia="lv-LV"/>
        </w:rPr>
        <w:noBreakHyphen/>
        <w:t xml:space="preserve">7/9645 ietverto informāciju un tiesību normu skaidrojumu. Tiesa </w:t>
      </w:r>
      <w:r w:rsidR="00031BA9" w:rsidRPr="00FE6281">
        <w:rPr>
          <w:lang w:eastAsia="lv-LV"/>
        </w:rPr>
        <w:t>šo pierādījumu</w:t>
      </w:r>
      <w:r w:rsidR="004E65D2" w:rsidRPr="00FE6281">
        <w:rPr>
          <w:lang w:eastAsia="lv-LV"/>
        </w:rPr>
        <w:t xml:space="preserve"> </w:t>
      </w:r>
      <w:r w:rsidR="003D1589" w:rsidRPr="00FE6281">
        <w:rPr>
          <w:lang w:eastAsia="lv-LV"/>
        </w:rPr>
        <w:t xml:space="preserve">nav </w:t>
      </w:r>
      <w:r w:rsidR="00031BA9" w:rsidRPr="00FE6281">
        <w:rPr>
          <w:lang w:eastAsia="lv-LV"/>
        </w:rPr>
        <w:t xml:space="preserve">ne </w:t>
      </w:r>
      <w:r w:rsidR="004E65D2" w:rsidRPr="00FE6281">
        <w:rPr>
          <w:lang w:eastAsia="lv-LV"/>
        </w:rPr>
        <w:t>vērtējusi</w:t>
      </w:r>
      <w:r w:rsidR="00BB2D68" w:rsidRPr="00FE6281">
        <w:rPr>
          <w:lang w:eastAsia="lv-LV"/>
        </w:rPr>
        <w:t xml:space="preserve">, </w:t>
      </w:r>
      <w:r w:rsidR="00031BA9" w:rsidRPr="00FE6281">
        <w:rPr>
          <w:lang w:eastAsia="lv-LV"/>
        </w:rPr>
        <w:t>ne</w:t>
      </w:r>
      <w:r w:rsidR="003D1589" w:rsidRPr="00FE6281">
        <w:rPr>
          <w:lang w:eastAsia="lv-LV"/>
        </w:rPr>
        <w:t xml:space="preserve"> </w:t>
      </w:r>
      <w:r w:rsidR="004E65D2" w:rsidRPr="00FE6281">
        <w:rPr>
          <w:lang w:eastAsia="lv-LV"/>
        </w:rPr>
        <w:t xml:space="preserve">arī norādījusi uz argumentiem, kādēļ </w:t>
      </w:r>
      <w:r w:rsidR="00031BA9" w:rsidRPr="00FE6281">
        <w:rPr>
          <w:lang w:eastAsia="lv-LV"/>
        </w:rPr>
        <w:t xml:space="preserve">tas </w:t>
      </w:r>
      <w:r w:rsidR="004E65D2" w:rsidRPr="00FE6281">
        <w:rPr>
          <w:lang w:eastAsia="lv-LV"/>
        </w:rPr>
        <w:t>izslēgts no pierādījumu vērtēšanas.</w:t>
      </w:r>
    </w:p>
    <w:p w14:paraId="17431263" w14:textId="1E8500C1" w:rsidR="003D5996" w:rsidRPr="00FE6281" w:rsidRDefault="004E65D2" w:rsidP="00747DBB">
      <w:pPr>
        <w:spacing w:line="276" w:lineRule="auto"/>
        <w:ind w:firstLine="720"/>
        <w:jc w:val="both"/>
        <w:rPr>
          <w:lang w:eastAsia="lv-LV"/>
        </w:rPr>
      </w:pPr>
      <w:r w:rsidRPr="00FE6281">
        <w:rPr>
          <w:lang w:eastAsia="lv-LV"/>
        </w:rPr>
        <w:t>[</w:t>
      </w:r>
      <w:r w:rsidR="004F76A4" w:rsidRPr="00FE6281">
        <w:rPr>
          <w:lang w:eastAsia="lv-LV"/>
        </w:rPr>
        <w:t>4</w:t>
      </w:r>
      <w:r w:rsidRPr="00FE6281">
        <w:rPr>
          <w:lang w:eastAsia="lv-LV"/>
        </w:rPr>
        <w:t xml:space="preserve">.4] Tiesa </w:t>
      </w:r>
      <w:r w:rsidR="00346632" w:rsidRPr="00FE6281">
        <w:rPr>
          <w:lang w:eastAsia="lv-LV"/>
        </w:rPr>
        <w:t>pārkāpa</w:t>
      </w:r>
      <w:r w:rsidRPr="00FE6281">
        <w:rPr>
          <w:lang w:eastAsia="lv-LV"/>
        </w:rPr>
        <w:t xml:space="preserve"> Administratīvā procesa likuma 7.pan</w:t>
      </w:r>
      <w:r w:rsidR="00346632" w:rsidRPr="00FE6281">
        <w:rPr>
          <w:lang w:eastAsia="lv-LV"/>
        </w:rPr>
        <w:t>tu</w:t>
      </w:r>
      <w:r w:rsidRPr="00FE6281">
        <w:rPr>
          <w:lang w:eastAsia="lv-LV"/>
        </w:rPr>
        <w:t xml:space="preserve">, jo spriedumā nav norādījusi konkrētu normatīvo aktu, uz kuru </w:t>
      </w:r>
      <w:r w:rsidR="00E46920" w:rsidRPr="00FE6281">
        <w:rPr>
          <w:lang w:eastAsia="lv-LV"/>
        </w:rPr>
        <w:t xml:space="preserve">tā </w:t>
      </w:r>
      <w:r w:rsidRPr="00FE6281">
        <w:rPr>
          <w:lang w:eastAsia="lv-LV"/>
        </w:rPr>
        <w:t>balsta secinājumu, ka atļaujā ietvertās prasības par papildu aizsardzības pasākumiem, lai samazinātu applūšanas risku urbumiem SP</w:t>
      </w:r>
      <w:r w:rsidRPr="00FE6281">
        <w:rPr>
          <w:lang w:eastAsia="lv-LV"/>
        </w:rPr>
        <w:noBreakHyphen/>
        <w:t>1 un SP</w:t>
      </w:r>
      <w:r w:rsidRPr="00FE6281">
        <w:rPr>
          <w:lang w:eastAsia="lv-LV"/>
        </w:rPr>
        <w:noBreakHyphen/>
        <w:t>2, ir tiesiski pamatotas.</w:t>
      </w:r>
      <w:r w:rsidR="00031BA9" w:rsidRPr="00FE6281">
        <w:rPr>
          <w:lang w:eastAsia="lv-LV"/>
        </w:rPr>
        <w:t xml:space="preserve"> N</w:t>
      </w:r>
      <w:r w:rsidRPr="00FE6281">
        <w:rPr>
          <w:lang w:eastAsia="lv-LV"/>
        </w:rPr>
        <w:t xml:space="preserve">osakot atļaujā prasību ap urbumiem izbūvēt grunts apvaļņojumu – </w:t>
      </w:r>
      <w:r w:rsidR="00E46920" w:rsidRPr="00FE6281">
        <w:rPr>
          <w:lang w:eastAsia="lv-LV"/>
        </w:rPr>
        <w:t xml:space="preserve">t.i., </w:t>
      </w:r>
      <w:r w:rsidRPr="00FE6281">
        <w:rPr>
          <w:lang w:eastAsia="lv-LV"/>
        </w:rPr>
        <w:t xml:space="preserve">pārbūvēt ekspluatācijā </w:t>
      </w:r>
      <w:r w:rsidR="004B33BC" w:rsidRPr="00FE6281">
        <w:rPr>
          <w:lang w:eastAsia="lv-LV"/>
        </w:rPr>
        <w:t xml:space="preserve">jau </w:t>
      </w:r>
      <w:r w:rsidRPr="00FE6281">
        <w:rPr>
          <w:lang w:eastAsia="lv-LV"/>
        </w:rPr>
        <w:t xml:space="preserve">nodotu būvi – faktiski uz pieņēmuma pamata </w:t>
      </w:r>
      <w:r w:rsidR="00923DD3" w:rsidRPr="00FE6281">
        <w:rPr>
          <w:lang w:eastAsia="lv-LV"/>
        </w:rPr>
        <w:t>tiek</w:t>
      </w:r>
      <w:r w:rsidRPr="00FE6281">
        <w:rPr>
          <w:lang w:eastAsia="lv-LV"/>
        </w:rPr>
        <w:t xml:space="preserve"> apšaubīts Kuldīgas novada domes Būvniecības komisijas 2015.gada 5.jūnija akts par ogļūdeņražu laukumu un urbumu nodošanu ekspluatācijā. </w:t>
      </w:r>
      <w:r w:rsidR="00E46920" w:rsidRPr="00FE6281">
        <w:rPr>
          <w:lang w:eastAsia="lv-LV"/>
        </w:rPr>
        <w:t>Minētais a</w:t>
      </w:r>
      <w:r w:rsidRPr="00FE6281">
        <w:rPr>
          <w:lang w:eastAsia="lv-LV"/>
        </w:rPr>
        <w:t xml:space="preserve">kts varēja radīt pieteicējai tiesisko </w:t>
      </w:r>
      <w:r w:rsidRPr="00FE6281">
        <w:rPr>
          <w:lang w:eastAsia="lv-LV"/>
        </w:rPr>
        <w:lastRenderedPageBreak/>
        <w:t>paļāvību</w:t>
      </w:r>
      <w:r w:rsidR="00031BA9" w:rsidRPr="00FE6281">
        <w:rPr>
          <w:lang w:eastAsia="lv-LV"/>
        </w:rPr>
        <w:t xml:space="preserve"> uz būves ekspluatāciju</w:t>
      </w:r>
      <w:r w:rsidRPr="00FE6281">
        <w:rPr>
          <w:lang w:eastAsia="lv-LV"/>
        </w:rPr>
        <w:t xml:space="preserve">. </w:t>
      </w:r>
      <w:r w:rsidR="00031BA9" w:rsidRPr="00FE6281">
        <w:rPr>
          <w:lang w:eastAsia="lv-LV"/>
        </w:rPr>
        <w:t>Ti</w:t>
      </w:r>
      <w:r w:rsidRPr="00FE6281">
        <w:rPr>
          <w:lang w:eastAsia="lv-LV"/>
        </w:rPr>
        <w:t xml:space="preserve">esa nav konstatējusi </w:t>
      </w:r>
      <w:r w:rsidR="00923DD3" w:rsidRPr="00FE6281">
        <w:rPr>
          <w:lang w:eastAsia="lv-LV"/>
        </w:rPr>
        <w:t xml:space="preserve">tādus </w:t>
      </w:r>
      <w:r w:rsidRPr="00FE6281">
        <w:rPr>
          <w:lang w:eastAsia="lv-LV"/>
        </w:rPr>
        <w:t>apstākļus, kuru dēļ būves ekspluatācija būtu atzīstama par spēkā neesošu. Tāpat tiesa nav devusi vērtējumu pārvaldes 2012.gada 20.jūnija atzinumam Nr. 5.4.</w:t>
      </w:r>
      <w:r w:rsidRPr="00FE6281">
        <w:rPr>
          <w:lang w:eastAsia="lv-LV"/>
        </w:rPr>
        <w:noBreakHyphen/>
        <w:t xml:space="preserve">14/921, saskaņā ar kuru </w:t>
      </w:r>
      <w:r w:rsidR="00031BA9" w:rsidRPr="00FE6281">
        <w:rPr>
          <w:lang w:eastAsia="lv-LV"/>
        </w:rPr>
        <w:t>tā</w:t>
      </w:r>
      <w:r w:rsidRPr="00FE6281">
        <w:rPr>
          <w:lang w:eastAsia="lv-LV"/>
        </w:rPr>
        <w:t xml:space="preserve"> neiebilda pret tehnoloģiskā laukuma nodošanu ekspluatācijā un atzina, ka tehnisko noteikumu prasības ir ievērotas. Pārvalde nevar vēlāk mainīt savu atzinumu un uzlikt papildu prasības </w:t>
      </w:r>
      <w:r w:rsidR="00E46920" w:rsidRPr="00FE6281">
        <w:rPr>
          <w:lang w:eastAsia="lv-LV"/>
        </w:rPr>
        <w:t xml:space="preserve">tādai </w:t>
      </w:r>
      <w:r w:rsidRPr="00FE6281">
        <w:rPr>
          <w:lang w:eastAsia="lv-LV"/>
        </w:rPr>
        <w:t xml:space="preserve">būvei, </w:t>
      </w:r>
      <w:r w:rsidR="00923DD3" w:rsidRPr="00FE6281">
        <w:rPr>
          <w:lang w:eastAsia="lv-LV"/>
        </w:rPr>
        <w:t xml:space="preserve">kura </w:t>
      </w:r>
      <w:r w:rsidR="00203E46" w:rsidRPr="00FE6281">
        <w:rPr>
          <w:lang w:eastAsia="lv-LV"/>
        </w:rPr>
        <w:t xml:space="preserve">ir </w:t>
      </w:r>
      <w:r w:rsidRPr="00FE6281">
        <w:rPr>
          <w:lang w:eastAsia="lv-LV"/>
        </w:rPr>
        <w:t>nodota ekspluatācijā.</w:t>
      </w:r>
    </w:p>
    <w:p w14:paraId="15AE6689" w14:textId="46A112FD" w:rsidR="004E65D2" w:rsidRPr="00FE6281" w:rsidRDefault="003D5996" w:rsidP="00747DBB">
      <w:pPr>
        <w:spacing w:line="276" w:lineRule="auto"/>
        <w:ind w:firstLine="720"/>
        <w:jc w:val="both"/>
        <w:rPr>
          <w:lang w:eastAsia="lv-LV"/>
        </w:rPr>
      </w:pPr>
      <w:r w:rsidRPr="00FE6281">
        <w:rPr>
          <w:lang w:eastAsia="lv-LV"/>
        </w:rPr>
        <w:t>[</w:t>
      </w:r>
      <w:r w:rsidR="004F76A4" w:rsidRPr="00FE6281">
        <w:rPr>
          <w:lang w:eastAsia="lv-LV"/>
        </w:rPr>
        <w:t>4</w:t>
      </w:r>
      <w:r w:rsidRPr="00FE6281">
        <w:rPr>
          <w:lang w:eastAsia="lv-LV"/>
        </w:rPr>
        <w:t>.5]</w:t>
      </w:r>
      <w:r w:rsidR="00666C44" w:rsidRPr="00FE6281">
        <w:rPr>
          <w:lang w:eastAsia="lv-LV"/>
        </w:rPr>
        <w:t> </w:t>
      </w:r>
      <w:r w:rsidR="004E65D2" w:rsidRPr="00FE6281">
        <w:rPr>
          <w:lang w:eastAsia="lv-LV"/>
        </w:rPr>
        <w:t>Tiesa nav vērtējusi</w:t>
      </w:r>
      <w:r w:rsidRPr="00FE6281">
        <w:rPr>
          <w:lang w:eastAsia="lv-LV"/>
        </w:rPr>
        <w:t xml:space="preserve"> faktu, ka kopš 2018.gada 20.augusta</w:t>
      </w:r>
      <w:r w:rsidR="00923DD3" w:rsidRPr="00FE6281">
        <w:rPr>
          <w:lang w:eastAsia="lv-LV"/>
        </w:rPr>
        <w:t xml:space="preserve"> pieteicējas darbībā</w:t>
      </w:r>
      <w:r w:rsidR="00203E46" w:rsidRPr="00FE6281">
        <w:rPr>
          <w:lang w:eastAsia="lv-LV"/>
        </w:rPr>
        <w:t>s</w:t>
      </w:r>
      <w:r w:rsidRPr="00FE6281">
        <w:rPr>
          <w:lang w:eastAsia="lv-LV"/>
        </w:rPr>
        <w:t xml:space="preserve"> </w:t>
      </w:r>
      <w:r w:rsidR="00E46920" w:rsidRPr="00FE6281">
        <w:rPr>
          <w:lang w:eastAsia="lv-LV"/>
        </w:rPr>
        <w:t>nav</w:t>
      </w:r>
      <w:r w:rsidRPr="00FE6281">
        <w:rPr>
          <w:lang w:eastAsia="lv-LV"/>
        </w:rPr>
        <w:t xml:space="preserve"> konstatēti pārkāpumi vides aizsardzības jomā, tostarp </w:t>
      </w:r>
      <w:r w:rsidR="00D12C53" w:rsidRPr="00FE6281">
        <w:rPr>
          <w:lang w:eastAsia="lv-LV"/>
        </w:rPr>
        <w:t xml:space="preserve">nav </w:t>
      </w:r>
      <w:r w:rsidR="00923DD3" w:rsidRPr="00FE6281">
        <w:rPr>
          <w:lang w:eastAsia="lv-LV"/>
        </w:rPr>
        <w:t>radīts</w:t>
      </w:r>
      <w:r w:rsidRPr="00FE6281">
        <w:rPr>
          <w:lang w:eastAsia="lv-LV"/>
        </w:rPr>
        <w:t xml:space="preserve"> </w:t>
      </w:r>
      <w:r w:rsidR="00D12C53" w:rsidRPr="00FE6281">
        <w:rPr>
          <w:lang w:eastAsia="lv-LV"/>
        </w:rPr>
        <w:t xml:space="preserve">nekāda veida </w:t>
      </w:r>
      <w:r w:rsidRPr="00FE6281">
        <w:rPr>
          <w:lang w:eastAsia="lv-LV"/>
        </w:rPr>
        <w:t>piesārņojums. Līdz ar to nav pamata atļauj</w:t>
      </w:r>
      <w:r w:rsidR="00BB2D68" w:rsidRPr="00FE6281">
        <w:rPr>
          <w:lang w:eastAsia="lv-LV"/>
        </w:rPr>
        <w:t>ā</w:t>
      </w:r>
      <w:r w:rsidRPr="00FE6281">
        <w:rPr>
          <w:lang w:eastAsia="lv-LV"/>
        </w:rPr>
        <w:t xml:space="preserve"> noteikt </w:t>
      </w:r>
      <w:r w:rsidR="00E46920" w:rsidRPr="00FE6281">
        <w:rPr>
          <w:lang w:eastAsia="lv-LV"/>
        </w:rPr>
        <w:t>prasību</w:t>
      </w:r>
      <w:r w:rsidRPr="00FE6281">
        <w:rPr>
          <w:lang w:eastAsia="lv-LV"/>
        </w:rPr>
        <w:t xml:space="preserve"> pirms darbības uzsākšanas nodrošināt pretinfiltrācijas seguma izbūvi ar lietu</w:t>
      </w:r>
      <w:r w:rsidR="00E46920" w:rsidRPr="00FE6281">
        <w:rPr>
          <w:lang w:eastAsia="lv-LV"/>
        </w:rPr>
        <w:t>s</w:t>
      </w:r>
      <w:r w:rsidRPr="00FE6281">
        <w:rPr>
          <w:lang w:eastAsia="lv-LV"/>
        </w:rPr>
        <w:t xml:space="preserve"> notekūdens savākšanu un attīrīšanu teritorijā, t.i., noteikt jaunas būvniecības nepieciešamību. Tiesa nav vērtējusi, </w:t>
      </w:r>
      <w:r w:rsidR="004E65D2" w:rsidRPr="00FE6281">
        <w:rPr>
          <w:lang w:eastAsia="lv-LV"/>
        </w:rPr>
        <w:t xml:space="preserve">ka </w:t>
      </w:r>
      <w:r w:rsidRPr="00FE6281">
        <w:rPr>
          <w:lang w:eastAsia="lv-LV"/>
        </w:rPr>
        <w:t>minētā prasība</w:t>
      </w:r>
      <w:r w:rsidR="00203E46" w:rsidRPr="00FE6281">
        <w:rPr>
          <w:lang w:eastAsia="lv-LV"/>
        </w:rPr>
        <w:t xml:space="preserve"> tika iekļauta atļaujā </w:t>
      </w:r>
      <w:r w:rsidR="00D12C53" w:rsidRPr="00FE6281">
        <w:rPr>
          <w:lang w:eastAsia="lv-LV"/>
        </w:rPr>
        <w:t xml:space="preserve">tikai </w:t>
      </w:r>
      <w:r w:rsidR="00203E46" w:rsidRPr="00FE6281">
        <w:rPr>
          <w:lang w:eastAsia="lv-LV"/>
        </w:rPr>
        <w:t>tāpēc</w:t>
      </w:r>
      <w:r w:rsidR="004E65D2" w:rsidRPr="00FE6281">
        <w:rPr>
          <w:lang w:eastAsia="lv-LV"/>
        </w:rPr>
        <w:t xml:space="preserve">, </w:t>
      </w:r>
      <w:r w:rsidR="00203E46" w:rsidRPr="00FE6281">
        <w:rPr>
          <w:lang w:eastAsia="lv-LV"/>
        </w:rPr>
        <w:t>ka</w:t>
      </w:r>
      <w:r w:rsidR="004E65D2" w:rsidRPr="00FE6281">
        <w:rPr>
          <w:lang w:eastAsia="lv-LV"/>
        </w:rPr>
        <w:t xml:space="preserve"> pārvaldei „neradās pārliecība” par veidu, kā ti</w:t>
      </w:r>
      <w:r w:rsidR="00923DD3" w:rsidRPr="00FE6281">
        <w:rPr>
          <w:lang w:eastAsia="lv-LV"/>
        </w:rPr>
        <w:t>ks</w:t>
      </w:r>
      <w:r w:rsidR="004E65D2" w:rsidRPr="00FE6281">
        <w:rPr>
          <w:lang w:eastAsia="lv-LV"/>
        </w:rPr>
        <w:t xml:space="preserve"> nodrošināt</w:t>
      </w:r>
      <w:r w:rsidR="00E46920" w:rsidRPr="00FE6281">
        <w:rPr>
          <w:lang w:eastAsia="lv-LV"/>
        </w:rPr>
        <w:t>a</w:t>
      </w:r>
      <w:r w:rsidR="004E65D2" w:rsidRPr="00FE6281">
        <w:rPr>
          <w:lang w:eastAsia="lv-LV"/>
        </w:rPr>
        <w:t xml:space="preserve"> lietus notekūdens</w:t>
      </w:r>
      <w:r w:rsidR="00E46920" w:rsidRPr="00FE6281">
        <w:rPr>
          <w:lang w:eastAsia="lv-LV"/>
        </w:rPr>
        <w:t xml:space="preserve"> novadīšana</w:t>
      </w:r>
      <w:r w:rsidR="004E65D2" w:rsidRPr="00FE6281">
        <w:rPr>
          <w:lang w:eastAsia="lv-LV"/>
        </w:rPr>
        <w:t xml:space="preserve"> uz attīrīšanas iekārtām.</w:t>
      </w:r>
      <w:r w:rsidR="00923DD3" w:rsidRPr="00FE6281">
        <w:rPr>
          <w:lang w:eastAsia="lv-LV"/>
        </w:rPr>
        <w:t xml:space="preserve"> Taču tiesas sprieduma motīvi</w:t>
      </w:r>
      <w:r w:rsidR="00203E46" w:rsidRPr="00FE6281">
        <w:rPr>
          <w:lang w:eastAsia="lv-LV"/>
        </w:rPr>
        <w:t xml:space="preserve"> un </w:t>
      </w:r>
      <w:r w:rsidR="00923DD3" w:rsidRPr="00FE6281">
        <w:rPr>
          <w:lang w:eastAsia="lv-LV"/>
        </w:rPr>
        <w:t>atļaujas nosacījumi nevar tikt pamatoti uz pieņēmuma pamata par piesārņojuma riska varbūtību.</w:t>
      </w:r>
    </w:p>
    <w:p w14:paraId="4032BCAF" w14:textId="09CDC847" w:rsidR="000241F1" w:rsidRPr="00FE6281" w:rsidRDefault="004E65D2" w:rsidP="00747DBB">
      <w:pPr>
        <w:spacing w:line="276" w:lineRule="auto"/>
        <w:ind w:firstLine="720"/>
        <w:jc w:val="both"/>
        <w:rPr>
          <w:lang w:eastAsia="lv-LV"/>
        </w:rPr>
      </w:pPr>
      <w:r w:rsidRPr="00FE6281">
        <w:rPr>
          <w:lang w:eastAsia="lv-LV"/>
        </w:rPr>
        <w:t>[</w:t>
      </w:r>
      <w:r w:rsidR="004F76A4" w:rsidRPr="00FE6281">
        <w:rPr>
          <w:lang w:eastAsia="lv-LV"/>
        </w:rPr>
        <w:t>4</w:t>
      </w:r>
      <w:r w:rsidRPr="00FE6281">
        <w:rPr>
          <w:lang w:eastAsia="lv-LV"/>
        </w:rPr>
        <w:t>.</w:t>
      </w:r>
      <w:r w:rsidR="003D5996" w:rsidRPr="00FE6281">
        <w:rPr>
          <w:lang w:eastAsia="lv-LV"/>
        </w:rPr>
        <w:t>6</w:t>
      </w:r>
      <w:r w:rsidRPr="00FE6281">
        <w:rPr>
          <w:lang w:eastAsia="lv-LV"/>
        </w:rPr>
        <w:t xml:space="preserve">] Tiesa </w:t>
      </w:r>
      <w:r w:rsidR="00BB2D68" w:rsidRPr="00FE6281">
        <w:rPr>
          <w:lang w:eastAsia="lv-LV"/>
        </w:rPr>
        <w:t>pārkāpa</w:t>
      </w:r>
      <w:r w:rsidR="00EA1251" w:rsidRPr="00FE6281">
        <w:rPr>
          <w:lang w:eastAsia="lv-LV"/>
        </w:rPr>
        <w:t xml:space="preserve"> Administratīvā procesa likuma 10. un</w:t>
      </w:r>
      <w:r w:rsidRPr="00FE6281">
        <w:rPr>
          <w:lang w:eastAsia="lv-LV"/>
        </w:rPr>
        <w:t xml:space="preserve"> 14.</w:t>
      </w:r>
      <w:r w:rsidRPr="00FE6281">
        <w:rPr>
          <w:vertAlign w:val="superscript"/>
          <w:lang w:eastAsia="lv-LV"/>
        </w:rPr>
        <w:t>1</w:t>
      </w:r>
      <w:r w:rsidRPr="00FE6281">
        <w:rPr>
          <w:lang w:eastAsia="lv-LV"/>
        </w:rPr>
        <w:t xml:space="preserve">pantu. </w:t>
      </w:r>
      <w:r w:rsidR="000241F1" w:rsidRPr="00FE6281">
        <w:rPr>
          <w:lang w:eastAsia="lv-LV"/>
        </w:rPr>
        <w:t xml:space="preserve">Ogļūdeņraži ir valsts nozīmes derīgais izraktenis, nevis degviela, </w:t>
      </w:r>
      <w:r w:rsidR="00E46920" w:rsidRPr="00FE6281">
        <w:rPr>
          <w:lang w:eastAsia="lv-LV"/>
        </w:rPr>
        <w:t>attiecīgi to</w:t>
      </w:r>
      <w:r w:rsidR="000241F1" w:rsidRPr="00FE6281">
        <w:rPr>
          <w:lang w:eastAsia="lv-LV"/>
        </w:rPr>
        <w:t xml:space="preserve"> ieguve ir zemes dzīļu apsaimniekošana. </w:t>
      </w:r>
      <w:r w:rsidR="00E46920" w:rsidRPr="00FE6281">
        <w:rPr>
          <w:lang w:eastAsia="lv-LV"/>
        </w:rPr>
        <w:t>Tā kā o</w:t>
      </w:r>
      <w:r w:rsidR="000241F1" w:rsidRPr="00FE6281">
        <w:rPr>
          <w:lang w:eastAsia="lv-LV"/>
        </w:rPr>
        <w:t>gļūdeņražu ieguve neparedz naftas bāzes izveidi vai pārvietojamo cisternu ekspluatāciju</w:t>
      </w:r>
      <w:r w:rsidR="00EA1251" w:rsidRPr="00FE6281">
        <w:rPr>
          <w:lang w:eastAsia="lv-LV"/>
        </w:rPr>
        <w:t xml:space="preserve">, </w:t>
      </w:r>
      <w:r w:rsidR="00E46920" w:rsidRPr="00FE6281">
        <w:rPr>
          <w:lang w:eastAsia="lv-LV"/>
        </w:rPr>
        <w:t>tad Ministru kabineta 2012.gada 12.jūnija noteikumu Nr. 409 „Noteikumi par vides aizsardzības prasībām degvielas uzpildes stacijām, naftas bāzēm un pārvietojamām cisternām” (turpmāk</w:t>
      </w:r>
      <w:r w:rsidR="000225B9">
        <w:rPr>
          <w:lang w:eastAsia="lv-LV"/>
        </w:rPr>
        <w:t> </w:t>
      </w:r>
      <w:r w:rsidR="00E46920" w:rsidRPr="00FE6281">
        <w:rPr>
          <w:lang w:eastAsia="lv-LV"/>
        </w:rPr>
        <w:t>–</w:t>
      </w:r>
      <w:r w:rsidR="000225B9">
        <w:rPr>
          <w:lang w:eastAsia="lv-LV"/>
        </w:rPr>
        <w:t> </w:t>
      </w:r>
      <w:r w:rsidR="00E46920" w:rsidRPr="00FE6281">
        <w:rPr>
          <w:lang w:eastAsia="lv-LV"/>
        </w:rPr>
        <w:t xml:space="preserve">noteikumi Nr. 409) </w:t>
      </w:r>
      <w:r w:rsidR="000241F1" w:rsidRPr="00FE6281">
        <w:rPr>
          <w:lang w:eastAsia="lv-LV"/>
        </w:rPr>
        <w:t>prasības nevar tikt patvaļīgi iekļautas atļaujā</w:t>
      </w:r>
      <w:r w:rsidR="00E46920" w:rsidRPr="00FE6281">
        <w:rPr>
          <w:lang w:eastAsia="lv-LV"/>
        </w:rPr>
        <w:t xml:space="preserve"> kā vadlīnijas</w:t>
      </w:r>
      <w:r w:rsidR="000241F1" w:rsidRPr="00FE6281">
        <w:rPr>
          <w:lang w:eastAsia="lv-LV"/>
        </w:rPr>
        <w:t>.</w:t>
      </w:r>
      <w:r w:rsidR="00E46920" w:rsidRPr="00FE6281">
        <w:rPr>
          <w:lang w:eastAsia="lv-LV"/>
        </w:rPr>
        <w:t xml:space="preserve"> Citiem vārdiem, a</w:t>
      </w:r>
      <w:r w:rsidR="000241F1" w:rsidRPr="00FE6281">
        <w:rPr>
          <w:lang w:eastAsia="lv-LV"/>
        </w:rPr>
        <w:t>tļaujas nosacījumiem jābalstās uz normatīv</w:t>
      </w:r>
      <w:r w:rsidR="00202D8E" w:rsidRPr="00FE6281">
        <w:rPr>
          <w:lang w:eastAsia="lv-LV"/>
        </w:rPr>
        <w:t>ajos</w:t>
      </w:r>
      <w:r w:rsidR="000241F1" w:rsidRPr="00FE6281">
        <w:rPr>
          <w:lang w:eastAsia="lv-LV"/>
        </w:rPr>
        <w:t xml:space="preserve"> akt</w:t>
      </w:r>
      <w:r w:rsidR="00202D8E" w:rsidRPr="00FE6281">
        <w:rPr>
          <w:lang w:eastAsia="lv-LV"/>
        </w:rPr>
        <w:t>os</w:t>
      </w:r>
      <w:r w:rsidR="000241F1" w:rsidRPr="00FE6281">
        <w:rPr>
          <w:lang w:eastAsia="lv-LV"/>
        </w:rPr>
        <w:t xml:space="preserve"> </w:t>
      </w:r>
      <w:r w:rsidR="00202D8E" w:rsidRPr="00FE6281">
        <w:rPr>
          <w:lang w:eastAsia="lv-LV"/>
        </w:rPr>
        <w:t xml:space="preserve">tieši noteiktajām </w:t>
      </w:r>
      <w:r w:rsidR="000241F1" w:rsidRPr="00FE6281">
        <w:rPr>
          <w:lang w:eastAsia="lv-LV"/>
        </w:rPr>
        <w:t xml:space="preserve">prasībām, nevis uz noteikumu Nr. 409 </w:t>
      </w:r>
      <w:r w:rsidR="00D16337" w:rsidRPr="00FE6281">
        <w:rPr>
          <w:lang w:eastAsia="lv-LV"/>
        </w:rPr>
        <w:t xml:space="preserve">prasību </w:t>
      </w:r>
      <w:r w:rsidR="000241F1" w:rsidRPr="00FE6281">
        <w:rPr>
          <w:lang w:eastAsia="lv-LV"/>
        </w:rPr>
        <w:t xml:space="preserve">kā </w:t>
      </w:r>
      <w:r w:rsidR="00D16337" w:rsidRPr="00FE6281">
        <w:rPr>
          <w:lang w:eastAsia="lv-LV"/>
        </w:rPr>
        <w:t>vadlīniju piemērošanu</w:t>
      </w:r>
      <w:r w:rsidR="000241F1" w:rsidRPr="00FE6281">
        <w:rPr>
          <w:lang w:eastAsia="lv-LV"/>
        </w:rPr>
        <w:t xml:space="preserve">. </w:t>
      </w:r>
      <w:bookmarkStart w:id="0" w:name="_Hlk161055414"/>
      <w:r w:rsidR="000241F1" w:rsidRPr="00FE6281">
        <w:rPr>
          <w:lang w:eastAsia="lv-LV"/>
        </w:rPr>
        <w:t xml:space="preserve">Piemērojot noteikumus Nr. 409 kā vadlīnijas </w:t>
      </w:r>
      <w:r w:rsidR="00AF2E66" w:rsidRPr="00FE6281">
        <w:rPr>
          <w:lang w:eastAsia="lv-LV"/>
        </w:rPr>
        <w:t xml:space="preserve">citai, ar </w:t>
      </w:r>
      <w:r w:rsidR="00071ADF" w:rsidRPr="00FE6281">
        <w:rPr>
          <w:lang w:eastAsia="lv-LV"/>
        </w:rPr>
        <w:t xml:space="preserve">tajos </w:t>
      </w:r>
      <w:r w:rsidR="00AF2E66" w:rsidRPr="00FE6281">
        <w:rPr>
          <w:lang w:eastAsia="lv-LV"/>
        </w:rPr>
        <w:t xml:space="preserve">regulētajām darbībām </w:t>
      </w:r>
      <w:r w:rsidR="000241F1" w:rsidRPr="00FE6281">
        <w:rPr>
          <w:lang w:eastAsia="lv-LV"/>
        </w:rPr>
        <w:t>nesalīdzināmai darbībai, tiesa nav vērtējusi, ka atļaujas C</w:t>
      </w:r>
      <w:r w:rsidR="0053646E">
        <w:rPr>
          <w:lang w:eastAsia="lv-LV"/>
        </w:rPr>
        <w:t> </w:t>
      </w:r>
      <w:r w:rsidR="000241F1" w:rsidRPr="00FE6281">
        <w:rPr>
          <w:lang w:eastAsia="lv-LV"/>
        </w:rPr>
        <w:t>sadaļas 10.1.</w:t>
      </w:r>
      <w:r w:rsidR="00E46920" w:rsidRPr="00FE6281">
        <w:rPr>
          <w:lang w:eastAsia="lv-LV"/>
        </w:rPr>
        <w:t>apakšpunkta</w:t>
      </w:r>
      <w:r w:rsidR="000241F1" w:rsidRPr="00FE6281">
        <w:rPr>
          <w:lang w:eastAsia="lv-LV"/>
        </w:rPr>
        <w:t xml:space="preserve"> 11.</w:t>
      </w:r>
      <w:r w:rsidR="00E46920" w:rsidRPr="00FE6281">
        <w:rPr>
          <w:lang w:eastAsia="lv-LV"/>
        </w:rPr>
        <w:t>papildpunkta</w:t>
      </w:r>
      <w:r w:rsidR="000866D4" w:rsidRPr="00FE6281">
        <w:rPr>
          <w:lang w:eastAsia="lv-LV"/>
        </w:rPr>
        <w:t>m</w:t>
      </w:r>
      <w:r w:rsidR="000241F1" w:rsidRPr="00FE6281">
        <w:rPr>
          <w:lang w:eastAsia="lv-LV"/>
        </w:rPr>
        <w:t xml:space="preserve"> nav nekādas sasaistes ar kontroles skaitītājiem. </w:t>
      </w:r>
      <w:bookmarkEnd w:id="0"/>
      <w:r w:rsidR="000241F1" w:rsidRPr="00FE6281">
        <w:rPr>
          <w:lang w:eastAsia="lv-LV"/>
        </w:rPr>
        <w:t>Urbuma ierīkošanas process nav sasaistīts ar ogļūdeņražu ieguves apjoma kontroli.</w:t>
      </w:r>
      <w:r w:rsidR="000866D4" w:rsidRPr="00FE6281">
        <w:rPr>
          <w:lang w:eastAsia="lv-LV"/>
        </w:rPr>
        <w:t xml:space="preserve"> Nosakot papildu prasību par pretinfiltrācijas seguma izbūvi, tiesa ir pārkāpusi likuma atrunas principu.</w:t>
      </w:r>
    </w:p>
    <w:p w14:paraId="2D0E66A3" w14:textId="1A423CE9" w:rsidR="00452591" w:rsidRPr="00FE6281" w:rsidRDefault="00EA2E4C" w:rsidP="00747DBB">
      <w:pPr>
        <w:spacing w:line="276" w:lineRule="auto"/>
        <w:ind w:firstLine="720"/>
        <w:jc w:val="both"/>
        <w:rPr>
          <w:lang w:eastAsia="lv-LV"/>
        </w:rPr>
      </w:pPr>
      <w:r w:rsidRPr="00FE6281">
        <w:rPr>
          <w:lang w:eastAsia="lv-LV"/>
        </w:rPr>
        <w:t>[</w:t>
      </w:r>
      <w:r w:rsidR="004F76A4" w:rsidRPr="00FE6281">
        <w:rPr>
          <w:lang w:eastAsia="lv-LV"/>
        </w:rPr>
        <w:t>4</w:t>
      </w:r>
      <w:r w:rsidRPr="00FE6281">
        <w:rPr>
          <w:lang w:eastAsia="lv-LV"/>
        </w:rPr>
        <w:t>.</w:t>
      </w:r>
      <w:r w:rsidR="003D5996" w:rsidRPr="00FE6281">
        <w:rPr>
          <w:lang w:eastAsia="lv-LV"/>
        </w:rPr>
        <w:t>7</w:t>
      </w:r>
      <w:r w:rsidRPr="00FE6281">
        <w:rPr>
          <w:lang w:eastAsia="lv-LV"/>
        </w:rPr>
        <w:t>] </w:t>
      </w:r>
      <w:r w:rsidR="00AE632A" w:rsidRPr="00FE6281">
        <w:rPr>
          <w:lang w:eastAsia="lv-LV"/>
        </w:rPr>
        <w:t xml:space="preserve">Tiesa </w:t>
      </w:r>
      <w:r w:rsidR="00BB2D68" w:rsidRPr="00FE6281">
        <w:rPr>
          <w:lang w:eastAsia="lv-LV"/>
        </w:rPr>
        <w:t>pieļāva</w:t>
      </w:r>
      <w:r w:rsidR="00AE632A" w:rsidRPr="00FE6281">
        <w:rPr>
          <w:lang w:eastAsia="lv-LV"/>
        </w:rPr>
        <w:t xml:space="preserve"> </w:t>
      </w:r>
      <w:r w:rsidR="00203E46" w:rsidRPr="00FE6281">
        <w:rPr>
          <w:lang w:eastAsia="lv-LV"/>
        </w:rPr>
        <w:t xml:space="preserve">arī </w:t>
      </w:r>
      <w:r w:rsidR="00AE632A" w:rsidRPr="00FE6281">
        <w:rPr>
          <w:lang w:eastAsia="lv-LV"/>
        </w:rPr>
        <w:t>Administratīvā procesa likuma 103., 67. un 251.panta pārkāpumu, jo nav nodrošinājusi pieteicējas procesuālo tiesību ievērošanu, kas noveda pie lietas nepareizas izspriešanas.</w:t>
      </w:r>
      <w:r w:rsidR="00F13642" w:rsidRPr="00FE6281">
        <w:rPr>
          <w:lang w:eastAsia="lv-LV"/>
        </w:rPr>
        <w:t xml:space="preserve"> Tiesa spriedumā nav pietiek</w:t>
      </w:r>
      <w:r w:rsidR="00203E46" w:rsidRPr="00FE6281">
        <w:rPr>
          <w:lang w:eastAsia="lv-LV"/>
        </w:rPr>
        <w:t>am</w:t>
      </w:r>
      <w:r w:rsidR="00F13642" w:rsidRPr="00FE6281">
        <w:rPr>
          <w:lang w:eastAsia="lv-LV"/>
        </w:rPr>
        <w:t>i izvērtējusi iesniegto</w:t>
      </w:r>
      <w:r w:rsidR="00923DD3" w:rsidRPr="00FE6281">
        <w:rPr>
          <w:lang w:eastAsia="lv-LV"/>
        </w:rPr>
        <w:t>s</w:t>
      </w:r>
      <w:r w:rsidR="00F13642" w:rsidRPr="00FE6281">
        <w:rPr>
          <w:lang w:eastAsia="lv-LV"/>
        </w:rPr>
        <w:t xml:space="preserve"> rakstveida pierādījumu</w:t>
      </w:r>
      <w:r w:rsidR="00923DD3" w:rsidRPr="00FE6281">
        <w:rPr>
          <w:lang w:eastAsia="lv-LV"/>
        </w:rPr>
        <w:t xml:space="preserve">s </w:t>
      </w:r>
      <w:r w:rsidR="00F13642" w:rsidRPr="00FE6281">
        <w:rPr>
          <w:lang w:eastAsia="lv-LV"/>
        </w:rPr>
        <w:t>un noskaidrojusi faktiskos apstākļus pēc būtības, izvairoties dot taisnīgu un visaptverošu novērtējumu pieteicējas argumentiem</w:t>
      </w:r>
      <w:r w:rsidR="000866D4" w:rsidRPr="00FE6281">
        <w:rPr>
          <w:lang w:eastAsia="lv-LV"/>
        </w:rPr>
        <w:t>, kas izteikti</w:t>
      </w:r>
      <w:r w:rsidR="00F13642" w:rsidRPr="00FE6281">
        <w:rPr>
          <w:lang w:eastAsia="lv-LV"/>
        </w:rPr>
        <w:t xml:space="preserve"> apelācijas sūdzībā</w:t>
      </w:r>
      <w:r w:rsidR="000866D4" w:rsidRPr="00FE6281">
        <w:rPr>
          <w:lang w:eastAsia="lv-LV"/>
        </w:rPr>
        <w:t>.</w:t>
      </w:r>
    </w:p>
    <w:p w14:paraId="67E96AB6" w14:textId="3643D25B" w:rsidR="0084199A" w:rsidRPr="00FE6281" w:rsidRDefault="0084199A" w:rsidP="00747DBB">
      <w:pPr>
        <w:spacing w:line="276" w:lineRule="auto"/>
        <w:ind w:firstLine="720"/>
        <w:jc w:val="both"/>
        <w:rPr>
          <w:lang w:eastAsia="lv-LV"/>
        </w:rPr>
      </w:pPr>
    </w:p>
    <w:p w14:paraId="18B098AD" w14:textId="429702CE" w:rsidR="00B523BC" w:rsidRPr="00FE6281" w:rsidRDefault="00D05836" w:rsidP="00747DBB">
      <w:pPr>
        <w:spacing w:line="276" w:lineRule="auto"/>
        <w:ind w:firstLine="720"/>
        <w:jc w:val="both"/>
        <w:rPr>
          <w:lang w:eastAsia="lv-LV"/>
        </w:rPr>
      </w:pPr>
      <w:r w:rsidRPr="00FE6281">
        <w:rPr>
          <w:lang w:eastAsia="lv-LV"/>
        </w:rPr>
        <w:t>[</w:t>
      </w:r>
      <w:r w:rsidR="004F76A4" w:rsidRPr="00FE6281">
        <w:rPr>
          <w:lang w:eastAsia="lv-LV"/>
        </w:rPr>
        <w:t>5</w:t>
      </w:r>
      <w:r w:rsidRPr="00FE6281">
        <w:rPr>
          <w:lang w:eastAsia="lv-LV"/>
        </w:rPr>
        <w:t>]</w:t>
      </w:r>
      <w:r w:rsidR="00AD2039" w:rsidRPr="00FE6281">
        <w:rPr>
          <w:lang w:eastAsia="lv-LV"/>
        </w:rPr>
        <w:t> </w:t>
      </w:r>
      <w:r w:rsidR="00C61DBC" w:rsidRPr="00FE6281">
        <w:rPr>
          <w:lang w:eastAsia="lv-LV"/>
        </w:rPr>
        <w:t>B</w:t>
      </w:r>
      <w:r w:rsidR="009D243B" w:rsidRPr="00FE6281">
        <w:rPr>
          <w:lang w:eastAsia="lv-LV"/>
        </w:rPr>
        <w:t>irojs</w:t>
      </w:r>
      <w:r w:rsidR="004D3D63" w:rsidRPr="00FE6281">
        <w:rPr>
          <w:lang w:eastAsia="lv-LV"/>
        </w:rPr>
        <w:t xml:space="preserve"> </w:t>
      </w:r>
      <w:r w:rsidR="00B46072" w:rsidRPr="00FE6281">
        <w:rPr>
          <w:lang w:eastAsia="lv-LV"/>
        </w:rPr>
        <w:t xml:space="preserve">rakstveida paskaidrojumos </w:t>
      </w:r>
      <w:r w:rsidR="001B58C0" w:rsidRPr="00FE6281">
        <w:t>kasācijas sūdzību</w:t>
      </w:r>
      <w:r w:rsidR="00B46072" w:rsidRPr="00FE6281">
        <w:t xml:space="preserve"> </w:t>
      </w:r>
      <w:r w:rsidR="00CF2311" w:rsidRPr="00FE6281">
        <w:rPr>
          <w:lang w:eastAsia="lv-LV"/>
        </w:rPr>
        <w:t xml:space="preserve">uzskata </w:t>
      </w:r>
      <w:r w:rsidR="00570128" w:rsidRPr="00FE6281">
        <w:rPr>
          <w:lang w:eastAsia="lv-LV"/>
        </w:rPr>
        <w:t xml:space="preserve">par </w:t>
      </w:r>
      <w:r w:rsidR="00B46072" w:rsidRPr="00FE6281">
        <w:rPr>
          <w:lang w:eastAsia="lv-LV"/>
        </w:rPr>
        <w:t>ne</w:t>
      </w:r>
      <w:r w:rsidR="00A948D0" w:rsidRPr="00FE6281">
        <w:rPr>
          <w:lang w:eastAsia="lv-LV"/>
        </w:rPr>
        <w:t>pamatotu</w:t>
      </w:r>
      <w:r w:rsidR="009D243B" w:rsidRPr="00FE6281">
        <w:rPr>
          <w:lang w:eastAsia="lv-LV"/>
        </w:rPr>
        <w:t>.</w:t>
      </w:r>
    </w:p>
    <w:p w14:paraId="6F5D1307" w14:textId="77777777" w:rsidR="009F2453" w:rsidRPr="00FE6281" w:rsidRDefault="009F2453" w:rsidP="00747DBB">
      <w:pPr>
        <w:spacing w:line="276" w:lineRule="auto"/>
        <w:ind w:firstLine="720"/>
        <w:jc w:val="both"/>
        <w:rPr>
          <w:lang w:eastAsia="lv-LV"/>
        </w:rPr>
      </w:pPr>
    </w:p>
    <w:p w14:paraId="7DAF7841" w14:textId="300657C2" w:rsidR="00447EE6" w:rsidRPr="00FE6281" w:rsidRDefault="00447EE6" w:rsidP="00747DBB">
      <w:pPr>
        <w:shd w:val="clear" w:color="auto" w:fill="FFFFFF"/>
        <w:spacing w:line="276" w:lineRule="auto"/>
        <w:jc w:val="center"/>
        <w:rPr>
          <w:b/>
        </w:rPr>
      </w:pPr>
      <w:r w:rsidRPr="00FE6281">
        <w:rPr>
          <w:b/>
        </w:rPr>
        <w:t>Motīvu daļa</w:t>
      </w:r>
    </w:p>
    <w:p w14:paraId="21C33733" w14:textId="77777777" w:rsidR="00A64A9E" w:rsidRPr="00FE6281" w:rsidRDefault="00A64A9E" w:rsidP="00747DBB">
      <w:pPr>
        <w:shd w:val="clear" w:color="auto" w:fill="FFFFFF"/>
        <w:spacing w:line="276" w:lineRule="auto"/>
        <w:ind w:firstLine="709"/>
        <w:rPr>
          <w:b/>
        </w:rPr>
      </w:pPr>
    </w:p>
    <w:p w14:paraId="7CE95AF5" w14:textId="45EDB6B3" w:rsidR="00162565" w:rsidRPr="00FE6281" w:rsidRDefault="007340FB" w:rsidP="00747DBB">
      <w:pPr>
        <w:spacing w:line="276" w:lineRule="auto"/>
        <w:ind w:firstLine="709"/>
        <w:jc w:val="both"/>
      </w:pPr>
      <w:r w:rsidRPr="00FE6281">
        <w:rPr>
          <w:lang w:eastAsia="lv-LV"/>
        </w:rPr>
        <w:t>[</w:t>
      </w:r>
      <w:r w:rsidR="004F76A4" w:rsidRPr="00FE6281">
        <w:rPr>
          <w:lang w:eastAsia="lv-LV"/>
        </w:rPr>
        <w:t>6</w:t>
      </w:r>
      <w:r w:rsidRPr="00FE6281">
        <w:rPr>
          <w:lang w:eastAsia="lv-LV"/>
        </w:rPr>
        <w:t>]</w:t>
      </w:r>
      <w:r w:rsidR="00666C44" w:rsidRPr="00FE6281">
        <w:rPr>
          <w:lang w:eastAsia="lv-LV"/>
        </w:rPr>
        <w:t> </w:t>
      </w:r>
      <w:r w:rsidR="00325E47" w:rsidRPr="00FE6281">
        <w:rPr>
          <w:lang w:eastAsia="lv-LV"/>
        </w:rPr>
        <w:t>I</w:t>
      </w:r>
      <w:r w:rsidR="00162565" w:rsidRPr="00FE6281">
        <w:t xml:space="preserve">zvērtējot pārsūdzēto tiesas spriedumu kopsakarā ar </w:t>
      </w:r>
      <w:r w:rsidR="00325E47" w:rsidRPr="00FE6281">
        <w:t xml:space="preserve">pieteicējas </w:t>
      </w:r>
      <w:r w:rsidR="000C524D" w:rsidRPr="00FE6281">
        <w:t xml:space="preserve">kasācijas </w:t>
      </w:r>
      <w:r w:rsidR="00D8676A" w:rsidRPr="00FE6281">
        <w:t>sūdzības</w:t>
      </w:r>
      <w:r w:rsidR="00162565" w:rsidRPr="00FE6281">
        <w:t xml:space="preserve"> argumentiem, kasācijas tiesvedīb</w:t>
      </w:r>
      <w:r w:rsidR="00BF6CD5" w:rsidRPr="00FE6281">
        <w:t>ā</w:t>
      </w:r>
      <w:r w:rsidR="00D2427E" w:rsidRPr="00FE6281">
        <w:t xml:space="preserve"> </w:t>
      </w:r>
      <w:r w:rsidR="00D8676A" w:rsidRPr="00FE6281">
        <w:t>Senāt</w:t>
      </w:r>
      <w:r w:rsidR="009D6F41" w:rsidRPr="00FE6281">
        <w:t>am</w:t>
      </w:r>
      <w:r w:rsidR="00D8676A" w:rsidRPr="00FE6281">
        <w:t xml:space="preserve"> </w:t>
      </w:r>
      <w:r w:rsidR="009D6F41" w:rsidRPr="00FE6281">
        <w:t>jānoskaidro</w:t>
      </w:r>
      <w:r w:rsidR="00346632" w:rsidRPr="00FE6281">
        <w:t xml:space="preserve"> šādi</w:t>
      </w:r>
      <w:r w:rsidR="009D6F41" w:rsidRPr="00FE6281">
        <w:t xml:space="preserve"> tiesību </w:t>
      </w:r>
      <w:r w:rsidR="00162565" w:rsidRPr="00FE6281">
        <w:t>jautājum</w:t>
      </w:r>
      <w:r w:rsidR="00D2427E" w:rsidRPr="00FE6281">
        <w:t>i</w:t>
      </w:r>
      <w:r w:rsidR="00162565" w:rsidRPr="00FE6281">
        <w:t>:</w:t>
      </w:r>
    </w:p>
    <w:p w14:paraId="1F5370ED" w14:textId="492335B2" w:rsidR="00162565" w:rsidRPr="00FE6281" w:rsidRDefault="00162565" w:rsidP="00747DBB">
      <w:pPr>
        <w:spacing w:line="276" w:lineRule="auto"/>
        <w:ind w:firstLine="709"/>
        <w:jc w:val="both"/>
      </w:pPr>
      <w:r w:rsidRPr="00FE6281">
        <w:lastRenderedPageBreak/>
        <w:t>1)</w:t>
      </w:r>
      <w:bookmarkStart w:id="1" w:name="_Hlk134001285"/>
      <w:r w:rsidRPr="00FE6281">
        <w:t> </w:t>
      </w:r>
      <w:bookmarkEnd w:id="1"/>
      <w:r w:rsidRPr="00FE6281">
        <w:rPr>
          <w:lang w:eastAsia="lv-LV"/>
        </w:rPr>
        <w:t xml:space="preserve">vai </w:t>
      </w:r>
      <w:r w:rsidR="00066098" w:rsidRPr="00FE6281">
        <w:rPr>
          <w:lang w:eastAsia="lv-LV"/>
        </w:rPr>
        <w:t xml:space="preserve">lietā piemērotās </w:t>
      </w:r>
      <w:r w:rsidR="006339A1" w:rsidRPr="00FE6281">
        <w:rPr>
          <w:lang w:eastAsia="lv-LV"/>
        </w:rPr>
        <w:t>tiesību norm</w:t>
      </w:r>
      <w:r w:rsidR="00066098" w:rsidRPr="00FE6281">
        <w:rPr>
          <w:lang w:eastAsia="lv-LV"/>
        </w:rPr>
        <w:t>as</w:t>
      </w:r>
      <w:r w:rsidR="006339A1" w:rsidRPr="00FE6281">
        <w:rPr>
          <w:lang w:eastAsia="lv-LV"/>
        </w:rPr>
        <w:t xml:space="preserve"> </w:t>
      </w:r>
      <w:r w:rsidR="00066098" w:rsidRPr="00FE6281">
        <w:rPr>
          <w:lang w:eastAsia="lv-LV"/>
        </w:rPr>
        <w:t>ir pareizi iztulkotas</w:t>
      </w:r>
      <w:r w:rsidRPr="00FE6281">
        <w:rPr>
          <w:lang w:eastAsia="lv-LV"/>
        </w:rPr>
        <w:t xml:space="preserve">, </w:t>
      </w:r>
      <w:r w:rsidR="00D01644" w:rsidRPr="00FE6281">
        <w:rPr>
          <w:lang w:eastAsia="lv-LV"/>
        </w:rPr>
        <w:t xml:space="preserve">lai secinātu, </w:t>
      </w:r>
      <w:r w:rsidRPr="00FE6281">
        <w:rPr>
          <w:lang w:eastAsia="lv-LV"/>
        </w:rPr>
        <w:t xml:space="preserve">ka </w:t>
      </w:r>
      <w:r w:rsidRPr="00FE6281">
        <w:rPr>
          <w:shd w:val="clear" w:color="auto" w:fill="FFFFFF"/>
        </w:rPr>
        <w:t>pieteicējas plānotajai darbībai</w:t>
      </w:r>
      <w:r w:rsidR="00325E47" w:rsidRPr="00FE6281">
        <w:rPr>
          <w:shd w:val="clear" w:color="auto" w:fill="FFFFFF"/>
        </w:rPr>
        <w:t xml:space="preserve"> </w:t>
      </w:r>
      <w:r w:rsidRPr="00FE6281">
        <w:rPr>
          <w:shd w:val="clear" w:color="auto" w:fill="FFFFFF"/>
        </w:rPr>
        <w:t>nepieciešams saņemt atļauju B kategorijas piesārņojošajai darbībai</w:t>
      </w:r>
      <w:r w:rsidR="00D8676A" w:rsidRPr="00FE6281">
        <w:rPr>
          <w:shd w:val="clear" w:color="auto" w:fill="FFFFFF"/>
        </w:rPr>
        <w:t>;</w:t>
      </w:r>
    </w:p>
    <w:p w14:paraId="6D4D2AF0" w14:textId="3D78E3E1" w:rsidR="000B5465" w:rsidRPr="00FE6281" w:rsidRDefault="00162565" w:rsidP="00747DBB">
      <w:pPr>
        <w:spacing w:line="276" w:lineRule="auto"/>
        <w:ind w:firstLine="709"/>
        <w:jc w:val="both"/>
      </w:pPr>
      <w:r w:rsidRPr="00FE6281">
        <w:t>2) </w:t>
      </w:r>
      <w:r w:rsidR="00325E47" w:rsidRPr="00FE6281">
        <w:t xml:space="preserve">ja atbilde uz pirmo jautājumu ir apstiprinoša – vai </w:t>
      </w:r>
      <w:r w:rsidR="00F215C9" w:rsidRPr="00FE6281">
        <w:t xml:space="preserve">lietā piemērotās tiesību normas </w:t>
      </w:r>
      <w:r w:rsidR="002A0D74" w:rsidRPr="00FE6281">
        <w:t>pie</w:t>
      </w:r>
      <w:r w:rsidR="00F215C9" w:rsidRPr="00FE6281">
        <w:t xml:space="preserve">ļauj atļaujā ietvert </w:t>
      </w:r>
      <w:r w:rsidR="00421D4E" w:rsidRPr="00FE6281">
        <w:rPr>
          <w:lang w:eastAsia="lv-LV"/>
        </w:rPr>
        <w:t>nosacījumus</w:t>
      </w:r>
      <w:r w:rsidR="00325E47" w:rsidRPr="00FE6281">
        <w:rPr>
          <w:lang w:eastAsia="lv-LV"/>
        </w:rPr>
        <w:t>, kas paredz</w:t>
      </w:r>
      <w:r w:rsidR="000B5465" w:rsidRPr="00FE6281">
        <w:rPr>
          <w:lang w:eastAsia="lv-LV"/>
        </w:rPr>
        <w:t xml:space="preserve"> </w:t>
      </w:r>
      <w:r w:rsidR="00325E47" w:rsidRPr="00FE6281">
        <w:rPr>
          <w:shd w:val="clear" w:color="auto" w:fill="FFFFFF"/>
        </w:rPr>
        <w:t xml:space="preserve">mērīšanas līdzekļu verifikāciju, </w:t>
      </w:r>
      <w:r w:rsidR="00325E47" w:rsidRPr="00FE6281">
        <w:rPr>
          <w:lang w:eastAsia="lv-LV"/>
        </w:rPr>
        <w:t xml:space="preserve">apvaļņojuma izbūvi, </w:t>
      </w:r>
      <w:r w:rsidR="00A5274B" w:rsidRPr="00FE6281">
        <w:rPr>
          <w:lang w:eastAsia="lv-LV"/>
        </w:rPr>
        <w:t>kā arī atbilstoša pretinfiltrācijas seguma izbūvi</w:t>
      </w:r>
      <w:r w:rsidR="008B54F8" w:rsidRPr="00FE6281">
        <w:rPr>
          <w:lang w:eastAsia="lv-LV"/>
        </w:rPr>
        <w:t xml:space="preserve"> teritorijā</w:t>
      </w:r>
      <w:r w:rsidR="00D8676A" w:rsidRPr="00FE6281">
        <w:rPr>
          <w:lang w:eastAsia="lv-LV"/>
        </w:rPr>
        <w:t>.</w:t>
      </w:r>
    </w:p>
    <w:p w14:paraId="54F990D3" w14:textId="77777777" w:rsidR="00141B7C" w:rsidRPr="00FE6281" w:rsidRDefault="00141B7C" w:rsidP="00747DBB">
      <w:pPr>
        <w:spacing w:line="276" w:lineRule="auto"/>
        <w:ind w:firstLine="709"/>
        <w:jc w:val="both"/>
        <w:rPr>
          <w:lang w:eastAsia="lv-LV"/>
        </w:rPr>
      </w:pPr>
    </w:p>
    <w:p w14:paraId="37EACEF6" w14:textId="4B1E0197" w:rsidR="00D14661" w:rsidRPr="00FE6281" w:rsidRDefault="00D14661" w:rsidP="00747DBB">
      <w:pPr>
        <w:spacing w:line="276" w:lineRule="auto"/>
        <w:ind w:firstLine="709"/>
        <w:jc w:val="both"/>
        <w:rPr>
          <w:i/>
          <w:iCs/>
          <w:lang w:eastAsia="lv-LV"/>
        </w:rPr>
      </w:pPr>
      <w:r w:rsidRPr="00FE6281">
        <w:rPr>
          <w:i/>
          <w:iCs/>
          <w:lang w:eastAsia="lv-LV"/>
        </w:rPr>
        <w:t>Par nepieciešamību saņemt atļauju B kategorijas</w:t>
      </w:r>
      <w:r w:rsidR="005C1376" w:rsidRPr="00FE6281">
        <w:rPr>
          <w:i/>
          <w:iCs/>
          <w:lang w:eastAsia="lv-LV"/>
        </w:rPr>
        <w:t xml:space="preserve"> piesārņojošajai darbībai</w:t>
      </w:r>
    </w:p>
    <w:p w14:paraId="79B32226" w14:textId="6455A6ED" w:rsidR="00DF675B" w:rsidRPr="00FE6281" w:rsidRDefault="00DF675B" w:rsidP="00747DBB">
      <w:pPr>
        <w:spacing w:line="276" w:lineRule="auto"/>
        <w:ind w:firstLine="709"/>
        <w:jc w:val="both"/>
        <w:rPr>
          <w:i/>
          <w:iCs/>
          <w:lang w:eastAsia="lv-LV"/>
        </w:rPr>
      </w:pPr>
    </w:p>
    <w:p w14:paraId="62CF8DA9" w14:textId="2E33E701" w:rsidR="00507CB3" w:rsidRPr="00FE6281" w:rsidRDefault="00DE597F" w:rsidP="00747DBB">
      <w:pPr>
        <w:spacing w:line="276" w:lineRule="auto"/>
        <w:ind w:firstLine="709"/>
        <w:jc w:val="both"/>
      </w:pPr>
      <w:r w:rsidRPr="00FE6281">
        <w:rPr>
          <w:lang w:eastAsia="lv-LV"/>
        </w:rPr>
        <w:t>[</w:t>
      </w:r>
      <w:r w:rsidR="004F76A4" w:rsidRPr="00FE6281">
        <w:rPr>
          <w:lang w:eastAsia="lv-LV"/>
        </w:rPr>
        <w:t>7</w:t>
      </w:r>
      <w:r w:rsidRPr="00FE6281">
        <w:rPr>
          <w:lang w:eastAsia="lv-LV"/>
        </w:rPr>
        <w:t>]</w:t>
      </w:r>
      <w:r w:rsidR="00666C44" w:rsidRPr="00FE6281">
        <w:rPr>
          <w:lang w:eastAsia="lv-LV"/>
        </w:rPr>
        <w:t> </w:t>
      </w:r>
      <w:r w:rsidR="00D2427E" w:rsidRPr="00FE6281">
        <w:rPr>
          <w:lang w:eastAsia="lv-LV"/>
        </w:rPr>
        <w:t>Pievēršoties pirmā jautājuma izvērtējumam, Senāts noraida</w:t>
      </w:r>
      <w:r w:rsidR="00281A09" w:rsidRPr="00FE6281">
        <w:t xml:space="preserve"> </w:t>
      </w:r>
      <w:r w:rsidRPr="00FE6281">
        <w:t>pieteicējas iebildum</w:t>
      </w:r>
      <w:r w:rsidR="00D2427E" w:rsidRPr="00FE6281">
        <w:t>u</w:t>
      </w:r>
      <w:r w:rsidRPr="00FE6281">
        <w:t>, ka tiesa</w:t>
      </w:r>
      <w:r w:rsidR="00AD0A38" w:rsidRPr="00FE6281">
        <w:t xml:space="preserve"> </w:t>
      </w:r>
      <w:r w:rsidR="0009655B" w:rsidRPr="00FE6281">
        <w:t>ir</w:t>
      </w:r>
      <w:r w:rsidRPr="00FE6281">
        <w:t xml:space="preserve"> nepareizi interpretējusi likuma „Par zemes dzīlēm” 10.panta septīt</w:t>
      </w:r>
      <w:r w:rsidR="000A45A9" w:rsidRPr="00FE6281">
        <w:t>ās</w:t>
      </w:r>
      <w:r w:rsidRPr="00FE6281">
        <w:t xml:space="preserve"> daļ</w:t>
      </w:r>
      <w:r w:rsidR="000A45A9" w:rsidRPr="00FE6281">
        <w:t>as pirmo teikumu</w:t>
      </w:r>
      <w:r w:rsidRPr="00FE6281">
        <w:t>.</w:t>
      </w:r>
    </w:p>
    <w:p w14:paraId="07C56D2D" w14:textId="39A12844" w:rsidR="00D2427E" w:rsidRPr="00FE6281" w:rsidRDefault="00D2427E" w:rsidP="00747DBB">
      <w:pPr>
        <w:spacing w:line="276" w:lineRule="auto"/>
        <w:ind w:firstLine="709"/>
        <w:jc w:val="both"/>
      </w:pPr>
      <w:r w:rsidRPr="00FE6281">
        <w:t xml:space="preserve">Minētā </w:t>
      </w:r>
      <w:r w:rsidR="00DB7F28" w:rsidRPr="00FE6281">
        <w:t xml:space="preserve">tiesību </w:t>
      </w:r>
      <w:r w:rsidRPr="00FE6281">
        <w:t>norma noteic, ka valsts nozīmes derīgo izrakteņu, valsts nozīmes atradņu izmantošanas kārtību un ogļūdeņražu meklēšanas, izpētes un ieguves kārtību, kā arī noteikumus par vides aizsardzību ogļūdeņražu izpētes un ieguves darbos jūrā reglamentē Ministru kabinets.</w:t>
      </w:r>
    </w:p>
    <w:p w14:paraId="73D24077" w14:textId="444A6403" w:rsidR="00BE07DA" w:rsidRPr="00FE6281" w:rsidRDefault="008067D2" w:rsidP="00747DBB">
      <w:pPr>
        <w:spacing w:line="276" w:lineRule="auto"/>
        <w:ind w:firstLine="709"/>
        <w:jc w:val="both"/>
      </w:pPr>
      <w:r w:rsidRPr="00FE6281">
        <w:t xml:space="preserve">Senāts norāda, ka attiecībā uz ogļūdeņražu meklēšanu, izpēti un ieguvi </w:t>
      </w:r>
      <w:r w:rsidR="006D333B" w:rsidRPr="00FE6281">
        <w:t xml:space="preserve">šajā </w:t>
      </w:r>
      <w:r w:rsidRPr="00FE6281">
        <w:t xml:space="preserve">tiesību normā ietverti divi </w:t>
      </w:r>
      <w:r w:rsidR="006356E8" w:rsidRPr="00FE6281">
        <w:t>deleģējumi Ministru kabinetam – noteikt ogļūdeņražu meklēšanas, izpētes un ieguves kārtību, kā arī papildus tam atsevišķi noteikt vides aizsardzības prasības ogļūdeņražu izpētes un ieguves darbos jūrā.</w:t>
      </w:r>
    </w:p>
    <w:p w14:paraId="519EE43B" w14:textId="413DDD38" w:rsidR="00E02274" w:rsidRPr="00FE6281" w:rsidRDefault="0097569B" w:rsidP="00747DBB">
      <w:pPr>
        <w:spacing w:line="276" w:lineRule="auto"/>
        <w:ind w:firstLine="709"/>
        <w:jc w:val="both"/>
        <w:rPr>
          <w:rFonts w:asciiTheme="majorBidi" w:hAnsiTheme="majorBidi" w:cstheme="majorBidi"/>
          <w:shd w:val="clear" w:color="auto" w:fill="FFFFFF"/>
        </w:rPr>
      </w:pPr>
      <w:r w:rsidRPr="00FE6281">
        <w:t xml:space="preserve">Pieteicēja kasācijas sūdzībā pamatoti norāda, ka </w:t>
      </w:r>
      <w:r w:rsidR="00503331" w:rsidRPr="00FE6281">
        <w:t xml:space="preserve">likuma „Par zemes dzīlēm” 10.panta septītās daļas </w:t>
      </w:r>
      <w:r w:rsidR="00FA1941" w:rsidRPr="00FE6281">
        <w:t xml:space="preserve">pirmā teikuma </w:t>
      </w:r>
      <w:r w:rsidR="000C2D10" w:rsidRPr="00FE6281">
        <w:t xml:space="preserve">deleģējumu </w:t>
      </w:r>
      <w:r w:rsidRPr="00FE6281">
        <w:t>konstrukcija</w:t>
      </w:r>
      <w:r w:rsidR="000C2D10" w:rsidRPr="00FE6281">
        <w:t xml:space="preserve"> ir saistīta ar Eiropas Savienības direktīvu pārņemšanu šajā jomā. </w:t>
      </w:r>
      <w:r w:rsidR="00C7043F" w:rsidRPr="00FE6281">
        <w:t>N</w:t>
      </w:r>
      <w:r w:rsidR="00BA1E4C" w:rsidRPr="00FE6281">
        <w:t>oteikumos Nr. </w:t>
      </w:r>
      <w:r w:rsidR="00084CAA" w:rsidRPr="00FE6281">
        <w:t xml:space="preserve">805 </w:t>
      </w:r>
      <w:r w:rsidR="00F06CB6" w:rsidRPr="00FE6281">
        <w:t xml:space="preserve">iekļautas tiesību normas, kas izriet </w:t>
      </w:r>
      <w:r w:rsidR="007C3BEB" w:rsidRPr="00FE6281">
        <w:t>kā no</w:t>
      </w:r>
      <w:r w:rsidR="004D79EB" w:rsidRPr="00FE6281">
        <w:t xml:space="preserve"> </w:t>
      </w:r>
      <w:r w:rsidR="004D79EB" w:rsidRPr="00FE6281">
        <w:rPr>
          <w:rFonts w:asciiTheme="majorBidi" w:hAnsiTheme="majorBidi" w:cstheme="majorBidi"/>
          <w:shd w:val="clear" w:color="auto" w:fill="FFFFFF"/>
        </w:rPr>
        <w:t xml:space="preserve">Direktīvas </w:t>
      </w:r>
      <w:r w:rsidR="004D79EB" w:rsidRPr="00820DE9">
        <w:rPr>
          <w:rFonts w:asciiTheme="majorBidi" w:hAnsiTheme="majorBidi" w:cstheme="majorBidi"/>
          <w:shd w:val="clear" w:color="auto" w:fill="FFFFFF"/>
        </w:rPr>
        <w:t>94/22/EK</w:t>
      </w:r>
      <w:r w:rsidR="004635B0" w:rsidRPr="00FE6281">
        <w:rPr>
          <w:rFonts w:asciiTheme="majorBidi" w:hAnsiTheme="majorBidi" w:cstheme="majorBidi"/>
          <w:shd w:val="clear" w:color="auto" w:fill="FFFFFF"/>
        </w:rPr>
        <w:t>, tā arī no D</w:t>
      </w:r>
      <w:r w:rsidR="00160FD3" w:rsidRPr="00FE6281">
        <w:rPr>
          <w:rFonts w:asciiTheme="majorBidi" w:hAnsiTheme="majorBidi" w:cstheme="majorBidi"/>
        </w:rPr>
        <w:t>irektīva</w:t>
      </w:r>
      <w:r w:rsidR="004635B0" w:rsidRPr="00FE6281">
        <w:rPr>
          <w:rFonts w:asciiTheme="majorBidi" w:hAnsiTheme="majorBidi" w:cstheme="majorBidi"/>
        </w:rPr>
        <w:t>s</w:t>
      </w:r>
      <w:r w:rsidR="00160FD3" w:rsidRPr="00FE6281">
        <w:rPr>
          <w:rFonts w:asciiTheme="majorBidi" w:hAnsiTheme="majorBidi" w:cstheme="majorBidi"/>
        </w:rPr>
        <w:t xml:space="preserve"> </w:t>
      </w:r>
      <w:r w:rsidR="00160FD3" w:rsidRPr="00820DE9">
        <w:rPr>
          <w:rFonts w:asciiTheme="majorBidi" w:hAnsiTheme="majorBidi" w:cstheme="majorBidi"/>
        </w:rPr>
        <w:t>2013/30/ES</w:t>
      </w:r>
      <w:r w:rsidR="00820DE9">
        <w:rPr>
          <w:rFonts w:asciiTheme="majorBidi" w:hAnsiTheme="majorBidi" w:cstheme="majorBidi"/>
        </w:rPr>
        <w:t>.</w:t>
      </w:r>
      <w:r w:rsidR="009909DA" w:rsidRPr="00FE6281">
        <w:rPr>
          <w:rFonts w:asciiTheme="majorBidi" w:hAnsiTheme="majorBidi" w:cstheme="majorBidi"/>
          <w:shd w:val="clear" w:color="auto" w:fill="FFFFFF"/>
        </w:rPr>
        <w:t xml:space="preserve"> D</w:t>
      </w:r>
      <w:r w:rsidR="00632880" w:rsidRPr="00FE6281">
        <w:rPr>
          <w:rFonts w:asciiTheme="majorBidi" w:hAnsiTheme="majorBidi" w:cstheme="majorBidi"/>
          <w:shd w:val="clear" w:color="auto" w:fill="FFFFFF"/>
        </w:rPr>
        <w:t xml:space="preserve">irektīva </w:t>
      </w:r>
      <w:r w:rsidR="00632880" w:rsidRPr="00820DE9">
        <w:rPr>
          <w:rFonts w:asciiTheme="majorBidi" w:hAnsiTheme="majorBidi" w:cstheme="majorBidi"/>
          <w:shd w:val="clear" w:color="auto" w:fill="FFFFFF"/>
        </w:rPr>
        <w:t>94/22/EK</w:t>
      </w:r>
      <w:r w:rsidR="004635B0" w:rsidRPr="00FE6281">
        <w:rPr>
          <w:rFonts w:asciiTheme="majorBidi" w:hAnsiTheme="majorBidi" w:cstheme="majorBidi"/>
          <w:shd w:val="clear" w:color="auto" w:fill="FFFFFF"/>
        </w:rPr>
        <w:t xml:space="preserve"> paredz tiesisko ietvaru regulējumam par a</w:t>
      </w:r>
      <w:r w:rsidR="00B71731" w:rsidRPr="00FE6281">
        <w:rPr>
          <w:rFonts w:asciiTheme="majorBidi" w:hAnsiTheme="majorBidi" w:cstheme="majorBidi"/>
          <w:shd w:val="clear" w:color="auto" w:fill="FFFFFF"/>
        </w:rPr>
        <w:t>tļauju piešķiršanu un izmantošanu ogļūdeņražu meklēšanai, izpētei un ieguvei</w:t>
      </w:r>
      <w:r w:rsidR="004635B0" w:rsidRPr="00FE6281">
        <w:rPr>
          <w:rFonts w:asciiTheme="majorBidi" w:hAnsiTheme="majorBidi" w:cstheme="majorBidi"/>
          <w:shd w:val="clear" w:color="auto" w:fill="FFFFFF"/>
        </w:rPr>
        <w:t xml:space="preserve">, savukārt </w:t>
      </w:r>
      <w:r w:rsidR="00B71731" w:rsidRPr="00FE6281">
        <w:rPr>
          <w:rFonts w:asciiTheme="majorBidi" w:hAnsiTheme="majorBidi" w:cstheme="majorBidi"/>
          <w:shd w:val="clear" w:color="auto" w:fill="FFFFFF"/>
        </w:rPr>
        <w:t>D</w:t>
      </w:r>
      <w:r w:rsidR="00B71731" w:rsidRPr="00FE6281">
        <w:rPr>
          <w:rFonts w:asciiTheme="majorBidi" w:hAnsiTheme="majorBidi" w:cstheme="majorBidi"/>
        </w:rPr>
        <w:t xml:space="preserve">irektīva </w:t>
      </w:r>
      <w:r w:rsidR="00B71731" w:rsidRPr="00820DE9">
        <w:rPr>
          <w:rFonts w:asciiTheme="majorBidi" w:hAnsiTheme="majorBidi" w:cstheme="majorBidi"/>
        </w:rPr>
        <w:t>2013/30/ES</w:t>
      </w:r>
      <w:r w:rsidR="004635B0" w:rsidRPr="00FE6281">
        <w:rPr>
          <w:rFonts w:asciiTheme="majorBidi" w:hAnsiTheme="majorBidi" w:cstheme="majorBidi"/>
          <w:shd w:val="clear" w:color="auto" w:fill="FFFFFF"/>
        </w:rPr>
        <w:t xml:space="preserve"> prasa īpaši noregulēt t</w:t>
      </w:r>
      <w:r w:rsidR="00BE07DA" w:rsidRPr="00FE6281">
        <w:rPr>
          <w:rFonts w:asciiTheme="majorBidi" w:hAnsiTheme="majorBidi" w:cstheme="majorBidi"/>
          <w:shd w:val="clear" w:color="auto" w:fill="FFFFFF"/>
        </w:rPr>
        <w:t>o darbību drošumu, kas saistītas ar naftas un gāzes nozares darbībām jūrā.</w:t>
      </w:r>
    </w:p>
    <w:p w14:paraId="36CD288B" w14:textId="7BDE7486" w:rsidR="003C6C02" w:rsidRPr="00631263" w:rsidRDefault="00E02274" w:rsidP="00747DBB">
      <w:pPr>
        <w:spacing w:line="276" w:lineRule="auto"/>
        <w:ind w:firstLine="709"/>
        <w:jc w:val="both"/>
        <w:rPr>
          <w:rStyle w:val="Hyperlink"/>
          <w:rFonts w:asciiTheme="majorBidi" w:hAnsiTheme="majorBidi" w:cstheme="majorBidi"/>
          <w:color w:val="auto"/>
          <w:shd w:val="clear" w:color="auto" w:fill="FFFFFF"/>
        </w:rPr>
      </w:pPr>
      <w:r w:rsidRPr="00FE6281">
        <w:rPr>
          <w:rFonts w:asciiTheme="majorBidi" w:hAnsiTheme="majorBidi" w:cstheme="majorBidi"/>
          <w:shd w:val="clear" w:color="auto" w:fill="FFFFFF"/>
        </w:rPr>
        <w:t xml:space="preserve">Tomēr </w:t>
      </w:r>
      <w:r w:rsidR="005E245D" w:rsidRPr="00FE6281">
        <w:rPr>
          <w:rFonts w:asciiTheme="majorBidi" w:hAnsiTheme="majorBidi" w:cstheme="majorBidi"/>
          <w:shd w:val="clear" w:color="auto" w:fill="FFFFFF"/>
        </w:rPr>
        <w:t xml:space="preserve">pieteicēja </w:t>
      </w:r>
      <w:r w:rsidR="009909DA" w:rsidRPr="00FE6281">
        <w:rPr>
          <w:rFonts w:asciiTheme="majorBidi" w:hAnsiTheme="majorBidi" w:cstheme="majorBidi"/>
          <w:shd w:val="clear" w:color="auto" w:fill="FFFFFF"/>
        </w:rPr>
        <w:t xml:space="preserve">no tā </w:t>
      </w:r>
      <w:r w:rsidR="005E245D" w:rsidRPr="00FE6281">
        <w:rPr>
          <w:rFonts w:asciiTheme="majorBidi" w:hAnsiTheme="majorBidi" w:cstheme="majorBidi"/>
          <w:shd w:val="clear" w:color="auto" w:fill="FFFFFF"/>
        </w:rPr>
        <w:t xml:space="preserve">izdara nepareizu secinājumu, ka Ministru kabinetam nebūtu </w:t>
      </w:r>
      <w:r w:rsidR="0055453B" w:rsidRPr="00FE6281">
        <w:rPr>
          <w:rFonts w:asciiTheme="majorBidi" w:hAnsiTheme="majorBidi" w:cstheme="majorBidi"/>
          <w:shd w:val="clear" w:color="auto" w:fill="FFFFFF"/>
        </w:rPr>
        <w:t xml:space="preserve">deleģētas </w:t>
      </w:r>
      <w:r w:rsidR="005E245D" w:rsidRPr="00FE6281">
        <w:rPr>
          <w:rFonts w:asciiTheme="majorBidi" w:hAnsiTheme="majorBidi" w:cstheme="majorBidi"/>
          <w:shd w:val="clear" w:color="auto" w:fill="FFFFFF"/>
        </w:rPr>
        <w:t>tiesīb</w:t>
      </w:r>
      <w:r w:rsidR="0055453B" w:rsidRPr="00FE6281">
        <w:rPr>
          <w:rFonts w:asciiTheme="majorBidi" w:hAnsiTheme="majorBidi" w:cstheme="majorBidi"/>
          <w:shd w:val="clear" w:color="auto" w:fill="FFFFFF"/>
        </w:rPr>
        <w:t>as</w:t>
      </w:r>
      <w:r w:rsidR="005E245D" w:rsidRPr="00FE6281">
        <w:rPr>
          <w:rFonts w:asciiTheme="majorBidi" w:hAnsiTheme="majorBidi" w:cstheme="majorBidi"/>
          <w:shd w:val="clear" w:color="auto" w:fill="FFFFFF"/>
        </w:rPr>
        <w:t xml:space="preserve"> </w:t>
      </w:r>
      <w:r w:rsidR="0055453B" w:rsidRPr="00FE6281">
        <w:t xml:space="preserve">noteikt vides aizsardzības prasības ogļūdeņražu </w:t>
      </w:r>
      <w:r w:rsidR="009577E9" w:rsidRPr="00FE6281">
        <w:t xml:space="preserve">meklēšanas, </w:t>
      </w:r>
      <w:r w:rsidR="0055453B" w:rsidRPr="00FE6281">
        <w:t>izpētes un ieguves darbiem sauszemē. Apstāklis, ka par vides aizsardzības prasībām šiem darbiem jūrā ir atsevišķa direktīva, kuras normas ir pārņemtas, nenozīmē, ka valsts nevarētu noteikt vides aizsardzības prasības arī attiecīgiem darbiem sauszemē.</w:t>
      </w:r>
      <w:r w:rsidR="00232877" w:rsidRPr="00FE6281">
        <w:t xml:space="preserve"> </w:t>
      </w:r>
      <w:r w:rsidR="00232877" w:rsidRPr="00FE6281">
        <w:rPr>
          <w:rFonts w:asciiTheme="majorBidi" w:hAnsiTheme="majorBidi" w:cstheme="majorBidi"/>
          <w:shd w:val="clear" w:color="auto" w:fill="FFFFFF"/>
        </w:rPr>
        <w:t>Direktīvas</w:t>
      </w:r>
      <w:r w:rsidR="008D54AC" w:rsidRPr="00FE6281">
        <w:rPr>
          <w:rFonts w:asciiTheme="majorBidi" w:hAnsiTheme="majorBidi" w:cstheme="majorBidi"/>
          <w:shd w:val="clear" w:color="auto" w:fill="FFFFFF"/>
        </w:rPr>
        <w:t xml:space="preserve"> </w:t>
      </w:r>
      <w:r w:rsidR="00C00649" w:rsidRPr="00820DE9">
        <w:rPr>
          <w:rFonts w:asciiTheme="majorBidi" w:hAnsiTheme="majorBidi" w:cstheme="majorBidi"/>
          <w:shd w:val="clear" w:color="auto" w:fill="FFFFFF"/>
        </w:rPr>
        <w:t>94/22/EK</w:t>
      </w:r>
      <w:r w:rsidR="00C00649" w:rsidRPr="00FE6281">
        <w:rPr>
          <w:rFonts w:asciiTheme="majorBidi" w:hAnsiTheme="majorBidi" w:cstheme="majorBidi"/>
          <w:shd w:val="clear" w:color="auto" w:fill="FFFFFF"/>
        </w:rPr>
        <w:t xml:space="preserve"> </w:t>
      </w:r>
      <w:r w:rsidR="008D54AC" w:rsidRPr="00FE6281">
        <w:rPr>
          <w:rFonts w:asciiTheme="majorBidi" w:hAnsiTheme="majorBidi" w:cstheme="majorBidi"/>
          <w:shd w:val="clear" w:color="auto" w:fill="FFFFFF"/>
        </w:rPr>
        <w:t xml:space="preserve">6.panta 2.punkts paredz dalībvalstu tiesības ogļūdeņražu meklēšanas, izpētes un ieguves darbiem uzlikt nosacījumus un prasības, kas </w:t>
      </w:r>
      <w:r w:rsidR="00FD217A" w:rsidRPr="00FE6281">
        <w:rPr>
          <w:rFonts w:asciiTheme="majorBidi" w:hAnsiTheme="majorBidi" w:cstheme="majorBidi"/>
          <w:shd w:val="clear" w:color="auto" w:fill="FFFFFF"/>
        </w:rPr>
        <w:t>saistīt</w:t>
      </w:r>
      <w:r w:rsidR="00FD217A">
        <w:rPr>
          <w:rFonts w:asciiTheme="majorBidi" w:hAnsiTheme="majorBidi" w:cstheme="majorBidi"/>
          <w:shd w:val="clear" w:color="auto" w:fill="FFFFFF"/>
        </w:rPr>
        <w:t xml:space="preserve">as </w:t>
      </w:r>
      <w:r w:rsidR="008D54AC" w:rsidRPr="00FE6281">
        <w:rPr>
          <w:rFonts w:asciiTheme="majorBidi" w:hAnsiTheme="majorBidi" w:cstheme="majorBidi"/>
          <w:shd w:val="clear" w:color="auto" w:fill="FFFFFF"/>
        </w:rPr>
        <w:t xml:space="preserve">ar apsvērumiem par vides </w:t>
      </w:r>
      <w:r w:rsidR="008D54AC" w:rsidRPr="00631263">
        <w:rPr>
          <w:rFonts w:asciiTheme="majorBidi" w:hAnsiTheme="majorBidi" w:cstheme="majorBidi"/>
          <w:shd w:val="clear" w:color="auto" w:fill="FFFFFF"/>
        </w:rPr>
        <w:t>aizsardzību.</w:t>
      </w:r>
    </w:p>
    <w:p w14:paraId="4C592056" w14:textId="7718425A" w:rsidR="00997669" w:rsidRPr="00FE6281" w:rsidRDefault="003F2DBF" w:rsidP="00747DBB">
      <w:pPr>
        <w:spacing w:line="276" w:lineRule="auto"/>
        <w:ind w:firstLine="709"/>
        <w:jc w:val="both"/>
      </w:pPr>
      <w:r w:rsidRPr="00FE6281">
        <w:t>Attiecīgi likumdevējam ir tiesības regulēt vides aizsardzības prasības ogļūdeņražu meklēšanas, izpētes un ieguves darbiem arī sauszemē, un tas šīs tiesības l</w:t>
      </w:r>
      <w:r w:rsidR="00D8305E" w:rsidRPr="00FE6281">
        <w:t xml:space="preserve">ikuma „Par zemes dzīlēm” 10.panta septītajā daļā </w:t>
      </w:r>
      <w:r w:rsidR="00C00649" w:rsidRPr="00FE6281">
        <w:t>ir</w:t>
      </w:r>
      <w:r w:rsidR="006F559D" w:rsidRPr="00FE6281">
        <w:t xml:space="preserve"> deleģējis Ministru kabinetam.</w:t>
      </w:r>
      <w:r w:rsidR="00DB063E" w:rsidRPr="00FE6281">
        <w:t xml:space="preserve"> No tiesību normā ietvertā deleģējuma noteikt</w:t>
      </w:r>
      <w:r w:rsidR="00C00649" w:rsidRPr="00FE6281">
        <w:t xml:space="preserve"> </w:t>
      </w:r>
      <w:r w:rsidR="004C048C" w:rsidRPr="00FE6281">
        <w:t>ogļūdeņražu meklēšanas, izpētes un ieguves kārtību</w:t>
      </w:r>
      <w:r w:rsidR="00BF33FA" w:rsidRPr="00FE6281">
        <w:t xml:space="preserve"> izriet arī tiesības noteikt nepieciešamās vides aizsardzības prasības šo darbību veikšanai.</w:t>
      </w:r>
      <w:r w:rsidR="00476914" w:rsidRPr="00FE6281">
        <w:t xml:space="preserve"> Līdz ar to t</w:t>
      </w:r>
      <w:r w:rsidR="00DE597F" w:rsidRPr="00FE6281">
        <w:t xml:space="preserve">iesa </w:t>
      </w:r>
      <w:r w:rsidR="00D2427E" w:rsidRPr="00FE6281">
        <w:t xml:space="preserve">ir </w:t>
      </w:r>
      <w:r w:rsidR="00DE597F" w:rsidRPr="00FE6281">
        <w:t xml:space="preserve">pareizi </w:t>
      </w:r>
      <w:r w:rsidR="00C11DBA" w:rsidRPr="00FE6281">
        <w:t>konstatējusi</w:t>
      </w:r>
      <w:r w:rsidR="00DE597F" w:rsidRPr="00FE6281">
        <w:t>, ka likuma „Par zemes dzīlēm” 10.panta septītā</w:t>
      </w:r>
      <w:r w:rsidR="006E5718" w:rsidRPr="00FE6281">
        <w:t>s</w:t>
      </w:r>
      <w:r w:rsidR="00DE597F" w:rsidRPr="00FE6281">
        <w:t xml:space="preserve"> daļ</w:t>
      </w:r>
      <w:r w:rsidR="006E5718" w:rsidRPr="00FE6281">
        <w:t>as pirmajā teikumā</w:t>
      </w:r>
      <w:r w:rsidR="00DE597F" w:rsidRPr="00FE6281">
        <w:t xml:space="preserve"> </w:t>
      </w:r>
      <w:r w:rsidR="00C11DBA" w:rsidRPr="00FE6281">
        <w:t xml:space="preserve">ir </w:t>
      </w:r>
      <w:r w:rsidR="00DE597F" w:rsidRPr="00FE6281">
        <w:t xml:space="preserve">ietverts deleģējums Ministru kabinetam izdot noteikumus </w:t>
      </w:r>
      <w:r w:rsidR="00AD0A38" w:rsidRPr="00FE6281">
        <w:t xml:space="preserve">ne tikai </w:t>
      </w:r>
      <w:r w:rsidR="00DE597F" w:rsidRPr="00FE6281">
        <w:t xml:space="preserve">par vides aizsardzību ogļūdeņražu izpētes un ieguves darbiem jūrā, bet arī </w:t>
      </w:r>
      <w:r w:rsidR="005408D7" w:rsidRPr="00FE6281">
        <w:t>deleģējums</w:t>
      </w:r>
      <w:r w:rsidR="0012783D" w:rsidRPr="00FE6281">
        <w:t xml:space="preserve"> </w:t>
      </w:r>
      <w:r w:rsidR="009D6F41" w:rsidRPr="00FE6281">
        <w:t xml:space="preserve">ogļūdeņražu ieguves kārtības ietvaros </w:t>
      </w:r>
      <w:r w:rsidR="00C01918" w:rsidRPr="00FE6281">
        <w:t xml:space="preserve">regulēt </w:t>
      </w:r>
      <w:r w:rsidR="005D66DE" w:rsidRPr="00FE6281">
        <w:t xml:space="preserve">nepieciešamos vides aizsardzības pasākumus ogļūdeņražu izpētes </w:t>
      </w:r>
      <w:r w:rsidR="005D66DE" w:rsidRPr="00FE6281">
        <w:lastRenderedPageBreak/>
        <w:t>un ieguves darbiem sauszemē, tostarp arī</w:t>
      </w:r>
      <w:r w:rsidR="00D86C0F" w:rsidRPr="00FE6281">
        <w:t>, kā p</w:t>
      </w:r>
      <w:r w:rsidR="006F390D" w:rsidRPr="00FE6281">
        <w:t>a</w:t>
      </w:r>
      <w:r w:rsidR="00D86C0F" w:rsidRPr="00FE6281">
        <w:t>reizi secinājusi tiesa,</w:t>
      </w:r>
      <w:r w:rsidR="005D66DE" w:rsidRPr="00FE6281">
        <w:t xml:space="preserve"> </w:t>
      </w:r>
      <w:r w:rsidR="0009655B" w:rsidRPr="00FE6281">
        <w:t>paredzēt</w:t>
      </w:r>
      <w:r w:rsidR="0012783D" w:rsidRPr="00FE6281">
        <w:t xml:space="preserve"> piesārņojošās darbības atļauj</w:t>
      </w:r>
      <w:r w:rsidR="0009655B" w:rsidRPr="00FE6281">
        <w:t>as saņemšanu ne</w:t>
      </w:r>
      <w:r w:rsidR="00BE10D4" w:rsidRPr="00FE6281">
        <w:t xml:space="preserve">atkarīgi no tā, vai to ieguve ir plānota </w:t>
      </w:r>
      <w:r w:rsidR="0012783D" w:rsidRPr="00FE6281">
        <w:t>jūrā</w:t>
      </w:r>
      <w:r w:rsidR="00BE10D4" w:rsidRPr="00FE6281">
        <w:t xml:space="preserve"> vai </w:t>
      </w:r>
      <w:r w:rsidR="00337FDC" w:rsidRPr="00FE6281">
        <w:t>sauszemē</w:t>
      </w:r>
      <w:r w:rsidR="0012783D" w:rsidRPr="00FE6281">
        <w:t>.</w:t>
      </w:r>
    </w:p>
    <w:p w14:paraId="4742D993" w14:textId="65E1FAA1" w:rsidR="00693154" w:rsidRDefault="00524B81" w:rsidP="00747DBB">
      <w:pPr>
        <w:spacing w:line="276" w:lineRule="auto"/>
        <w:ind w:firstLine="709"/>
        <w:jc w:val="both"/>
      </w:pPr>
      <w:r w:rsidRPr="00FE6281">
        <w:t xml:space="preserve">Senāts secina, ka šajā gadījumā </w:t>
      </w:r>
      <w:r w:rsidR="0080672D" w:rsidRPr="00FE6281">
        <w:t>likuma „Par zemes dzīlēm” 10.panta septīt</w:t>
      </w:r>
      <w:r w:rsidR="008C43F3" w:rsidRPr="00FE6281">
        <w:t>ā</w:t>
      </w:r>
      <w:r w:rsidR="005408D7" w:rsidRPr="00FE6281">
        <w:t>s</w:t>
      </w:r>
      <w:r w:rsidR="0080672D" w:rsidRPr="00FE6281">
        <w:t xml:space="preserve"> daļ</w:t>
      </w:r>
      <w:r w:rsidR="005408D7" w:rsidRPr="00FE6281">
        <w:t>as</w:t>
      </w:r>
      <w:r w:rsidR="008C43F3" w:rsidRPr="00FE6281">
        <w:t xml:space="preserve"> </w:t>
      </w:r>
      <w:r w:rsidR="005408D7" w:rsidRPr="00FE6281">
        <w:t xml:space="preserve">pirmajā teikumā </w:t>
      </w:r>
      <w:r w:rsidR="008C43F3" w:rsidRPr="00FE6281">
        <w:t>ietverts</w:t>
      </w:r>
      <w:r w:rsidR="00061223" w:rsidRPr="00FE6281">
        <w:t xml:space="preserve"> pietiekams deleģējums </w:t>
      </w:r>
      <w:r w:rsidR="009E1C0D" w:rsidRPr="00FE6281">
        <w:t xml:space="preserve">Ministru kabinetam paredzēt konkrētas prasības vides aizsardzības </w:t>
      </w:r>
      <w:r w:rsidR="00CC6C35" w:rsidRPr="00FE6281">
        <w:t xml:space="preserve">pasākumiem </w:t>
      </w:r>
      <w:r w:rsidR="009E1C0D" w:rsidRPr="00FE6281">
        <w:t>ogļūdeņražu izpētes un ieguves darbiem sauszemē</w:t>
      </w:r>
      <w:r w:rsidR="003743B2" w:rsidRPr="00FE6281">
        <w:t xml:space="preserve">. Pieteicējas apsvērumi par deleģējuma neesību lielā mērā balstīti </w:t>
      </w:r>
      <w:r w:rsidR="00B32E94" w:rsidRPr="00FE6281">
        <w:t>sev vēlamā tiesību normas lasījumā, neņemot vērā tiesību normas teksta formulējum</w:t>
      </w:r>
      <w:r w:rsidR="00C45404" w:rsidRPr="00FE6281">
        <w:t xml:space="preserve">u un </w:t>
      </w:r>
      <w:r w:rsidR="00B96BF6" w:rsidRPr="00FE6281">
        <w:t xml:space="preserve">pienācīgi </w:t>
      </w:r>
      <w:r w:rsidR="00C45404" w:rsidRPr="00FE6281">
        <w:t>nenoskaidrojot šīs normas saturu</w:t>
      </w:r>
      <w:r w:rsidR="00E93539" w:rsidRPr="00FE6281">
        <w:t>.</w:t>
      </w:r>
    </w:p>
    <w:p w14:paraId="6F9EDC2D" w14:textId="77777777" w:rsidR="009308A7" w:rsidRPr="00FE6281" w:rsidRDefault="009308A7" w:rsidP="00747DBB">
      <w:pPr>
        <w:spacing w:line="276" w:lineRule="auto"/>
        <w:ind w:firstLine="709"/>
        <w:jc w:val="both"/>
      </w:pPr>
    </w:p>
    <w:p w14:paraId="5B08D18B" w14:textId="3CB64627" w:rsidR="00666C44" w:rsidRPr="00FE6281" w:rsidRDefault="009308A7" w:rsidP="00747DBB">
      <w:pPr>
        <w:pStyle w:val="NormalWeb"/>
        <w:shd w:val="clear" w:color="auto" w:fill="FFFFFF"/>
        <w:spacing w:before="0" w:beforeAutospacing="0" w:after="0" w:afterAutospacing="0" w:line="276" w:lineRule="auto"/>
        <w:ind w:firstLine="720"/>
        <w:jc w:val="both"/>
      </w:pPr>
      <w:r>
        <w:t>[8] </w:t>
      </w:r>
      <w:r w:rsidR="008B487E" w:rsidRPr="00FE6281">
        <w:t xml:space="preserve">Pamatojoties uz </w:t>
      </w:r>
      <w:r w:rsidR="006E572C" w:rsidRPr="00FE6281">
        <w:t>likuma „Par zemes dzīlēm” 10.panta septītajā daļā</w:t>
      </w:r>
      <w:r w:rsidR="008B487E" w:rsidRPr="00FE6281">
        <w:t xml:space="preserve"> </w:t>
      </w:r>
      <w:r w:rsidR="006E572C" w:rsidRPr="00FE6281">
        <w:t xml:space="preserve">ietverto </w:t>
      </w:r>
      <w:r w:rsidR="008B487E" w:rsidRPr="00FE6281">
        <w:t>deleģējumu,</w:t>
      </w:r>
      <w:r w:rsidR="0012783D" w:rsidRPr="00FE6281">
        <w:t xml:space="preserve"> izdoti noteikumi Nr. 805</w:t>
      </w:r>
      <w:r w:rsidR="001F335C" w:rsidRPr="00FE6281">
        <w:t xml:space="preserve"> (iepriekš Ministru kabineta 2006.gada 18.jūlija noteikumi Nr.</w:t>
      </w:r>
      <w:r w:rsidR="00666C44" w:rsidRPr="00FE6281">
        <w:t> </w:t>
      </w:r>
      <w:r w:rsidR="001F335C" w:rsidRPr="00FE6281">
        <w:t>595</w:t>
      </w:r>
      <w:r w:rsidR="00346632" w:rsidRPr="00FE6281">
        <w:t xml:space="preserve"> </w:t>
      </w:r>
      <w:r w:rsidR="001F335C" w:rsidRPr="00FE6281">
        <w:t>„Noteikumi par vides aizsardzību ogļūdeņražu izpētes un ieguves darbos jūrā”</w:t>
      </w:r>
      <w:r w:rsidR="00230C9B" w:rsidRPr="00FE6281">
        <w:t xml:space="preserve"> un Ministru kabineta 2007.gada 4.novembra noteikumi Nr. 597 „Noteikumi par ogļūdeņražu meklēšanu, izpēti un ieguvi un valsts nodevas maksāšanas kārtību un apjomu”</w:t>
      </w:r>
      <w:r w:rsidR="001F335C" w:rsidRPr="00FE6281">
        <w:t>)</w:t>
      </w:r>
      <w:r w:rsidR="0012783D" w:rsidRPr="00FE6281">
        <w:t>.</w:t>
      </w:r>
      <w:r w:rsidR="00997669" w:rsidRPr="00FE6281">
        <w:t xml:space="preserve"> </w:t>
      </w:r>
      <w:r w:rsidR="0012783D" w:rsidRPr="00FE6281">
        <w:t>Atbilstoši n</w:t>
      </w:r>
      <w:r w:rsidR="007470EF" w:rsidRPr="00FE6281">
        <w:t>oteikumu</w:t>
      </w:r>
      <w:r w:rsidR="00BE10D4" w:rsidRPr="00FE6281">
        <w:t xml:space="preserve"> Nr. 805</w:t>
      </w:r>
      <w:r w:rsidR="0012783D" w:rsidRPr="00FE6281">
        <w:t xml:space="preserve"> </w:t>
      </w:r>
      <w:r w:rsidR="00DE597F" w:rsidRPr="00FE6281">
        <w:t>1.6.apakšpunkt</w:t>
      </w:r>
      <w:r w:rsidR="0012783D" w:rsidRPr="00FE6281">
        <w:t xml:space="preserve">am </w:t>
      </w:r>
      <w:r w:rsidR="00F95AB1" w:rsidRPr="00FE6281">
        <w:t xml:space="preserve">šie </w:t>
      </w:r>
      <w:r w:rsidR="00BE10D4" w:rsidRPr="00FE6281">
        <w:t>noteikumi</w:t>
      </w:r>
      <w:r w:rsidR="00DE597F" w:rsidRPr="00FE6281">
        <w:t xml:space="preserve"> nosaka ogļūdeņražu meklēšanas, izpētes un ieguves kārtību Latvijas teritorijā uz sauszemes, iekšējos jūras ūdeņos, teritoriālajā jūrā un ekskluzīvajā ekonomiskajā zonā. </w:t>
      </w:r>
      <w:r w:rsidR="00F95AB1" w:rsidRPr="00FE6281">
        <w:t>N</w:t>
      </w:r>
      <w:r w:rsidR="00DE597F" w:rsidRPr="00FE6281">
        <w:t xml:space="preserve">oteikumu </w:t>
      </w:r>
      <w:r w:rsidR="00C660A5" w:rsidRPr="00FE6281">
        <w:t xml:space="preserve">Nr. 805 </w:t>
      </w:r>
      <w:r w:rsidR="00DE597F" w:rsidRPr="00FE6281">
        <w:t>151.punkts paredz piesārņojošās darbības atļaujas saņemšanu saskaņā ar šo jomu reglamentējošiem normatīvajiem aktiem, lai veiktu ogļūdeņražu ieguvi</w:t>
      </w:r>
      <w:r w:rsidR="0012783D" w:rsidRPr="00FE6281">
        <w:t>.</w:t>
      </w:r>
    </w:p>
    <w:p w14:paraId="5D458654" w14:textId="5C37A5BE" w:rsidR="006679E6" w:rsidRPr="00FE6281" w:rsidRDefault="007470EF"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Tas, ka noteikumu</w:t>
      </w:r>
      <w:r w:rsidR="005B7908" w:rsidRPr="00FE6281">
        <w:t xml:space="preserve"> Nr. 805</w:t>
      </w:r>
      <w:r w:rsidRPr="00FE6281">
        <w:rPr>
          <w:shd w:val="clear" w:color="auto" w:fill="FFFFFF"/>
        </w:rPr>
        <w:t xml:space="preserve"> 151.punkts vispārīgi </w:t>
      </w:r>
      <w:r w:rsidR="0012783D" w:rsidRPr="00FE6281">
        <w:rPr>
          <w:shd w:val="clear" w:color="auto" w:fill="FFFFFF"/>
        </w:rPr>
        <w:t>paredz</w:t>
      </w:r>
      <w:r w:rsidRPr="00FE6281">
        <w:rPr>
          <w:shd w:val="clear" w:color="auto" w:fill="FFFFFF"/>
        </w:rPr>
        <w:t>, ka ogļūdeņražu ieguvei jāsaņem piesārņojoš</w:t>
      </w:r>
      <w:r w:rsidR="000E31D3">
        <w:rPr>
          <w:shd w:val="clear" w:color="auto" w:fill="FFFFFF"/>
        </w:rPr>
        <w:t>a</w:t>
      </w:r>
      <w:r w:rsidRPr="00FE6281">
        <w:rPr>
          <w:shd w:val="clear" w:color="auto" w:fill="FFFFFF"/>
        </w:rPr>
        <w:t>s darbības atļauja, neprecizējot</w:t>
      </w:r>
      <w:r w:rsidR="00346632" w:rsidRPr="00FE6281">
        <w:rPr>
          <w:shd w:val="clear" w:color="auto" w:fill="FFFFFF"/>
        </w:rPr>
        <w:t xml:space="preserve"> </w:t>
      </w:r>
      <w:r w:rsidR="00BE10D4" w:rsidRPr="00FE6281">
        <w:rPr>
          <w:shd w:val="clear" w:color="auto" w:fill="FFFFFF"/>
        </w:rPr>
        <w:t>kād</w:t>
      </w:r>
      <w:r w:rsidR="00AD0A38" w:rsidRPr="00FE6281">
        <w:rPr>
          <w:shd w:val="clear" w:color="auto" w:fill="FFFFFF"/>
        </w:rPr>
        <w:t>a</w:t>
      </w:r>
      <w:r w:rsidR="00F95AB1" w:rsidRPr="00FE6281">
        <w:rPr>
          <w:shd w:val="clear" w:color="auto" w:fill="FFFFFF"/>
        </w:rPr>
        <w:t xml:space="preserve"> veida</w:t>
      </w:r>
      <w:r w:rsidR="00666C44" w:rsidRPr="00FE6281">
        <w:rPr>
          <w:shd w:val="clear" w:color="auto" w:fill="FFFFFF"/>
        </w:rPr>
        <w:t xml:space="preserve"> </w:t>
      </w:r>
      <w:r w:rsidR="00B716B3" w:rsidRPr="00FE6281">
        <w:rPr>
          <w:shd w:val="clear" w:color="auto" w:fill="FFFFFF"/>
        </w:rPr>
        <w:t>atļauju</w:t>
      </w:r>
      <w:r w:rsidRPr="00FE6281">
        <w:rPr>
          <w:shd w:val="clear" w:color="auto" w:fill="FFFFFF"/>
        </w:rPr>
        <w:t>, n</w:t>
      </w:r>
      <w:r w:rsidR="00E14D57" w:rsidRPr="00FE6281">
        <w:rPr>
          <w:shd w:val="clear" w:color="auto" w:fill="FFFFFF"/>
        </w:rPr>
        <w:t>enozīmē</w:t>
      </w:r>
      <w:r w:rsidRPr="00FE6281">
        <w:rPr>
          <w:shd w:val="clear" w:color="auto" w:fill="FFFFFF"/>
        </w:rPr>
        <w:t xml:space="preserve">, ka </w:t>
      </w:r>
      <w:r w:rsidR="00E533FE" w:rsidRPr="00FE6281">
        <w:rPr>
          <w:shd w:val="clear" w:color="auto" w:fill="FFFFFF"/>
        </w:rPr>
        <w:t xml:space="preserve">tāpēc </w:t>
      </w:r>
      <w:r w:rsidR="00E14D57" w:rsidRPr="00FE6281">
        <w:rPr>
          <w:shd w:val="clear" w:color="auto" w:fill="FFFFFF"/>
        </w:rPr>
        <w:t xml:space="preserve">prasība </w:t>
      </w:r>
      <w:r w:rsidRPr="00FE6281">
        <w:rPr>
          <w:shd w:val="clear" w:color="auto" w:fill="FFFFFF"/>
        </w:rPr>
        <w:t>saņemt atļauj</w:t>
      </w:r>
      <w:r w:rsidR="00E14D57" w:rsidRPr="00FE6281">
        <w:rPr>
          <w:shd w:val="clear" w:color="auto" w:fill="FFFFFF"/>
        </w:rPr>
        <w:t xml:space="preserve">u </w:t>
      </w:r>
      <w:r w:rsidR="00E533FE" w:rsidRPr="00FE6281">
        <w:rPr>
          <w:shd w:val="clear" w:color="auto" w:fill="FFFFFF"/>
        </w:rPr>
        <w:t>– neatkarīgi no tā, vai darbību plānots īstenot jūrā vai sauszemē,</w:t>
      </w:r>
      <w:r w:rsidR="00DA4519">
        <w:rPr>
          <w:shd w:val="clear" w:color="auto" w:fill="FFFFFF"/>
        </w:rPr>
        <w:t> </w:t>
      </w:r>
      <w:r w:rsidR="00E533FE" w:rsidRPr="00FE6281">
        <w:rPr>
          <w:shd w:val="clear" w:color="auto" w:fill="FFFFFF"/>
        </w:rPr>
        <w:t>–</w:t>
      </w:r>
      <w:r w:rsidR="00DA4519">
        <w:rPr>
          <w:shd w:val="clear" w:color="auto" w:fill="FFFFFF"/>
        </w:rPr>
        <w:t> </w:t>
      </w:r>
      <w:r w:rsidR="00E14D57" w:rsidRPr="00FE6281">
        <w:rPr>
          <w:shd w:val="clear" w:color="auto" w:fill="FFFFFF"/>
        </w:rPr>
        <w:t>zaudē jēgu</w:t>
      </w:r>
      <w:r w:rsidR="00AD0A38" w:rsidRPr="00FE6281">
        <w:rPr>
          <w:shd w:val="clear" w:color="auto" w:fill="FFFFFF"/>
        </w:rPr>
        <w:t xml:space="preserve">. </w:t>
      </w:r>
      <w:r w:rsidR="00666C44" w:rsidRPr="00FE6281">
        <w:rPr>
          <w:shd w:val="clear" w:color="auto" w:fill="FFFFFF"/>
        </w:rPr>
        <w:t>N</w:t>
      </w:r>
      <w:r w:rsidR="00AD0A38" w:rsidRPr="00FE6281">
        <w:rPr>
          <w:shd w:val="clear" w:color="auto" w:fill="FFFFFF"/>
        </w:rPr>
        <w:t>oteikumu Nr. 805 151.punkt</w:t>
      </w:r>
      <w:r w:rsidR="00666C44" w:rsidRPr="00FE6281">
        <w:rPr>
          <w:shd w:val="clear" w:color="auto" w:fill="FFFFFF"/>
        </w:rPr>
        <w:t>s paredz, ka</w:t>
      </w:r>
      <w:r w:rsidR="00AD0A38" w:rsidRPr="00FE6281">
        <w:rPr>
          <w:shd w:val="clear" w:color="auto" w:fill="FFFFFF"/>
        </w:rPr>
        <w:t xml:space="preserve"> </w:t>
      </w:r>
      <w:r w:rsidRPr="00FE6281">
        <w:rPr>
          <w:shd w:val="clear" w:color="auto" w:fill="FFFFFF"/>
        </w:rPr>
        <w:t xml:space="preserve">atļauja </w:t>
      </w:r>
      <w:r w:rsidR="00AD0A38" w:rsidRPr="00FE6281">
        <w:rPr>
          <w:shd w:val="clear" w:color="auto" w:fill="FFFFFF"/>
        </w:rPr>
        <w:t>saņemama</w:t>
      </w:r>
      <w:r w:rsidRPr="00FE6281">
        <w:rPr>
          <w:shd w:val="clear" w:color="auto" w:fill="FFFFFF"/>
        </w:rPr>
        <w:t xml:space="preserve"> saskaņā ar šo jomu regulējošajiem normatīvajiem aktiem</w:t>
      </w:r>
      <w:r w:rsidR="0090613E" w:rsidRPr="00FE6281">
        <w:rPr>
          <w:shd w:val="clear" w:color="auto" w:fill="FFFFFF"/>
        </w:rPr>
        <w:t xml:space="preserve">. </w:t>
      </w:r>
      <w:r w:rsidR="00E533FE" w:rsidRPr="00FE6281">
        <w:rPr>
          <w:shd w:val="clear" w:color="auto" w:fill="FFFFFF"/>
        </w:rPr>
        <w:t xml:space="preserve">Tas nozīmē – </w:t>
      </w:r>
      <w:r w:rsidR="0090613E" w:rsidRPr="00FE6281">
        <w:rPr>
          <w:shd w:val="clear" w:color="auto" w:fill="FFFFFF"/>
        </w:rPr>
        <w:t>saskaņā ar likumu „Par piesārņojumu” un noteikumiem Nr. 1082</w:t>
      </w:r>
      <w:r w:rsidR="00F34C63" w:rsidRPr="00FE6281">
        <w:rPr>
          <w:shd w:val="clear" w:color="auto" w:fill="FFFFFF"/>
        </w:rPr>
        <w:t xml:space="preserve"> (sal. </w:t>
      </w:r>
      <w:r w:rsidR="00F34C63" w:rsidRPr="00FE6281">
        <w:rPr>
          <w:i/>
          <w:iCs/>
          <w:shd w:val="clear" w:color="auto" w:fill="FFFFFF"/>
        </w:rPr>
        <w:t>Senāta 2020.gada 28.aprīļa sprieduma lietā Nr.</w:t>
      </w:r>
      <w:r w:rsidR="0026752A" w:rsidRPr="00FE6281">
        <w:rPr>
          <w:i/>
          <w:iCs/>
          <w:shd w:val="clear" w:color="auto" w:fill="FFFFFF"/>
        </w:rPr>
        <w:t> </w:t>
      </w:r>
      <w:r w:rsidR="00F34C63" w:rsidRPr="00FE6281">
        <w:rPr>
          <w:i/>
          <w:iCs/>
          <w:shd w:val="clear" w:color="auto" w:fill="FFFFFF"/>
        </w:rPr>
        <w:t>SKA</w:t>
      </w:r>
      <w:r w:rsidR="00F34C63" w:rsidRPr="00FE6281">
        <w:rPr>
          <w:i/>
          <w:iCs/>
          <w:shd w:val="clear" w:color="auto" w:fill="FFFFFF"/>
        </w:rPr>
        <w:noBreakHyphen/>
        <w:t>91/2020</w:t>
      </w:r>
      <w:r w:rsidR="003869F1" w:rsidRPr="00FE6281">
        <w:rPr>
          <w:i/>
          <w:iCs/>
          <w:shd w:val="clear" w:color="auto" w:fill="FFFFFF"/>
        </w:rPr>
        <w:t xml:space="preserve">, </w:t>
      </w:r>
      <w:hyperlink r:id="rId11" w:history="1">
        <w:r w:rsidR="003869F1" w:rsidRPr="00FE6281">
          <w:rPr>
            <w:rStyle w:val="Hyperlink"/>
            <w:i/>
            <w:iCs/>
            <w:shd w:val="clear" w:color="auto" w:fill="FFFFFF"/>
          </w:rPr>
          <w:t>ECLI:LV:AT:2020:0428.A420163416.9.S</w:t>
        </w:r>
      </w:hyperlink>
      <w:r w:rsidR="003869F1" w:rsidRPr="00FE6281">
        <w:rPr>
          <w:i/>
          <w:iCs/>
          <w:shd w:val="clear" w:color="auto" w:fill="FFFFFF"/>
        </w:rPr>
        <w:t>, 8.</w:t>
      </w:r>
      <w:r w:rsidR="00F34C63" w:rsidRPr="00FE6281">
        <w:rPr>
          <w:i/>
          <w:iCs/>
          <w:shd w:val="clear" w:color="auto" w:fill="FFFFFF"/>
        </w:rPr>
        <w:t>punkts</w:t>
      </w:r>
      <w:r w:rsidR="00F34C63" w:rsidRPr="00FE6281">
        <w:rPr>
          <w:shd w:val="clear" w:color="auto" w:fill="FFFFFF"/>
        </w:rPr>
        <w:t>).</w:t>
      </w:r>
    </w:p>
    <w:p w14:paraId="6DA1F2AC" w14:textId="50472921" w:rsidR="00E533FE" w:rsidRPr="00FE6281" w:rsidRDefault="00F72AB5"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Turklāt no noteikumu Nr. 805</w:t>
      </w:r>
      <w:r w:rsidR="00AD4F6B" w:rsidRPr="00FE6281">
        <w:rPr>
          <w:shd w:val="clear" w:color="auto" w:fill="FFFFFF"/>
        </w:rPr>
        <w:t xml:space="preserve"> anotācijas</w:t>
      </w:r>
      <w:r w:rsidRPr="00FE6281">
        <w:rPr>
          <w:shd w:val="clear" w:color="auto" w:fill="FFFFFF"/>
        </w:rPr>
        <w:t xml:space="preserve"> izriet, ka pati pieteicēja aktīvi </w:t>
      </w:r>
      <w:r w:rsidR="0009655B" w:rsidRPr="00FE6281">
        <w:rPr>
          <w:shd w:val="clear" w:color="auto" w:fill="FFFFFF"/>
        </w:rPr>
        <w:t xml:space="preserve">ir </w:t>
      </w:r>
      <w:r w:rsidRPr="00FE6281">
        <w:rPr>
          <w:shd w:val="clear" w:color="auto" w:fill="FFFFFF"/>
        </w:rPr>
        <w:t xml:space="preserve">līdzdarbojusies </w:t>
      </w:r>
      <w:r w:rsidR="00F95AB1" w:rsidRPr="00FE6281">
        <w:rPr>
          <w:shd w:val="clear" w:color="auto" w:fill="FFFFFF"/>
        </w:rPr>
        <w:t>minēto</w:t>
      </w:r>
      <w:r w:rsidRPr="00FE6281">
        <w:rPr>
          <w:shd w:val="clear" w:color="auto" w:fill="FFFFFF"/>
        </w:rPr>
        <w:t xml:space="preserve"> noteikumu izst</w:t>
      </w:r>
      <w:r w:rsidR="005578E4">
        <w:rPr>
          <w:shd w:val="clear" w:color="auto" w:fill="FFFFFF"/>
        </w:rPr>
        <w:t>r</w:t>
      </w:r>
      <w:r w:rsidRPr="00FE6281">
        <w:rPr>
          <w:shd w:val="clear" w:color="auto" w:fill="FFFFFF"/>
        </w:rPr>
        <w:t xml:space="preserve">ādes </w:t>
      </w:r>
      <w:r w:rsidR="0009655B" w:rsidRPr="00FE6281">
        <w:rPr>
          <w:shd w:val="clear" w:color="auto" w:fill="FFFFFF"/>
        </w:rPr>
        <w:t>procesā</w:t>
      </w:r>
      <w:r w:rsidRPr="00FE6281">
        <w:rPr>
          <w:shd w:val="clear" w:color="auto" w:fill="FFFFFF"/>
        </w:rPr>
        <w:t xml:space="preserve">, </w:t>
      </w:r>
      <w:r w:rsidR="00346632" w:rsidRPr="00FE6281">
        <w:rPr>
          <w:shd w:val="clear" w:color="auto" w:fill="FFFFFF"/>
        </w:rPr>
        <w:t>izsakot</w:t>
      </w:r>
      <w:r w:rsidRPr="00FE6281">
        <w:rPr>
          <w:shd w:val="clear" w:color="auto" w:fill="FFFFFF"/>
        </w:rPr>
        <w:t xml:space="preserve"> dažādus priekšlikumus un iebildumus, </w:t>
      </w:r>
      <w:r w:rsidR="00D91381" w:rsidRPr="00FE6281">
        <w:rPr>
          <w:shd w:val="clear" w:color="auto" w:fill="FFFFFF"/>
        </w:rPr>
        <w:t>tostarp</w:t>
      </w:r>
      <w:r w:rsidRPr="00FE6281">
        <w:rPr>
          <w:shd w:val="clear" w:color="auto" w:fill="FFFFFF"/>
        </w:rPr>
        <w:t xml:space="preserve"> saistībā ar prasību </w:t>
      </w:r>
      <w:r w:rsidR="0090613E" w:rsidRPr="00FE6281">
        <w:rPr>
          <w:shd w:val="clear" w:color="auto" w:fill="FFFFFF"/>
        </w:rPr>
        <w:t>saņemt</w:t>
      </w:r>
      <w:r w:rsidR="0009655B" w:rsidRPr="00FE6281">
        <w:rPr>
          <w:shd w:val="clear" w:color="auto" w:fill="FFFFFF"/>
        </w:rPr>
        <w:t xml:space="preserve"> </w:t>
      </w:r>
      <w:r w:rsidRPr="00FE6281">
        <w:rPr>
          <w:shd w:val="clear" w:color="auto" w:fill="FFFFFF"/>
        </w:rPr>
        <w:t xml:space="preserve">piesārņojošās darbības </w:t>
      </w:r>
      <w:r w:rsidR="00E533FE" w:rsidRPr="00FE6281">
        <w:rPr>
          <w:shd w:val="clear" w:color="auto" w:fill="FFFFFF"/>
        </w:rPr>
        <w:t>atļauju</w:t>
      </w:r>
      <w:r w:rsidR="00AD4F6B" w:rsidRPr="00FE6281">
        <w:rPr>
          <w:shd w:val="clear" w:color="auto" w:fill="FFFFFF"/>
        </w:rPr>
        <w:t xml:space="preserve"> (</w:t>
      </w:r>
      <w:r w:rsidR="00AD4F6B" w:rsidRPr="00FE6281">
        <w:rPr>
          <w:i/>
          <w:iCs/>
          <w:shd w:val="clear" w:color="auto" w:fill="FFFFFF"/>
        </w:rPr>
        <w:t>Ministru kabineta noteikumu projekta „Noteikumi par ogļūdeņražu meklēšanu, izpēti un ieguvi” sākotnējās ietekmes novērtējuma ziņojum</w:t>
      </w:r>
      <w:r w:rsidR="00AE130D" w:rsidRPr="00FE6281">
        <w:rPr>
          <w:i/>
          <w:iCs/>
          <w:shd w:val="clear" w:color="auto" w:fill="FFFFFF"/>
        </w:rPr>
        <w:t>a</w:t>
      </w:r>
      <w:r w:rsidR="00AD4F6B" w:rsidRPr="00FE6281">
        <w:rPr>
          <w:i/>
          <w:iCs/>
          <w:shd w:val="clear" w:color="auto" w:fill="FFFFFF"/>
        </w:rPr>
        <w:t xml:space="preserve"> (</w:t>
      </w:r>
      <w:hyperlink r:id="rId12" w:history="1">
        <w:r w:rsidR="00AD4F6B" w:rsidRPr="00FE6281">
          <w:rPr>
            <w:rStyle w:val="Hyperlink"/>
            <w:i/>
            <w:iCs/>
            <w:shd w:val="clear" w:color="auto" w:fill="FFFFFF"/>
          </w:rPr>
          <w:t>anotācija</w:t>
        </w:r>
      </w:hyperlink>
      <w:r w:rsidR="00AE130D" w:rsidRPr="00FE6281">
        <w:rPr>
          <w:i/>
          <w:iCs/>
          <w:shd w:val="clear" w:color="auto" w:fill="FFFFFF"/>
        </w:rPr>
        <w:t>s</w:t>
      </w:r>
      <w:r w:rsidR="00AD4F6B" w:rsidRPr="00FE6281">
        <w:rPr>
          <w:i/>
          <w:iCs/>
          <w:shd w:val="clear" w:color="auto" w:fill="FFFFFF"/>
        </w:rPr>
        <w:t>)</w:t>
      </w:r>
      <w:r w:rsidR="00AE130D" w:rsidRPr="00FE6281">
        <w:rPr>
          <w:i/>
          <w:iCs/>
          <w:shd w:val="clear" w:color="auto" w:fill="FFFFFF"/>
        </w:rPr>
        <w:t xml:space="preserve"> VI sadaļas 2. un 3.punkts</w:t>
      </w:r>
      <w:r w:rsidR="00AD4F6B" w:rsidRPr="00FE6281">
        <w:rPr>
          <w:shd w:val="clear" w:color="auto" w:fill="FFFFFF"/>
        </w:rPr>
        <w:t>)</w:t>
      </w:r>
      <w:r w:rsidR="00E533FE" w:rsidRPr="00FE6281">
        <w:rPr>
          <w:color w:val="000000"/>
        </w:rPr>
        <w:t>.</w:t>
      </w:r>
      <w:r w:rsidR="00E533FE" w:rsidRPr="00FE6281">
        <w:rPr>
          <w:shd w:val="clear" w:color="auto" w:fill="FFFFFF"/>
        </w:rPr>
        <w:t xml:space="preserve"> Tādējādi nav šaubu, ka pati pieteicēja – pretēji kasācijas sūdzībā norādītajam – </w:t>
      </w:r>
      <w:r w:rsidR="0009655B" w:rsidRPr="00FE6281">
        <w:rPr>
          <w:shd w:val="clear" w:color="auto" w:fill="FFFFFF"/>
        </w:rPr>
        <w:t xml:space="preserve">pietiekami </w:t>
      </w:r>
      <w:r w:rsidR="00E533FE" w:rsidRPr="00FE6281">
        <w:rPr>
          <w:shd w:val="clear" w:color="auto" w:fill="FFFFFF"/>
        </w:rPr>
        <w:t xml:space="preserve">skaidri saprata </w:t>
      </w:r>
      <w:r w:rsidR="00F95AB1" w:rsidRPr="00FE6281">
        <w:rPr>
          <w:shd w:val="clear" w:color="auto" w:fill="FFFFFF"/>
        </w:rPr>
        <w:t xml:space="preserve">attiecīgo </w:t>
      </w:r>
      <w:r w:rsidR="00B716B3" w:rsidRPr="00FE6281">
        <w:rPr>
          <w:shd w:val="clear" w:color="auto" w:fill="FFFFFF"/>
        </w:rPr>
        <w:t xml:space="preserve">tiesību </w:t>
      </w:r>
      <w:r w:rsidR="0009655B" w:rsidRPr="00FE6281">
        <w:rPr>
          <w:shd w:val="clear" w:color="auto" w:fill="FFFFFF"/>
        </w:rPr>
        <w:t>norm</w:t>
      </w:r>
      <w:r w:rsidR="00F95AB1" w:rsidRPr="00FE6281">
        <w:rPr>
          <w:shd w:val="clear" w:color="auto" w:fill="FFFFFF"/>
        </w:rPr>
        <w:t>u</w:t>
      </w:r>
      <w:r w:rsidR="00E533FE" w:rsidRPr="00FE6281">
        <w:rPr>
          <w:shd w:val="clear" w:color="auto" w:fill="FFFFFF"/>
        </w:rPr>
        <w:t xml:space="preserve"> un varēja </w:t>
      </w:r>
      <w:r w:rsidR="00F95AB1" w:rsidRPr="00FE6281">
        <w:rPr>
          <w:shd w:val="clear" w:color="auto" w:fill="FFFFFF"/>
        </w:rPr>
        <w:t xml:space="preserve">atbilstoši </w:t>
      </w:r>
      <w:r w:rsidR="00E533FE" w:rsidRPr="00FE6281">
        <w:rPr>
          <w:shd w:val="clear" w:color="auto" w:fill="FFFFFF"/>
        </w:rPr>
        <w:t>regulēt savas darbības un sekas.</w:t>
      </w:r>
    </w:p>
    <w:p w14:paraId="59B2D1B2" w14:textId="1C0344C9" w:rsidR="00BE10D4" w:rsidRPr="00FE6281" w:rsidRDefault="00E533FE" w:rsidP="00747DBB">
      <w:pPr>
        <w:spacing w:line="276" w:lineRule="auto"/>
        <w:ind w:firstLine="709"/>
        <w:jc w:val="both"/>
        <w:rPr>
          <w:rFonts w:asciiTheme="majorBidi" w:hAnsiTheme="majorBidi" w:cstheme="majorBidi"/>
        </w:rPr>
      </w:pPr>
      <w:r w:rsidRPr="00FE6281">
        <w:rPr>
          <w:shd w:val="clear" w:color="auto" w:fill="FFFFFF"/>
        </w:rPr>
        <w:t>Savukārt p</w:t>
      </w:r>
      <w:r w:rsidR="00AD388F" w:rsidRPr="00FE6281">
        <w:rPr>
          <w:shd w:val="clear" w:color="auto" w:fill="FFFFFF"/>
        </w:rPr>
        <w:t>ieteicējas norādītais apstāklis</w:t>
      </w:r>
      <w:r w:rsidR="00BE10D4" w:rsidRPr="00FE6281">
        <w:rPr>
          <w:shd w:val="clear" w:color="auto" w:fill="FFFFFF"/>
        </w:rPr>
        <w:t xml:space="preserve">, ka </w:t>
      </w:r>
      <w:r w:rsidR="00BE10D4" w:rsidRPr="00FE6281">
        <w:t xml:space="preserve">noteikumi </w:t>
      </w:r>
      <w:r w:rsidR="00365AFD" w:rsidRPr="00FE6281">
        <w:t xml:space="preserve">Nr. 805 </w:t>
      </w:r>
      <w:r w:rsidR="00BE10D4" w:rsidRPr="00FE6281">
        <w:t>pieņemti, lai izpildītu Direktīvas 2013/30/ES prasības</w:t>
      </w:r>
      <w:r w:rsidR="00AD0A38" w:rsidRPr="00FE6281">
        <w:t xml:space="preserve">, nenozīmē, ka </w:t>
      </w:r>
      <w:r w:rsidRPr="00FE6281">
        <w:t xml:space="preserve">tāpēc </w:t>
      </w:r>
      <w:r w:rsidR="00F95AB1" w:rsidRPr="00FE6281">
        <w:t>tajos</w:t>
      </w:r>
      <w:r w:rsidR="00AD0A38" w:rsidRPr="00FE6281">
        <w:t xml:space="preserve"> </w:t>
      </w:r>
      <w:r w:rsidRPr="00FE6281">
        <w:t xml:space="preserve">vienlaikus </w:t>
      </w:r>
      <w:r w:rsidR="00AD0A38" w:rsidRPr="00FE6281">
        <w:t>nevar</w:t>
      </w:r>
      <w:r w:rsidR="00AD388F" w:rsidRPr="00FE6281">
        <w:t xml:space="preserve"> tikt</w:t>
      </w:r>
      <w:r w:rsidR="00AD0A38" w:rsidRPr="00FE6281">
        <w:t xml:space="preserve"> iekļaut</w:t>
      </w:r>
      <w:r w:rsidR="00AD388F" w:rsidRPr="00FE6281">
        <w:t>as</w:t>
      </w:r>
      <w:r w:rsidR="00AD0A38" w:rsidRPr="00FE6281">
        <w:t xml:space="preserve"> prasības, kas izriet no </w:t>
      </w:r>
      <w:r w:rsidR="00BE10D4" w:rsidRPr="00FE6281">
        <w:t>Direktīv</w:t>
      </w:r>
      <w:r w:rsidR="00AD0A38" w:rsidRPr="00FE6281">
        <w:t>as</w:t>
      </w:r>
      <w:r w:rsidR="00BE10D4" w:rsidRPr="00FE6281">
        <w:t xml:space="preserve"> 94/22/EK.</w:t>
      </w:r>
      <w:r w:rsidR="00AD388F" w:rsidRPr="00FE6281">
        <w:t xml:space="preserve"> </w:t>
      </w:r>
      <w:r w:rsidR="00D91381" w:rsidRPr="00FE6281">
        <w:rPr>
          <w:rFonts w:asciiTheme="majorBidi" w:hAnsiTheme="majorBidi" w:cstheme="majorBidi"/>
        </w:rPr>
        <w:t xml:space="preserve">To </w:t>
      </w:r>
      <w:r w:rsidR="00AD388F" w:rsidRPr="00FE6281">
        <w:rPr>
          <w:rFonts w:asciiTheme="majorBidi" w:hAnsiTheme="majorBidi" w:cstheme="majorBidi"/>
        </w:rPr>
        <w:t xml:space="preserve">apliecina </w:t>
      </w:r>
      <w:r w:rsidRPr="00FE6281">
        <w:rPr>
          <w:rFonts w:asciiTheme="majorBidi" w:hAnsiTheme="majorBidi" w:cstheme="majorBidi"/>
        </w:rPr>
        <w:t xml:space="preserve">arī </w:t>
      </w:r>
      <w:r w:rsidR="00AD388F" w:rsidRPr="00FE6281">
        <w:rPr>
          <w:rFonts w:asciiTheme="majorBidi" w:hAnsiTheme="majorBidi" w:cstheme="majorBidi"/>
        </w:rPr>
        <w:t>noteikumos iekļautā i</w:t>
      </w:r>
      <w:r w:rsidR="00AD388F" w:rsidRPr="00FE6281">
        <w:rPr>
          <w:rFonts w:asciiTheme="majorBidi" w:hAnsiTheme="majorBidi" w:cstheme="majorBidi"/>
          <w:shd w:val="clear" w:color="auto" w:fill="FFFFFF"/>
        </w:rPr>
        <w:t xml:space="preserve">nformatīvā atsauce uz </w:t>
      </w:r>
      <w:r w:rsidRPr="00FE6281">
        <w:rPr>
          <w:rFonts w:asciiTheme="majorBidi" w:hAnsiTheme="majorBidi" w:cstheme="majorBidi"/>
          <w:shd w:val="clear" w:color="auto" w:fill="FFFFFF"/>
        </w:rPr>
        <w:t xml:space="preserve">abām šīm </w:t>
      </w:r>
      <w:r w:rsidR="00AD388F" w:rsidRPr="00FE6281">
        <w:rPr>
          <w:rFonts w:asciiTheme="majorBidi" w:hAnsiTheme="majorBidi" w:cstheme="majorBidi"/>
          <w:shd w:val="clear" w:color="auto" w:fill="FFFFFF"/>
        </w:rPr>
        <w:t>direktīvām.</w:t>
      </w:r>
    </w:p>
    <w:p w14:paraId="29854AD0" w14:textId="710E7F5B" w:rsidR="00AD388F" w:rsidRPr="00FE6281" w:rsidRDefault="00D91381" w:rsidP="00747DBB">
      <w:pPr>
        <w:pStyle w:val="NormalWeb"/>
        <w:shd w:val="clear" w:color="auto" w:fill="FFFFFF"/>
        <w:spacing w:before="0" w:beforeAutospacing="0" w:after="0" w:afterAutospacing="0" w:line="276" w:lineRule="auto"/>
        <w:ind w:firstLine="720"/>
        <w:jc w:val="both"/>
      </w:pPr>
      <w:r w:rsidRPr="00FE6281">
        <w:t>Ievērojot iepriekš minēto,</w:t>
      </w:r>
      <w:r w:rsidR="00F72AB5" w:rsidRPr="00FE6281">
        <w:t xml:space="preserve"> pamatot</w:t>
      </w:r>
      <w:r w:rsidR="0009655B" w:rsidRPr="00FE6281">
        <w:t>s ir tiesas secinājums</w:t>
      </w:r>
      <w:r w:rsidR="00F72AB5" w:rsidRPr="00FE6281">
        <w:t xml:space="preserve">, ka ogļūdeņražu ieguvei visā Latvijas teritorijā </w:t>
      </w:r>
      <w:r w:rsidRPr="00FE6281">
        <w:t xml:space="preserve">– </w:t>
      </w:r>
      <w:r w:rsidR="00F72AB5" w:rsidRPr="00FE6281">
        <w:t>ne tikai jūrā</w:t>
      </w:r>
      <w:r w:rsidR="0009655B" w:rsidRPr="00FE6281">
        <w:t>, bet arī sauszemē</w:t>
      </w:r>
      <w:r w:rsidRPr="00FE6281">
        <w:t xml:space="preserve"> –</w:t>
      </w:r>
      <w:r w:rsidR="00F72AB5" w:rsidRPr="00FE6281">
        <w:t xml:space="preserve"> jāsaņem piesārņojošās</w:t>
      </w:r>
      <w:r w:rsidR="00346632" w:rsidRPr="00FE6281">
        <w:t xml:space="preserve"> </w:t>
      </w:r>
      <w:r w:rsidR="00F72AB5" w:rsidRPr="00FE6281">
        <w:t>darbības atļauja.</w:t>
      </w:r>
    </w:p>
    <w:p w14:paraId="215F118F" w14:textId="77777777" w:rsidR="00F72AB5" w:rsidRPr="00FE6281" w:rsidRDefault="00F72AB5" w:rsidP="00747DBB">
      <w:pPr>
        <w:pStyle w:val="NormalWeb"/>
        <w:shd w:val="clear" w:color="auto" w:fill="FFFFFF"/>
        <w:spacing w:before="0" w:beforeAutospacing="0" w:after="0" w:afterAutospacing="0" w:line="276" w:lineRule="auto"/>
        <w:ind w:firstLine="720"/>
        <w:jc w:val="both"/>
        <w:rPr>
          <w:shd w:val="clear" w:color="auto" w:fill="FFFFFF"/>
        </w:rPr>
      </w:pPr>
    </w:p>
    <w:p w14:paraId="361B5EA8" w14:textId="5CCA5145" w:rsidR="000F7E1E" w:rsidRPr="00FE6281" w:rsidRDefault="007470EF" w:rsidP="00747DBB">
      <w:pPr>
        <w:pStyle w:val="NormalWeb"/>
        <w:shd w:val="clear" w:color="auto" w:fill="FFFFFF"/>
        <w:spacing w:before="0" w:beforeAutospacing="0" w:after="0" w:afterAutospacing="0" w:line="276" w:lineRule="auto"/>
        <w:ind w:firstLine="720"/>
        <w:jc w:val="both"/>
      </w:pPr>
      <w:r w:rsidRPr="00FE6281">
        <w:rPr>
          <w:shd w:val="clear" w:color="auto" w:fill="FFFFFF"/>
        </w:rPr>
        <w:t>[</w:t>
      </w:r>
      <w:r w:rsidR="009308A7">
        <w:rPr>
          <w:shd w:val="clear" w:color="auto" w:fill="FFFFFF"/>
        </w:rPr>
        <w:t>9</w:t>
      </w:r>
      <w:r w:rsidRPr="00FE6281">
        <w:rPr>
          <w:shd w:val="clear" w:color="auto" w:fill="FFFFFF"/>
        </w:rPr>
        <w:t>] </w:t>
      </w:r>
      <w:r w:rsidR="005C5686" w:rsidRPr="00FE6281">
        <w:rPr>
          <w:shd w:val="clear" w:color="auto" w:fill="FFFFFF"/>
        </w:rPr>
        <w:t>N</w:t>
      </w:r>
      <w:r w:rsidR="000F7E1E" w:rsidRPr="00FE6281">
        <w:t xml:space="preserve">oraidāms ir pieteicējas iebildums, ka tiesa nepamatoti </w:t>
      </w:r>
      <w:r w:rsidR="005C5686" w:rsidRPr="00FE6281">
        <w:t xml:space="preserve">ir </w:t>
      </w:r>
      <w:r w:rsidR="000F7E1E" w:rsidRPr="00FE6281">
        <w:t>piemērojusi likuma „Par piesārņojumu” 22.pantu un noteikumu Nr. 1082 1.pielikuma 8.8.apakšpunktu.</w:t>
      </w:r>
    </w:p>
    <w:p w14:paraId="083DDD58" w14:textId="5402A04A" w:rsidR="007470EF" w:rsidRPr="00FE6281" w:rsidRDefault="0011057D" w:rsidP="00747DBB">
      <w:pPr>
        <w:pStyle w:val="NormalWeb"/>
        <w:shd w:val="clear" w:color="auto" w:fill="FFFFFF"/>
        <w:spacing w:before="0" w:beforeAutospacing="0" w:after="0" w:afterAutospacing="0" w:line="276" w:lineRule="auto"/>
        <w:ind w:firstLine="720"/>
        <w:jc w:val="both"/>
      </w:pPr>
      <w:r w:rsidRPr="00FE6281">
        <w:lastRenderedPageBreak/>
        <w:t>Atbilstoši likuma „Par piesārņojumu” 20.panta pirmajai daļai piesārņojošas darbības, kuras veic, izmantojot šā likuma</w:t>
      </w:r>
      <w:r w:rsidR="0026752A" w:rsidRPr="00FE6281">
        <w:t xml:space="preserve"> </w:t>
      </w:r>
      <w:r w:rsidRPr="00FE6281">
        <w:t>1.pielikumā</w:t>
      </w:r>
      <w:r w:rsidR="0026752A" w:rsidRPr="00FE6281">
        <w:t xml:space="preserve"> </w:t>
      </w:r>
      <w:r w:rsidRPr="00FE6281">
        <w:t>noteiktās iekārtas, ir A kategorijas darbības.</w:t>
      </w:r>
      <w:r w:rsidR="00B53DD9" w:rsidRPr="00FE6281">
        <w:t xml:space="preserve"> Savukārt </w:t>
      </w:r>
      <w:r w:rsidR="00772CF5" w:rsidRPr="00FE6281">
        <w:t xml:space="preserve">likuma „Par piesārņojumu” </w:t>
      </w:r>
      <w:r w:rsidR="00772CF5" w:rsidRPr="00FE6281">
        <w:rPr>
          <w:shd w:val="clear" w:color="auto" w:fill="FFFFFF"/>
        </w:rPr>
        <w:t xml:space="preserve">22.panta otrajā daļā ir ietverts deleģējums Ministru kabinetam noteikt </w:t>
      </w:r>
      <w:r w:rsidR="00B53DD9" w:rsidRPr="00FE6281">
        <w:rPr>
          <w:shd w:val="clear" w:color="auto" w:fill="FFFFFF"/>
        </w:rPr>
        <w:t xml:space="preserve">B kategorijas </w:t>
      </w:r>
      <w:r w:rsidR="00256F95" w:rsidRPr="00FE6281">
        <w:rPr>
          <w:shd w:val="clear" w:color="auto" w:fill="FFFFFF"/>
        </w:rPr>
        <w:t xml:space="preserve">piesārņojošās </w:t>
      </w:r>
      <w:r w:rsidR="00B53DD9" w:rsidRPr="00FE6281">
        <w:rPr>
          <w:shd w:val="clear" w:color="auto" w:fill="FFFFFF"/>
        </w:rPr>
        <w:t>darbības, ņemot vērā piesārņojuma daudzumu, iedarbību vai risku, ko tas rada cilvēku veselībai vai videi</w:t>
      </w:r>
      <w:r w:rsidR="00556D3B" w:rsidRPr="00FE6281">
        <w:rPr>
          <w:shd w:val="clear" w:color="auto" w:fill="FFFFFF"/>
        </w:rPr>
        <w:t>.</w:t>
      </w:r>
    </w:p>
    <w:p w14:paraId="7C0F159F" w14:textId="054FFF73" w:rsidR="007470EF" w:rsidRPr="00FE6281" w:rsidRDefault="0009655B"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Saskaņā ar</w:t>
      </w:r>
      <w:r w:rsidR="007470EF" w:rsidRPr="00FE6281">
        <w:rPr>
          <w:shd w:val="clear" w:color="auto" w:fill="FFFFFF"/>
        </w:rPr>
        <w:t xml:space="preserve"> noteikumu Nr. 1082 2.punkt</w:t>
      </w:r>
      <w:r w:rsidRPr="00FE6281">
        <w:rPr>
          <w:shd w:val="clear" w:color="auto" w:fill="FFFFFF"/>
        </w:rPr>
        <w:t>u</w:t>
      </w:r>
      <w:r w:rsidR="007470EF" w:rsidRPr="00FE6281">
        <w:rPr>
          <w:shd w:val="clear" w:color="auto" w:fill="FFFFFF"/>
        </w:rPr>
        <w:t xml:space="preserve"> </w:t>
      </w:r>
      <w:r w:rsidR="009D5114" w:rsidRPr="00FE6281">
        <w:rPr>
          <w:shd w:val="clear" w:color="auto" w:fill="FFFFFF"/>
        </w:rPr>
        <w:t xml:space="preserve">konkrētas </w:t>
      </w:r>
      <w:r w:rsidR="007470EF" w:rsidRPr="00FE6281">
        <w:rPr>
          <w:shd w:val="clear" w:color="auto" w:fill="FFFFFF"/>
        </w:rPr>
        <w:t>B kategorijas piesārņojoš</w:t>
      </w:r>
      <w:r w:rsidR="002C29EF">
        <w:rPr>
          <w:shd w:val="clear" w:color="auto" w:fill="FFFFFF"/>
        </w:rPr>
        <w:t>a</w:t>
      </w:r>
      <w:r w:rsidR="007470EF" w:rsidRPr="00FE6281">
        <w:rPr>
          <w:shd w:val="clear" w:color="auto" w:fill="FFFFFF"/>
        </w:rPr>
        <w:t xml:space="preserve">s darbības noteiktas </w:t>
      </w:r>
      <w:r w:rsidR="00507BEB" w:rsidRPr="00FE6281">
        <w:rPr>
          <w:shd w:val="clear" w:color="auto" w:fill="FFFFFF"/>
        </w:rPr>
        <w:t xml:space="preserve">noteikumu </w:t>
      </w:r>
      <w:r w:rsidR="007470EF" w:rsidRPr="00FE6281">
        <w:rPr>
          <w:shd w:val="clear" w:color="auto" w:fill="FFFFFF"/>
        </w:rPr>
        <w:t xml:space="preserve">1.pielikumā. </w:t>
      </w:r>
      <w:r w:rsidR="005C7915" w:rsidRPr="00FE6281">
        <w:rPr>
          <w:shd w:val="clear" w:color="auto" w:fill="FFFFFF"/>
        </w:rPr>
        <w:t xml:space="preserve">Lai gan </w:t>
      </w:r>
      <w:r w:rsidRPr="00FE6281">
        <w:rPr>
          <w:shd w:val="clear" w:color="auto" w:fill="FFFFFF"/>
        </w:rPr>
        <w:t xml:space="preserve">pārsūdzēto lēmumu pieņemšanas </w:t>
      </w:r>
      <w:r w:rsidR="00BE0A9C" w:rsidRPr="00FE6281">
        <w:rPr>
          <w:shd w:val="clear" w:color="auto" w:fill="FFFFFF"/>
        </w:rPr>
        <w:t>laikā</w:t>
      </w:r>
      <w:r w:rsidRPr="00FE6281">
        <w:rPr>
          <w:shd w:val="clear" w:color="auto" w:fill="FFFFFF"/>
        </w:rPr>
        <w:t xml:space="preserve"> </w:t>
      </w:r>
      <w:r w:rsidR="00D5712F" w:rsidRPr="00FE6281">
        <w:rPr>
          <w:shd w:val="clear" w:color="auto" w:fill="FFFFFF"/>
        </w:rPr>
        <w:t xml:space="preserve">noteikumu </w:t>
      </w:r>
      <w:r w:rsidR="00F95AB1" w:rsidRPr="00FE6281">
        <w:rPr>
          <w:shd w:val="clear" w:color="auto" w:fill="FFFFFF"/>
        </w:rPr>
        <w:t>1.</w:t>
      </w:r>
      <w:r w:rsidRPr="00FE6281">
        <w:rPr>
          <w:shd w:val="clear" w:color="auto" w:fill="FFFFFF"/>
        </w:rPr>
        <w:t>pielikumā nebija</w:t>
      </w:r>
      <w:r w:rsidR="007470EF" w:rsidRPr="00FE6281">
        <w:rPr>
          <w:shd w:val="clear" w:color="auto" w:fill="FFFFFF"/>
        </w:rPr>
        <w:t xml:space="preserve"> </w:t>
      </w:r>
      <w:r w:rsidR="005C5686" w:rsidRPr="00FE6281">
        <w:rPr>
          <w:shd w:val="clear" w:color="auto" w:fill="FFFFFF"/>
        </w:rPr>
        <w:t>paredzēta</w:t>
      </w:r>
      <w:r w:rsidR="007470EF" w:rsidRPr="00FE6281">
        <w:rPr>
          <w:shd w:val="clear" w:color="auto" w:fill="FFFFFF"/>
        </w:rPr>
        <w:t xml:space="preserve"> tāda darbība kā ogļūdeņražu ieguve</w:t>
      </w:r>
      <w:r w:rsidR="005C7915" w:rsidRPr="00FE6281">
        <w:rPr>
          <w:shd w:val="clear" w:color="auto" w:fill="FFFFFF"/>
        </w:rPr>
        <w:t>, tomēr p</w:t>
      </w:r>
      <w:r w:rsidR="007470EF" w:rsidRPr="00FE6281">
        <w:rPr>
          <w:shd w:val="clear" w:color="auto" w:fill="FFFFFF"/>
        </w:rPr>
        <w:t xml:space="preserve">iesārņojošas darbības, kurām nepieciešama B kategorijas atļauja, </w:t>
      </w:r>
      <w:r w:rsidRPr="00FE6281">
        <w:rPr>
          <w:shd w:val="clear" w:color="auto" w:fill="FFFFFF"/>
        </w:rPr>
        <w:t>atbilstoši</w:t>
      </w:r>
      <w:r w:rsidR="009D5114" w:rsidRPr="00FE6281">
        <w:rPr>
          <w:shd w:val="clear" w:color="auto" w:fill="FFFFFF"/>
        </w:rPr>
        <w:t xml:space="preserve"> š</w:t>
      </w:r>
      <w:r w:rsidRPr="00FE6281">
        <w:rPr>
          <w:shd w:val="clear" w:color="auto" w:fill="FFFFFF"/>
        </w:rPr>
        <w:t>ā</w:t>
      </w:r>
      <w:r w:rsidR="005C7915" w:rsidRPr="00FE6281">
        <w:rPr>
          <w:shd w:val="clear" w:color="auto" w:fill="FFFFFF"/>
        </w:rPr>
        <w:t xml:space="preserve"> </w:t>
      </w:r>
      <w:r w:rsidR="007470EF" w:rsidRPr="00FE6281">
        <w:rPr>
          <w:shd w:val="clear" w:color="auto" w:fill="FFFFFF"/>
        </w:rPr>
        <w:t>pielikuma 8.8.apakšpunkt</w:t>
      </w:r>
      <w:r w:rsidRPr="00FE6281">
        <w:rPr>
          <w:shd w:val="clear" w:color="auto" w:fill="FFFFFF"/>
        </w:rPr>
        <w:t>am</w:t>
      </w:r>
      <w:r w:rsidR="007470EF" w:rsidRPr="00FE6281">
        <w:rPr>
          <w:shd w:val="clear" w:color="auto" w:fill="FFFFFF"/>
        </w:rPr>
        <w:t xml:space="preserve"> ir </w:t>
      </w:r>
      <w:r w:rsidR="005C7915" w:rsidRPr="00FE6281">
        <w:rPr>
          <w:shd w:val="clear" w:color="auto" w:fill="FFFFFF"/>
        </w:rPr>
        <w:t xml:space="preserve">arī </w:t>
      </w:r>
      <w:r w:rsidR="007470EF" w:rsidRPr="00FE6281">
        <w:rPr>
          <w:shd w:val="clear" w:color="auto" w:fill="FFFFFF"/>
        </w:rPr>
        <w:t>citas piesārņojošās darbības, kuru veikšanai saskaņā ar normatīvo aktu prasībām ir nepieciešams saņemt atļauju piesārņojuma emisijai vidē.</w:t>
      </w:r>
      <w:r w:rsidR="005C7915" w:rsidRPr="00FE6281">
        <w:rPr>
          <w:shd w:val="clear" w:color="auto" w:fill="FFFFFF"/>
        </w:rPr>
        <w:t xml:space="preserve"> Tādējādi n</w:t>
      </w:r>
      <w:r w:rsidR="007470EF" w:rsidRPr="00FE6281">
        <w:rPr>
          <w:shd w:val="clear" w:color="auto" w:fill="FFFFFF"/>
        </w:rPr>
        <w:t xml:space="preserve">oteikumu Nr. 1082 1.pielikuma 8.8.apakšpunkts acīmredzami </w:t>
      </w:r>
      <w:r w:rsidR="00E533FE" w:rsidRPr="00FE6281">
        <w:rPr>
          <w:shd w:val="clear" w:color="auto" w:fill="FFFFFF"/>
        </w:rPr>
        <w:t>attiecas</w:t>
      </w:r>
      <w:r w:rsidR="007470EF" w:rsidRPr="00FE6281">
        <w:rPr>
          <w:shd w:val="clear" w:color="auto" w:fill="FFFFFF"/>
        </w:rPr>
        <w:t xml:space="preserve"> uz t</w:t>
      </w:r>
      <w:r w:rsidR="005C7915" w:rsidRPr="00FE6281">
        <w:rPr>
          <w:shd w:val="clear" w:color="auto" w:fill="FFFFFF"/>
        </w:rPr>
        <w:t>ādiem</w:t>
      </w:r>
      <w:r w:rsidR="007470EF" w:rsidRPr="00FE6281">
        <w:rPr>
          <w:shd w:val="clear" w:color="auto" w:fill="FFFFFF"/>
        </w:rPr>
        <w:t xml:space="preserve"> gadījumiem, kad normatīvā akta izdevējs citā normatīvajā aktā </w:t>
      </w:r>
      <w:r w:rsidR="005C7915" w:rsidRPr="00FE6281">
        <w:rPr>
          <w:shd w:val="clear" w:color="auto" w:fill="FFFFFF"/>
        </w:rPr>
        <w:t>ir</w:t>
      </w:r>
      <w:r w:rsidR="007470EF" w:rsidRPr="00FE6281">
        <w:rPr>
          <w:shd w:val="clear" w:color="auto" w:fill="FFFFFF"/>
        </w:rPr>
        <w:t xml:space="preserve"> notei</w:t>
      </w:r>
      <w:r w:rsidR="005C7915" w:rsidRPr="00FE6281">
        <w:rPr>
          <w:shd w:val="clear" w:color="auto" w:fill="FFFFFF"/>
        </w:rPr>
        <w:t>cis</w:t>
      </w:r>
      <w:r w:rsidR="007470EF" w:rsidRPr="00FE6281">
        <w:rPr>
          <w:shd w:val="clear" w:color="auto" w:fill="FFFFFF"/>
        </w:rPr>
        <w:t xml:space="preserve"> prasību piesārņojošās darbības atļaujas saņemšanai.</w:t>
      </w:r>
      <w:r w:rsidRPr="00FE6281">
        <w:rPr>
          <w:shd w:val="clear" w:color="auto" w:fill="FFFFFF"/>
        </w:rPr>
        <w:t xml:space="preserve"> Turklāt tiesa secināja, ka </w:t>
      </w:r>
      <w:r w:rsidR="00E94A2B" w:rsidRPr="00FE6281">
        <w:rPr>
          <w:shd w:val="clear" w:color="auto" w:fill="FFFFFF"/>
        </w:rPr>
        <w:t xml:space="preserve">noteikumu 1.pielikuma </w:t>
      </w:r>
      <w:r w:rsidRPr="00FE6281">
        <w:rPr>
          <w:shd w:val="clear" w:color="auto" w:fill="FFFFFF"/>
        </w:rPr>
        <w:t xml:space="preserve">8.8.apakšpunkts nenoteic prasības emisijas apjomam. </w:t>
      </w:r>
      <w:r w:rsidR="00516ABD" w:rsidRPr="00FE6281">
        <w:rPr>
          <w:shd w:val="clear" w:color="auto" w:fill="FFFFFF"/>
        </w:rPr>
        <w:t xml:space="preserve">Tas nozīmē, ka </w:t>
      </w:r>
      <w:r w:rsidR="00516ABD" w:rsidRPr="00FE6281">
        <w:t>atbilstoši šai tiesību normai jebkurā gadījumā ir saņemama atļauja piesārņojošās darbības veikšanai, ja to paredz cits normatīvais akts.</w:t>
      </w:r>
    </w:p>
    <w:p w14:paraId="42CEBCC8" w14:textId="1B263E80" w:rsidR="00E533FE" w:rsidRPr="00FE6281" w:rsidRDefault="00F95AB1"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Tādējādi, ņemot vērā to, ka</w:t>
      </w:r>
      <w:r w:rsidR="007470EF" w:rsidRPr="00FE6281">
        <w:rPr>
          <w:shd w:val="clear" w:color="auto" w:fill="FFFFFF"/>
        </w:rPr>
        <w:t xml:space="preserve"> noteikumu Nr. 805 151.punktā</w:t>
      </w:r>
      <w:r w:rsidRPr="00FE6281">
        <w:rPr>
          <w:shd w:val="clear" w:color="auto" w:fill="FFFFFF"/>
        </w:rPr>
        <w:t xml:space="preserve"> ir</w:t>
      </w:r>
      <w:r w:rsidR="007470EF" w:rsidRPr="00FE6281">
        <w:rPr>
          <w:shd w:val="clear" w:color="auto" w:fill="FFFFFF"/>
        </w:rPr>
        <w:t xml:space="preserve"> noteikta prasība saņemt piesārņojošās darbības atļauju,</w:t>
      </w:r>
      <w:r w:rsidR="008B487E" w:rsidRPr="00FE6281">
        <w:rPr>
          <w:shd w:val="clear" w:color="auto" w:fill="FFFFFF"/>
        </w:rPr>
        <w:t xml:space="preserve"> </w:t>
      </w:r>
      <w:r w:rsidR="008B487E" w:rsidRPr="00FE6281">
        <w:t>lai veiktu ogļūdeņražu ieguvi</w:t>
      </w:r>
      <w:r w:rsidR="0009655B" w:rsidRPr="00FE6281">
        <w:rPr>
          <w:shd w:val="clear" w:color="auto" w:fill="FFFFFF"/>
        </w:rPr>
        <w:t xml:space="preserve"> neatkarīgi no darbības apjoma</w:t>
      </w:r>
      <w:r w:rsidR="008B487E" w:rsidRPr="00FE6281">
        <w:t>,</w:t>
      </w:r>
      <w:r w:rsidR="007470EF" w:rsidRPr="00FE6281">
        <w:rPr>
          <w:shd w:val="clear" w:color="auto" w:fill="FFFFFF"/>
        </w:rPr>
        <w:t xml:space="preserve"> </w:t>
      </w:r>
      <w:r w:rsidRPr="00FE6281">
        <w:rPr>
          <w:shd w:val="clear" w:color="auto" w:fill="FFFFFF"/>
        </w:rPr>
        <w:t>tiesa pamatoti secināja</w:t>
      </w:r>
      <w:r w:rsidR="007470EF" w:rsidRPr="00FE6281">
        <w:rPr>
          <w:shd w:val="clear" w:color="auto" w:fill="FFFFFF"/>
        </w:rPr>
        <w:t xml:space="preserve">, ka </w:t>
      </w:r>
      <w:r w:rsidR="009D5114" w:rsidRPr="00FE6281">
        <w:rPr>
          <w:shd w:val="clear" w:color="auto" w:fill="FFFFFF"/>
        </w:rPr>
        <w:t xml:space="preserve">pieteicējas </w:t>
      </w:r>
      <w:r w:rsidR="007470EF" w:rsidRPr="00FE6281">
        <w:rPr>
          <w:shd w:val="clear" w:color="auto" w:fill="FFFFFF"/>
        </w:rPr>
        <w:t>paredzētā darbība atbilst noteikumu Nr. 1082 1.pielikuma 8.8.apakšpunktam</w:t>
      </w:r>
      <w:r w:rsidR="0009655B" w:rsidRPr="00FE6281">
        <w:rPr>
          <w:shd w:val="clear" w:color="auto" w:fill="FFFFFF"/>
        </w:rPr>
        <w:t xml:space="preserve">, proti, </w:t>
      </w:r>
      <w:r w:rsidR="00770A05" w:rsidRPr="00FE6281">
        <w:rPr>
          <w:shd w:val="clear" w:color="auto" w:fill="FFFFFF"/>
        </w:rPr>
        <w:t xml:space="preserve">ir tāda </w:t>
      </w:r>
      <w:r w:rsidR="0009655B" w:rsidRPr="00FE6281">
        <w:rPr>
          <w:shd w:val="clear" w:color="auto" w:fill="FFFFFF"/>
        </w:rPr>
        <w:t>darbība, kurai nepieciešama B kategorijas atļauja</w:t>
      </w:r>
      <w:r w:rsidR="008B487E" w:rsidRPr="00FE6281">
        <w:rPr>
          <w:shd w:val="clear" w:color="auto" w:fill="FFFFFF"/>
        </w:rPr>
        <w:t>.</w:t>
      </w:r>
    </w:p>
    <w:p w14:paraId="6D49C4A6" w14:textId="2020DEC7" w:rsidR="00B55C15" w:rsidRPr="00FE6281" w:rsidRDefault="00346632" w:rsidP="00747DBB">
      <w:pPr>
        <w:pStyle w:val="NormalWeb"/>
        <w:shd w:val="clear" w:color="auto" w:fill="FFFFFF"/>
        <w:spacing w:before="0" w:beforeAutospacing="0" w:after="0" w:afterAutospacing="0" w:line="276" w:lineRule="auto"/>
        <w:ind w:firstLine="720"/>
        <w:jc w:val="both"/>
        <w:rPr>
          <w:color w:val="000000"/>
        </w:rPr>
      </w:pPr>
      <w:r w:rsidRPr="00FE6281">
        <w:rPr>
          <w:color w:val="000000"/>
        </w:rPr>
        <w:t>Senāts</w:t>
      </w:r>
      <w:r w:rsidR="0009655B" w:rsidRPr="00FE6281">
        <w:rPr>
          <w:color w:val="000000"/>
        </w:rPr>
        <w:t xml:space="preserve"> arī</w:t>
      </w:r>
      <w:r w:rsidR="009B68DA" w:rsidRPr="00FE6281">
        <w:rPr>
          <w:color w:val="000000"/>
        </w:rPr>
        <w:t xml:space="preserve"> </w:t>
      </w:r>
      <w:r w:rsidRPr="00FE6281">
        <w:rPr>
          <w:color w:val="000000"/>
        </w:rPr>
        <w:t>ievēro, ka atbilstoši</w:t>
      </w:r>
      <w:r w:rsidR="00E533FE" w:rsidRPr="00FE6281">
        <w:rPr>
          <w:color w:val="000000"/>
        </w:rPr>
        <w:t xml:space="preserve"> </w:t>
      </w:r>
      <w:r w:rsidR="005167EB" w:rsidRPr="00FE6281">
        <w:rPr>
          <w:shd w:val="clear" w:color="auto" w:fill="FFFFFF"/>
        </w:rPr>
        <w:t xml:space="preserve">noteikumu Nr. 805 </w:t>
      </w:r>
      <w:r w:rsidR="00AD4F6B" w:rsidRPr="00FE6281">
        <w:rPr>
          <w:shd w:val="clear" w:color="auto" w:fill="FFFFFF"/>
        </w:rPr>
        <w:t>anotācijā</w:t>
      </w:r>
      <w:r w:rsidR="005167EB" w:rsidRPr="00FE6281">
        <w:rPr>
          <w:shd w:val="clear" w:color="auto" w:fill="FFFFFF"/>
        </w:rPr>
        <w:t xml:space="preserve"> </w:t>
      </w:r>
      <w:r w:rsidRPr="00FE6281">
        <w:rPr>
          <w:color w:val="000000"/>
        </w:rPr>
        <w:t xml:space="preserve">norādītajam </w:t>
      </w:r>
      <w:r w:rsidR="00E533FE" w:rsidRPr="00FE6281">
        <w:rPr>
          <w:color w:val="000000"/>
        </w:rPr>
        <w:t>Ekonomikas ministrija, konsultējoties ar Vides aizsardzības un reģionālās attīstības ministrijas un Valsts vides dienesta pārstāvjiem, noteikumu projektā</w:t>
      </w:r>
      <w:r w:rsidRPr="00FE6281">
        <w:rPr>
          <w:color w:val="000000"/>
        </w:rPr>
        <w:t xml:space="preserve"> </w:t>
      </w:r>
      <w:r w:rsidR="00F95AB1" w:rsidRPr="00FE6281">
        <w:rPr>
          <w:color w:val="000000"/>
        </w:rPr>
        <w:t>mainīja</w:t>
      </w:r>
      <w:r w:rsidR="00E533FE" w:rsidRPr="00FE6281">
        <w:rPr>
          <w:color w:val="000000"/>
        </w:rPr>
        <w:t xml:space="preserve"> sākotnēji piedāvāto redakciju, kurā bija norādīts, ka pirms ogļūdeņražu ieguves uzsākšanas nepieciešams saņemt B kategorijas atļauju, uz redakciju, ka ogļūdeņražu ieguvei ir jāsaņem piesārņojoš</w:t>
      </w:r>
      <w:r w:rsidR="00AB44C6">
        <w:rPr>
          <w:color w:val="000000"/>
        </w:rPr>
        <w:t>a</w:t>
      </w:r>
      <w:r w:rsidR="00E533FE" w:rsidRPr="00FE6281">
        <w:rPr>
          <w:color w:val="000000"/>
        </w:rPr>
        <w:t>s darbības atļauja saskaņā ar šo jomu regulējošajiem normatīvajiem aktiem</w:t>
      </w:r>
      <w:r w:rsidR="005167EB" w:rsidRPr="00FE6281">
        <w:rPr>
          <w:color w:val="000000"/>
        </w:rPr>
        <w:t>.</w:t>
      </w:r>
      <w:r w:rsidR="0015277F" w:rsidRPr="00FE6281">
        <w:rPr>
          <w:color w:val="000000"/>
        </w:rPr>
        <w:t xml:space="preserve"> </w:t>
      </w:r>
      <w:r w:rsidR="0026752A" w:rsidRPr="00FE6281">
        <w:rPr>
          <w:color w:val="000000"/>
        </w:rPr>
        <w:t>Šajā ziņā</w:t>
      </w:r>
      <w:r w:rsidR="0009655B" w:rsidRPr="00FE6281">
        <w:rPr>
          <w:color w:val="000000"/>
        </w:rPr>
        <w:t>, i</w:t>
      </w:r>
      <w:r w:rsidRPr="00FE6281">
        <w:rPr>
          <w:color w:val="000000"/>
        </w:rPr>
        <w:t>evērojot</w:t>
      </w:r>
      <w:r w:rsidR="005167EB" w:rsidRPr="00FE6281">
        <w:rPr>
          <w:color w:val="000000"/>
        </w:rPr>
        <w:t xml:space="preserve"> </w:t>
      </w:r>
      <w:r w:rsidR="0026752A" w:rsidRPr="00FE6281">
        <w:rPr>
          <w:color w:val="000000"/>
        </w:rPr>
        <w:t xml:space="preserve">izskatāmajā </w:t>
      </w:r>
      <w:r w:rsidR="005167EB" w:rsidRPr="00FE6281">
        <w:rPr>
          <w:color w:val="000000"/>
        </w:rPr>
        <w:t>liet</w:t>
      </w:r>
      <w:r w:rsidR="0015277F" w:rsidRPr="00FE6281">
        <w:rPr>
          <w:color w:val="000000"/>
        </w:rPr>
        <w:t>ā</w:t>
      </w:r>
      <w:r w:rsidR="005167EB" w:rsidRPr="00FE6281">
        <w:rPr>
          <w:color w:val="000000"/>
        </w:rPr>
        <w:t xml:space="preserve"> </w:t>
      </w:r>
      <w:r w:rsidR="0015277F" w:rsidRPr="00FE6281">
        <w:rPr>
          <w:color w:val="000000"/>
        </w:rPr>
        <w:t>konstatēto</w:t>
      </w:r>
      <w:r w:rsidRPr="00FE6281">
        <w:rPr>
          <w:color w:val="000000"/>
        </w:rPr>
        <w:t>, Senāts atzīst, ka</w:t>
      </w:r>
      <w:r w:rsidR="005167EB" w:rsidRPr="00FE6281">
        <w:rPr>
          <w:color w:val="000000"/>
        </w:rPr>
        <w:t xml:space="preserve"> </w:t>
      </w:r>
      <w:r w:rsidR="00076B03" w:rsidRPr="00FE6281">
        <w:rPr>
          <w:color w:val="000000"/>
        </w:rPr>
        <w:t xml:space="preserve">faktiski </w:t>
      </w:r>
      <w:r w:rsidR="0026752A" w:rsidRPr="00FE6281">
        <w:rPr>
          <w:color w:val="000000"/>
        </w:rPr>
        <w:t>tas</w:t>
      </w:r>
      <w:r w:rsidR="00076B03" w:rsidRPr="00FE6281">
        <w:rPr>
          <w:color w:val="000000"/>
        </w:rPr>
        <w:t xml:space="preserve"> </w:t>
      </w:r>
      <w:r w:rsidR="005167EB" w:rsidRPr="00FE6281">
        <w:rPr>
          <w:color w:val="000000"/>
        </w:rPr>
        <w:t>nozīmē vienu un to pašu.</w:t>
      </w:r>
    </w:p>
    <w:p w14:paraId="32B71BFF" w14:textId="11BF69E4" w:rsidR="0009655B" w:rsidRPr="00FE6281" w:rsidRDefault="0009655B" w:rsidP="00747DBB">
      <w:pPr>
        <w:pStyle w:val="NormalWeb"/>
        <w:shd w:val="clear" w:color="auto" w:fill="FFFFFF"/>
        <w:spacing w:before="0" w:beforeAutospacing="0" w:after="0" w:afterAutospacing="0" w:line="276" w:lineRule="auto"/>
        <w:ind w:firstLine="720"/>
        <w:jc w:val="both"/>
        <w:rPr>
          <w:color w:val="000000"/>
        </w:rPr>
      </w:pPr>
      <w:r w:rsidRPr="00FE6281">
        <w:rPr>
          <w:color w:val="000000"/>
        </w:rPr>
        <w:t xml:space="preserve">Vēl jo vairāk: </w:t>
      </w:r>
      <w:r w:rsidR="00F95AB1" w:rsidRPr="00FE6281">
        <w:rPr>
          <w:color w:val="000000"/>
        </w:rPr>
        <w:t>šādu</w:t>
      </w:r>
      <w:r w:rsidRPr="00FE6281">
        <w:rPr>
          <w:color w:val="000000"/>
        </w:rPr>
        <w:t xml:space="preserve"> secinājumu pamatotību apliecina arī vēlāk – 2020.gada 8.septembrī</w:t>
      </w:r>
      <w:r w:rsidR="005578E4">
        <w:rPr>
          <w:color w:val="000000"/>
        </w:rPr>
        <w:t> </w:t>
      </w:r>
      <w:r w:rsidRPr="00FE6281">
        <w:rPr>
          <w:color w:val="000000"/>
        </w:rPr>
        <w:t>–</w:t>
      </w:r>
      <w:r w:rsidR="005578E4">
        <w:rPr>
          <w:color w:val="000000"/>
        </w:rPr>
        <w:t> </w:t>
      </w:r>
      <w:r w:rsidR="00CC50F5" w:rsidRPr="00FE6281">
        <w:rPr>
          <w:color w:val="000000"/>
        </w:rPr>
        <w:t xml:space="preserve">izdarītie </w:t>
      </w:r>
      <w:r w:rsidRPr="00FE6281">
        <w:rPr>
          <w:color w:val="000000"/>
        </w:rPr>
        <w:t>grozījumi noteikumos Nr. 1082, ar kuriem 1.pielikuma 1.8.apakšpunktā</w:t>
      </w:r>
      <w:r w:rsidRPr="00FE6281">
        <w:rPr>
          <w:i/>
          <w:iCs/>
          <w:color w:val="000000"/>
        </w:rPr>
        <w:t xml:space="preserve"> expressis verbis</w:t>
      </w:r>
      <w:r w:rsidRPr="00FE6281">
        <w:rPr>
          <w:color w:val="000000"/>
        </w:rPr>
        <w:t xml:space="preserve"> </w:t>
      </w:r>
      <w:r w:rsidR="0026752A" w:rsidRPr="00FE6281">
        <w:rPr>
          <w:color w:val="000000"/>
        </w:rPr>
        <w:t>tika</w:t>
      </w:r>
      <w:r w:rsidRPr="00FE6281">
        <w:rPr>
          <w:color w:val="000000"/>
        </w:rPr>
        <w:t xml:space="preserve"> noteikts, ka piesārņojošā darbība, kurai nepieciešams saņemt B kategorijas atļauju, ir ogļūdeņražu ieguve sauszemē. No grozījumu </w:t>
      </w:r>
      <w:r w:rsidR="006A1068" w:rsidRPr="00FE6281">
        <w:t>anotācijas</w:t>
      </w:r>
      <w:r w:rsidRPr="00FE6281">
        <w:rPr>
          <w:color w:val="000000"/>
        </w:rPr>
        <w:t xml:space="preserve"> izriet, ka izmaiņas piesārņojošo darbību sarakstā tika </w:t>
      </w:r>
      <w:r w:rsidR="00CC50F5" w:rsidRPr="00FE6281">
        <w:rPr>
          <w:color w:val="000000"/>
        </w:rPr>
        <w:t>izdarītas</w:t>
      </w:r>
      <w:r w:rsidRPr="00FE6281">
        <w:rPr>
          <w:color w:val="000000"/>
        </w:rPr>
        <w:t>, jo tiesību normu „piemērošanas procesā atklājās, ka ir dažādas interpretācijas iespējas, līdz ar to nepieciešami precīzāki formulējumi, lai pēc iespējas samazinātu neskaidrības dienesta un operatoru starpā”</w:t>
      </w:r>
      <w:r w:rsidR="006A1068" w:rsidRPr="00FE6281">
        <w:rPr>
          <w:color w:val="000000"/>
        </w:rPr>
        <w:t xml:space="preserve"> (</w:t>
      </w:r>
      <w:r w:rsidR="006A1068" w:rsidRPr="00FE6281">
        <w:rPr>
          <w:i/>
          <w:iCs/>
          <w:color w:val="000000"/>
        </w:rPr>
        <w:t>Ministru kabineta noteikumu projekta „Grozījumi Ministru kabineta 2010.gada 30.novembra noteikumos Nr. 1082 „Kārtība, kādā piesakāmas A, B un C kategorijas piesārņojošas darbības un izsniedzamas atļaujas A un B kategorijas piesārņojošo darbību veikšanai”” sākotnējās ietekmes novērtējuma ziņojums (</w:t>
      </w:r>
      <w:hyperlink r:id="rId13" w:history="1">
        <w:r w:rsidR="006A1068" w:rsidRPr="00FE6281">
          <w:rPr>
            <w:rStyle w:val="Hyperlink"/>
            <w:i/>
            <w:iCs/>
          </w:rPr>
          <w:t>anotācija</w:t>
        </w:r>
      </w:hyperlink>
      <w:r w:rsidR="006A1068" w:rsidRPr="00FE6281">
        <w:rPr>
          <w:i/>
          <w:iCs/>
          <w:color w:val="000000"/>
        </w:rPr>
        <w:t>)</w:t>
      </w:r>
      <w:r w:rsidR="006A1068" w:rsidRPr="00FE6281">
        <w:rPr>
          <w:color w:val="000000"/>
        </w:rPr>
        <w:t>)</w:t>
      </w:r>
      <w:r w:rsidRPr="00FE6281">
        <w:rPr>
          <w:color w:val="000000"/>
        </w:rPr>
        <w:t>.</w:t>
      </w:r>
    </w:p>
    <w:p w14:paraId="0EF5DAF9" w14:textId="7A7893B7" w:rsidR="00421D4E" w:rsidRPr="00FE6281" w:rsidRDefault="002439F0" w:rsidP="00747DBB">
      <w:pPr>
        <w:pStyle w:val="NormalWeb"/>
        <w:shd w:val="clear" w:color="auto" w:fill="FFFFFF"/>
        <w:spacing w:before="0" w:beforeAutospacing="0" w:after="0" w:afterAutospacing="0" w:line="276" w:lineRule="auto"/>
        <w:ind w:firstLine="720"/>
        <w:jc w:val="both"/>
        <w:rPr>
          <w:color w:val="000000"/>
        </w:rPr>
      </w:pPr>
      <w:r w:rsidRPr="00FE6281">
        <w:rPr>
          <w:color w:val="000000"/>
        </w:rPr>
        <w:t xml:space="preserve">Līdz ar to nav šaubu, ka </w:t>
      </w:r>
      <w:r w:rsidRPr="00FE6281">
        <w:rPr>
          <w:shd w:val="clear" w:color="auto" w:fill="FFFFFF"/>
        </w:rPr>
        <w:t>pieteicējas paredzētajai darbībai</w:t>
      </w:r>
      <w:r w:rsidR="002251E2" w:rsidRPr="00FE6281">
        <w:rPr>
          <w:shd w:val="clear" w:color="auto" w:fill="FFFFFF"/>
        </w:rPr>
        <w:t xml:space="preserve"> – ogļūdeņražu ieguvei sauszemē</w:t>
      </w:r>
      <w:r w:rsidR="005578E4">
        <w:rPr>
          <w:shd w:val="clear" w:color="auto" w:fill="FFFFFF"/>
        </w:rPr>
        <w:t> </w:t>
      </w:r>
      <w:r w:rsidR="002251E2" w:rsidRPr="00FE6281">
        <w:rPr>
          <w:shd w:val="clear" w:color="auto" w:fill="FFFFFF"/>
        </w:rPr>
        <w:t>–</w:t>
      </w:r>
      <w:r w:rsidR="005578E4">
        <w:rPr>
          <w:shd w:val="clear" w:color="auto" w:fill="FFFFFF"/>
        </w:rPr>
        <w:t> </w:t>
      </w:r>
      <w:r w:rsidRPr="00FE6281">
        <w:rPr>
          <w:shd w:val="clear" w:color="auto" w:fill="FFFFFF"/>
        </w:rPr>
        <w:t xml:space="preserve">jāsaņem B kategorijas piesārņojošās darbības atļauja. </w:t>
      </w:r>
      <w:r w:rsidR="00421D4E" w:rsidRPr="00FE6281">
        <w:rPr>
          <w:shd w:val="clear" w:color="auto" w:fill="FFFFFF"/>
        </w:rPr>
        <w:t xml:space="preserve">Tālāk pārbaudāms, vai </w:t>
      </w:r>
      <w:r w:rsidR="00421D4E" w:rsidRPr="00FE6281">
        <w:rPr>
          <w:shd w:val="clear" w:color="auto" w:fill="FFFFFF"/>
        </w:rPr>
        <w:lastRenderedPageBreak/>
        <w:t xml:space="preserve">tiesas rīcībā ir saskatāmi pieteicējas norādītie pārkāpumi saistībā ar </w:t>
      </w:r>
      <w:r w:rsidR="002251E2" w:rsidRPr="00FE6281">
        <w:rPr>
          <w:shd w:val="clear" w:color="auto" w:fill="FFFFFF"/>
        </w:rPr>
        <w:t xml:space="preserve">izsniegtajā </w:t>
      </w:r>
      <w:r w:rsidR="00421D4E" w:rsidRPr="00FE6281">
        <w:rPr>
          <w:shd w:val="clear" w:color="auto" w:fill="FFFFFF"/>
        </w:rPr>
        <w:t>atļaujā ietvertajiem nosacījumiem.</w:t>
      </w:r>
    </w:p>
    <w:p w14:paraId="294FD712" w14:textId="77777777" w:rsidR="000F7E1E" w:rsidRPr="00FE6281" w:rsidRDefault="000F7E1E" w:rsidP="00747DBB">
      <w:pPr>
        <w:pStyle w:val="NormalWeb"/>
        <w:shd w:val="clear" w:color="auto" w:fill="FFFFFF"/>
        <w:spacing w:before="0" w:beforeAutospacing="0" w:after="0" w:afterAutospacing="0" w:line="276" w:lineRule="auto"/>
        <w:ind w:firstLine="720"/>
        <w:jc w:val="both"/>
        <w:rPr>
          <w:shd w:val="clear" w:color="auto" w:fill="FFFFFF"/>
        </w:rPr>
      </w:pPr>
    </w:p>
    <w:p w14:paraId="39D41D50" w14:textId="4A6C9841" w:rsidR="009A2922" w:rsidRPr="00FE6281" w:rsidRDefault="009A2922" w:rsidP="00747DBB">
      <w:pPr>
        <w:pStyle w:val="NormalWeb"/>
        <w:shd w:val="clear" w:color="auto" w:fill="FFFFFF"/>
        <w:spacing w:before="0" w:beforeAutospacing="0" w:after="0" w:afterAutospacing="0" w:line="276" w:lineRule="auto"/>
        <w:ind w:firstLine="720"/>
        <w:jc w:val="both"/>
        <w:rPr>
          <w:i/>
          <w:iCs/>
          <w:shd w:val="clear" w:color="auto" w:fill="FFFFFF"/>
        </w:rPr>
      </w:pPr>
      <w:r w:rsidRPr="00FE6281">
        <w:rPr>
          <w:i/>
          <w:iCs/>
          <w:shd w:val="clear" w:color="auto" w:fill="FFFFFF"/>
        </w:rPr>
        <w:t>Par atļaujas nosacījumu tiesiskumu</w:t>
      </w:r>
    </w:p>
    <w:p w14:paraId="559E7785" w14:textId="77777777" w:rsidR="006A1068" w:rsidRPr="00FE6281" w:rsidRDefault="006A1068" w:rsidP="00747DBB">
      <w:pPr>
        <w:pStyle w:val="NormalWeb"/>
        <w:shd w:val="clear" w:color="auto" w:fill="FFFFFF"/>
        <w:spacing w:before="0" w:beforeAutospacing="0" w:after="0" w:afterAutospacing="0" w:line="276" w:lineRule="auto"/>
        <w:ind w:firstLine="720"/>
        <w:jc w:val="both"/>
        <w:rPr>
          <w:i/>
          <w:iCs/>
          <w:shd w:val="clear" w:color="auto" w:fill="FFFFFF"/>
        </w:rPr>
      </w:pPr>
    </w:p>
    <w:p w14:paraId="71DCAE0E" w14:textId="2D4744CA" w:rsidR="00F94543" w:rsidRPr="00FE6281" w:rsidRDefault="00A20951"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w:t>
      </w:r>
      <w:r w:rsidR="009308A7">
        <w:rPr>
          <w:shd w:val="clear" w:color="auto" w:fill="FFFFFF"/>
        </w:rPr>
        <w:t>10</w:t>
      </w:r>
      <w:r w:rsidRPr="00FE6281">
        <w:rPr>
          <w:shd w:val="clear" w:color="auto" w:fill="FFFFFF"/>
        </w:rPr>
        <w:t>]</w:t>
      </w:r>
      <w:r w:rsidR="00594AC7" w:rsidRPr="00FE6281">
        <w:rPr>
          <w:shd w:val="clear" w:color="auto" w:fill="FFFFFF"/>
        </w:rPr>
        <w:t> </w:t>
      </w:r>
      <w:r w:rsidR="0098540B" w:rsidRPr="00FE6281">
        <w:rPr>
          <w:shd w:val="clear" w:color="auto" w:fill="FFFFFF"/>
        </w:rPr>
        <w:t>Noraidāms ir iebildums</w:t>
      </w:r>
      <w:r w:rsidR="00F94543" w:rsidRPr="00FE6281">
        <w:rPr>
          <w:shd w:val="clear" w:color="auto" w:fill="FFFFFF"/>
        </w:rPr>
        <w:t>, ka tiesa nepamatoti piemērojusi likuma „Par mērījumu vienotību” un noteikumu Nr.</w:t>
      </w:r>
      <w:r w:rsidR="00421D4E" w:rsidRPr="00FE6281">
        <w:rPr>
          <w:shd w:val="clear" w:color="auto" w:fill="FFFFFF"/>
        </w:rPr>
        <w:t> </w:t>
      </w:r>
      <w:r w:rsidR="00F94543" w:rsidRPr="00FE6281">
        <w:rPr>
          <w:shd w:val="clear" w:color="auto" w:fill="FFFFFF"/>
        </w:rPr>
        <w:t xml:space="preserve">40 prasības, jo pieteicējas ieskatā separācijas ceļā atdalītā ogļūdeņraža un sālsūdens automātiskajai uzskaitei paredzētie </w:t>
      </w:r>
      <w:r w:rsidR="009D5114" w:rsidRPr="00FE6281">
        <w:rPr>
          <w:shd w:val="clear" w:color="auto" w:fill="FFFFFF"/>
        </w:rPr>
        <w:t>mērīšanas</w:t>
      </w:r>
      <w:r w:rsidR="00F94543" w:rsidRPr="00FE6281">
        <w:rPr>
          <w:shd w:val="clear" w:color="auto" w:fill="FFFFFF"/>
        </w:rPr>
        <w:t xml:space="preserve"> līdzekļi nav pakļauti verificēšanai.</w:t>
      </w:r>
    </w:p>
    <w:p w14:paraId="2BADDC3A" w14:textId="369B4810" w:rsidR="00BE0A9C" w:rsidRPr="00FE6281" w:rsidRDefault="00BE0A9C"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Likuma „Par mērījumu vienotību” 2.panta pirmā daļa noteic, ka šā likuma mērķis ir nodrošināt mērījumu vienotību Latvijas Republikā, lai aizsargātu cilvēka dzīvību un veselību, vidi un patērētāju no neprecīzu un nepareizu mērījumu negatīvajām sekām un veicinātu valsts ekonomikas un starptautiskās sadarbības attīstību.</w:t>
      </w:r>
    </w:p>
    <w:p w14:paraId="184074CD" w14:textId="2D020007" w:rsidR="00594AC7" w:rsidRPr="00FE6281" w:rsidRDefault="00594AC7"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Likuma „Par mērījumu vienotību” 7.panta pirmā</w:t>
      </w:r>
      <w:r w:rsidR="00153E9C" w:rsidRPr="00FE6281">
        <w:rPr>
          <w:shd w:val="clear" w:color="auto" w:fill="FFFFFF"/>
        </w:rPr>
        <w:t>s</w:t>
      </w:r>
      <w:r w:rsidRPr="00FE6281">
        <w:rPr>
          <w:shd w:val="clear" w:color="auto" w:fill="FFFFFF"/>
        </w:rPr>
        <w:t xml:space="preserve"> daļa</w:t>
      </w:r>
      <w:r w:rsidR="00153E9C" w:rsidRPr="00FE6281">
        <w:rPr>
          <w:shd w:val="clear" w:color="auto" w:fill="FFFFFF"/>
        </w:rPr>
        <w:t>s 3. un 6.punkts noteic</w:t>
      </w:r>
      <w:r w:rsidRPr="00FE6281">
        <w:rPr>
          <w:shd w:val="clear" w:color="auto" w:fill="FFFFFF"/>
        </w:rPr>
        <w:t xml:space="preserve">, </w:t>
      </w:r>
      <w:r w:rsidR="00153E9C" w:rsidRPr="00FE6281">
        <w:rPr>
          <w:shd w:val="clear" w:color="auto" w:fill="FFFFFF"/>
        </w:rPr>
        <w:t>ka valsts metroloģiskajai kontrolei ir pakļauti mērīšanas līdzekļi, kurus lieto vides aizsardzībā un kontrolē</w:t>
      </w:r>
      <w:r w:rsidR="004101C0" w:rsidRPr="00FE6281">
        <w:rPr>
          <w:shd w:val="clear" w:color="auto" w:fill="FFFFFF"/>
        </w:rPr>
        <w:t>, kā arī</w:t>
      </w:r>
      <w:r w:rsidR="00153E9C" w:rsidRPr="00FE6281">
        <w:rPr>
          <w:shd w:val="clear" w:color="auto" w:fill="FFFFFF"/>
        </w:rPr>
        <w:t xml:space="preserve"> energoresursu un citu resursu uzskaitē. </w:t>
      </w:r>
      <w:r w:rsidR="00BE0A9C" w:rsidRPr="00FE6281">
        <w:rPr>
          <w:shd w:val="clear" w:color="auto" w:fill="FFFFFF"/>
        </w:rPr>
        <w:t>Savukārt š</w:t>
      </w:r>
      <w:r w:rsidR="00153E9C" w:rsidRPr="00FE6281">
        <w:rPr>
          <w:shd w:val="clear" w:color="auto" w:fill="FFFFFF"/>
        </w:rPr>
        <w:t>ā panta</w:t>
      </w:r>
      <w:r w:rsidRPr="00FE6281">
        <w:rPr>
          <w:shd w:val="clear" w:color="auto" w:fill="FFFFFF"/>
        </w:rPr>
        <w:t xml:space="preserve"> otr</w:t>
      </w:r>
      <w:r w:rsidR="00153E9C" w:rsidRPr="00FE6281">
        <w:rPr>
          <w:shd w:val="clear" w:color="auto" w:fill="FFFFFF"/>
        </w:rPr>
        <w:t>ā daļa paredz, ka</w:t>
      </w:r>
      <w:r w:rsidRPr="00FE6281">
        <w:rPr>
          <w:shd w:val="clear" w:color="auto" w:fill="FFFFFF"/>
        </w:rPr>
        <w:t xml:space="preserve"> valsts metroloģiskajai kontrolei pakļauto mērīšanas līdzekļu sarakstu, norādot to pirmreizējo verificēšanu, kā arī atkārtotās verificēšanas periodiskumu, apstiprina Ministru kabinets. </w:t>
      </w:r>
      <w:r w:rsidR="002251E2" w:rsidRPr="00FE6281">
        <w:rPr>
          <w:shd w:val="clear" w:color="auto" w:fill="FFFFFF"/>
        </w:rPr>
        <w:t xml:space="preserve">Pamatojoties uz </w:t>
      </w:r>
      <w:r w:rsidR="00153E9C" w:rsidRPr="00FE6281">
        <w:rPr>
          <w:shd w:val="clear" w:color="auto" w:fill="FFFFFF"/>
        </w:rPr>
        <w:t>minēto</w:t>
      </w:r>
      <w:r w:rsidR="002251E2" w:rsidRPr="00FE6281">
        <w:rPr>
          <w:shd w:val="clear" w:color="auto" w:fill="FFFFFF"/>
        </w:rPr>
        <w:t xml:space="preserve"> </w:t>
      </w:r>
      <w:r w:rsidR="0043609D" w:rsidRPr="00FE6281">
        <w:rPr>
          <w:shd w:val="clear" w:color="auto" w:fill="FFFFFF"/>
        </w:rPr>
        <w:t xml:space="preserve">tiesību </w:t>
      </w:r>
      <w:r w:rsidR="002251E2" w:rsidRPr="00FE6281">
        <w:rPr>
          <w:shd w:val="clear" w:color="auto" w:fill="FFFFFF"/>
        </w:rPr>
        <w:t>normu, izdoti n</w:t>
      </w:r>
      <w:r w:rsidRPr="00FE6281">
        <w:rPr>
          <w:shd w:val="clear" w:color="auto" w:fill="FFFFFF"/>
        </w:rPr>
        <w:t>oteikumi Nr.</w:t>
      </w:r>
      <w:r w:rsidR="001D45BB" w:rsidRPr="00FE6281">
        <w:rPr>
          <w:shd w:val="clear" w:color="auto" w:fill="FFFFFF"/>
        </w:rPr>
        <w:t> </w:t>
      </w:r>
      <w:r w:rsidRPr="00FE6281">
        <w:rPr>
          <w:shd w:val="clear" w:color="auto" w:fill="FFFFFF"/>
        </w:rPr>
        <w:t>40.</w:t>
      </w:r>
    </w:p>
    <w:p w14:paraId="74BE1FCD" w14:textId="070B36DD" w:rsidR="0081324A" w:rsidRPr="00FE6281" w:rsidRDefault="00C2398A"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N</w:t>
      </w:r>
      <w:r w:rsidR="00594AC7" w:rsidRPr="00FE6281">
        <w:rPr>
          <w:shd w:val="clear" w:color="auto" w:fill="FFFFFF"/>
        </w:rPr>
        <w:t>oteikumu Nr. 40 pielikuma 4.1.</w:t>
      </w:r>
      <w:r w:rsidR="001D45BB" w:rsidRPr="00FE6281">
        <w:rPr>
          <w:shd w:val="clear" w:color="auto" w:fill="FFFFFF"/>
        </w:rPr>
        <w:t>apakš</w:t>
      </w:r>
      <w:r w:rsidR="00594AC7" w:rsidRPr="00FE6281">
        <w:rPr>
          <w:shd w:val="clear" w:color="auto" w:fill="FFFFFF"/>
        </w:rPr>
        <w:t>punkt</w:t>
      </w:r>
      <w:r w:rsidRPr="00FE6281">
        <w:rPr>
          <w:shd w:val="clear" w:color="auto" w:fill="FFFFFF"/>
        </w:rPr>
        <w:t>s paredz, ka</w:t>
      </w:r>
      <w:r w:rsidR="00594AC7" w:rsidRPr="00FE6281">
        <w:rPr>
          <w:shd w:val="clear" w:color="auto" w:fill="FFFFFF"/>
        </w:rPr>
        <w:t xml:space="preserve"> verificējam</w:t>
      </w:r>
      <w:r w:rsidR="0081324A" w:rsidRPr="00FE6281">
        <w:rPr>
          <w:shd w:val="clear" w:color="auto" w:fill="FFFFFF"/>
        </w:rPr>
        <w:t>as</w:t>
      </w:r>
      <w:r w:rsidR="00594AC7" w:rsidRPr="00FE6281">
        <w:rPr>
          <w:shd w:val="clear" w:color="auto" w:fill="FFFFFF"/>
        </w:rPr>
        <w:t xml:space="preserve"> ir šķidruma</w:t>
      </w:r>
      <w:r w:rsidR="0081324A" w:rsidRPr="00FE6281">
        <w:rPr>
          <w:shd w:val="clear" w:color="auto" w:fill="FFFFFF"/>
        </w:rPr>
        <w:t xml:space="preserve"> mērsistēmas (</w:t>
      </w:r>
      <w:r w:rsidR="00594AC7" w:rsidRPr="00FE6281">
        <w:rPr>
          <w:shd w:val="clear" w:color="auto" w:fill="FFFFFF"/>
        </w:rPr>
        <w:t>izņemot ūdeni</w:t>
      </w:r>
      <w:r w:rsidR="0081324A" w:rsidRPr="00FE6281">
        <w:rPr>
          <w:shd w:val="clear" w:color="auto" w:fill="FFFFFF"/>
        </w:rPr>
        <w:t>)</w:t>
      </w:r>
      <w:r w:rsidR="00594AC7" w:rsidRPr="00FE6281">
        <w:rPr>
          <w:shd w:val="clear" w:color="auto" w:fill="FFFFFF"/>
        </w:rPr>
        <w:t xml:space="preserve">. </w:t>
      </w:r>
      <w:r w:rsidR="0081324A" w:rsidRPr="00FE6281">
        <w:rPr>
          <w:shd w:val="clear" w:color="auto" w:fill="FFFFFF"/>
        </w:rPr>
        <w:t>Tādējādi</w:t>
      </w:r>
      <w:r w:rsidRPr="00FE6281">
        <w:rPr>
          <w:shd w:val="clear" w:color="auto" w:fill="FFFFFF"/>
        </w:rPr>
        <w:t xml:space="preserve"> – </w:t>
      </w:r>
      <w:r w:rsidR="0081324A" w:rsidRPr="00FE6281">
        <w:rPr>
          <w:shd w:val="clear" w:color="auto" w:fill="FFFFFF"/>
        </w:rPr>
        <w:t>ievērojot tiesas konstatēto, ka</w:t>
      </w:r>
      <w:r w:rsidR="00594AC7" w:rsidRPr="00FE6281">
        <w:rPr>
          <w:shd w:val="clear" w:color="auto" w:fill="FFFFFF"/>
        </w:rPr>
        <w:t xml:space="preserve"> atļaujas nosacījumi par verificētu skaitītāju uzstādīšanu attiecas uz ogļūdeņražiem un sālsūdeni, kas ir šķidrumi, </w:t>
      </w:r>
      <w:r w:rsidRPr="00FE6281">
        <w:rPr>
          <w:shd w:val="clear" w:color="auto" w:fill="FFFFFF"/>
        </w:rPr>
        <w:t xml:space="preserve">– </w:t>
      </w:r>
      <w:r w:rsidR="0081324A" w:rsidRPr="00FE6281">
        <w:rPr>
          <w:shd w:val="clear" w:color="auto" w:fill="FFFFFF"/>
        </w:rPr>
        <w:t xml:space="preserve">minētā </w:t>
      </w:r>
      <w:r w:rsidR="008732E1" w:rsidRPr="00FE6281">
        <w:rPr>
          <w:shd w:val="clear" w:color="auto" w:fill="FFFFFF"/>
        </w:rPr>
        <w:t xml:space="preserve">tiesību </w:t>
      </w:r>
      <w:r w:rsidR="0081324A" w:rsidRPr="00FE6281">
        <w:rPr>
          <w:shd w:val="clear" w:color="auto" w:fill="FFFFFF"/>
        </w:rPr>
        <w:t xml:space="preserve">norma attiecas </w:t>
      </w:r>
      <w:r w:rsidR="00594AC7" w:rsidRPr="00FE6281">
        <w:rPr>
          <w:shd w:val="clear" w:color="auto" w:fill="FFFFFF"/>
        </w:rPr>
        <w:t>uz to uzskaitei paredzētajiem mērīšanas līdzekļiem.</w:t>
      </w:r>
      <w:r w:rsidR="0081324A" w:rsidRPr="00FE6281">
        <w:rPr>
          <w:shd w:val="clear" w:color="auto" w:fill="FFFFFF"/>
        </w:rPr>
        <w:t xml:space="preserve"> Līdz ar to </w:t>
      </w:r>
      <w:r w:rsidR="002251E2" w:rsidRPr="00FE6281">
        <w:rPr>
          <w:shd w:val="clear" w:color="auto" w:fill="FFFFFF"/>
        </w:rPr>
        <w:t xml:space="preserve">ir </w:t>
      </w:r>
      <w:r w:rsidR="0081324A" w:rsidRPr="00FE6281">
        <w:rPr>
          <w:shd w:val="clear" w:color="auto" w:fill="FFFFFF"/>
        </w:rPr>
        <w:t>pareizs tiesas secinājums</w:t>
      </w:r>
      <w:r w:rsidR="002251E2" w:rsidRPr="00FE6281">
        <w:rPr>
          <w:shd w:val="clear" w:color="auto" w:fill="FFFFFF"/>
        </w:rPr>
        <w:t xml:space="preserve"> </w:t>
      </w:r>
      <w:r w:rsidRPr="00FE6281">
        <w:rPr>
          <w:shd w:val="clear" w:color="auto" w:fill="FFFFFF"/>
        </w:rPr>
        <w:t xml:space="preserve">par </w:t>
      </w:r>
      <w:r w:rsidR="002251E2" w:rsidRPr="00FE6281">
        <w:rPr>
          <w:shd w:val="clear" w:color="auto" w:fill="FFFFFF"/>
        </w:rPr>
        <w:t xml:space="preserve">nepieciešamību verificēt </w:t>
      </w:r>
      <w:r w:rsidRPr="00FE6281">
        <w:rPr>
          <w:shd w:val="clear" w:color="auto" w:fill="FFFFFF"/>
        </w:rPr>
        <w:t>šādu</w:t>
      </w:r>
      <w:r w:rsidR="002251E2" w:rsidRPr="00FE6281">
        <w:rPr>
          <w:shd w:val="clear" w:color="auto" w:fill="FFFFFF"/>
        </w:rPr>
        <w:t>s</w:t>
      </w:r>
      <w:r w:rsidRPr="00FE6281">
        <w:rPr>
          <w:shd w:val="clear" w:color="auto" w:fill="FFFFFF"/>
        </w:rPr>
        <w:t xml:space="preserve"> mērīšanas līdzekļu</w:t>
      </w:r>
      <w:r w:rsidR="002251E2" w:rsidRPr="00FE6281">
        <w:rPr>
          <w:shd w:val="clear" w:color="auto" w:fill="FFFFFF"/>
        </w:rPr>
        <w:t>s</w:t>
      </w:r>
      <w:r w:rsidR="0081324A" w:rsidRPr="00FE6281">
        <w:rPr>
          <w:shd w:val="clear" w:color="auto" w:fill="FFFFFF"/>
        </w:rPr>
        <w:t>.</w:t>
      </w:r>
    </w:p>
    <w:p w14:paraId="7F316326" w14:textId="59162B13" w:rsidR="00F94543" w:rsidRPr="00FE6281" w:rsidRDefault="00922963"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 xml:space="preserve">Tiesa </w:t>
      </w:r>
      <w:r w:rsidR="0081324A" w:rsidRPr="00FE6281">
        <w:rPr>
          <w:shd w:val="clear" w:color="auto" w:fill="FFFFFF"/>
        </w:rPr>
        <w:t xml:space="preserve">spriedumā </w:t>
      </w:r>
      <w:r w:rsidR="002251E2" w:rsidRPr="00FE6281">
        <w:rPr>
          <w:shd w:val="clear" w:color="auto" w:fill="FFFFFF"/>
        </w:rPr>
        <w:t xml:space="preserve">ir </w:t>
      </w:r>
      <w:r w:rsidR="0081324A" w:rsidRPr="00FE6281">
        <w:rPr>
          <w:shd w:val="clear" w:color="auto" w:fill="FFFFFF"/>
        </w:rPr>
        <w:t xml:space="preserve">arī </w:t>
      </w:r>
      <w:r w:rsidR="002251E2" w:rsidRPr="00FE6281">
        <w:rPr>
          <w:shd w:val="clear" w:color="auto" w:fill="FFFFFF"/>
        </w:rPr>
        <w:t>pareizi</w:t>
      </w:r>
      <w:r w:rsidRPr="00FE6281">
        <w:rPr>
          <w:shd w:val="clear" w:color="auto" w:fill="FFFFFF"/>
        </w:rPr>
        <w:t xml:space="preserve"> norādījusi, ka Patērētāju tiesību aizsardzības </w:t>
      </w:r>
      <w:r w:rsidR="00A817BB" w:rsidRPr="00FE6281">
        <w:rPr>
          <w:shd w:val="clear" w:color="auto" w:fill="FFFFFF"/>
        </w:rPr>
        <w:t>centra</w:t>
      </w:r>
      <w:r w:rsidR="00F94543" w:rsidRPr="00FE6281">
        <w:rPr>
          <w:shd w:val="clear" w:color="auto" w:fill="FFFFFF"/>
        </w:rPr>
        <w:t xml:space="preserve"> viedoklis, kas izteikts 2019.gada 25.septembra </w:t>
      </w:r>
      <w:r w:rsidR="00A817BB" w:rsidRPr="00FE6281">
        <w:rPr>
          <w:shd w:val="clear" w:color="auto" w:fill="FFFFFF"/>
        </w:rPr>
        <w:t>vēstulē</w:t>
      </w:r>
      <w:r w:rsidR="00F94543" w:rsidRPr="00FE6281">
        <w:rPr>
          <w:shd w:val="clear" w:color="auto" w:fill="FFFFFF"/>
        </w:rPr>
        <w:t xml:space="preserve"> Nr. 4-7/9645, </w:t>
      </w:r>
      <w:r w:rsidR="001441C2" w:rsidRPr="00FE6281">
        <w:rPr>
          <w:shd w:val="clear" w:color="auto" w:fill="FFFFFF"/>
        </w:rPr>
        <w:t>t</w:t>
      </w:r>
      <w:r w:rsidR="00C2398A" w:rsidRPr="00FE6281">
        <w:rPr>
          <w:shd w:val="clear" w:color="auto" w:fill="FFFFFF"/>
        </w:rPr>
        <w:t>iesai</w:t>
      </w:r>
      <w:r w:rsidR="00F94543" w:rsidRPr="00FE6281">
        <w:rPr>
          <w:shd w:val="clear" w:color="auto" w:fill="FFFFFF"/>
        </w:rPr>
        <w:t xml:space="preserve"> nav saistošs.</w:t>
      </w:r>
      <w:r w:rsidR="00E80023" w:rsidRPr="00FE6281">
        <w:rPr>
          <w:shd w:val="clear" w:color="auto" w:fill="FFFFFF"/>
        </w:rPr>
        <w:t xml:space="preserve"> </w:t>
      </w:r>
      <w:r w:rsidR="002251E2" w:rsidRPr="00FE6281">
        <w:rPr>
          <w:shd w:val="clear" w:color="auto" w:fill="FFFFFF"/>
        </w:rPr>
        <w:t xml:space="preserve">Vienlaikus </w:t>
      </w:r>
      <w:r w:rsidR="00A817BB" w:rsidRPr="00FE6281">
        <w:rPr>
          <w:shd w:val="clear" w:color="auto" w:fill="FFFFFF"/>
        </w:rPr>
        <w:t>minētais</w:t>
      </w:r>
      <w:r w:rsidR="0081324A" w:rsidRPr="00FE6281">
        <w:rPr>
          <w:shd w:val="clear" w:color="auto" w:fill="FFFFFF"/>
        </w:rPr>
        <w:t xml:space="preserve"> </w:t>
      </w:r>
      <w:r w:rsidR="001441C2" w:rsidRPr="00FE6281">
        <w:rPr>
          <w:shd w:val="clear" w:color="auto" w:fill="FFFFFF"/>
        </w:rPr>
        <w:t xml:space="preserve">pats par sevi </w:t>
      </w:r>
      <w:r w:rsidR="002251E2" w:rsidRPr="00FE6281">
        <w:rPr>
          <w:shd w:val="clear" w:color="auto" w:fill="FFFFFF"/>
        </w:rPr>
        <w:t xml:space="preserve">vēl </w:t>
      </w:r>
      <w:r w:rsidR="00E80023" w:rsidRPr="00FE6281">
        <w:rPr>
          <w:shd w:val="clear" w:color="auto" w:fill="FFFFFF"/>
        </w:rPr>
        <w:t xml:space="preserve">nenozīmē, ka tiesa </w:t>
      </w:r>
      <w:r w:rsidR="00F71537" w:rsidRPr="00FE6281">
        <w:rPr>
          <w:shd w:val="clear" w:color="auto" w:fill="FFFFFF"/>
        </w:rPr>
        <w:t xml:space="preserve">tāpēc </w:t>
      </w:r>
      <w:r w:rsidR="00E80023" w:rsidRPr="00FE6281">
        <w:rPr>
          <w:shd w:val="clear" w:color="auto" w:fill="FFFFFF"/>
        </w:rPr>
        <w:t xml:space="preserve">šo viedokli </w:t>
      </w:r>
      <w:r w:rsidR="0081324A" w:rsidRPr="00FE6281">
        <w:rPr>
          <w:shd w:val="clear" w:color="auto" w:fill="FFFFFF"/>
        </w:rPr>
        <w:t>nebūtu</w:t>
      </w:r>
      <w:r w:rsidR="00E80023" w:rsidRPr="00FE6281">
        <w:rPr>
          <w:shd w:val="clear" w:color="auto" w:fill="FFFFFF"/>
        </w:rPr>
        <w:t xml:space="preserve"> vērtējusi.</w:t>
      </w:r>
      <w:r w:rsidR="0081324A" w:rsidRPr="00FE6281">
        <w:rPr>
          <w:shd w:val="clear" w:color="auto" w:fill="FFFFFF"/>
        </w:rPr>
        <w:t xml:space="preserve"> Tiesa</w:t>
      </w:r>
      <w:r w:rsidR="001441C2" w:rsidRPr="00FE6281">
        <w:rPr>
          <w:shd w:val="clear" w:color="auto" w:fill="FFFFFF"/>
        </w:rPr>
        <w:t xml:space="preserve"> spriedumā</w:t>
      </w:r>
      <w:r w:rsidR="0081324A" w:rsidRPr="00FE6281">
        <w:rPr>
          <w:shd w:val="clear" w:color="auto" w:fill="FFFFFF"/>
        </w:rPr>
        <w:t xml:space="preserve"> </w:t>
      </w:r>
      <w:r w:rsidR="00C2398A" w:rsidRPr="00FE6281">
        <w:rPr>
          <w:shd w:val="clear" w:color="auto" w:fill="FFFFFF"/>
        </w:rPr>
        <w:t xml:space="preserve">ir </w:t>
      </w:r>
      <w:r w:rsidR="001441C2" w:rsidRPr="00FE6281">
        <w:rPr>
          <w:shd w:val="clear" w:color="auto" w:fill="FFFFFF"/>
        </w:rPr>
        <w:t>norādījusi</w:t>
      </w:r>
      <w:r w:rsidR="0081324A" w:rsidRPr="00FE6281">
        <w:rPr>
          <w:shd w:val="clear" w:color="auto" w:fill="FFFFFF"/>
        </w:rPr>
        <w:t>, ka</w:t>
      </w:r>
      <w:r w:rsidR="00F71537" w:rsidRPr="00FE6281">
        <w:rPr>
          <w:shd w:val="clear" w:color="auto" w:fill="FFFFFF"/>
        </w:rPr>
        <w:t xml:space="preserve"> </w:t>
      </w:r>
      <w:r w:rsidR="001441C2" w:rsidRPr="00FE6281">
        <w:rPr>
          <w:shd w:val="clear" w:color="auto" w:fill="FFFFFF"/>
        </w:rPr>
        <w:t xml:space="preserve">tā </w:t>
      </w:r>
      <w:r w:rsidR="0081324A" w:rsidRPr="00FE6281">
        <w:rPr>
          <w:shd w:val="clear" w:color="auto" w:fill="FFFFFF"/>
        </w:rPr>
        <w:t xml:space="preserve">iestādes viedoklim nepiekrīt, </w:t>
      </w:r>
      <w:r w:rsidR="00A817BB" w:rsidRPr="00FE6281">
        <w:rPr>
          <w:shd w:val="clear" w:color="auto" w:fill="FFFFFF"/>
        </w:rPr>
        <w:t>motivējot arī kāpēc</w:t>
      </w:r>
      <w:r w:rsidR="0081324A" w:rsidRPr="00FE6281">
        <w:rPr>
          <w:shd w:val="clear" w:color="auto" w:fill="FFFFFF"/>
        </w:rPr>
        <w:t>.</w:t>
      </w:r>
    </w:p>
    <w:p w14:paraId="16AF77EA" w14:textId="77777777" w:rsidR="00F94543" w:rsidRPr="00FE6281" w:rsidRDefault="00F94543" w:rsidP="00747DBB">
      <w:pPr>
        <w:pStyle w:val="NormalWeb"/>
        <w:shd w:val="clear" w:color="auto" w:fill="FFFFFF"/>
        <w:spacing w:before="0" w:beforeAutospacing="0" w:after="0" w:afterAutospacing="0" w:line="276" w:lineRule="auto"/>
        <w:ind w:firstLine="720"/>
        <w:jc w:val="both"/>
        <w:rPr>
          <w:shd w:val="clear" w:color="auto" w:fill="FFFFFF"/>
        </w:rPr>
      </w:pPr>
    </w:p>
    <w:p w14:paraId="777F1071" w14:textId="3521C941" w:rsidR="0081324A" w:rsidRPr="00FE6281" w:rsidRDefault="00594AC7" w:rsidP="00747DBB">
      <w:pPr>
        <w:pStyle w:val="NormalWeb"/>
        <w:shd w:val="clear" w:color="auto" w:fill="FFFFFF"/>
        <w:spacing w:before="0" w:beforeAutospacing="0" w:after="0" w:afterAutospacing="0" w:line="276" w:lineRule="auto"/>
        <w:ind w:firstLine="720"/>
        <w:jc w:val="both"/>
      </w:pPr>
      <w:r w:rsidRPr="00FE6281">
        <w:rPr>
          <w:shd w:val="clear" w:color="auto" w:fill="FFFFFF"/>
        </w:rPr>
        <w:t>[1</w:t>
      </w:r>
      <w:r w:rsidR="009308A7">
        <w:rPr>
          <w:shd w:val="clear" w:color="auto" w:fill="FFFFFF"/>
        </w:rPr>
        <w:t>1</w:t>
      </w:r>
      <w:r w:rsidRPr="00FE6281">
        <w:rPr>
          <w:shd w:val="clear" w:color="auto" w:fill="FFFFFF"/>
        </w:rPr>
        <w:t>] </w:t>
      </w:r>
      <w:r w:rsidR="00C41818" w:rsidRPr="00FE6281">
        <w:rPr>
          <w:shd w:val="clear" w:color="auto" w:fill="FFFFFF"/>
        </w:rPr>
        <w:t xml:space="preserve">Noraidāms ir </w:t>
      </w:r>
      <w:r w:rsidR="0081324A" w:rsidRPr="00FE6281">
        <w:rPr>
          <w:shd w:val="clear" w:color="auto" w:fill="FFFFFF"/>
        </w:rPr>
        <w:t xml:space="preserve">arī </w:t>
      </w:r>
      <w:r w:rsidR="00C41818" w:rsidRPr="00FE6281">
        <w:rPr>
          <w:shd w:val="clear" w:color="auto" w:fill="FFFFFF"/>
        </w:rPr>
        <w:t>pieteicējas iebildums, ka</w:t>
      </w:r>
      <w:r w:rsidR="005307B2" w:rsidRPr="00FE6281">
        <w:rPr>
          <w:shd w:val="clear" w:color="auto" w:fill="FFFFFF"/>
        </w:rPr>
        <w:t xml:space="preserve"> </w:t>
      </w:r>
      <w:r w:rsidR="007C15FC" w:rsidRPr="00FE6281">
        <w:rPr>
          <w:shd w:val="clear" w:color="auto" w:fill="FFFFFF"/>
        </w:rPr>
        <w:t>tiesa pārkāpusi</w:t>
      </w:r>
      <w:r w:rsidR="005307B2" w:rsidRPr="00FE6281">
        <w:rPr>
          <w:shd w:val="clear" w:color="auto" w:fill="FFFFFF"/>
        </w:rPr>
        <w:t xml:space="preserve"> Administratīvā procesa likuma 7.pant</w:t>
      </w:r>
      <w:r w:rsidR="007C15FC" w:rsidRPr="00FE6281">
        <w:rPr>
          <w:shd w:val="clear" w:color="auto" w:fill="FFFFFF"/>
        </w:rPr>
        <w:t xml:space="preserve">u, </w:t>
      </w:r>
      <w:r w:rsidR="006F5C8F" w:rsidRPr="00FE6281">
        <w:rPr>
          <w:shd w:val="clear" w:color="auto" w:fill="FFFFFF"/>
        </w:rPr>
        <w:t xml:space="preserve">spriedumā </w:t>
      </w:r>
      <w:r w:rsidR="00BF6320" w:rsidRPr="00FE6281">
        <w:rPr>
          <w:shd w:val="clear" w:color="auto" w:fill="FFFFFF"/>
        </w:rPr>
        <w:t>nenorād</w:t>
      </w:r>
      <w:r w:rsidR="005667E9" w:rsidRPr="00FE6281">
        <w:rPr>
          <w:shd w:val="clear" w:color="auto" w:fill="FFFFFF"/>
        </w:rPr>
        <w:t>ot</w:t>
      </w:r>
      <w:r w:rsidR="005307B2" w:rsidRPr="00FE6281">
        <w:rPr>
          <w:shd w:val="clear" w:color="auto" w:fill="FFFFFF"/>
        </w:rPr>
        <w:t xml:space="preserve"> konkrētu normatīvo aktu,</w:t>
      </w:r>
      <w:r w:rsidR="007C15FC" w:rsidRPr="00FE6281">
        <w:rPr>
          <w:shd w:val="clear" w:color="auto" w:fill="FFFFFF"/>
        </w:rPr>
        <w:t xml:space="preserve"> pamatojoties uz kuru</w:t>
      </w:r>
      <w:r w:rsidR="00BF6320" w:rsidRPr="00FE6281">
        <w:rPr>
          <w:shd w:val="clear" w:color="auto" w:fill="FFFFFF"/>
        </w:rPr>
        <w:t xml:space="preserve"> tā</w:t>
      </w:r>
      <w:r w:rsidR="007C15FC" w:rsidRPr="00FE6281">
        <w:rPr>
          <w:shd w:val="clear" w:color="auto" w:fill="FFFFFF"/>
        </w:rPr>
        <w:t xml:space="preserve"> </w:t>
      </w:r>
      <w:r w:rsidR="005667E9" w:rsidRPr="00FE6281">
        <w:rPr>
          <w:shd w:val="clear" w:color="auto" w:fill="FFFFFF"/>
        </w:rPr>
        <w:t>atzinusi</w:t>
      </w:r>
      <w:r w:rsidR="007C15FC" w:rsidRPr="00FE6281">
        <w:rPr>
          <w:shd w:val="clear" w:color="auto" w:fill="FFFFFF"/>
        </w:rPr>
        <w:t>,</w:t>
      </w:r>
      <w:r w:rsidR="005307B2" w:rsidRPr="00FE6281">
        <w:rPr>
          <w:shd w:val="clear" w:color="auto" w:fill="FFFFFF"/>
        </w:rPr>
        <w:t xml:space="preserve"> ka atļauj</w:t>
      </w:r>
      <w:r w:rsidR="005667E9" w:rsidRPr="00FE6281">
        <w:rPr>
          <w:shd w:val="clear" w:color="auto" w:fill="FFFFFF"/>
        </w:rPr>
        <w:t>as C sadaļas 16.punkta 8.apakšpunktā</w:t>
      </w:r>
      <w:r w:rsidR="005307B2" w:rsidRPr="00FE6281">
        <w:rPr>
          <w:shd w:val="clear" w:color="auto" w:fill="FFFFFF"/>
        </w:rPr>
        <w:t xml:space="preserve"> ietvertā </w:t>
      </w:r>
      <w:r w:rsidR="00C41818" w:rsidRPr="00FE6281">
        <w:t>prasība</w:t>
      </w:r>
      <w:r w:rsidR="005667E9" w:rsidRPr="00FE6281">
        <w:t xml:space="preserve"> veikt papildu aizsardzības pasākumus, lai samazinātu applūšanas risku esošajiem urbumiem </w:t>
      </w:r>
      <w:r w:rsidR="007C15FC" w:rsidRPr="00FE6281">
        <w:t>SP</w:t>
      </w:r>
      <w:r w:rsidR="007C15FC" w:rsidRPr="00FE6281">
        <w:noBreakHyphen/>
        <w:t>1 un SP</w:t>
      </w:r>
      <w:r w:rsidR="007C15FC" w:rsidRPr="00FE6281">
        <w:noBreakHyphen/>
        <w:t>2</w:t>
      </w:r>
      <w:r w:rsidR="005667E9" w:rsidRPr="00FE6281">
        <w:t>,</w:t>
      </w:r>
      <w:r w:rsidR="006C0C1D" w:rsidRPr="00FE6281">
        <w:t xml:space="preserve"> </w:t>
      </w:r>
      <w:r w:rsidR="005307B2" w:rsidRPr="00FE6281">
        <w:t>ir</w:t>
      </w:r>
      <w:r w:rsidR="00C41818" w:rsidRPr="00FE6281">
        <w:t xml:space="preserve"> tiesiski pamatota.</w:t>
      </w:r>
    </w:p>
    <w:p w14:paraId="3D818D99" w14:textId="661193B4" w:rsidR="00BF6320" w:rsidRPr="00FE6281" w:rsidRDefault="002251E2" w:rsidP="00747DBB">
      <w:pPr>
        <w:pStyle w:val="NormalWeb"/>
        <w:shd w:val="clear" w:color="auto" w:fill="FFFFFF"/>
        <w:spacing w:before="0" w:beforeAutospacing="0" w:after="0" w:afterAutospacing="0" w:line="276" w:lineRule="auto"/>
        <w:ind w:firstLine="720"/>
        <w:jc w:val="both"/>
        <w:rPr>
          <w:shd w:val="clear" w:color="auto" w:fill="FFFFFF"/>
        </w:rPr>
      </w:pPr>
      <w:r w:rsidRPr="00FE6281">
        <w:t>Pretēji kasācijas sūdzībā norādītajam, n</w:t>
      </w:r>
      <w:r w:rsidR="00BF6320" w:rsidRPr="00FE6281">
        <w:t xml:space="preserve">o pārsūdzētā sprieduma </w:t>
      </w:r>
      <w:r w:rsidRPr="00FE6281">
        <w:t xml:space="preserve">tieši </w:t>
      </w:r>
      <w:r w:rsidR="00BF6320" w:rsidRPr="00FE6281">
        <w:t xml:space="preserve">izriet, ka minētā prasība ir pamatota </w:t>
      </w:r>
      <w:r w:rsidR="00BF6320" w:rsidRPr="00FE6281">
        <w:rPr>
          <w:shd w:val="clear" w:color="auto" w:fill="FFFFFF"/>
        </w:rPr>
        <w:t xml:space="preserve">ar likuma „Par piesārņojumu” 31.panta pirmās daļas 8.punktu. Atbilstoši šai </w:t>
      </w:r>
      <w:r w:rsidR="00F95B20" w:rsidRPr="00FE6281">
        <w:rPr>
          <w:shd w:val="clear" w:color="auto" w:fill="FFFFFF"/>
        </w:rPr>
        <w:t xml:space="preserve">tiesību </w:t>
      </w:r>
      <w:r w:rsidR="00BF6320" w:rsidRPr="00FE6281">
        <w:rPr>
          <w:shd w:val="clear" w:color="auto" w:fill="FFFFFF"/>
        </w:rPr>
        <w:t xml:space="preserve">normai atļaujā ietver nosacījumus, kuru ievērošana nepieciešama, lai nodrošinātu cilvēku veselības aizsardzību un sasniegtu augstu vides aizsardzības līmeni kopumā </w:t>
      </w:r>
      <w:r w:rsidR="005667E9" w:rsidRPr="00FE6281">
        <w:rPr>
          <w:shd w:val="clear" w:color="auto" w:fill="FFFFFF"/>
        </w:rPr>
        <w:t>–</w:t>
      </w:r>
      <w:r w:rsidR="00BF6320" w:rsidRPr="00FE6281">
        <w:rPr>
          <w:shd w:val="clear" w:color="auto" w:fill="FFFFFF"/>
        </w:rPr>
        <w:t xml:space="preserve"> gaisa, virszemes ūdeņu, pazemes ūdeņu, augsnes un zemes dzīļu aizsardzību, kā arī nosaka pasākumus, kas veicami, lai nodrošinātu šā likuma</w:t>
      </w:r>
      <w:r w:rsidR="00D512A8" w:rsidRPr="00FE6281">
        <w:rPr>
          <w:shd w:val="clear" w:color="auto" w:fill="FFFFFF"/>
        </w:rPr>
        <w:t xml:space="preserve"> </w:t>
      </w:r>
      <w:r w:rsidR="00BF6320" w:rsidRPr="00FE6281">
        <w:rPr>
          <w:shd w:val="clear" w:color="auto" w:fill="FFFFFF"/>
        </w:rPr>
        <w:t>II nodaļā</w:t>
      </w:r>
      <w:r w:rsidR="00D512A8" w:rsidRPr="00FE6281">
        <w:rPr>
          <w:shd w:val="clear" w:color="auto" w:fill="FFFFFF"/>
        </w:rPr>
        <w:t xml:space="preserve"> </w:t>
      </w:r>
      <w:r w:rsidR="00BF6320" w:rsidRPr="00FE6281">
        <w:rPr>
          <w:shd w:val="clear" w:color="auto" w:fill="FFFFFF"/>
        </w:rPr>
        <w:t>minēto prasību izpild</w:t>
      </w:r>
      <w:r w:rsidRPr="00FE6281">
        <w:rPr>
          <w:shd w:val="clear" w:color="auto" w:fill="FFFFFF"/>
        </w:rPr>
        <w:t>i. Tas nozīmē</w:t>
      </w:r>
      <w:r w:rsidR="00A817BB" w:rsidRPr="00FE6281">
        <w:rPr>
          <w:shd w:val="clear" w:color="auto" w:fill="FFFFFF"/>
        </w:rPr>
        <w:t>, ka</w:t>
      </w:r>
      <w:r w:rsidRPr="00FE6281">
        <w:rPr>
          <w:shd w:val="clear" w:color="auto" w:fill="FFFFFF"/>
        </w:rPr>
        <w:t xml:space="preserve"> </w:t>
      </w:r>
      <w:r w:rsidR="00684083" w:rsidRPr="00FE6281">
        <w:rPr>
          <w:shd w:val="clear" w:color="auto" w:fill="FFFFFF"/>
        </w:rPr>
        <w:t xml:space="preserve">attiecīgā prasība </w:t>
      </w:r>
      <w:r w:rsidR="00453314" w:rsidRPr="00FE6281">
        <w:rPr>
          <w:shd w:val="clear" w:color="auto" w:fill="FFFFFF"/>
        </w:rPr>
        <w:t xml:space="preserve">noteikta </w:t>
      </w:r>
      <w:r w:rsidR="00A817BB" w:rsidRPr="00FE6281">
        <w:rPr>
          <w:shd w:val="clear" w:color="auto" w:fill="FFFFFF"/>
        </w:rPr>
        <w:t>atbilstoši</w:t>
      </w:r>
      <w:r w:rsidR="006A1068" w:rsidRPr="00FE6281">
        <w:rPr>
          <w:shd w:val="clear" w:color="auto" w:fill="FFFFFF"/>
        </w:rPr>
        <w:t xml:space="preserve"> </w:t>
      </w:r>
      <w:r w:rsidR="00A817BB" w:rsidRPr="00FE6281">
        <w:rPr>
          <w:shd w:val="clear" w:color="auto" w:fill="FFFFFF"/>
        </w:rPr>
        <w:t>4.panta pirmās daļas 1.punkt</w:t>
      </w:r>
      <w:r w:rsidR="004C0D11" w:rsidRPr="00FE6281">
        <w:rPr>
          <w:shd w:val="clear" w:color="auto" w:fill="FFFFFF"/>
        </w:rPr>
        <w:t>a</w:t>
      </w:r>
      <w:r w:rsidR="00A817BB" w:rsidRPr="00FE6281">
        <w:rPr>
          <w:shd w:val="clear" w:color="auto" w:fill="FFFFFF"/>
        </w:rPr>
        <w:t xml:space="preserve">m </w:t>
      </w:r>
      <w:r w:rsidR="00D06BC9" w:rsidRPr="00FE6281">
        <w:rPr>
          <w:shd w:val="clear" w:color="auto" w:fill="FFFFFF"/>
        </w:rPr>
        <w:t xml:space="preserve">(šī tiesību </w:t>
      </w:r>
      <w:r w:rsidR="00D06BC9" w:rsidRPr="00FE6281">
        <w:rPr>
          <w:shd w:val="clear" w:color="auto" w:fill="FFFFFF"/>
        </w:rPr>
        <w:lastRenderedPageBreak/>
        <w:t>norma ietverta likuma „Par piesārņojumu</w:t>
      </w:r>
      <w:r w:rsidR="00BD3713" w:rsidRPr="00FE6281">
        <w:rPr>
          <w:shd w:val="clear" w:color="auto" w:fill="FFFFFF"/>
        </w:rPr>
        <w:t>”</w:t>
      </w:r>
      <w:r w:rsidR="00D06BC9" w:rsidRPr="00FE6281">
        <w:rPr>
          <w:shd w:val="clear" w:color="auto" w:fill="FFFFFF"/>
        </w:rPr>
        <w:t xml:space="preserve"> II</w:t>
      </w:r>
      <w:r w:rsidR="0053646E">
        <w:rPr>
          <w:shd w:val="clear" w:color="auto" w:fill="FFFFFF"/>
        </w:rPr>
        <w:t> </w:t>
      </w:r>
      <w:r w:rsidR="00D06BC9" w:rsidRPr="00FE6281">
        <w:rPr>
          <w:shd w:val="clear" w:color="auto" w:fill="FFFFFF"/>
        </w:rPr>
        <w:t xml:space="preserve">nodaļā) </w:t>
      </w:r>
      <w:r w:rsidR="00A817BB" w:rsidRPr="00FE6281">
        <w:rPr>
          <w:shd w:val="clear" w:color="auto" w:fill="FFFFFF"/>
        </w:rPr>
        <w:t xml:space="preserve">– </w:t>
      </w:r>
      <w:r w:rsidR="00BF6320" w:rsidRPr="00FE6281">
        <w:rPr>
          <w:shd w:val="clear" w:color="auto" w:fill="FFFFFF"/>
        </w:rPr>
        <w:t>lai novērstu piesārņojuma rašanos vai samazinātu tā emisij</w:t>
      </w:r>
      <w:r w:rsidR="00795F0C" w:rsidRPr="00FE6281">
        <w:rPr>
          <w:shd w:val="clear" w:color="auto" w:fill="FFFFFF"/>
        </w:rPr>
        <w:t>u</w:t>
      </w:r>
      <w:r w:rsidR="00BF6320" w:rsidRPr="00FE6281">
        <w:rPr>
          <w:shd w:val="clear" w:color="auto" w:fill="FFFFFF"/>
        </w:rPr>
        <w:t>.</w:t>
      </w:r>
    </w:p>
    <w:p w14:paraId="1DB31489" w14:textId="1894277D" w:rsidR="00A364E0" w:rsidRPr="00FE6281" w:rsidRDefault="005667E9"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Tiesa secināj</w:t>
      </w:r>
      <w:r w:rsidR="00031680" w:rsidRPr="00FE6281">
        <w:rPr>
          <w:shd w:val="clear" w:color="auto" w:fill="FFFFFF"/>
        </w:rPr>
        <w:t>a</w:t>
      </w:r>
      <w:r w:rsidRPr="00FE6281">
        <w:rPr>
          <w:shd w:val="clear" w:color="auto" w:fill="FFFFFF"/>
        </w:rPr>
        <w:t xml:space="preserve">, ka prasība </w:t>
      </w:r>
      <w:r w:rsidRPr="00FE6281">
        <w:t>veikt papildu aizsardzības pasākumus, lai samazinātu applūšanas risku urbumiem SP</w:t>
      </w:r>
      <w:r w:rsidRPr="00FE6281">
        <w:noBreakHyphen/>
        <w:t>1 un SP</w:t>
      </w:r>
      <w:r w:rsidRPr="00FE6281">
        <w:noBreakHyphen/>
        <w:t>2, ir noteikta</w:t>
      </w:r>
      <w:r w:rsidRPr="00FE6281">
        <w:rPr>
          <w:shd w:val="clear" w:color="auto" w:fill="FFFFFF"/>
        </w:rPr>
        <w:t xml:space="preserve"> ar mērķi nodrošināt virszemes ūdeņu aizsardzību</w:t>
      </w:r>
      <w:r w:rsidR="001425EB" w:rsidRPr="00FE6281">
        <w:rPr>
          <w:shd w:val="clear" w:color="auto" w:fill="FFFFFF"/>
        </w:rPr>
        <w:t xml:space="preserve"> saskaņā ar </w:t>
      </w:r>
      <w:r w:rsidRPr="00FE6281">
        <w:rPr>
          <w:shd w:val="clear" w:color="auto" w:fill="FFFFFF"/>
        </w:rPr>
        <w:t>likuma „Par piesārņojumu” 31.panta pirmās daļas 8.punkt</w:t>
      </w:r>
      <w:r w:rsidR="001425EB" w:rsidRPr="00FE6281">
        <w:rPr>
          <w:shd w:val="clear" w:color="auto" w:fill="FFFFFF"/>
        </w:rPr>
        <w:t>u</w:t>
      </w:r>
      <w:r w:rsidRPr="00FE6281">
        <w:rPr>
          <w:shd w:val="clear" w:color="auto" w:fill="FFFFFF"/>
        </w:rPr>
        <w:t>, jo</w:t>
      </w:r>
      <w:r w:rsidR="001425EB" w:rsidRPr="00FE6281">
        <w:rPr>
          <w:shd w:val="clear" w:color="auto" w:fill="FFFFFF"/>
        </w:rPr>
        <w:t xml:space="preserve"> </w:t>
      </w:r>
      <w:r w:rsidRPr="00FE6281">
        <w:rPr>
          <w:shd w:val="clear" w:color="auto" w:fill="FFFFFF"/>
        </w:rPr>
        <w:t xml:space="preserve">konstatēts, ka Rīvas upes pavasara palu </w:t>
      </w:r>
      <w:r w:rsidR="006F5C8F" w:rsidRPr="00FE6281">
        <w:rPr>
          <w:shd w:val="clear" w:color="auto" w:fill="FFFFFF"/>
        </w:rPr>
        <w:t xml:space="preserve">un plūdu </w:t>
      </w:r>
      <w:r w:rsidRPr="00FE6281">
        <w:rPr>
          <w:shd w:val="clear" w:color="auto" w:fill="FFFFFF"/>
        </w:rPr>
        <w:t xml:space="preserve">gadījumā pastāv risks ogļūdeņražu iekļūšanai virszemes ūdeņos. </w:t>
      </w:r>
      <w:r w:rsidR="00A364E0" w:rsidRPr="00FE6281">
        <w:rPr>
          <w:shd w:val="clear" w:color="auto" w:fill="FFFFFF"/>
        </w:rPr>
        <w:t>Tiesa</w:t>
      </w:r>
      <w:r w:rsidR="001425EB" w:rsidRPr="00FE6281">
        <w:rPr>
          <w:shd w:val="clear" w:color="auto" w:fill="FFFFFF"/>
        </w:rPr>
        <w:t>s</w:t>
      </w:r>
      <w:r w:rsidR="00A364E0" w:rsidRPr="00FE6281">
        <w:rPr>
          <w:shd w:val="clear" w:color="auto" w:fill="FFFFFF"/>
        </w:rPr>
        <w:t xml:space="preserve"> secinājum</w:t>
      </w:r>
      <w:r w:rsidR="001425EB" w:rsidRPr="00FE6281">
        <w:rPr>
          <w:shd w:val="clear" w:color="auto" w:fill="FFFFFF"/>
        </w:rPr>
        <w:t>s</w:t>
      </w:r>
      <w:r w:rsidR="00A364E0" w:rsidRPr="00FE6281">
        <w:rPr>
          <w:shd w:val="clear" w:color="auto" w:fill="FFFFFF"/>
        </w:rPr>
        <w:t xml:space="preserve"> pamato</w:t>
      </w:r>
      <w:r w:rsidR="001425EB" w:rsidRPr="00FE6281">
        <w:rPr>
          <w:shd w:val="clear" w:color="auto" w:fill="FFFFFF"/>
        </w:rPr>
        <w:t xml:space="preserve">ts </w:t>
      </w:r>
      <w:r w:rsidR="00355483" w:rsidRPr="00FE6281">
        <w:rPr>
          <w:shd w:val="clear" w:color="auto" w:fill="FFFFFF"/>
        </w:rPr>
        <w:t xml:space="preserve">arī </w:t>
      </w:r>
      <w:r w:rsidR="00A364E0" w:rsidRPr="00FE6281">
        <w:rPr>
          <w:shd w:val="clear" w:color="auto" w:fill="FFFFFF"/>
        </w:rPr>
        <w:t xml:space="preserve">ar ziņām, kas izriet no pieteicējas </w:t>
      </w:r>
      <w:r w:rsidR="0028782D" w:rsidRPr="00FE6281">
        <w:rPr>
          <w:shd w:val="clear" w:color="auto" w:fill="FFFFFF"/>
        </w:rPr>
        <w:t xml:space="preserve">pašas </w:t>
      </w:r>
      <w:r w:rsidR="00A364E0" w:rsidRPr="00FE6281">
        <w:rPr>
          <w:shd w:val="clear" w:color="auto" w:fill="FFFFFF"/>
        </w:rPr>
        <w:t xml:space="preserve">2017.gada 15.septembrī sagatavotā ietekmes uz vidi novērtējuma ziņojuma, kurā veikts teritorijas applūšanas teorētiskais aprēķins un, balstoties uz </w:t>
      </w:r>
      <w:r w:rsidR="005307B2" w:rsidRPr="00FE6281">
        <w:rPr>
          <w:shd w:val="clear" w:color="auto" w:fill="FFFFFF"/>
        </w:rPr>
        <w:t>teritorijas hidroloģisk</w:t>
      </w:r>
      <w:r w:rsidR="00BC4230" w:rsidRPr="00FE6281">
        <w:rPr>
          <w:shd w:val="clear" w:color="auto" w:fill="FFFFFF"/>
        </w:rPr>
        <w:t>ā</w:t>
      </w:r>
      <w:r w:rsidR="006E062E" w:rsidRPr="00FE6281">
        <w:rPr>
          <w:shd w:val="clear" w:color="auto" w:fill="FFFFFF"/>
        </w:rPr>
        <w:t>s</w:t>
      </w:r>
      <w:r w:rsidR="005307B2" w:rsidRPr="00FE6281">
        <w:rPr>
          <w:shd w:val="clear" w:color="auto" w:fill="FFFFFF"/>
        </w:rPr>
        <w:t xml:space="preserve"> modelēšan</w:t>
      </w:r>
      <w:r w:rsidR="00BC4230" w:rsidRPr="00FE6281">
        <w:rPr>
          <w:shd w:val="clear" w:color="auto" w:fill="FFFFFF"/>
        </w:rPr>
        <w:t>a</w:t>
      </w:r>
      <w:r w:rsidR="00A364E0" w:rsidRPr="00FE6281">
        <w:rPr>
          <w:shd w:val="clear" w:color="auto" w:fill="FFFFFF"/>
        </w:rPr>
        <w:t>s rezultātiem,</w:t>
      </w:r>
      <w:r w:rsidR="005307B2" w:rsidRPr="00FE6281">
        <w:rPr>
          <w:shd w:val="clear" w:color="auto" w:fill="FFFFFF"/>
        </w:rPr>
        <w:t xml:space="preserve"> </w:t>
      </w:r>
      <w:r w:rsidR="006C0C1D" w:rsidRPr="00FE6281">
        <w:rPr>
          <w:shd w:val="clear" w:color="auto" w:fill="FFFFFF"/>
        </w:rPr>
        <w:t>noteikt</w:t>
      </w:r>
      <w:r w:rsidR="005307B2" w:rsidRPr="00FE6281">
        <w:rPr>
          <w:shd w:val="clear" w:color="auto" w:fill="FFFFFF"/>
        </w:rPr>
        <w:t>a</w:t>
      </w:r>
      <w:r w:rsidR="00025594" w:rsidRPr="00FE6281">
        <w:rPr>
          <w:shd w:val="clear" w:color="auto" w:fill="FFFFFF"/>
        </w:rPr>
        <w:t xml:space="preserve"> </w:t>
      </w:r>
      <w:r w:rsidR="006C0C1D" w:rsidRPr="00FE6281">
        <w:rPr>
          <w:shd w:val="clear" w:color="auto" w:fill="FFFFFF"/>
        </w:rPr>
        <w:t>hidroloģiskā situācija</w:t>
      </w:r>
      <w:r w:rsidR="00025594" w:rsidRPr="00FE6281">
        <w:rPr>
          <w:shd w:val="clear" w:color="auto" w:fill="FFFFFF"/>
        </w:rPr>
        <w:t>, kāda</w:t>
      </w:r>
      <w:r w:rsidR="006C0C1D" w:rsidRPr="00FE6281">
        <w:rPr>
          <w:shd w:val="clear" w:color="auto" w:fill="FFFFFF"/>
        </w:rPr>
        <w:t xml:space="preserve"> veidosies licences laukumā un tam pieguļošajā teritorijā, ja ūdens līmenis Rīvas upē celsies.</w:t>
      </w:r>
    </w:p>
    <w:p w14:paraId="7357B700" w14:textId="2CBE558B" w:rsidR="003B590E" w:rsidRPr="00FE6281" w:rsidRDefault="005307B2"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rPr>
        <w:t>I</w:t>
      </w:r>
      <w:r w:rsidR="006C0C1D" w:rsidRPr="00FE6281">
        <w:rPr>
          <w:shd w:val="clear" w:color="auto" w:fill="FFFFFF"/>
        </w:rPr>
        <w:t>zvērtējot</w:t>
      </w:r>
      <w:r w:rsidR="00A364E0" w:rsidRPr="00FE6281">
        <w:rPr>
          <w:shd w:val="clear" w:color="auto" w:fill="FFFFFF"/>
        </w:rPr>
        <w:t xml:space="preserve"> </w:t>
      </w:r>
      <w:r w:rsidR="001425EB" w:rsidRPr="00FE6281">
        <w:rPr>
          <w:shd w:val="clear" w:color="auto" w:fill="FFFFFF"/>
        </w:rPr>
        <w:t>modelēto</w:t>
      </w:r>
      <w:r w:rsidR="00B57565" w:rsidRPr="00FE6281">
        <w:rPr>
          <w:shd w:val="clear" w:color="auto" w:fill="FFFFFF"/>
        </w:rPr>
        <w:t xml:space="preserve"> Rīvas upes </w:t>
      </w:r>
      <w:r w:rsidR="006C0C1D" w:rsidRPr="00FE6281">
        <w:rPr>
          <w:shd w:val="clear" w:color="auto" w:fill="FFFFFF"/>
        </w:rPr>
        <w:t>plūdu scenārij</w:t>
      </w:r>
      <w:r w:rsidR="00B57565" w:rsidRPr="00FE6281">
        <w:rPr>
          <w:shd w:val="clear" w:color="auto" w:fill="FFFFFF"/>
        </w:rPr>
        <w:t>u</w:t>
      </w:r>
      <w:r w:rsidR="006C0C1D" w:rsidRPr="00FE6281">
        <w:rPr>
          <w:shd w:val="clear" w:color="auto" w:fill="FFFFFF"/>
        </w:rPr>
        <w:t xml:space="preserve"> </w:t>
      </w:r>
      <w:r w:rsidR="00A364E0" w:rsidRPr="00FE6281">
        <w:rPr>
          <w:shd w:val="clear" w:color="auto" w:fill="FFFFFF"/>
        </w:rPr>
        <w:t xml:space="preserve">pie </w:t>
      </w:r>
      <w:r w:rsidR="006C0C1D" w:rsidRPr="00FE6281">
        <w:rPr>
          <w:shd w:val="clear" w:color="auto" w:fill="FFFFFF"/>
        </w:rPr>
        <w:t>5</w:t>
      </w:r>
      <w:r w:rsidR="00D512A8" w:rsidRPr="00FE6281">
        <w:rPr>
          <w:shd w:val="clear" w:color="auto" w:fill="FFFFFF"/>
        </w:rPr>
        <w:t> </w:t>
      </w:r>
      <w:r w:rsidR="006C0C1D" w:rsidRPr="00FE6281">
        <w:rPr>
          <w:shd w:val="clear" w:color="auto" w:fill="FFFFFF"/>
        </w:rPr>
        <w:t>%</w:t>
      </w:r>
      <w:r w:rsidR="00A364E0" w:rsidRPr="00FE6281">
        <w:rPr>
          <w:shd w:val="clear" w:color="auto" w:fill="FFFFFF"/>
        </w:rPr>
        <w:t xml:space="preserve"> caurplūduma pārsniegšanas</w:t>
      </w:r>
      <w:r w:rsidR="006C0C1D" w:rsidRPr="00FE6281">
        <w:rPr>
          <w:shd w:val="clear" w:color="auto" w:fill="FFFFFF"/>
        </w:rPr>
        <w:t xml:space="preserve"> varbūtīb</w:t>
      </w:r>
      <w:r w:rsidR="00A364E0" w:rsidRPr="00FE6281">
        <w:rPr>
          <w:shd w:val="clear" w:color="auto" w:fill="FFFFFF"/>
        </w:rPr>
        <w:t>as</w:t>
      </w:r>
      <w:r w:rsidR="006C0C1D" w:rsidRPr="00FE6281">
        <w:rPr>
          <w:shd w:val="clear" w:color="auto" w:fill="FFFFFF"/>
        </w:rPr>
        <w:t xml:space="preserve">, </w:t>
      </w:r>
      <w:r w:rsidRPr="00FE6281">
        <w:rPr>
          <w:shd w:val="clear" w:color="auto" w:fill="FFFFFF"/>
        </w:rPr>
        <w:t>tiesa konstatēja</w:t>
      </w:r>
      <w:r w:rsidR="006C0C1D" w:rsidRPr="00FE6281">
        <w:rPr>
          <w:shd w:val="clear" w:color="auto" w:fill="FFFFFF"/>
        </w:rPr>
        <w:t xml:space="preserve">, ka </w:t>
      </w:r>
      <w:r w:rsidR="00025594" w:rsidRPr="00FE6281">
        <w:rPr>
          <w:shd w:val="clear" w:color="auto" w:fill="FFFFFF"/>
        </w:rPr>
        <w:t xml:space="preserve">šādā </w:t>
      </w:r>
      <w:r w:rsidR="006C0C1D" w:rsidRPr="00FE6281">
        <w:rPr>
          <w:shd w:val="clear" w:color="auto" w:fill="FFFFFF"/>
        </w:rPr>
        <w:t xml:space="preserve">gadījumā </w:t>
      </w:r>
      <w:r w:rsidR="00A364E0" w:rsidRPr="00FE6281">
        <w:rPr>
          <w:shd w:val="clear" w:color="auto" w:fill="FFFFFF"/>
        </w:rPr>
        <w:t xml:space="preserve">strīdus urbumi </w:t>
      </w:r>
      <w:r w:rsidR="006C0C1D" w:rsidRPr="00FE6281">
        <w:rPr>
          <w:shd w:val="clear" w:color="auto" w:fill="FFFFFF"/>
        </w:rPr>
        <w:t xml:space="preserve">daļēji atradīsies applūstošajā teritorijā. </w:t>
      </w:r>
      <w:r w:rsidR="00025594" w:rsidRPr="00FE6281">
        <w:rPr>
          <w:shd w:val="clear" w:color="auto" w:fill="FFFFFF"/>
        </w:rPr>
        <w:t xml:space="preserve">Lai arī strīdus urbumu atveres – kā to </w:t>
      </w:r>
      <w:r w:rsidR="00BA1CEF" w:rsidRPr="00FE6281">
        <w:rPr>
          <w:shd w:val="clear" w:color="auto" w:fill="FFFFFF"/>
        </w:rPr>
        <w:t xml:space="preserve">kasācijas </w:t>
      </w:r>
      <w:r w:rsidR="001425EB" w:rsidRPr="00FE6281">
        <w:rPr>
          <w:shd w:val="clear" w:color="auto" w:fill="FFFFFF"/>
        </w:rPr>
        <w:t xml:space="preserve">sūdzībā </w:t>
      </w:r>
      <w:r w:rsidR="00025594" w:rsidRPr="00FE6281">
        <w:rPr>
          <w:shd w:val="clear" w:color="auto" w:fill="FFFFFF"/>
        </w:rPr>
        <w:t>uzsvērusi pieteicēja</w:t>
      </w:r>
      <w:r w:rsidR="001425EB" w:rsidRPr="00FE6281">
        <w:rPr>
          <w:shd w:val="clear" w:color="auto" w:fill="FFFFFF"/>
        </w:rPr>
        <w:t xml:space="preserve"> </w:t>
      </w:r>
      <w:r w:rsidR="00025594" w:rsidRPr="00FE6281">
        <w:rPr>
          <w:shd w:val="clear" w:color="auto" w:fill="FFFFFF"/>
        </w:rPr>
        <w:t>– ir aprīkotas ar mūrētu betona bloku grodu akām, kuru virsmas augstums pārsniedz maksimāli prognozēto ūdens līmeni 5</w:t>
      </w:r>
      <w:r w:rsidR="00D512A8" w:rsidRPr="00FE6281">
        <w:rPr>
          <w:shd w:val="clear" w:color="auto" w:fill="FFFFFF"/>
        </w:rPr>
        <w:t> </w:t>
      </w:r>
      <w:r w:rsidR="00025594" w:rsidRPr="00FE6281">
        <w:rPr>
          <w:shd w:val="clear" w:color="auto" w:fill="FFFFFF"/>
        </w:rPr>
        <w:t xml:space="preserve">% varbūtībai, </w:t>
      </w:r>
      <w:r w:rsidR="00B15BD4" w:rsidRPr="00FE6281">
        <w:rPr>
          <w:shd w:val="clear" w:color="auto" w:fill="FFFFFF"/>
        </w:rPr>
        <w:t xml:space="preserve">tomēr </w:t>
      </w:r>
      <w:r w:rsidR="00025594" w:rsidRPr="00FE6281">
        <w:rPr>
          <w:shd w:val="clear" w:color="auto" w:fill="FFFFFF"/>
        </w:rPr>
        <w:t xml:space="preserve">tiesa </w:t>
      </w:r>
      <w:r w:rsidR="00A817BB" w:rsidRPr="00FE6281">
        <w:rPr>
          <w:shd w:val="clear" w:color="auto" w:fill="FFFFFF"/>
        </w:rPr>
        <w:t>nav guvusi</w:t>
      </w:r>
      <w:r w:rsidR="00025594" w:rsidRPr="00FE6281">
        <w:rPr>
          <w:shd w:val="clear" w:color="auto" w:fill="FFFFFF"/>
        </w:rPr>
        <w:t xml:space="preserve"> </w:t>
      </w:r>
      <w:r w:rsidR="00BA1CEF" w:rsidRPr="00FE6281">
        <w:rPr>
          <w:shd w:val="clear" w:color="auto" w:fill="FFFFFF"/>
        </w:rPr>
        <w:t>pārliecību</w:t>
      </w:r>
      <w:r w:rsidR="00025594" w:rsidRPr="00FE6281">
        <w:rPr>
          <w:shd w:val="clear" w:color="auto" w:fill="FFFFFF"/>
        </w:rPr>
        <w:t xml:space="preserve">, ka šāds riska novēršanas preventīvais pasākums būtu pietiekošs ilglaicīgu plūdu gadījumā. Turklāt </w:t>
      </w:r>
      <w:r w:rsidR="00B57565" w:rsidRPr="00FE6281">
        <w:rPr>
          <w:shd w:val="clear" w:color="auto" w:fill="FFFFFF"/>
        </w:rPr>
        <w:t xml:space="preserve">tiesa konstatēja, ka </w:t>
      </w:r>
      <w:r w:rsidR="00031680" w:rsidRPr="00FE6281">
        <w:rPr>
          <w:shd w:val="clear" w:color="auto" w:fill="FFFFFF"/>
        </w:rPr>
        <w:t xml:space="preserve">ietekmes uz vidi novērtējuma ziņojumā kā </w:t>
      </w:r>
      <w:r w:rsidR="00025594" w:rsidRPr="00FE6281">
        <w:rPr>
          <w:shd w:val="clear" w:color="auto" w:fill="FFFFFF"/>
        </w:rPr>
        <w:t>viens no iespējamiem pretplūdu preventīvajiem risinājumiem</w:t>
      </w:r>
      <w:r w:rsidR="00B57565" w:rsidRPr="00FE6281">
        <w:rPr>
          <w:shd w:val="clear" w:color="auto" w:fill="FFFFFF"/>
        </w:rPr>
        <w:t xml:space="preserve"> situācijā</w:t>
      </w:r>
      <w:r w:rsidR="00025594" w:rsidRPr="00FE6281">
        <w:rPr>
          <w:shd w:val="clear" w:color="auto" w:fill="FFFFFF"/>
        </w:rPr>
        <w:t>, ja tomēr tiktu prognozēta ilglaicīga (vairāk nekā 20 dienas) ūdens līmeņa celšanās Rīvas upē 5</w:t>
      </w:r>
      <w:r w:rsidR="00D512A8" w:rsidRPr="00FE6281">
        <w:rPr>
          <w:shd w:val="clear" w:color="auto" w:fill="FFFFFF"/>
        </w:rPr>
        <w:t> </w:t>
      </w:r>
      <w:r w:rsidR="00025594" w:rsidRPr="00FE6281">
        <w:rPr>
          <w:shd w:val="clear" w:color="auto" w:fill="FFFFFF"/>
        </w:rPr>
        <w:t xml:space="preserve">% varbūtībai, ir norādīta grunts apvaļņojuma izbūve ap plūdu riska zonā esošajiem ogļūdeņražu laukumiem. </w:t>
      </w:r>
      <w:r w:rsidR="0081324A" w:rsidRPr="00FE6281">
        <w:rPr>
          <w:shd w:val="clear" w:color="auto" w:fill="FFFFFF"/>
        </w:rPr>
        <w:t>Ietekmes uz vidi novērtējuma z</w:t>
      </w:r>
      <w:r w:rsidR="007B4524" w:rsidRPr="00FE6281">
        <w:rPr>
          <w:shd w:val="clear" w:color="auto" w:fill="FFFFFF"/>
        </w:rPr>
        <w:t>iņojumā</w:t>
      </w:r>
      <w:r w:rsidR="00BA1CEF" w:rsidRPr="00FE6281">
        <w:rPr>
          <w:shd w:val="clear" w:color="auto" w:fill="FFFFFF"/>
        </w:rPr>
        <w:t xml:space="preserve"> arī</w:t>
      </w:r>
      <w:r w:rsidR="007B4524" w:rsidRPr="00FE6281">
        <w:rPr>
          <w:shd w:val="clear" w:color="auto" w:fill="FFFFFF"/>
        </w:rPr>
        <w:t xml:space="preserve"> atzīts, ka</w:t>
      </w:r>
      <w:r w:rsidR="00BA1CEF" w:rsidRPr="00FE6281">
        <w:rPr>
          <w:shd w:val="clear" w:color="auto" w:fill="FFFFFF"/>
        </w:rPr>
        <w:t xml:space="preserve"> šāds</w:t>
      </w:r>
      <w:r w:rsidR="007B4524" w:rsidRPr="00FE6281">
        <w:rPr>
          <w:shd w:val="clear" w:color="auto" w:fill="FFFFFF"/>
        </w:rPr>
        <w:t xml:space="preserve"> apvaļņojums būs labs garants piesārņojuma izplatības norobežošanai neparedzētu naftas produktu izlijumu gadījumā ogļūdeņražu laukumā. </w:t>
      </w:r>
      <w:r w:rsidR="00031680" w:rsidRPr="00FE6281">
        <w:rPr>
          <w:shd w:val="clear" w:color="auto" w:fill="FFFFFF"/>
        </w:rPr>
        <w:t>Līdz ar to</w:t>
      </w:r>
      <w:r w:rsidR="00FF0D36" w:rsidRPr="00FE6281">
        <w:rPr>
          <w:shd w:val="clear" w:color="auto" w:fill="FFFFFF"/>
        </w:rPr>
        <w:t xml:space="preserve"> </w:t>
      </w:r>
      <w:r w:rsidR="00A817BB" w:rsidRPr="00FE6281">
        <w:rPr>
          <w:shd w:val="clear" w:color="auto" w:fill="FFFFFF"/>
        </w:rPr>
        <w:t>redzams</w:t>
      </w:r>
      <w:r w:rsidR="00FF0D36" w:rsidRPr="00FE6281">
        <w:rPr>
          <w:shd w:val="clear" w:color="auto" w:fill="FFFFFF"/>
        </w:rPr>
        <w:t>, ka</w:t>
      </w:r>
      <w:r w:rsidR="001425EB" w:rsidRPr="00FE6281">
        <w:rPr>
          <w:shd w:val="clear" w:color="auto" w:fill="FFFFFF"/>
        </w:rPr>
        <w:t xml:space="preserve"> </w:t>
      </w:r>
      <w:r w:rsidR="007B4524" w:rsidRPr="00FE6281">
        <w:rPr>
          <w:shd w:val="clear" w:color="auto" w:fill="FFFFFF"/>
        </w:rPr>
        <w:t xml:space="preserve">pati </w:t>
      </w:r>
      <w:r w:rsidR="001425EB" w:rsidRPr="00FE6281">
        <w:rPr>
          <w:shd w:val="clear" w:color="auto" w:fill="FFFFFF"/>
        </w:rPr>
        <w:t>pieteicēja</w:t>
      </w:r>
      <w:r w:rsidR="00EC5085" w:rsidRPr="00FE6281">
        <w:rPr>
          <w:shd w:val="clear" w:color="auto" w:fill="FFFFFF"/>
        </w:rPr>
        <w:t xml:space="preserve"> ietekmes uz vidi novērtējuma ziņojumā</w:t>
      </w:r>
      <w:r w:rsidR="001425EB" w:rsidRPr="00FE6281">
        <w:rPr>
          <w:shd w:val="clear" w:color="auto" w:fill="FFFFFF"/>
        </w:rPr>
        <w:t xml:space="preserve"> </w:t>
      </w:r>
      <w:r w:rsidR="0081324A" w:rsidRPr="00FE6281">
        <w:rPr>
          <w:shd w:val="clear" w:color="auto" w:fill="FFFFFF"/>
        </w:rPr>
        <w:t xml:space="preserve">jau </w:t>
      </w:r>
      <w:r w:rsidR="00BA1CEF" w:rsidRPr="00FE6281">
        <w:rPr>
          <w:shd w:val="clear" w:color="auto" w:fill="FFFFFF"/>
        </w:rPr>
        <w:t>bija</w:t>
      </w:r>
      <w:r w:rsidR="001425EB" w:rsidRPr="00FE6281">
        <w:rPr>
          <w:shd w:val="clear" w:color="auto" w:fill="FFFFFF"/>
        </w:rPr>
        <w:t xml:space="preserve"> norādījusi uz papildu pretapplūšanas riska aizsardzības pasākum</w:t>
      </w:r>
      <w:r w:rsidR="00BA1CEF" w:rsidRPr="00FE6281">
        <w:rPr>
          <w:shd w:val="clear" w:color="auto" w:fill="FFFFFF"/>
        </w:rPr>
        <w:t>iem</w:t>
      </w:r>
      <w:r w:rsidR="00031680" w:rsidRPr="00FE6281">
        <w:rPr>
          <w:shd w:val="clear" w:color="auto" w:fill="FFFFFF"/>
        </w:rPr>
        <w:t xml:space="preserve"> </w:t>
      </w:r>
      <w:r w:rsidR="00BA1CEF" w:rsidRPr="00FE6281">
        <w:rPr>
          <w:shd w:val="clear" w:color="auto" w:fill="FFFFFF"/>
        </w:rPr>
        <w:t xml:space="preserve">saistībā ar </w:t>
      </w:r>
      <w:r w:rsidR="001425EB" w:rsidRPr="00FE6281">
        <w:rPr>
          <w:shd w:val="clear" w:color="auto" w:fill="FFFFFF"/>
        </w:rPr>
        <w:t xml:space="preserve">strīdus urbumiem. </w:t>
      </w:r>
      <w:r w:rsidR="00031680" w:rsidRPr="00FE6281">
        <w:rPr>
          <w:shd w:val="clear" w:color="auto" w:fill="FFFFFF"/>
        </w:rPr>
        <w:t>Rezultātā</w:t>
      </w:r>
      <w:r w:rsidR="00BA1CEF" w:rsidRPr="00FE6281">
        <w:rPr>
          <w:shd w:val="clear" w:color="auto" w:fill="FFFFFF"/>
        </w:rPr>
        <w:t xml:space="preserve">, </w:t>
      </w:r>
      <w:r w:rsidR="00031680" w:rsidRPr="00FE6281">
        <w:rPr>
          <w:shd w:val="clear" w:color="auto" w:fill="FFFFFF"/>
        </w:rPr>
        <w:t>ievērojot</w:t>
      </w:r>
      <w:r w:rsidR="00025594" w:rsidRPr="00FE6281">
        <w:rPr>
          <w:shd w:val="clear" w:color="auto" w:fill="FFFFFF"/>
        </w:rPr>
        <w:t xml:space="preserve"> piesardzību attiecībā uz risinājumiem, </w:t>
      </w:r>
      <w:r w:rsidR="00C2398A" w:rsidRPr="00FE6281">
        <w:rPr>
          <w:shd w:val="clear" w:color="auto" w:fill="FFFFFF"/>
        </w:rPr>
        <w:t xml:space="preserve">tiesa </w:t>
      </w:r>
      <w:r w:rsidR="00BA1CEF" w:rsidRPr="00FE6281">
        <w:rPr>
          <w:shd w:val="clear" w:color="auto" w:fill="FFFFFF"/>
        </w:rPr>
        <w:t xml:space="preserve">atzina, </w:t>
      </w:r>
      <w:r w:rsidR="00025594" w:rsidRPr="00FE6281">
        <w:rPr>
          <w:shd w:val="clear" w:color="auto" w:fill="FFFFFF"/>
        </w:rPr>
        <w:t>ka urbuma laukuma uzbēršana virs plūdu riska augstuma faktiski izslēgtu strīdus urbumu vietu nokļūšanu zem ūdens līmeņa Rīvas upes plūdu gadījumā.</w:t>
      </w:r>
      <w:r w:rsidR="00EC5085" w:rsidRPr="00FE6281">
        <w:rPr>
          <w:shd w:val="clear" w:color="auto" w:fill="FFFFFF"/>
        </w:rPr>
        <w:t xml:space="preserve"> </w:t>
      </w:r>
      <w:r w:rsidR="00BA1CEF" w:rsidRPr="00FE6281">
        <w:rPr>
          <w:shd w:val="clear" w:color="auto" w:fill="FFFFFF"/>
        </w:rPr>
        <w:t>T</w:t>
      </w:r>
      <w:r w:rsidR="00031680" w:rsidRPr="00FE6281">
        <w:rPr>
          <w:shd w:val="clear" w:color="auto" w:fill="FFFFFF"/>
        </w:rPr>
        <w:t>iesa</w:t>
      </w:r>
      <w:r w:rsidR="00EC5085" w:rsidRPr="00FE6281">
        <w:rPr>
          <w:shd w:val="clear" w:color="auto" w:fill="FFFFFF"/>
        </w:rPr>
        <w:t xml:space="preserve"> atzina</w:t>
      </w:r>
      <w:r w:rsidR="00025594" w:rsidRPr="00FE6281">
        <w:rPr>
          <w:shd w:val="clear" w:color="auto" w:fill="FFFFFF"/>
        </w:rPr>
        <w:t xml:space="preserve">, ka </w:t>
      </w:r>
      <w:r w:rsidR="00031680" w:rsidRPr="00FE6281">
        <w:rPr>
          <w:shd w:val="clear" w:color="auto" w:fill="FFFFFF"/>
        </w:rPr>
        <w:t xml:space="preserve">šāda </w:t>
      </w:r>
      <w:r w:rsidR="00025594" w:rsidRPr="00FE6281">
        <w:rPr>
          <w:shd w:val="clear" w:color="auto" w:fill="FFFFFF"/>
        </w:rPr>
        <w:t xml:space="preserve">apvaļņojuma izbūve ir riska novēršanas papildu pasākums, </w:t>
      </w:r>
      <w:r w:rsidR="001425EB" w:rsidRPr="00FE6281">
        <w:rPr>
          <w:shd w:val="clear" w:color="auto" w:fill="FFFFFF"/>
        </w:rPr>
        <w:t>kas</w:t>
      </w:r>
      <w:r w:rsidR="00025594" w:rsidRPr="00FE6281">
        <w:rPr>
          <w:shd w:val="clear" w:color="auto" w:fill="FFFFFF"/>
        </w:rPr>
        <w:t xml:space="preserve"> ir samērīgs ar riskiem un pieteicējas iespējām, jo apvaļņojuma izbūvei jāizmanto vāji filtrējoša materiāla grunts </w:t>
      </w:r>
      <w:r w:rsidR="002C7196" w:rsidRPr="00FE6281">
        <w:rPr>
          <w:shd w:val="clear" w:color="auto" w:fill="FFFFFF"/>
        </w:rPr>
        <w:t>(</w:t>
      </w:r>
      <w:r w:rsidR="00025594" w:rsidRPr="00FE6281">
        <w:rPr>
          <w:shd w:val="clear" w:color="auto" w:fill="FFFFFF"/>
        </w:rPr>
        <w:t>māls vai smilšmāls</w:t>
      </w:r>
      <w:r w:rsidR="002C7196" w:rsidRPr="00FE6281">
        <w:rPr>
          <w:shd w:val="clear" w:color="auto" w:fill="FFFFFF"/>
        </w:rPr>
        <w:t>)</w:t>
      </w:r>
      <w:r w:rsidR="00025594" w:rsidRPr="00FE6281">
        <w:rPr>
          <w:shd w:val="clear" w:color="auto" w:fill="FFFFFF"/>
        </w:rPr>
        <w:t>, kas ir pieejama un plaši izplatīta licences laukumā.</w:t>
      </w:r>
    </w:p>
    <w:p w14:paraId="37E471B1" w14:textId="66357109" w:rsidR="00BA1CEF" w:rsidRPr="00FE6281" w:rsidRDefault="005135B6" w:rsidP="00747DBB">
      <w:pPr>
        <w:pStyle w:val="NormalWeb"/>
        <w:shd w:val="clear" w:color="auto" w:fill="FFFFFF"/>
        <w:spacing w:before="0" w:beforeAutospacing="0" w:after="0" w:afterAutospacing="0" w:line="276" w:lineRule="auto"/>
        <w:ind w:firstLine="720"/>
        <w:jc w:val="both"/>
        <w:rPr>
          <w:shd w:val="clear" w:color="auto" w:fill="FFFFFF"/>
        </w:rPr>
      </w:pPr>
      <w:r w:rsidRPr="00FE6281">
        <w:t xml:space="preserve">Izvērtējot kasācijas sūdzībā minētos argumentus, </w:t>
      </w:r>
      <w:r w:rsidR="00BA1CEF" w:rsidRPr="00FE6281">
        <w:t xml:space="preserve">Senātam </w:t>
      </w:r>
      <w:r w:rsidR="001946B5" w:rsidRPr="00FE6281">
        <w:t xml:space="preserve">nerodas šaubas par </w:t>
      </w:r>
      <w:r w:rsidR="00BA1CEF" w:rsidRPr="00FE6281">
        <w:t>tiesas secinājumu</w:t>
      </w:r>
      <w:r w:rsidR="001946B5" w:rsidRPr="00FE6281">
        <w:t xml:space="preserve"> pareizību</w:t>
      </w:r>
      <w:r w:rsidR="00BA1CEF" w:rsidRPr="00FE6281">
        <w:t xml:space="preserve">, </w:t>
      </w:r>
      <w:r w:rsidR="00062925" w:rsidRPr="00FE6281">
        <w:t>savukārt</w:t>
      </w:r>
      <w:r w:rsidR="00BA1CEF" w:rsidRPr="00FE6281">
        <w:t xml:space="preserve"> </w:t>
      </w:r>
      <w:r w:rsidR="0081324A" w:rsidRPr="00FE6281">
        <w:t>pieteicējas</w:t>
      </w:r>
      <w:r w:rsidR="00BA1CEF" w:rsidRPr="00FE6281">
        <w:t xml:space="preserve"> </w:t>
      </w:r>
      <w:r w:rsidR="0081324A" w:rsidRPr="00FE6281">
        <w:t>iebildum</w:t>
      </w:r>
      <w:r w:rsidR="00A817BB" w:rsidRPr="00FE6281">
        <w:t>s</w:t>
      </w:r>
      <w:r w:rsidR="0081324A" w:rsidRPr="00FE6281">
        <w:t xml:space="preserve"> </w:t>
      </w:r>
      <w:r w:rsidR="002251E2" w:rsidRPr="00FE6281">
        <w:t>par</w:t>
      </w:r>
      <w:r w:rsidR="0081324A" w:rsidRPr="00FE6281">
        <w:t xml:space="preserve"> </w:t>
      </w:r>
      <w:r w:rsidR="0081324A" w:rsidRPr="00FE6281">
        <w:rPr>
          <w:shd w:val="clear" w:color="auto" w:fill="FFFFFF"/>
        </w:rPr>
        <w:t>Administratīvā procesa likuma 7.panta pārkāpumu</w:t>
      </w:r>
      <w:r w:rsidR="006E76DB" w:rsidRPr="00FE6281">
        <w:rPr>
          <w:shd w:val="clear" w:color="auto" w:fill="FFFFFF"/>
        </w:rPr>
        <w:t xml:space="preserve"> ir</w:t>
      </w:r>
      <w:r w:rsidR="00C2398A" w:rsidRPr="00FE6281">
        <w:rPr>
          <w:shd w:val="clear" w:color="auto" w:fill="FFFFFF"/>
        </w:rPr>
        <w:t xml:space="preserve"> acīmredzami nepamatots.</w:t>
      </w:r>
    </w:p>
    <w:p w14:paraId="04D399C6" w14:textId="77777777" w:rsidR="00B163BF" w:rsidRPr="00FE6281" w:rsidRDefault="00B163BF" w:rsidP="00747DBB">
      <w:pPr>
        <w:pStyle w:val="NormalWeb"/>
        <w:shd w:val="clear" w:color="auto" w:fill="FFFFFF"/>
        <w:spacing w:before="0" w:beforeAutospacing="0" w:after="0" w:afterAutospacing="0" w:line="276" w:lineRule="auto"/>
        <w:ind w:firstLine="720"/>
        <w:jc w:val="both"/>
        <w:rPr>
          <w:shd w:val="clear" w:color="auto" w:fill="FFFFFF"/>
          <w:lang w:eastAsia="ru-RU"/>
        </w:rPr>
      </w:pPr>
    </w:p>
    <w:p w14:paraId="54893C1E" w14:textId="4E7A4D2F" w:rsidR="002251E2" w:rsidRPr="00FE6281" w:rsidRDefault="003B590E" w:rsidP="00747DBB">
      <w:pPr>
        <w:pStyle w:val="NormalWeb"/>
        <w:shd w:val="clear" w:color="auto" w:fill="FFFFFF"/>
        <w:spacing w:before="0" w:beforeAutospacing="0" w:after="0" w:afterAutospacing="0" w:line="276" w:lineRule="auto"/>
        <w:ind w:firstLine="720"/>
        <w:jc w:val="both"/>
        <w:rPr>
          <w:shd w:val="clear" w:color="auto" w:fill="FFFFFF"/>
          <w:lang w:eastAsia="ru-RU"/>
        </w:rPr>
      </w:pPr>
      <w:r w:rsidRPr="00FE6281">
        <w:rPr>
          <w:shd w:val="clear" w:color="auto" w:fill="FFFFFF"/>
          <w:lang w:eastAsia="ru-RU"/>
        </w:rPr>
        <w:t>[</w:t>
      </w:r>
      <w:r w:rsidR="00A1434C" w:rsidRPr="00FE6281">
        <w:rPr>
          <w:shd w:val="clear" w:color="auto" w:fill="FFFFFF"/>
          <w:lang w:eastAsia="ru-RU"/>
        </w:rPr>
        <w:t>1</w:t>
      </w:r>
      <w:r w:rsidR="009308A7">
        <w:rPr>
          <w:shd w:val="clear" w:color="auto" w:fill="FFFFFF"/>
          <w:lang w:eastAsia="ru-RU"/>
        </w:rPr>
        <w:t>2</w:t>
      </w:r>
      <w:r w:rsidRPr="00FE6281">
        <w:rPr>
          <w:shd w:val="clear" w:color="auto" w:fill="FFFFFF"/>
          <w:lang w:eastAsia="ru-RU"/>
        </w:rPr>
        <w:t>]</w:t>
      </w:r>
      <w:r w:rsidR="0081324A" w:rsidRPr="00FE6281">
        <w:rPr>
          <w:shd w:val="clear" w:color="auto" w:fill="FFFFFF"/>
          <w:lang w:eastAsia="ru-RU"/>
        </w:rPr>
        <w:t> Pieteicēja</w:t>
      </w:r>
      <w:r w:rsidR="002251E2" w:rsidRPr="00FE6281">
        <w:rPr>
          <w:shd w:val="clear" w:color="auto" w:fill="FFFFFF"/>
          <w:lang w:eastAsia="ru-RU"/>
        </w:rPr>
        <w:t xml:space="preserve"> arī</w:t>
      </w:r>
      <w:r w:rsidR="0081324A" w:rsidRPr="00FE6281">
        <w:rPr>
          <w:shd w:val="clear" w:color="auto" w:fill="FFFFFF"/>
          <w:lang w:eastAsia="ru-RU"/>
        </w:rPr>
        <w:t xml:space="preserve"> </w:t>
      </w:r>
      <w:r w:rsidR="00D506F0" w:rsidRPr="00FE6281">
        <w:rPr>
          <w:shd w:val="clear" w:color="auto" w:fill="FFFFFF"/>
          <w:lang w:eastAsia="ru-RU"/>
        </w:rPr>
        <w:t>iebilst</w:t>
      </w:r>
      <w:r w:rsidR="00A817BB" w:rsidRPr="00FE6281">
        <w:rPr>
          <w:shd w:val="clear" w:color="auto" w:fill="FFFFFF"/>
          <w:lang w:eastAsia="ru-RU"/>
        </w:rPr>
        <w:t xml:space="preserve"> pret to</w:t>
      </w:r>
      <w:r w:rsidR="00F16C00" w:rsidRPr="00FE6281">
        <w:rPr>
          <w:shd w:val="clear" w:color="auto" w:fill="FFFFFF"/>
          <w:lang w:eastAsia="ru-RU"/>
        </w:rPr>
        <w:t xml:space="preserve">, ka tiesa </w:t>
      </w:r>
      <w:r w:rsidR="00BA1CEF" w:rsidRPr="00FE6281">
        <w:rPr>
          <w:shd w:val="clear" w:color="auto" w:fill="FFFFFF"/>
          <w:lang w:eastAsia="ru-RU"/>
        </w:rPr>
        <w:t>ir pārkāpusi</w:t>
      </w:r>
      <w:r w:rsidR="00F16C00" w:rsidRPr="00FE6281">
        <w:rPr>
          <w:shd w:val="clear" w:color="auto" w:fill="FFFFFF"/>
          <w:lang w:eastAsia="ru-RU"/>
        </w:rPr>
        <w:t xml:space="preserve"> </w:t>
      </w:r>
      <w:r w:rsidR="0081324A" w:rsidRPr="00FE6281">
        <w:rPr>
          <w:shd w:val="clear" w:color="auto" w:fill="FFFFFF"/>
          <w:lang w:eastAsia="ru-RU"/>
        </w:rPr>
        <w:t>tās</w:t>
      </w:r>
      <w:r w:rsidR="00F16C00" w:rsidRPr="00FE6281">
        <w:rPr>
          <w:shd w:val="clear" w:color="auto" w:fill="FFFFFF"/>
          <w:lang w:eastAsia="ru-RU"/>
        </w:rPr>
        <w:t xml:space="preserve"> tiesisko paļāvību uz </w:t>
      </w:r>
      <w:r w:rsidR="00BA1CEF" w:rsidRPr="00FE6281">
        <w:rPr>
          <w:shd w:val="clear" w:color="auto" w:fill="FFFFFF"/>
          <w:lang w:eastAsia="ru-RU"/>
        </w:rPr>
        <w:t xml:space="preserve">tehnoloģiskā laukuma un urbumu turpmāku </w:t>
      </w:r>
      <w:r w:rsidR="00F16C00" w:rsidRPr="00FE6281">
        <w:rPr>
          <w:shd w:val="clear" w:color="auto" w:fill="FFFFFF"/>
          <w:lang w:eastAsia="ru-RU"/>
        </w:rPr>
        <w:t xml:space="preserve">izmantošanu bez pārveidojumiem, ko </w:t>
      </w:r>
      <w:r w:rsidR="00BA1CEF" w:rsidRPr="00FE6281">
        <w:rPr>
          <w:shd w:val="clear" w:color="auto" w:fill="FFFFFF"/>
          <w:lang w:eastAsia="ru-RU"/>
        </w:rPr>
        <w:t xml:space="preserve">radīja šo būvju </w:t>
      </w:r>
      <w:r w:rsidR="00F16C00" w:rsidRPr="00FE6281">
        <w:rPr>
          <w:shd w:val="clear" w:color="auto" w:fill="FFFFFF"/>
          <w:lang w:eastAsia="ru-RU"/>
        </w:rPr>
        <w:t>nodošana ekspluatācijā 2012. un 2015.gadā.</w:t>
      </w:r>
    </w:p>
    <w:p w14:paraId="39208668" w14:textId="4886F7F4" w:rsidR="00F16C00" w:rsidRPr="00FE6281" w:rsidRDefault="00F16C00" w:rsidP="00747DBB">
      <w:pPr>
        <w:pStyle w:val="NormalWeb"/>
        <w:shd w:val="clear" w:color="auto" w:fill="FFFFFF"/>
        <w:spacing w:before="0" w:beforeAutospacing="0" w:after="0" w:afterAutospacing="0" w:line="276" w:lineRule="auto"/>
        <w:ind w:firstLine="720"/>
        <w:jc w:val="both"/>
        <w:rPr>
          <w:shd w:val="clear" w:color="auto" w:fill="FFFFFF"/>
          <w:lang w:eastAsia="ru-RU"/>
        </w:rPr>
      </w:pPr>
      <w:r w:rsidRPr="00FE6281">
        <w:rPr>
          <w:shd w:val="clear" w:color="auto" w:fill="FFFFFF"/>
          <w:lang w:eastAsia="ru-RU"/>
        </w:rPr>
        <w:t xml:space="preserve">Senāts </w:t>
      </w:r>
      <w:r w:rsidR="002251E2" w:rsidRPr="00FE6281">
        <w:rPr>
          <w:shd w:val="clear" w:color="auto" w:fill="FFFFFF"/>
          <w:lang w:eastAsia="ru-RU"/>
        </w:rPr>
        <w:t>šos</w:t>
      </w:r>
      <w:r w:rsidRPr="00FE6281">
        <w:rPr>
          <w:shd w:val="clear" w:color="auto" w:fill="FFFFFF"/>
          <w:lang w:eastAsia="ru-RU"/>
        </w:rPr>
        <w:t xml:space="preserve"> iebildumu</w:t>
      </w:r>
      <w:r w:rsidR="0081324A" w:rsidRPr="00FE6281">
        <w:rPr>
          <w:shd w:val="clear" w:color="auto" w:fill="FFFFFF"/>
          <w:lang w:eastAsia="ru-RU"/>
        </w:rPr>
        <w:t>s</w:t>
      </w:r>
      <w:r w:rsidRPr="00FE6281">
        <w:rPr>
          <w:shd w:val="clear" w:color="auto" w:fill="FFFFFF"/>
          <w:lang w:eastAsia="ru-RU"/>
        </w:rPr>
        <w:t xml:space="preserve"> noraida.</w:t>
      </w:r>
    </w:p>
    <w:p w14:paraId="5225D0E9" w14:textId="5EAE2089" w:rsidR="0081324A" w:rsidRPr="00FE6281" w:rsidRDefault="00BA1CEF" w:rsidP="00747DBB">
      <w:pPr>
        <w:pStyle w:val="NormalWeb"/>
        <w:shd w:val="clear" w:color="auto" w:fill="FFFFFF"/>
        <w:spacing w:before="0" w:beforeAutospacing="0" w:after="0" w:afterAutospacing="0" w:line="276" w:lineRule="auto"/>
        <w:ind w:firstLine="720"/>
        <w:jc w:val="both"/>
        <w:rPr>
          <w:shd w:val="clear" w:color="auto" w:fill="FFFFFF"/>
          <w:lang w:eastAsia="ru-RU"/>
        </w:rPr>
      </w:pPr>
      <w:r w:rsidRPr="00FE6281">
        <w:rPr>
          <w:shd w:val="clear" w:color="auto" w:fill="FFFFFF"/>
          <w:lang w:eastAsia="ru-RU"/>
        </w:rPr>
        <w:t>T</w:t>
      </w:r>
      <w:r w:rsidR="00F16C00" w:rsidRPr="00FE6281">
        <w:rPr>
          <w:shd w:val="clear" w:color="auto" w:fill="FFFFFF"/>
          <w:lang w:eastAsia="ru-RU"/>
        </w:rPr>
        <w:t xml:space="preserve">iesa konstatēja, ka ogļūdeņražu tehnoloģiskais laukums tika nodots ekspluatācijā 2012.gadā, par ko pārvalde sniedza atzinumu, neiebilstot pret laukuma nodošanu ekspluatācijā un atzīstot, ka 2006.gadā izdoto tehnisko noteikumu prasības ir ievērotas. </w:t>
      </w:r>
      <w:r w:rsidR="00F16C00" w:rsidRPr="00FE6281">
        <w:rPr>
          <w:shd w:val="clear" w:color="auto" w:fill="FFFFFF"/>
          <w:lang w:eastAsia="ru-RU"/>
        </w:rPr>
        <w:lastRenderedPageBreak/>
        <w:t xml:space="preserve">Vienlaikus tiesa konstatēja, ka šie tehniskie noteikumi tika izdoti tikai ogļūdeņražu izpētes darbiem, bet ne komerciālai ieguvei, un pārvaldes atzinums attiecas tikai uz ogļūdeņražu izpētes tehnoloģisko laukumu un pievadceļu. Savukārt pieteicējas plānotajai darbībai, kas paredz ogļūdeņražu komerciālu ieguvi, pārvalde piemēroja ietekmes uz vidi novērtējuma </w:t>
      </w:r>
      <w:r w:rsidR="00703981" w:rsidRPr="00FE6281">
        <w:rPr>
          <w:shd w:val="clear" w:color="auto" w:fill="FFFFFF"/>
          <w:lang w:eastAsia="ru-RU"/>
        </w:rPr>
        <w:t>procedūru</w:t>
      </w:r>
      <w:r w:rsidR="00F16C00" w:rsidRPr="00FE6281">
        <w:rPr>
          <w:shd w:val="clear" w:color="auto" w:fill="FFFFFF"/>
          <w:lang w:eastAsia="ru-RU"/>
        </w:rPr>
        <w:t xml:space="preserve">, kuras ietvaros vērtējama jaunu eksperimentālas ieguves urbumu ierīkošana un ogļūdeņražu ieguve, kā arī šādu darbību savstarpējā un summārā ietekme. Ņemot vērā minēto, tiesa atzina, ka pieteicēja nevarēja paļauties, ka pēc ogļūdeņražu izpētes laukuma un pievadceļa nodošanas ekspluatācijā tie bez pārveidojumiem varētu tikt izmantoti </w:t>
      </w:r>
      <w:r w:rsidR="002251E2" w:rsidRPr="00FE6281">
        <w:rPr>
          <w:shd w:val="clear" w:color="auto" w:fill="FFFFFF"/>
          <w:lang w:eastAsia="ru-RU"/>
        </w:rPr>
        <w:t xml:space="preserve">arī </w:t>
      </w:r>
      <w:r w:rsidR="00F16C00" w:rsidRPr="00FE6281">
        <w:rPr>
          <w:shd w:val="clear" w:color="auto" w:fill="FFFFFF"/>
          <w:lang w:eastAsia="ru-RU"/>
        </w:rPr>
        <w:t>ogļūdeņražu komerciālajai ieguvei</w:t>
      </w:r>
      <w:r w:rsidR="00703981" w:rsidRPr="00FE6281">
        <w:rPr>
          <w:shd w:val="clear" w:color="auto" w:fill="FFFFFF"/>
          <w:lang w:eastAsia="ru-RU"/>
        </w:rPr>
        <w:t>, kas sākotnēji nemaz nebija paredzēta</w:t>
      </w:r>
      <w:r w:rsidR="00F16C00" w:rsidRPr="00FE6281">
        <w:rPr>
          <w:shd w:val="clear" w:color="auto" w:fill="FFFFFF"/>
          <w:lang w:eastAsia="ru-RU"/>
        </w:rPr>
        <w:t>.</w:t>
      </w:r>
    </w:p>
    <w:p w14:paraId="4CAC53BE" w14:textId="5EACAB83" w:rsidR="0081324A" w:rsidRPr="00FE6281" w:rsidRDefault="0081324A" w:rsidP="00747DBB">
      <w:pPr>
        <w:pStyle w:val="NormalWeb"/>
        <w:shd w:val="clear" w:color="auto" w:fill="FFFFFF"/>
        <w:spacing w:before="0" w:beforeAutospacing="0" w:after="0" w:afterAutospacing="0" w:line="276" w:lineRule="auto"/>
        <w:ind w:firstLine="720"/>
        <w:jc w:val="both"/>
        <w:rPr>
          <w:shd w:val="clear" w:color="auto" w:fill="FFFFFF"/>
          <w:lang w:eastAsia="ru-RU"/>
        </w:rPr>
      </w:pPr>
      <w:r w:rsidRPr="00FE6281">
        <w:rPr>
          <w:shd w:val="clear" w:color="auto" w:fill="FFFFFF"/>
          <w:lang w:eastAsia="ru-RU"/>
        </w:rPr>
        <w:t>Līdzīgi t</w:t>
      </w:r>
      <w:r w:rsidR="00BA1CEF" w:rsidRPr="00FE6281">
        <w:rPr>
          <w:shd w:val="clear" w:color="auto" w:fill="FFFFFF"/>
          <w:lang w:eastAsia="ru-RU"/>
        </w:rPr>
        <w:t>iesa konstatēja, ka SP</w:t>
      </w:r>
      <w:r w:rsidR="00BA1CEF" w:rsidRPr="00FE6281">
        <w:rPr>
          <w:shd w:val="clear" w:color="auto" w:fill="FFFFFF"/>
          <w:lang w:eastAsia="ru-RU"/>
        </w:rPr>
        <w:noBreakHyphen/>
        <w:t>1 un SP</w:t>
      </w:r>
      <w:r w:rsidR="00BA1CEF" w:rsidRPr="00FE6281">
        <w:rPr>
          <w:shd w:val="clear" w:color="auto" w:fill="FFFFFF"/>
          <w:lang w:eastAsia="ru-RU"/>
        </w:rPr>
        <w:noBreakHyphen/>
        <w:t>2 urbumi tika nodoti ekspluatācijā 2015.gadā, kad ietekmes uz vidi novērtējuma procedūra</w:t>
      </w:r>
      <w:r w:rsidR="00654F0D" w:rsidRPr="00FE6281">
        <w:rPr>
          <w:shd w:val="clear" w:color="auto" w:fill="FFFFFF"/>
          <w:lang w:eastAsia="ru-RU"/>
        </w:rPr>
        <w:t>, lai varētu veikt ogļūdeņražu komerciālu ieguvi,</w:t>
      </w:r>
      <w:r w:rsidR="00BA1CEF" w:rsidRPr="00FE6281">
        <w:rPr>
          <w:shd w:val="clear" w:color="auto" w:fill="FFFFFF"/>
          <w:lang w:eastAsia="ru-RU"/>
        </w:rPr>
        <w:t xml:space="preserve"> vēl nebija noslēgusies.</w:t>
      </w:r>
    </w:p>
    <w:p w14:paraId="7C55BC1F" w14:textId="07F36D30" w:rsidR="00BA1CEF" w:rsidRPr="00FE6281" w:rsidRDefault="00C326FB" w:rsidP="00747DBB">
      <w:pPr>
        <w:pStyle w:val="NormalWeb"/>
        <w:shd w:val="clear" w:color="auto" w:fill="FFFFFF"/>
        <w:spacing w:before="0" w:beforeAutospacing="0" w:after="0" w:afterAutospacing="0" w:line="276" w:lineRule="auto"/>
        <w:ind w:firstLine="720"/>
        <w:jc w:val="both"/>
        <w:rPr>
          <w:shd w:val="clear" w:color="auto" w:fill="FFFFFF"/>
          <w:lang w:eastAsia="ru-RU"/>
        </w:rPr>
      </w:pPr>
      <w:r w:rsidRPr="00FE6281">
        <w:rPr>
          <w:shd w:val="clear" w:color="auto" w:fill="FFFFFF"/>
          <w:lang w:eastAsia="ru-RU"/>
        </w:rPr>
        <w:t>Ievērojot minēto, Senāts piekrīt tiesas secinājumam, ka šādos apstākļos pieteicējai nevarēja rasties tiesiskā paļāvība, ka tā vēlāk varēs izmantot būves pēc to nodošanas ekspluatācijā bez jebkādām izmaiņām arī cita veida darbības īstenošanai, jo īpaši tādai darbībai, kuras veikšanai jāsaņem piesārņojošās darbības atļauja.</w:t>
      </w:r>
    </w:p>
    <w:p w14:paraId="21FC7F11" w14:textId="3D044ADB" w:rsidR="003B590E" w:rsidRDefault="00A817BB" w:rsidP="00747DBB">
      <w:pPr>
        <w:pStyle w:val="NormalWeb"/>
        <w:shd w:val="clear" w:color="auto" w:fill="FFFFFF"/>
        <w:spacing w:before="0" w:beforeAutospacing="0" w:after="0" w:afterAutospacing="0" w:line="276" w:lineRule="auto"/>
        <w:ind w:firstLine="720"/>
        <w:jc w:val="both"/>
        <w:rPr>
          <w:shd w:val="clear" w:color="auto" w:fill="FFFFFF"/>
          <w:lang w:eastAsia="ru-RU"/>
        </w:rPr>
      </w:pPr>
      <w:r w:rsidRPr="00FE6281">
        <w:rPr>
          <w:shd w:val="clear" w:color="auto" w:fill="FFFFFF"/>
          <w:lang w:eastAsia="ru-RU"/>
        </w:rPr>
        <w:t>Tas</w:t>
      </w:r>
      <w:r w:rsidR="003B590E" w:rsidRPr="00FE6281">
        <w:rPr>
          <w:shd w:val="clear" w:color="auto" w:fill="FFFFFF"/>
          <w:lang w:eastAsia="ru-RU"/>
        </w:rPr>
        <w:t xml:space="preserve"> nozīmē, ka </w:t>
      </w:r>
      <w:r w:rsidR="0081324A" w:rsidRPr="00FE6281">
        <w:rPr>
          <w:shd w:val="clear" w:color="auto" w:fill="FFFFFF"/>
          <w:lang w:eastAsia="ru-RU"/>
        </w:rPr>
        <w:t>iestāde</w:t>
      </w:r>
      <w:r w:rsidR="00F16C00" w:rsidRPr="00FE6281">
        <w:rPr>
          <w:shd w:val="clear" w:color="auto" w:fill="FFFFFF"/>
          <w:lang w:eastAsia="ru-RU"/>
        </w:rPr>
        <w:t xml:space="preserve"> </w:t>
      </w:r>
      <w:r w:rsidR="00A37EF6" w:rsidRPr="00FE6281">
        <w:rPr>
          <w:shd w:val="clear" w:color="auto" w:fill="FFFFFF"/>
          <w:lang w:eastAsia="ru-RU"/>
        </w:rPr>
        <w:t>bija tiesīga atļaujā</w:t>
      </w:r>
      <w:r w:rsidR="0081324A" w:rsidRPr="00FE6281">
        <w:rPr>
          <w:shd w:val="clear" w:color="auto" w:fill="FFFFFF"/>
          <w:lang w:eastAsia="ru-RU"/>
        </w:rPr>
        <w:t xml:space="preserve"> </w:t>
      </w:r>
      <w:r w:rsidR="003B590E" w:rsidRPr="00FE6281">
        <w:rPr>
          <w:shd w:val="clear" w:color="auto" w:fill="FFFFFF"/>
          <w:lang w:eastAsia="ru-RU"/>
        </w:rPr>
        <w:t>izvirzīt papildu prasības</w:t>
      </w:r>
      <w:r w:rsidR="002251E2" w:rsidRPr="00FE6281">
        <w:rPr>
          <w:shd w:val="clear" w:color="auto" w:fill="FFFFFF"/>
          <w:lang w:eastAsia="ru-RU"/>
        </w:rPr>
        <w:t xml:space="preserve"> </w:t>
      </w:r>
      <w:r w:rsidR="0081324A" w:rsidRPr="00FE6281">
        <w:rPr>
          <w:shd w:val="clear" w:color="auto" w:fill="FFFFFF"/>
          <w:lang w:eastAsia="ru-RU"/>
        </w:rPr>
        <w:t>saistī</w:t>
      </w:r>
      <w:r w:rsidR="002251E2" w:rsidRPr="00FE6281">
        <w:rPr>
          <w:shd w:val="clear" w:color="auto" w:fill="FFFFFF"/>
          <w:lang w:eastAsia="ru-RU"/>
        </w:rPr>
        <w:t>bā</w:t>
      </w:r>
      <w:r w:rsidR="0081324A" w:rsidRPr="00FE6281">
        <w:rPr>
          <w:shd w:val="clear" w:color="auto" w:fill="FFFFFF"/>
          <w:lang w:eastAsia="ru-RU"/>
        </w:rPr>
        <w:t xml:space="preserve"> ar </w:t>
      </w:r>
      <w:r w:rsidR="002251E2" w:rsidRPr="00FE6281">
        <w:rPr>
          <w:shd w:val="clear" w:color="auto" w:fill="FFFFFF"/>
          <w:lang w:eastAsia="ru-RU"/>
        </w:rPr>
        <w:t>esošām</w:t>
      </w:r>
      <w:r w:rsidR="003B590E" w:rsidRPr="00FE6281">
        <w:rPr>
          <w:shd w:val="clear" w:color="auto" w:fill="FFFFFF"/>
          <w:lang w:eastAsia="ru-RU"/>
        </w:rPr>
        <w:t xml:space="preserve"> būvēm</w:t>
      </w:r>
      <w:r w:rsidR="00F16C00" w:rsidRPr="00FE6281">
        <w:rPr>
          <w:shd w:val="clear" w:color="auto" w:fill="FFFFFF"/>
          <w:lang w:eastAsia="ru-RU"/>
        </w:rPr>
        <w:t xml:space="preserve">, lai nodrošinātu </w:t>
      </w:r>
      <w:r w:rsidR="002251E2" w:rsidRPr="00FE6281">
        <w:rPr>
          <w:shd w:val="clear" w:color="auto" w:fill="FFFFFF"/>
          <w:lang w:eastAsia="ru-RU"/>
        </w:rPr>
        <w:t xml:space="preserve">pieteicējas </w:t>
      </w:r>
      <w:r w:rsidR="0081324A" w:rsidRPr="00FE6281">
        <w:rPr>
          <w:shd w:val="clear" w:color="auto" w:fill="FFFFFF"/>
          <w:lang w:eastAsia="ru-RU"/>
        </w:rPr>
        <w:t xml:space="preserve">plānotās piesārņojošās darbības </w:t>
      </w:r>
      <w:r w:rsidR="00F16C00" w:rsidRPr="00FE6281">
        <w:rPr>
          <w:shd w:val="clear" w:color="auto" w:fill="FFFFFF"/>
          <w:lang w:eastAsia="ru-RU"/>
        </w:rPr>
        <w:t>atbilstību normatīvo aku prasībām</w:t>
      </w:r>
      <w:r w:rsidR="0081324A" w:rsidRPr="00FE6281">
        <w:rPr>
          <w:shd w:val="clear" w:color="auto" w:fill="FFFFFF"/>
          <w:lang w:eastAsia="ru-RU"/>
        </w:rPr>
        <w:t xml:space="preserve"> vides</w:t>
      </w:r>
      <w:r w:rsidR="00A37EF6" w:rsidRPr="00FE6281">
        <w:rPr>
          <w:shd w:val="clear" w:color="auto" w:fill="FFFFFF"/>
          <w:lang w:eastAsia="ru-RU"/>
        </w:rPr>
        <w:t xml:space="preserve"> aizsardzības</w:t>
      </w:r>
      <w:r w:rsidR="0081324A" w:rsidRPr="00FE6281">
        <w:rPr>
          <w:shd w:val="clear" w:color="auto" w:fill="FFFFFF"/>
          <w:lang w:eastAsia="ru-RU"/>
        </w:rPr>
        <w:t xml:space="preserve"> jomā.</w:t>
      </w:r>
    </w:p>
    <w:p w14:paraId="3706BBE1" w14:textId="77777777" w:rsidR="001A019D" w:rsidRDefault="001A019D" w:rsidP="00747DBB">
      <w:pPr>
        <w:pStyle w:val="NormalWeb"/>
        <w:shd w:val="clear" w:color="auto" w:fill="FFFFFF"/>
        <w:spacing w:before="0" w:beforeAutospacing="0" w:after="0" w:afterAutospacing="0" w:line="276" w:lineRule="auto"/>
        <w:ind w:firstLine="720"/>
        <w:jc w:val="both"/>
        <w:rPr>
          <w:shd w:val="clear" w:color="auto" w:fill="FFFFFF"/>
          <w:lang w:eastAsia="ru-RU"/>
        </w:rPr>
      </w:pPr>
    </w:p>
    <w:p w14:paraId="4F123708" w14:textId="42D6B60E" w:rsidR="00383211" w:rsidRDefault="001A019D" w:rsidP="00747DBB">
      <w:pPr>
        <w:pStyle w:val="NormalWeb"/>
        <w:shd w:val="clear" w:color="auto" w:fill="FFFFFF"/>
        <w:spacing w:before="0" w:beforeAutospacing="0" w:after="0" w:afterAutospacing="0" w:line="276" w:lineRule="auto"/>
        <w:ind w:firstLine="720"/>
        <w:jc w:val="both"/>
      </w:pPr>
      <w:r w:rsidRPr="00F71537">
        <w:rPr>
          <w:shd w:val="clear" w:color="auto" w:fill="FFFFFF"/>
          <w:lang w:eastAsia="ru-RU"/>
        </w:rPr>
        <w:t>[1</w:t>
      </w:r>
      <w:r w:rsidR="009308A7">
        <w:rPr>
          <w:shd w:val="clear" w:color="auto" w:fill="FFFFFF"/>
          <w:lang w:eastAsia="ru-RU"/>
        </w:rPr>
        <w:t>3</w:t>
      </w:r>
      <w:r w:rsidRPr="00F71537">
        <w:rPr>
          <w:shd w:val="clear" w:color="auto" w:fill="FFFFFF"/>
          <w:lang w:eastAsia="ru-RU"/>
        </w:rPr>
        <w:t>]</w:t>
      </w:r>
      <w:r w:rsidR="00F71537">
        <w:rPr>
          <w:shd w:val="clear" w:color="auto" w:fill="FFFFFF"/>
          <w:lang w:eastAsia="ru-RU"/>
        </w:rPr>
        <w:t> </w:t>
      </w:r>
      <w:r w:rsidR="00383211" w:rsidRPr="00F71537">
        <w:rPr>
          <w:shd w:val="clear" w:color="auto" w:fill="FFFFFF"/>
          <w:lang w:eastAsia="ru-RU"/>
        </w:rPr>
        <w:t>Pieteicēja</w:t>
      </w:r>
      <w:r w:rsidR="00383211">
        <w:rPr>
          <w:shd w:val="clear" w:color="auto" w:fill="FFFFFF"/>
          <w:lang w:eastAsia="ru-RU"/>
        </w:rPr>
        <w:t xml:space="preserve"> sūdzībā</w:t>
      </w:r>
      <w:r w:rsidR="00383211" w:rsidRPr="00383211">
        <w:rPr>
          <w:shd w:val="clear" w:color="auto" w:fill="FFFFFF"/>
          <w:lang w:eastAsia="ru-RU"/>
        </w:rPr>
        <w:t xml:space="preserve"> norāda, ka </w:t>
      </w:r>
      <w:r w:rsidR="00383211">
        <w:rPr>
          <w:shd w:val="clear" w:color="auto" w:fill="FFFFFF"/>
          <w:lang w:eastAsia="ru-RU"/>
        </w:rPr>
        <w:t xml:space="preserve">tiesas </w:t>
      </w:r>
      <w:r w:rsidR="00F71537">
        <w:rPr>
          <w:shd w:val="clear" w:color="auto" w:fill="FFFFFF"/>
          <w:lang w:eastAsia="ru-RU"/>
        </w:rPr>
        <w:t xml:space="preserve">sprieduma </w:t>
      </w:r>
      <w:r w:rsidR="00383211">
        <w:rPr>
          <w:shd w:val="clear" w:color="auto" w:fill="FFFFFF"/>
          <w:lang w:eastAsia="ru-RU"/>
        </w:rPr>
        <w:t xml:space="preserve">motīvi par atļaujas nosacījumiem nevar tikt pamatoti </w:t>
      </w:r>
      <w:r w:rsidR="00C326FB">
        <w:rPr>
          <w:shd w:val="clear" w:color="auto" w:fill="FFFFFF"/>
          <w:lang w:eastAsia="ru-RU"/>
        </w:rPr>
        <w:t>ar pieņēmumu</w:t>
      </w:r>
      <w:r w:rsidR="00383211">
        <w:rPr>
          <w:shd w:val="clear" w:color="auto" w:fill="FFFFFF"/>
          <w:lang w:eastAsia="ru-RU"/>
        </w:rPr>
        <w:t xml:space="preserve">. </w:t>
      </w:r>
      <w:r w:rsidR="00005ED0">
        <w:rPr>
          <w:shd w:val="clear" w:color="auto" w:fill="FFFFFF"/>
          <w:lang w:eastAsia="ru-RU"/>
        </w:rPr>
        <w:t xml:space="preserve">Tā kā </w:t>
      </w:r>
      <w:r w:rsidR="00005ED0" w:rsidRPr="00383211">
        <w:rPr>
          <w:shd w:val="clear" w:color="auto" w:fill="FFFFFF"/>
          <w:lang w:eastAsia="ru-RU"/>
        </w:rPr>
        <w:t>kopš 2012.gada 20.augusta</w:t>
      </w:r>
      <w:r w:rsidR="00005ED0">
        <w:rPr>
          <w:shd w:val="clear" w:color="auto" w:fill="FFFFFF"/>
          <w:lang w:eastAsia="ru-RU"/>
        </w:rPr>
        <w:t xml:space="preserve"> </w:t>
      </w:r>
      <w:r w:rsidR="00C2398A">
        <w:rPr>
          <w:shd w:val="clear" w:color="auto" w:fill="FFFFFF"/>
          <w:lang w:eastAsia="ru-RU"/>
        </w:rPr>
        <w:t xml:space="preserve">pieteicējas darbībā </w:t>
      </w:r>
      <w:r w:rsidR="00383211" w:rsidRPr="00383211">
        <w:rPr>
          <w:shd w:val="clear" w:color="auto" w:fill="FFFFFF"/>
          <w:lang w:eastAsia="ru-RU"/>
        </w:rPr>
        <w:t>nav konstatēti pārkāpumi</w:t>
      </w:r>
      <w:r w:rsidR="00383211">
        <w:rPr>
          <w:shd w:val="clear" w:color="auto" w:fill="FFFFFF"/>
          <w:lang w:eastAsia="ru-RU"/>
        </w:rPr>
        <w:t xml:space="preserve"> </w:t>
      </w:r>
      <w:r w:rsidR="00383211" w:rsidRPr="00383211">
        <w:rPr>
          <w:shd w:val="clear" w:color="auto" w:fill="FFFFFF"/>
          <w:lang w:eastAsia="ru-RU"/>
        </w:rPr>
        <w:t>vides aizsardzības jomā</w:t>
      </w:r>
      <w:r w:rsidR="00383211">
        <w:rPr>
          <w:shd w:val="clear" w:color="auto" w:fill="FFFFFF"/>
          <w:lang w:eastAsia="ru-RU"/>
        </w:rPr>
        <w:t xml:space="preserve">, </w:t>
      </w:r>
      <w:r w:rsidR="00F71537">
        <w:rPr>
          <w:shd w:val="clear" w:color="auto" w:fill="FFFFFF"/>
          <w:lang w:eastAsia="ru-RU"/>
        </w:rPr>
        <w:t>arī</w:t>
      </w:r>
      <w:r w:rsidR="00383211">
        <w:rPr>
          <w:shd w:val="clear" w:color="auto" w:fill="FFFFFF"/>
          <w:lang w:eastAsia="ru-RU"/>
        </w:rPr>
        <w:t xml:space="preserve"> nekāda veida piesārņojums, pieteicējas ieskatā nav tiesiska pamata </w:t>
      </w:r>
      <w:r w:rsidR="00F71537">
        <w:rPr>
          <w:shd w:val="clear" w:color="auto" w:fill="FFFFFF"/>
          <w:lang w:eastAsia="ru-RU"/>
        </w:rPr>
        <w:t xml:space="preserve">atļaujā </w:t>
      </w:r>
      <w:r w:rsidR="00005ED0">
        <w:rPr>
          <w:shd w:val="clear" w:color="auto" w:fill="FFFFFF"/>
          <w:lang w:eastAsia="ru-RU"/>
        </w:rPr>
        <w:t xml:space="preserve">noteikt </w:t>
      </w:r>
      <w:r w:rsidR="00F71537">
        <w:rPr>
          <w:shd w:val="clear" w:color="auto" w:fill="FFFFFF"/>
          <w:lang w:eastAsia="ru-RU"/>
        </w:rPr>
        <w:t>prasību</w:t>
      </w:r>
      <w:r w:rsidR="00383211">
        <w:rPr>
          <w:shd w:val="clear" w:color="auto" w:fill="FFFFFF"/>
          <w:lang w:eastAsia="ru-RU"/>
        </w:rPr>
        <w:t xml:space="preserve"> </w:t>
      </w:r>
      <w:r w:rsidR="00383211" w:rsidRPr="00B63871">
        <w:t>par atbilstoša pretinfiltrācijas seguma izbūvi ar lietus notekūdens savākšanu un attīrīšanu</w:t>
      </w:r>
      <w:r w:rsidR="00383211">
        <w:t xml:space="preserve"> teritorijā tikai tāpēc, ka iestādei „nerodas pārliecība” par veidu, kā t</w:t>
      </w:r>
      <w:r w:rsidR="00F71537">
        <w:t>iks</w:t>
      </w:r>
      <w:r w:rsidR="00383211">
        <w:t xml:space="preserve"> nodrošināts lietus ūdens novadīšana uz notekūdens attīrīšanas iekārtām.</w:t>
      </w:r>
    </w:p>
    <w:p w14:paraId="4EEE4027" w14:textId="526934E9" w:rsidR="00C2398A" w:rsidRDefault="00383211" w:rsidP="00747DBB">
      <w:pPr>
        <w:pStyle w:val="NormalWeb"/>
        <w:shd w:val="clear" w:color="auto" w:fill="FFFFFF"/>
        <w:spacing w:before="0" w:beforeAutospacing="0" w:after="0" w:afterAutospacing="0" w:line="276" w:lineRule="auto"/>
        <w:ind w:firstLine="720"/>
        <w:jc w:val="both"/>
        <w:rPr>
          <w:shd w:val="clear" w:color="auto" w:fill="FFFFFF"/>
          <w:lang w:eastAsia="ru-RU"/>
        </w:rPr>
      </w:pPr>
      <w:bookmarkStart w:id="2" w:name="_Hlk163486739"/>
      <w:r>
        <w:t>Senāt</w:t>
      </w:r>
      <w:r w:rsidR="00F71537">
        <w:t xml:space="preserve">s atzīst, ka </w:t>
      </w:r>
      <w:r>
        <w:t xml:space="preserve">šāds </w:t>
      </w:r>
      <w:r w:rsidRPr="00820DE9">
        <w:t xml:space="preserve">pieteicējas </w:t>
      </w:r>
      <w:r w:rsidR="00712F70" w:rsidRPr="00820DE9">
        <w:t xml:space="preserve">apgalvojums </w:t>
      </w:r>
      <w:r w:rsidRPr="00820DE9">
        <w:t xml:space="preserve">nav </w:t>
      </w:r>
      <w:r w:rsidR="00D7399E" w:rsidRPr="00820DE9">
        <w:t>patiess</w:t>
      </w:r>
      <w:r w:rsidRPr="00820DE9">
        <w:t>.</w:t>
      </w:r>
    </w:p>
    <w:bookmarkEnd w:id="2"/>
    <w:p w14:paraId="6FE25A88" w14:textId="4F340BA2" w:rsidR="00F34C63" w:rsidRDefault="00383211" w:rsidP="00747DBB">
      <w:pPr>
        <w:pStyle w:val="NormalWeb"/>
        <w:shd w:val="clear" w:color="auto" w:fill="FFFFFF"/>
        <w:spacing w:before="0" w:beforeAutospacing="0" w:after="0" w:afterAutospacing="0" w:line="276" w:lineRule="auto"/>
        <w:ind w:firstLine="720"/>
        <w:jc w:val="both"/>
        <w:rPr>
          <w:shd w:val="clear" w:color="auto" w:fill="FFFFFF"/>
          <w:lang w:eastAsia="ru-RU"/>
        </w:rPr>
      </w:pPr>
      <w:r>
        <w:rPr>
          <w:shd w:val="clear" w:color="auto" w:fill="FFFFFF"/>
          <w:lang w:eastAsia="ru-RU"/>
        </w:rPr>
        <w:t xml:space="preserve">Senāts piekrīt tiesas </w:t>
      </w:r>
      <w:r w:rsidR="00F71537">
        <w:rPr>
          <w:shd w:val="clear" w:color="auto" w:fill="FFFFFF"/>
          <w:lang w:eastAsia="ru-RU"/>
        </w:rPr>
        <w:t xml:space="preserve">spriedumā </w:t>
      </w:r>
      <w:r>
        <w:rPr>
          <w:shd w:val="clear" w:color="auto" w:fill="FFFFFF"/>
          <w:lang w:eastAsia="ru-RU"/>
        </w:rPr>
        <w:t>norādītajam</w:t>
      </w:r>
      <w:r w:rsidRPr="00383211">
        <w:rPr>
          <w:shd w:val="clear" w:color="auto" w:fill="FFFFFF"/>
          <w:lang w:eastAsia="ru-RU"/>
        </w:rPr>
        <w:t>, ka</w:t>
      </w:r>
      <w:r w:rsidR="00A817BB" w:rsidRPr="00A817BB">
        <w:rPr>
          <w:shd w:val="clear" w:color="auto" w:fill="FFFFFF"/>
          <w:lang w:eastAsia="ru-RU"/>
        </w:rPr>
        <w:t xml:space="preserve"> </w:t>
      </w:r>
      <w:r w:rsidR="00A817BB" w:rsidRPr="00383211">
        <w:rPr>
          <w:shd w:val="clear" w:color="auto" w:fill="FFFFFF"/>
          <w:lang w:eastAsia="ru-RU"/>
        </w:rPr>
        <w:t>apstākļiem</w:t>
      </w:r>
      <w:r w:rsidR="00A817BB">
        <w:rPr>
          <w:shd w:val="clear" w:color="auto" w:fill="FFFFFF"/>
          <w:lang w:eastAsia="ru-RU"/>
        </w:rPr>
        <w:t xml:space="preserve"> par pārkāpumu neesību</w:t>
      </w:r>
      <w:r w:rsidR="00F71537">
        <w:rPr>
          <w:shd w:val="clear" w:color="auto" w:fill="FFFFFF"/>
          <w:lang w:eastAsia="ru-RU"/>
        </w:rPr>
        <w:t>,</w:t>
      </w:r>
      <w:r w:rsidR="00F71537" w:rsidRPr="00383211">
        <w:rPr>
          <w:shd w:val="clear" w:color="auto" w:fill="FFFFFF"/>
          <w:lang w:eastAsia="ru-RU"/>
        </w:rPr>
        <w:t xml:space="preserve"> vērtējot </w:t>
      </w:r>
      <w:r w:rsidR="00005ED0">
        <w:rPr>
          <w:shd w:val="clear" w:color="auto" w:fill="FFFFFF"/>
          <w:lang w:eastAsia="ru-RU"/>
        </w:rPr>
        <w:t xml:space="preserve">konkrētās </w:t>
      </w:r>
      <w:r w:rsidR="00F71537" w:rsidRPr="00383211">
        <w:rPr>
          <w:shd w:val="clear" w:color="auto" w:fill="FFFFFF"/>
          <w:lang w:eastAsia="ru-RU"/>
        </w:rPr>
        <w:t>atļaujas nosacījumus</w:t>
      </w:r>
      <w:r w:rsidR="00F71537">
        <w:rPr>
          <w:shd w:val="clear" w:color="auto" w:fill="FFFFFF"/>
          <w:lang w:eastAsia="ru-RU"/>
        </w:rPr>
        <w:t xml:space="preserve">, </w:t>
      </w:r>
      <w:r w:rsidRPr="00383211">
        <w:rPr>
          <w:shd w:val="clear" w:color="auto" w:fill="FFFFFF"/>
          <w:lang w:eastAsia="ru-RU"/>
        </w:rPr>
        <w:t xml:space="preserve">nav </w:t>
      </w:r>
      <w:r w:rsidR="00FF0D36">
        <w:rPr>
          <w:shd w:val="clear" w:color="auto" w:fill="FFFFFF"/>
          <w:lang w:eastAsia="ru-RU"/>
        </w:rPr>
        <w:t xml:space="preserve">izšķirošas </w:t>
      </w:r>
      <w:r w:rsidRPr="00383211">
        <w:rPr>
          <w:shd w:val="clear" w:color="auto" w:fill="FFFFFF"/>
          <w:lang w:eastAsia="ru-RU"/>
        </w:rPr>
        <w:t xml:space="preserve">nozīmes, </w:t>
      </w:r>
      <w:r w:rsidR="00F71537">
        <w:rPr>
          <w:shd w:val="clear" w:color="auto" w:fill="FFFFFF"/>
          <w:lang w:eastAsia="ru-RU"/>
        </w:rPr>
        <w:t>jo n</w:t>
      </w:r>
      <w:r w:rsidRPr="00383211">
        <w:rPr>
          <w:shd w:val="clear" w:color="auto" w:fill="FFFFFF"/>
          <w:lang w:eastAsia="ru-RU"/>
        </w:rPr>
        <w:t>ormatīvajos aktos noteiktās vides aizsardzības prasības</w:t>
      </w:r>
      <w:r w:rsidR="008B54F8">
        <w:rPr>
          <w:shd w:val="clear" w:color="auto" w:fill="FFFFFF"/>
          <w:lang w:eastAsia="ru-RU"/>
        </w:rPr>
        <w:t xml:space="preserve">, attiecīgi arī </w:t>
      </w:r>
      <w:r w:rsidRPr="00383211">
        <w:rPr>
          <w:shd w:val="clear" w:color="auto" w:fill="FFFFFF"/>
          <w:lang w:eastAsia="ru-RU"/>
        </w:rPr>
        <w:t>piesārņojošās darbības</w:t>
      </w:r>
      <w:r>
        <w:rPr>
          <w:shd w:val="clear" w:color="auto" w:fill="FFFFFF"/>
          <w:lang w:eastAsia="ru-RU"/>
        </w:rPr>
        <w:t xml:space="preserve"> </w:t>
      </w:r>
      <w:r w:rsidRPr="00383211">
        <w:rPr>
          <w:shd w:val="clear" w:color="auto" w:fill="FFFFFF"/>
          <w:lang w:eastAsia="ru-RU"/>
        </w:rPr>
        <w:t>atļaujas nosacījumi</w:t>
      </w:r>
      <w:r w:rsidR="00F34C63">
        <w:rPr>
          <w:shd w:val="clear" w:color="auto" w:fill="FFFFFF"/>
          <w:lang w:eastAsia="ru-RU"/>
        </w:rPr>
        <w:t xml:space="preserve"> </w:t>
      </w:r>
      <w:r w:rsidR="00C2398A">
        <w:rPr>
          <w:shd w:val="clear" w:color="auto" w:fill="FFFFFF"/>
          <w:lang w:eastAsia="ru-RU"/>
        </w:rPr>
        <w:t xml:space="preserve">visupirms </w:t>
      </w:r>
      <w:r w:rsidRPr="00383211">
        <w:rPr>
          <w:shd w:val="clear" w:color="auto" w:fill="FFFFFF"/>
          <w:lang w:eastAsia="ru-RU"/>
        </w:rPr>
        <w:t>ir vērst</w:t>
      </w:r>
      <w:r w:rsidR="00F71537">
        <w:rPr>
          <w:shd w:val="clear" w:color="auto" w:fill="FFFFFF"/>
          <w:lang w:eastAsia="ru-RU"/>
        </w:rPr>
        <w:t>i</w:t>
      </w:r>
      <w:r w:rsidRPr="00383211">
        <w:rPr>
          <w:shd w:val="clear" w:color="auto" w:fill="FFFFFF"/>
          <w:lang w:eastAsia="ru-RU"/>
        </w:rPr>
        <w:t xml:space="preserve"> uz to, lai </w:t>
      </w:r>
      <w:r w:rsidR="00F34C63">
        <w:rPr>
          <w:shd w:val="clear" w:color="auto" w:fill="FFFFFF"/>
          <w:lang w:eastAsia="ru-RU"/>
        </w:rPr>
        <w:t>kaitējum</w:t>
      </w:r>
      <w:r w:rsidR="0025628B">
        <w:rPr>
          <w:shd w:val="clear" w:color="auto" w:fill="FFFFFF"/>
          <w:lang w:eastAsia="ru-RU"/>
        </w:rPr>
        <w:t>s</w:t>
      </w:r>
      <w:r w:rsidR="003B2BA8">
        <w:rPr>
          <w:shd w:val="clear" w:color="auto" w:fill="FFFFFF"/>
          <w:lang w:eastAsia="ru-RU"/>
        </w:rPr>
        <w:t xml:space="preserve"> </w:t>
      </w:r>
      <w:r w:rsidRPr="00383211">
        <w:rPr>
          <w:shd w:val="clear" w:color="auto" w:fill="FFFFFF"/>
          <w:lang w:eastAsia="ru-RU"/>
        </w:rPr>
        <w:t xml:space="preserve">videi </w:t>
      </w:r>
      <w:r w:rsidR="0025628B">
        <w:rPr>
          <w:shd w:val="clear" w:color="auto" w:fill="FFFFFF"/>
          <w:lang w:eastAsia="ru-RU"/>
        </w:rPr>
        <w:t xml:space="preserve">vai cilvēku veselībai </w:t>
      </w:r>
      <w:r w:rsidR="008B54F8">
        <w:rPr>
          <w:shd w:val="clear" w:color="auto" w:fill="FFFFFF"/>
          <w:lang w:eastAsia="ru-RU"/>
        </w:rPr>
        <w:t xml:space="preserve">vispār </w:t>
      </w:r>
      <w:r w:rsidR="0025628B">
        <w:rPr>
          <w:shd w:val="clear" w:color="auto" w:fill="FFFFFF"/>
          <w:lang w:eastAsia="ru-RU"/>
        </w:rPr>
        <w:t xml:space="preserve">netiktu </w:t>
      </w:r>
      <w:r w:rsidR="00403684">
        <w:rPr>
          <w:shd w:val="clear" w:color="auto" w:fill="FFFFFF"/>
          <w:lang w:eastAsia="ru-RU"/>
        </w:rPr>
        <w:t>nodarīts</w:t>
      </w:r>
      <w:r w:rsidRPr="00383211">
        <w:rPr>
          <w:shd w:val="clear" w:color="auto" w:fill="FFFFFF"/>
          <w:lang w:eastAsia="ru-RU"/>
        </w:rPr>
        <w:t>.</w:t>
      </w:r>
      <w:r>
        <w:rPr>
          <w:shd w:val="clear" w:color="auto" w:fill="FFFFFF"/>
          <w:lang w:eastAsia="ru-RU"/>
        </w:rPr>
        <w:t xml:space="preserve"> </w:t>
      </w:r>
      <w:r w:rsidR="008B54F8">
        <w:rPr>
          <w:rFonts w:asciiTheme="majorBidi" w:hAnsiTheme="majorBidi" w:cstheme="majorBidi"/>
        </w:rPr>
        <w:t>Minētais</w:t>
      </w:r>
      <w:r w:rsidR="00F34C63">
        <w:rPr>
          <w:rFonts w:asciiTheme="majorBidi" w:hAnsiTheme="majorBidi" w:cstheme="majorBidi"/>
        </w:rPr>
        <w:t xml:space="preserve"> izriet no piesardzības un preventīvās darbības principa, </w:t>
      </w:r>
      <w:r w:rsidR="0025628B">
        <w:rPr>
          <w:rFonts w:asciiTheme="majorBidi" w:hAnsiTheme="majorBidi" w:cstheme="majorBidi"/>
        </w:rPr>
        <w:t xml:space="preserve">kas ir </w:t>
      </w:r>
      <w:r w:rsidR="00F34C63">
        <w:rPr>
          <w:rFonts w:asciiTheme="majorBidi" w:hAnsiTheme="majorBidi" w:cstheme="majorBidi"/>
        </w:rPr>
        <w:t>Eiropas Savienības vides politika</w:t>
      </w:r>
      <w:r w:rsidR="00005ED0">
        <w:rPr>
          <w:rFonts w:asciiTheme="majorBidi" w:hAnsiTheme="majorBidi" w:cstheme="majorBidi"/>
        </w:rPr>
        <w:t xml:space="preserve">s īstenošanas </w:t>
      </w:r>
      <w:r w:rsidR="008B54F8">
        <w:rPr>
          <w:rFonts w:asciiTheme="majorBidi" w:hAnsiTheme="majorBidi" w:cstheme="majorBidi"/>
        </w:rPr>
        <w:t>pamatā</w:t>
      </w:r>
      <w:r w:rsidR="00A817BB">
        <w:rPr>
          <w:rFonts w:asciiTheme="majorBidi" w:hAnsiTheme="majorBidi" w:cstheme="majorBidi"/>
        </w:rPr>
        <w:t xml:space="preserve"> esošs princips</w:t>
      </w:r>
      <w:r w:rsidR="004C4AD2">
        <w:rPr>
          <w:rFonts w:asciiTheme="majorBidi" w:hAnsiTheme="majorBidi" w:cstheme="majorBidi"/>
        </w:rPr>
        <w:t xml:space="preserve"> un attiecīgi piemērojams arī Latvijas tiesiskajā sistēmā</w:t>
      </w:r>
      <w:r w:rsidR="00A817BB">
        <w:rPr>
          <w:rFonts w:asciiTheme="majorBidi" w:hAnsiTheme="majorBidi" w:cstheme="majorBidi"/>
        </w:rPr>
        <w:t>.</w:t>
      </w:r>
    </w:p>
    <w:p w14:paraId="67DC56C5" w14:textId="77777777" w:rsidR="00795F0C" w:rsidRDefault="00795F0C" w:rsidP="00747DBB">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05F429E6" w14:textId="2F5B295F" w:rsidR="00005ED0" w:rsidRDefault="00795F0C" w:rsidP="00747DBB">
      <w:pPr>
        <w:pStyle w:val="NormalWeb"/>
        <w:shd w:val="clear" w:color="auto" w:fill="FFFFFF"/>
        <w:spacing w:before="0" w:beforeAutospacing="0" w:after="0" w:afterAutospacing="0" w:line="276" w:lineRule="auto"/>
        <w:ind w:firstLine="720"/>
        <w:jc w:val="both"/>
      </w:pPr>
      <w:r>
        <w:rPr>
          <w:rFonts w:asciiTheme="majorBidi" w:hAnsiTheme="majorBidi" w:cstheme="majorBidi"/>
        </w:rPr>
        <w:t>[1</w:t>
      </w:r>
      <w:r w:rsidR="009308A7">
        <w:rPr>
          <w:rFonts w:asciiTheme="majorBidi" w:hAnsiTheme="majorBidi" w:cstheme="majorBidi"/>
        </w:rPr>
        <w:t>4</w:t>
      </w:r>
      <w:r>
        <w:rPr>
          <w:rFonts w:asciiTheme="majorBidi" w:hAnsiTheme="majorBidi" w:cstheme="majorBidi"/>
        </w:rPr>
        <w:t>] </w:t>
      </w:r>
      <w:r w:rsidR="0025628B">
        <w:rPr>
          <w:rFonts w:asciiTheme="majorBidi" w:hAnsiTheme="majorBidi" w:cstheme="majorBidi"/>
        </w:rPr>
        <w:t>Jāņem vērā, ka a</w:t>
      </w:r>
      <w:r w:rsidR="00F34C63">
        <w:rPr>
          <w:rFonts w:asciiTheme="majorBidi" w:hAnsiTheme="majorBidi" w:cstheme="majorBidi"/>
        </w:rPr>
        <w:t>tbilstoši</w:t>
      </w:r>
      <w:r w:rsidR="00F34C63" w:rsidRPr="00FF0D36">
        <w:rPr>
          <w:rFonts w:asciiTheme="majorBidi" w:hAnsiTheme="majorBidi" w:cstheme="majorBidi"/>
          <w:color w:val="000000"/>
        </w:rPr>
        <w:t xml:space="preserve"> L</w:t>
      </w:r>
      <w:r w:rsidR="00F34C63">
        <w:rPr>
          <w:rFonts w:asciiTheme="majorBidi" w:hAnsiTheme="majorBidi" w:cstheme="majorBidi"/>
          <w:color w:val="000000"/>
        </w:rPr>
        <w:t>īguma par Eiropas Savienības darbību</w:t>
      </w:r>
      <w:r w:rsidR="00F34C63" w:rsidRPr="00FF0D36">
        <w:rPr>
          <w:rFonts w:asciiTheme="majorBidi" w:hAnsiTheme="majorBidi" w:cstheme="majorBidi"/>
          <w:color w:val="000000"/>
        </w:rPr>
        <w:t xml:space="preserve"> 191.panta 2.punkt</w:t>
      </w:r>
      <w:r w:rsidR="00F34C63">
        <w:rPr>
          <w:rFonts w:asciiTheme="majorBidi" w:hAnsiTheme="majorBidi" w:cstheme="majorBidi"/>
          <w:color w:val="000000"/>
        </w:rPr>
        <w:t>am</w:t>
      </w:r>
      <w:r w:rsidR="00F34C63" w:rsidRPr="00FF0D36">
        <w:rPr>
          <w:rFonts w:asciiTheme="majorBidi" w:hAnsiTheme="majorBidi" w:cstheme="majorBidi"/>
          <w:color w:val="000000"/>
        </w:rPr>
        <w:t xml:space="preserve"> </w:t>
      </w:r>
      <w:r w:rsidR="00763153">
        <w:rPr>
          <w:rFonts w:asciiTheme="majorBidi" w:hAnsiTheme="majorBidi" w:cstheme="majorBidi"/>
          <w:color w:val="000000"/>
        </w:rPr>
        <w:t xml:space="preserve">Eiropas </w:t>
      </w:r>
      <w:r w:rsidR="00F34C63" w:rsidRPr="00FF0D36">
        <w:rPr>
          <w:rFonts w:asciiTheme="majorBidi" w:hAnsiTheme="majorBidi" w:cstheme="majorBidi"/>
          <w:color w:val="000000"/>
        </w:rPr>
        <w:t xml:space="preserve">Savienības politika </w:t>
      </w:r>
      <w:r w:rsidR="00F34C63" w:rsidRPr="00795F0C">
        <w:t xml:space="preserve">attiecībā uz vidi </w:t>
      </w:r>
      <w:r w:rsidR="003B2BA8">
        <w:t xml:space="preserve">tiecas sasniegt augstu </w:t>
      </w:r>
      <w:bookmarkStart w:id="3" w:name="_Hlk156402775"/>
      <w:r w:rsidR="003B2BA8">
        <w:t>cilvēku veselības un vides aizsardzības līmeni</w:t>
      </w:r>
      <w:bookmarkEnd w:id="3"/>
      <w:r>
        <w:t xml:space="preserve">. </w:t>
      </w:r>
      <w:r w:rsidR="008B54F8">
        <w:t>Šī</w:t>
      </w:r>
      <w:r w:rsidR="0025628B">
        <w:t xml:space="preserve"> prasība </w:t>
      </w:r>
      <w:r>
        <w:t xml:space="preserve">pilnībā saskan </w:t>
      </w:r>
      <w:r w:rsidR="008B54F8">
        <w:t xml:space="preserve">arī </w:t>
      </w:r>
      <w:r>
        <w:t>ar</w:t>
      </w:r>
      <w:r w:rsidR="00005ED0">
        <w:t xml:space="preserve"> likuma</w:t>
      </w:r>
      <w:r>
        <w:t xml:space="preserve"> „Par piesārņojumu” 31.panta pir</w:t>
      </w:r>
      <w:r w:rsidR="00005ED0">
        <w:t>majā</w:t>
      </w:r>
      <w:r>
        <w:t xml:space="preserve"> daļ</w:t>
      </w:r>
      <w:r w:rsidR="00005ED0">
        <w:t>ā noteikto, ka piesārņojošās darbības atļaujā ietver</w:t>
      </w:r>
      <w:r w:rsidRPr="00795F0C">
        <w:t xml:space="preserve"> nosacījum</w:t>
      </w:r>
      <w:r w:rsidR="00005ED0">
        <w:t>us</w:t>
      </w:r>
      <w:r w:rsidRPr="00795F0C">
        <w:t>, kuru ievērošana nepieciešama, lai nodrošinātu cilvēku veselības aizsardzību un sasniegtu augstu vides aizsardzības līmeni kopumā</w:t>
      </w:r>
      <w:r w:rsidR="00F34C63" w:rsidRPr="00795F0C">
        <w:t>.</w:t>
      </w:r>
    </w:p>
    <w:p w14:paraId="50546061" w14:textId="3AD27825" w:rsidR="00005ED0" w:rsidRDefault="009A69C4" w:rsidP="00747DBB">
      <w:pPr>
        <w:pStyle w:val="NormalWeb"/>
        <w:shd w:val="clear" w:color="auto" w:fill="FFFFFF"/>
        <w:spacing w:before="0" w:beforeAutospacing="0" w:after="0" w:afterAutospacing="0" w:line="276" w:lineRule="auto"/>
        <w:ind w:firstLine="720"/>
        <w:jc w:val="both"/>
      </w:pPr>
      <w:r>
        <w:lastRenderedPageBreak/>
        <w:t xml:space="preserve">Turpat </w:t>
      </w:r>
      <w:r w:rsidR="00795F0C" w:rsidRPr="00FF0D36">
        <w:rPr>
          <w:rFonts w:asciiTheme="majorBidi" w:hAnsiTheme="majorBidi" w:cstheme="majorBidi"/>
          <w:color w:val="000000"/>
        </w:rPr>
        <w:t>L</w:t>
      </w:r>
      <w:r w:rsidR="00795F0C">
        <w:rPr>
          <w:rFonts w:asciiTheme="majorBidi" w:hAnsiTheme="majorBidi" w:cstheme="majorBidi"/>
          <w:color w:val="000000"/>
        </w:rPr>
        <w:t>īguma par Eiropas Savienības darbību</w:t>
      </w:r>
      <w:r w:rsidR="00795F0C" w:rsidRPr="00FF0D36">
        <w:rPr>
          <w:rFonts w:asciiTheme="majorBidi" w:hAnsiTheme="majorBidi" w:cstheme="majorBidi"/>
          <w:color w:val="000000"/>
        </w:rPr>
        <w:t xml:space="preserve"> 191.panta 2.punkt</w:t>
      </w:r>
      <w:r w:rsidR="00795F0C">
        <w:rPr>
          <w:rFonts w:asciiTheme="majorBidi" w:hAnsiTheme="majorBidi" w:cstheme="majorBidi"/>
          <w:color w:val="000000"/>
        </w:rPr>
        <w:t xml:space="preserve">ā </w:t>
      </w:r>
      <w:r w:rsidR="00005ED0">
        <w:rPr>
          <w:rFonts w:asciiTheme="majorBidi" w:hAnsiTheme="majorBidi" w:cstheme="majorBidi"/>
          <w:color w:val="000000"/>
        </w:rPr>
        <w:t>no</w:t>
      </w:r>
      <w:r w:rsidR="00795F0C">
        <w:rPr>
          <w:rFonts w:asciiTheme="majorBidi" w:hAnsiTheme="majorBidi" w:cstheme="majorBidi"/>
          <w:color w:val="000000"/>
        </w:rPr>
        <w:t xml:space="preserve">teikts, ka </w:t>
      </w:r>
      <w:r w:rsidR="00A375C6">
        <w:rPr>
          <w:rFonts w:asciiTheme="majorBidi" w:hAnsiTheme="majorBidi" w:cstheme="majorBidi"/>
          <w:color w:val="000000"/>
        </w:rPr>
        <w:t xml:space="preserve">Eiropas </w:t>
      </w:r>
      <w:r w:rsidR="00795F0C">
        <w:rPr>
          <w:rFonts w:asciiTheme="majorBidi" w:hAnsiTheme="majorBidi" w:cstheme="majorBidi"/>
          <w:color w:val="000000"/>
        </w:rPr>
        <w:t>Savienības</w:t>
      </w:r>
      <w:r w:rsidR="00795F0C" w:rsidRPr="00FF0D36">
        <w:rPr>
          <w:rFonts w:asciiTheme="majorBidi" w:hAnsiTheme="majorBidi" w:cstheme="majorBidi"/>
          <w:color w:val="000000"/>
        </w:rPr>
        <w:t xml:space="preserve"> </w:t>
      </w:r>
      <w:r w:rsidR="00795F0C">
        <w:t xml:space="preserve">vides </w:t>
      </w:r>
      <w:r w:rsidR="003B2BA8">
        <w:t>politikas īstenošana</w:t>
      </w:r>
      <w:r w:rsidR="00F34C63">
        <w:t xml:space="preserve"> pamatojas uz</w:t>
      </w:r>
      <w:r w:rsidR="003B2BA8">
        <w:t xml:space="preserve"> noteiktiem principiem</w:t>
      </w:r>
      <w:r w:rsidR="00795F0C">
        <w:t>:</w:t>
      </w:r>
      <w:r w:rsidR="00F34C63">
        <w:t xml:space="preserve"> piesardzības un preventīvās darbības principu, uz principu, ka nodarīts </w:t>
      </w:r>
      <w:r w:rsidR="00F34C63" w:rsidRPr="00005ED0">
        <w:t>kaitējums jālabo, pirmām kārtām novēršot tā cēloni, un uz principu, ka maksā piesārņotājs</w:t>
      </w:r>
      <w:r w:rsidR="00005ED0">
        <w:t>.</w:t>
      </w:r>
    </w:p>
    <w:p w14:paraId="77D75B48" w14:textId="4CAEEACE" w:rsidR="00005ED0" w:rsidRDefault="008B54F8" w:rsidP="00747DBB">
      <w:pPr>
        <w:pStyle w:val="NormalWeb"/>
        <w:shd w:val="clear" w:color="auto" w:fill="FFFFFF"/>
        <w:spacing w:before="0" w:beforeAutospacing="0" w:after="0" w:afterAutospacing="0" w:line="276" w:lineRule="auto"/>
        <w:ind w:firstLine="720"/>
        <w:jc w:val="both"/>
      </w:pPr>
      <w:r>
        <w:t xml:space="preserve">Tas nozīmē, </w:t>
      </w:r>
      <w:r w:rsidR="00005ED0">
        <w:t xml:space="preserve">ka piesardzības un preventīvās darbības principa gaismā </w:t>
      </w:r>
      <w:r>
        <w:t>ir arī</w:t>
      </w:r>
      <w:r w:rsidR="0025628B">
        <w:t xml:space="preserve"> iztulkojamas</w:t>
      </w:r>
      <w:r>
        <w:t xml:space="preserve"> </w:t>
      </w:r>
      <w:r w:rsidR="0025628B">
        <w:t>lietā piemērojam</w:t>
      </w:r>
      <w:r w:rsidR="007320F1">
        <w:t>ā</w:t>
      </w:r>
      <w:r w:rsidR="0025628B">
        <w:t>s</w:t>
      </w:r>
      <w:r w:rsidR="00A817BB">
        <w:t xml:space="preserve"> </w:t>
      </w:r>
      <w:r w:rsidR="00800B63">
        <w:t xml:space="preserve">tiesību </w:t>
      </w:r>
      <w:r w:rsidR="0025628B">
        <w:t>normas</w:t>
      </w:r>
      <w:r w:rsidR="00A817BB" w:rsidRPr="00A817BB">
        <w:t xml:space="preserve"> </w:t>
      </w:r>
      <w:r w:rsidR="00A817BB">
        <w:t>vides aizsardzības jomā</w:t>
      </w:r>
      <w:r w:rsidR="00005ED0">
        <w:t>.</w:t>
      </w:r>
    </w:p>
    <w:p w14:paraId="6D3BECB7" w14:textId="03119080" w:rsidR="00F34C63" w:rsidRPr="002E12CE" w:rsidRDefault="00005ED0" w:rsidP="00747DBB">
      <w:pPr>
        <w:pStyle w:val="NormalWeb"/>
        <w:shd w:val="clear" w:color="auto" w:fill="FFFFFF"/>
        <w:spacing w:before="0" w:beforeAutospacing="0" w:after="0" w:afterAutospacing="0" w:line="276" w:lineRule="auto"/>
        <w:ind w:firstLine="720"/>
        <w:jc w:val="both"/>
        <w:rPr>
          <w:rFonts w:asciiTheme="majorBidi" w:hAnsiTheme="majorBidi" w:cstheme="majorBidi"/>
          <w:i/>
          <w:iCs/>
          <w:color w:val="000000"/>
          <w:highlight w:val="lightGray"/>
        </w:rPr>
      </w:pPr>
      <w:r>
        <w:rPr>
          <w:rFonts w:asciiTheme="majorBidi" w:hAnsiTheme="majorBidi" w:cstheme="majorBidi"/>
          <w:color w:val="000000"/>
        </w:rPr>
        <w:t xml:space="preserve">No Eiropas Savienības </w:t>
      </w:r>
      <w:r w:rsidR="007B3DB3">
        <w:rPr>
          <w:rFonts w:asciiTheme="majorBidi" w:hAnsiTheme="majorBidi" w:cstheme="majorBidi"/>
          <w:color w:val="000000"/>
        </w:rPr>
        <w:t xml:space="preserve">Tiesas </w:t>
      </w:r>
      <w:r>
        <w:rPr>
          <w:rFonts w:asciiTheme="majorBidi" w:hAnsiTheme="majorBidi" w:cstheme="majorBidi"/>
          <w:color w:val="000000"/>
        </w:rPr>
        <w:t xml:space="preserve">prakses izriet, ka </w:t>
      </w:r>
      <w:r w:rsidR="00F34C63" w:rsidRPr="00005ED0">
        <w:rPr>
          <w:color w:val="000000"/>
        </w:rPr>
        <w:t>p</w:t>
      </w:r>
      <w:r w:rsidR="00F34C63" w:rsidRPr="00005ED0">
        <w:t>iesardzības princip</w:t>
      </w:r>
      <w:r>
        <w:t>s</w:t>
      </w:r>
      <w:r w:rsidR="00F34C63" w:rsidRPr="00005ED0">
        <w:t xml:space="preserve"> ļauj veikt aizsardzības pasākumus</w:t>
      </w:r>
      <w:r w:rsidRPr="00005ED0">
        <w:t xml:space="preserve"> situācijā</w:t>
      </w:r>
      <w:r w:rsidR="00F34C63" w:rsidRPr="00005ED0">
        <w:t xml:space="preserve">, </w:t>
      </w:r>
      <w:r w:rsidRPr="00005ED0">
        <w:t>k</w:t>
      </w:r>
      <w:r w:rsidR="00F34C63" w:rsidRPr="00005ED0">
        <w:t>a</w:t>
      </w:r>
      <w:r w:rsidRPr="00005ED0">
        <w:t>d</w:t>
      </w:r>
      <w:r w:rsidR="00F34C63" w:rsidRPr="00005ED0">
        <w:t xml:space="preserve"> pastāv </w:t>
      </w:r>
      <w:r w:rsidRPr="00005ED0">
        <w:t>šaubas</w:t>
      </w:r>
      <w:r w:rsidR="00227ACD">
        <w:t xml:space="preserve"> (neskaidrības)</w:t>
      </w:r>
      <w:r w:rsidRPr="00005ED0">
        <w:t xml:space="preserve"> </w:t>
      </w:r>
      <w:r w:rsidR="00F34C63" w:rsidRPr="00005ED0">
        <w:t>par riska esību vai tā pakāpi</w:t>
      </w:r>
      <w:r w:rsidRPr="00005ED0">
        <w:t xml:space="preserve"> attiecībā uz cilvēku veselību vai vidi</w:t>
      </w:r>
      <w:r w:rsidR="00F34C63" w:rsidRPr="00005ED0">
        <w:t>, negaidot to, kad šo risku faktiskā esība un nopietnība</w:t>
      </w:r>
      <w:r w:rsidRPr="00005ED0">
        <w:t xml:space="preserve"> </w:t>
      </w:r>
      <w:r w:rsidR="00F34C63" w:rsidRPr="00005ED0">
        <w:t>ir pilnībā pierādīta</w:t>
      </w:r>
      <w:r>
        <w:t>. Savukārt</w:t>
      </w:r>
      <w:r w:rsidR="00F34C63" w:rsidRPr="00005ED0">
        <w:t xml:space="preserve"> preventīvās darbības princips</w:t>
      </w:r>
      <w:r w:rsidRPr="00005ED0">
        <w:t xml:space="preserve"> ļauj veikt nepieciešamos </w:t>
      </w:r>
      <w:r>
        <w:t xml:space="preserve">aizsardzības </w:t>
      </w:r>
      <w:r w:rsidRPr="00005ED0">
        <w:t>pasākumus,</w:t>
      </w:r>
      <w:r w:rsidRPr="00005ED0">
        <w:rPr>
          <w:rFonts w:asciiTheme="majorBidi" w:hAnsiTheme="majorBidi" w:cstheme="majorBidi"/>
          <w:color w:val="000000" w:themeColor="text1"/>
        </w:rPr>
        <w:t xml:space="preserve"> kas novērš jau zināmo risku, kas var noteikti iestāties, tādējādi </w:t>
      </w:r>
      <w:r w:rsidR="007B3EA4" w:rsidRPr="00005ED0">
        <w:rPr>
          <w:rFonts w:asciiTheme="majorBidi" w:hAnsiTheme="majorBidi" w:cstheme="majorBidi"/>
          <w:color w:val="000000" w:themeColor="text1"/>
        </w:rPr>
        <w:t xml:space="preserve">jau no paša sākuma </w:t>
      </w:r>
      <w:r w:rsidRPr="00005ED0">
        <w:rPr>
          <w:rFonts w:asciiTheme="majorBidi" w:hAnsiTheme="majorBidi" w:cstheme="majorBidi"/>
          <w:color w:val="000000" w:themeColor="text1"/>
        </w:rPr>
        <w:t>nepieļaujot piesārņojuma vai kaitējuma rašanos</w:t>
      </w:r>
      <w:r>
        <w:rPr>
          <w:rFonts w:asciiTheme="majorBidi" w:hAnsiTheme="majorBidi" w:cstheme="majorBidi"/>
          <w:color w:val="000000" w:themeColor="text1"/>
        </w:rPr>
        <w:t>.</w:t>
      </w:r>
      <w:r w:rsidRPr="00005ED0">
        <w:rPr>
          <w:rFonts w:asciiTheme="majorBidi" w:hAnsiTheme="majorBidi" w:cstheme="majorBidi"/>
          <w:color w:val="000000" w:themeColor="text1"/>
        </w:rPr>
        <w:t xml:space="preserve"> </w:t>
      </w:r>
      <w:r>
        <w:t xml:space="preserve">Parasti </w:t>
      </w:r>
      <w:r w:rsidR="007B3EA4">
        <w:t xml:space="preserve">paši </w:t>
      </w:r>
      <w:r>
        <w:t>piesārņotāji ir tās personas, kas var veikt visefektīvākos pasākumu</w:t>
      </w:r>
      <w:r w:rsidRPr="002E12CE">
        <w:t>s</w:t>
      </w:r>
      <w:r w:rsidRPr="002E12CE">
        <w:rPr>
          <w:rFonts w:asciiTheme="majorBidi" w:hAnsiTheme="majorBidi" w:cstheme="majorBidi"/>
          <w:color w:val="000000" w:themeColor="text1"/>
        </w:rPr>
        <w:t xml:space="preserve"> (sal.</w:t>
      </w:r>
      <w:r w:rsidR="00C660A5">
        <w:rPr>
          <w:rFonts w:asciiTheme="majorBidi" w:hAnsiTheme="majorBidi" w:cstheme="majorBidi"/>
          <w:color w:val="000000" w:themeColor="text1"/>
        </w:rPr>
        <w:t xml:space="preserve"> </w:t>
      </w:r>
      <w:r w:rsidRPr="002E12CE">
        <w:rPr>
          <w:rFonts w:asciiTheme="majorBidi" w:hAnsiTheme="majorBidi" w:cstheme="majorBidi"/>
          <w:i/>
          <w:iCs/>
          <w:color w:val="000000"/>
        </w:rPr>
        <w:t xml:space="preserve">Eiropas Savienības </w:t>
      </w:r>
      <w:r w:rsidR="009549D9">
        <w:rPr>
          <w:rFonts w:asciiTheme="majorBidi" w:hAnsiTheme="majorBidi" w:cstheme="majorBidi"/>
          <w:i/>
          <w:iCs/>
          <w:color w:val="000000"/>
        </w:rPr>
        <w:t xml:space="preserve">Tiesas </w:t>
      </w:r>
      <w:r w:rsidRPr="002E12CE">
        <w:rPr>
          <w:rFonts w:asciiTheme="majorBidi" w:hAnsiTheme="majorBidi" w:cstheme="majorBidi"/>
          <w:i/>
          <w:iCs/>
          <w:color w:val="000000"/>
        </w:rPr>
        <w:t>2008.gada 16.decembra sprieduma lietā</w:t>
      </w:r>
      <w:r w:rsidR="00C660A5">
        <w:rPr>
          <w:rFonts w:asciiTheme="majorBidi" w:hAnsiTheme="majorBidi" w:cstheme="majorBidi"/>
          <w:i/>
          <w:iCs/>
          <w:color w:val="000000"/>
        </w:rPr>
        <w:t xml:space="preserve"> </w:t>
      </w:r>
      <w:r w:rsidR="002E12CE" w:rsidRPr="002E12CE">
        <w:rPr>
          <w:rFonts w:asciiTheme="majorBidi" w:hAnsiTheme="majorBidi" w:cstheme="majorBidi"/>
          <w:i/>
          <w:iCs/>
          <w:color w:val="000000"/>
        </w:rPr>
        <w:t>„</w:t>
      </w:r>
      <w:r w:rsidRPr="002E12CE">
        <w:rPr>
          <w:rFonts w:asciiTheme="majorBidi" w:hAnsiTheme="majorBidi" w:cstheme="majorBidi"/>
          <w:i/>
          <w:iCs/>
          <w:color w:val="000000"/>
        </w:rPr>
        <w:t>Arcelor Atlantique</w:t>
      </w:r>
      <w:r w:rsidR="00C660A5">
        <w:rPr>
          <w:rFonts w:asciiTheme="majorBidi" w:hAnsiTheme="majorBidi" w:cstheme="majorBidi"/>
          <w:i/>
          <w:iCs/>
          <w:color w:val="000000"/>
        </w:rPr>
        <w:t xml:space="preserve"> </w:t>
      </w:r>
      <w:r w:rsidRPr="002E12CE">
        <w:rPr>
          <w:rFonts w:asciiTheme="majorBidi" w:hAnsiTheme="majorBidi" w:cstheme="majorBidi"/>
          <w:i/>
          <w:iCs/>
          <w:color w:val="000000"/>
        </w:rPr>
        <w:t>un</w:t>
      </w:r>
      <w:r w:rsidR="00C660A5">
        <w:rPr>
          <w:rFonts w:asciiTheme="majorBidi" w:hAnsiTheme="majorBidi" w:cstheme="majorBidi"/>
          <w:i/>
          <w:iCs/>
          <w:color w:val="000000"/>
        </w:rPr>
        <w:t xml:space="preserve"> </w:t>
      </w:r>
      <w:r w:rsidRPr="002E12CE">
        <w:rPr>
          <w:rFonts w:asciiTheme="majorBidi" w:hAnsiTheme="majorBidi" w:cstheme="majorBidi"/>
          <w:i/>
          <w:iCs/>
          <w:color w:val="000000"/>
        </w:rPr>
        <w:t>Lorraine</w:t>
      </w:r>
      <w:r w:rsidR="00C660A5">
        <w:rPr>
          <w:rFonts w:asciiTheme="majorBidi" w:hAnsiTheme="majorBidi" w:cstheme="majorBidi"/>
          <w:i/>
          <w:iCs/>
          <w:color w:val="000000"/>
        </w:rPr>
        <w:t xml:space="preserve"> </w:t>
      </w:r>
      <w:r w:rsidRPr="002E12CE">
        <w:rPr>
          <w:rFonts w:asciiTheme="majorBidi" w:hAnsiTheme="majorBidi" w:cstheme="majorBidi"/>
          <w:i/>
          <w:iCs/>
          <w:color w:val="000000"/>
        </w:rPr>
        <w:t>u.c.</w:t>
      </w:r>
      <w:r w:rsidR="002E12CE" w:rsidRPr="002E12CE">
        <w:rPr>
          <w:rFonts w:asciiTheme="majorBidi" w:hAnsiTheme="majorBidi" w:cstheme="majorBidi"/>
          <w:i/>
          <w:iCs/>
          <w:color w:val="000000"/>
        </w:rPr>
        <w:t>”</w:t>
      </w:r>
      <w:r w:rsidR="002E12CE">
        <w:rPr>
          <w:rFonts w:asciiTheme="majorBidi" w:hAnsiTheme="majorBidi" w:cstheme="majorBidi"/>
          <w:i/>
          <w:iCs/>
          <w:color w:val="000000"/>
        </w:rPr>
        <w:t>,</w:t>
      </w:r>
      <w:r w:rsidR="002E12CE" w:rsidRPr="002E12CE">
        <w:rPr>
          <w:rFonts w:asciiTheme="majorBidi" w:hAnsiTheme="majorBidi" w:cstheme="majorBidi"/>
          <w:i/>
          <w:iCs/>
          <w:color w:val="000000"/>
        </w:rPr>
        <w:t xml:space="preserve"> C</w:t>
      </w:r>
      <w:r w:rsidR="002E12CE" w:rsidRPr="002E12CE">
        <w:rPr>
          <w:rFonts w:asciiTheme="majorBidi" w:hAnsiTheme="majorBidi" w:cstheme="majorBidi"/>
          <w:i/>
          <w:iCs/>
          <w:color w:val="000000"/>
        </w:rPr>
        <w:noBreakHyphen/>
        <w:t xml:space="preserve">127/07, </w:t>
      </w:r>
      <w:hyperlink r:id="rId14" w:history="1">
        <w:r w:rsidR="002E12CE" w:rsidRPr="002E12CE">
          <w:rPr>
            <w:rStyle w:val="Hyperlink"/>
            <w:rFonts w:asciiTheme="majorBidi" w:hAnsiTheme="majorBidi" w:cstheme="majorBidi"/>
            <w:i/>
            <w:iCs/>
          </w:rPr>
          <w:t>ECLI:EU:C:2008:728</w:t>
        </w:r>
      </w:hyperlink>
      <w:r w:rsidR="002E12CE" w:rsidRPr="002E12CE">
        <w:rPr>
          <w:rFonts w:asciiTheme="majorBidi" w:hAnsiTheme="majorBidi" w:cstheme="majorBidi"/>
          <w:i/>
          <w:iCs/>
          <w:color w:val="000000"/>
        </w:rPr>
        <w:t xml:space="preserve">, </w:t>
      </w:r>
      <w:r w:rsidRPr="002E12CE">
        <w:rPr>
          <w:rFonts w:asciiTheme="majorBidi" w:hAnsiTheme="majorBidi" w:cstheme="majorBidi"/>
          <w:i/>
          <w:iCs/>
          <w:color w:val="000000"/>
        </w:rPr>
        <w:t>30.punkts</w:t>
      </w:r>
      <w:r w:rsidR="002E12CE" w:rsidRPr="002E12CE">
        <w:rPr>
          <w:rFonts w:asciiTheme="majorBidi" w:hAnsiTheme="majorBidi" w:cstheme="majorBidi"/>
          <w:i/>
          <w:iCs/>
          <w:color w:val="000000"/>
        </w:rPr>
        <w:t xml:space="preserve"> </w:t>
      </w:r>
      <w:r w:rsidR="002E12CE" w:rsidRPr="00DE0B69">
        <w:rPr>
          <w:rFonts w:asciiTheme="majorBidi" w:hAnsiTheme="majorBidi" w:cstheme="majorBidi"/>
          <w:color w:val="000000"/>
        </w:rPr>
        <w:t>un tajā minētā judikatūra</w:t>
      </w:r>
      <w:r w:rsidR="00B576F8">
        <w:rPr>
          <w:rFonts w:asciiTheme="majorBidi" w:hAnsiTheme="majorBidi" w:cstheme="majorBidi"/>
          <w:i/>
          <w:iCs/>
          <w:color w:val="000000"/>
        </w:rPr>
        <w:t xml:space="preserve">; </w:t>
      </w:r>
      <w:r w:rsidRPr="002E12CE">
        <w:rPr>
          <w:rFonts w:asciiTheme="majorBidi" w:hAnsiTheme="majorBidi" w:cstheme="majorBidi"/>
          <w:i/>
          <w:iCs/>
          <w:color w:val="000000" w:themeColor="text1"/>
        </w:rPr>
        <w:t xml:space="preserve">2005.gada 26.aprīļa </w:t>
      </w:r>
      <w:r w:rsidRPr="00B576F8">
        <w:rPr>
          <w:rFonts w:asciiTheme="majorBidi" w:hAnsiTheme="majorBidi" w:cstheme="majorBidi"/>
          <w:i/>
          <w:iCs/>
          <w:color w:val="000000" w:themeColor="text1"/>
        </w:rPr>
        <w:t>sprieduma lietā „</w:t>
      </w:r>
      <w:r w:rsidR="002E12CE" w:rsidRPr="00B576F8">
        <w:rPr>
          <w:rFonts w:asciiTheme="majorBidi" w:hAnsiTheme="majorBidi" w:cstheme="majorBidi"/>
          <w:i/>
          <w:iCs/>
          <w:color w:val="000000" w:themeColor="text1"/>
        </w:rPr>
        <w:t>Komisija/Īrija</w:t>
      </w:r>
      <w:r w:rsidRPr="00B576F8">
        <w:rPr>
          <w:rFonts w:asciiTheme="majorBidi" w:hAnsiTheme="majorBidi" w:cstheme="majorBidi"/>
          <w:i/>
          <w:iCs/>
          <w:color w:val="000000" w:themeColor="text1"/>
        </w:rPr>
        <w:t>”</w:t>
      </w:r>
      <w:r w:rsidR="002E12CE" w:rsidRPr="00B576F8">
        <w:rPr>
          <w:rFonts w:asciiTheme="majorBidi" w:hAnsiTheme="majorBidi" w:cstheme="majorBidi"/>
          <w:i/>
          <w:iCs/>
          <w:color w:val="000000" w:themeColor="text1"/>
        </w:rPr>
        <w:t>,</w:t>
      </w:r>
      <w:r w:rsidRPr="00B576F8">
        <w:rPr>
          <w:rFonts w:asciiTheme="majorBidi" w:hAnsiTheme="majorBidi" w:cstheme="majorBidi"/>
          <w:i/>
          <w:iCs/>
          <w:color w:val="000000" w:themeColor="text1"/>
        </w:rPr>
        <w:t xml:space="preserve"> C</w:t>
      </w:r>
      <w:r w:rsidRPr="00B576F8">
        <w:rPr>
          <w:rFonts w:asciiTheme="majorBidi" w:hAnsiTheme="majorBidi" w:cstheme="majorBidi"/>
          <w:i/>
          <w:iCs/>
          <w:color w:val="000000" w:themeColor="text1"/>
        </w:rPr>
        <w:noBreakHyphen/>
        <w:t xml:space="preserve">494/01, </w:t>
      </w:r>
      <w:hyperlink r:id="rId15" w:history="1">
        <w:r w:rsidRPr="00B576F8">
          <w:rPr>
            <w:rStyle w:val="Hyperlink"/>
            <w:rFonts w:asciiTheme="majorBidi" w:hAnsiTheme="majorBidi" w:cstheme="majorBidi"/>
            <w:i/>
            <w:iCs/>
          </w:rPr>
          <w:t>ECLI:EU:C:2005:250</w:t>
        </w:r>
      </w:hyperlink>
      <w:r w:rsidRPr="00B576F8">
        <w:rPr>
          <w:rFonts w:asciiTheme="majorBidi" w:hAnsiTheme="majorBidi" w:cstheme="majorBidi"/>
          <w:i/>
          <w:iCs/>
          <w:color w:val="000000" w:themeColor="text1"/>
        </w:rPr>
        <w:t>, 165.punkts</w:t>
      </w:r>
      <w:r w:rsidR="00B576F8" w:rsidRPr="00B576F8">
        <w:rPr>
          <w:rFonts w:asciiTheme="majorBidi" w:hAnsiTheme="majorBidi" w:cstheme="majorBidi"/>
          <w:i/>
          <w:iCs/>
          <w:color w:val="000000" w:themeColor="text1"/>
        </w:rPr>
        <w:t xml:space="preserve"> </w:t>
      </w:r>
      <w:r w:rsidR="00B576F8" w:rsidRPr="00DE0B69">
        <w:rPr>
          <w:rFonts w:asciiTheme="majorBidi" w:hAnsiTheme="majorBidi" w:cstheme="majorBidi"/>
          <w:color w:val="000000" w:themeColor="text1"/>
        </w:rPr>
        <w:t>un tajā minētā judikatūra; sal. arī</w:t>
      </w:r>
      <w:r w:rsidRPr="00B576F8">
        <w:rPr>
          <w:rFonts w:asciiTheme="majorBidi" w:hAnsiTheme="majorBidi" w:cstheme="majorBidi"/>
          <w:i/>
          <w:iCs/>
          <w:color w:val="000000" w:themeColor="text1"/>
        </w:rPr>
        <w:t xml:space="preserve"> </w:t>
      </w:r>
      <w:r w:rsidR="00F34C63" w:rsidRPr="00B576F8">
        <w:rPr>
          <w:i/>
          <w:iCs/>
        </w:rPr>
        <w:t>ģenerāladvokātes Julianas Kokotes (Juliane Kokott) secinājum</w:t>
      </w:r>
      <w:r w:rsidR="002E12CE" w:rsidRPr="00B576F8">
        <w:rPr>
          <w:i/>
          <w:iCs/>
        </w:rPr>
        <w:t>u</w:t>
      </w:r>
      <w:r w:rsidR="00F34C63" w:rsidRPr="00B576F8">
        <w:rPr>
          <w:i/>
          <w:iCs/>
        </w:rPr>
        <w:t>, kas sniegti 2010.gada 6.maijā lietā</w:t>
      </w:r>
      <w:r w:rsidR="00B576F8" w:rsidRPr="00B576F8">
        <w:rPr>
          <w:i/>
          <w:iCs/>
        </w:rPr>
        <w:t xml:space="preserve"> „Afton Chemical”,</w:t>
      </w:r>
      <w:r w:rsidR="00C660A5">
        <w:rPr>
          <w:i/>
          <w:iCs/>
        </w:rPr>
        <w:t xml:space="preserve"> </w:t>
      </w:r>
      <w:r w:rsidR="00F34C63" w:rsidRPr="00B576F8">
        <w:rPr>
          <w:i/>
          <w:iCs/>
        </w:rPr>
        <w:t>C</w:t>
      </w:r>
      <w:r w:rsidRPr="00B576F8">
        <w:rPr>
          <w:i/>
          <w:iCs/>
        </w:rPr>
        <w:noBreakHyphen/>
      </w:r>
      <w:r w:rsidR="00F34C63" w:rsidRPr="00B576F8">
        <w:rPr>
          <w:i/>
          <w:iCs/>
        </w:rPr>
        <w:t>343/09</w:t>
      </w:r>
      <w:r w:rsidR="002E12CE" w:rsidRPr="00B576F8">
        <w:rPr>
          <w:i/>
          <w:iCs/>
        </w:rPr>
        <w:t>,</w:t>
      </w:r>
      <w:r w:rsidR="00B576F8" w:rsidRPr="00B576F8">
        <w:rPr>
          <w:i/>
          <w:iCs/>
        </w:rPr>
        <w:t xml:space="preserve"> </w:t>
      </w:r>
      <w:hyperlink r:id="rId16" w:history="1">
        <w:r w:rsidR="00B576F8" w:rsidRPr="00B576F8">
          <w:rPr>
            <w:rStyle w:val="Hyperlink"/>
            <w:i/>
            <w:iCs/>
          </w:rPr>
          <w:t>ECLI:EU:C:2010:258</w:t>
        </w:r>
      </w:hyperlink>
      <w:r w:rsidR="00B576F8" w:rsidRPr="00B576F8">
        <w:rPr>
          <w:i/>
          <w:iCs/>
        </w:rPr>
        <w:t>,</w:t>
      </w:r>
      <w:r w:rsidR="00F34C63" w:rsidRPr="00B576F8">
        <w:rPr>
          <w:i/>
          <w:iCs/>
        </w:rPr>
        <w:t xml:space="preserve"> 60. un 94.punkts</w:t>
      </w:r>
      <w:r w:rsidR="00F34C63" w:rsidRPr="00B576F8">
        <w:t xml:space="preserve">, </w:t>
      </w:r>
      <w:r w:rsidR="00F34C63" w:rsidRPr="00DE0B69">
        <w:t xml:space="preserve">kā arī </w:t>
      </w:r>
      <w:r w:rsidR="00F34C63" w:rsidRPr="00B576F8">
        <w:rPr>
          <w:i/>
          <w:iCs/>
        </w:rPr>
        <w:t>ģenerāladvokāta Filipa Ležē (Philippe Leger) secinājum</w:t>
      </w:r>
      <w:r w:rsidR="002E12CE" w:rsidRPr="00B576F8">
        <w:rPr>
          <w:i/>
          <w:iCs/>
        </w:rPr>
        <w:t>u</w:t>
      </w:r>
      <w:r w:rsidR="00F34C63" w:rsidRPr="00B576F8">
        <w:rPr>
          <w:i/>
          <w:iCs/>
        </w:rPr>
        <w:t xml:space="preserve">, kas sniegti 2004.gada 23.septembrī lietā </w:t>
      </w:r>
      <w:r w:rsidR="00B576F8" w:rsidRPr="00B576F8">
        <w:rPr>
          <w:i/>
          <w:iCs/>
        </w:rPr>
        <w:t>„EU-Wood-Trading</w:t>
      </w:r>
      <w:r w:rsidR="00B576F8">
        <w:rPr>
          <w:i/>
          <w:iCs/>
        </w:rPr>
        <w:t xml:space="preserve">”, </w:t>
      </w:r>
      <w:r w:rsidR="00F34C63" w:rsidRPr="00B576F8">
        <w:rPr>
          <w:i/>
          <w:iCs/>
        </w:rPr>
        <w:t>C</w:t>
      </w:r>
      <w:r w:rsidR="006A1068">
        <w:rPr>
          <w:i/>
          <w:iCs/>
        </w:rPr>
        <w:noBreakHyphen/>
      </w:r>
      <w:r w:rsidR="00F34C63" w:rsidRPr="00B576F8">
        <w:rPr>
          <w:i/>
          <w:iCs/>
        </w:rPr>
        <w:t>277/02</w:t>
      </w:r>
      <w:r w:rsidR="002E12CE" w:rsidRPr="00B576F8">
        <w:rPr>
          <w:i/>
          <w:iCs/>
        </w:rPr>
        <w:t>,</w:t>
      </w:r>
      <w:r w:rsidR="00F34C63" w:rsidRPr="00B576F8">
        <w:rPr>
          <w:i/>
          <w:iCs/>
        </w:rPr>
        <w:t xml:space="preserve"> </w:t>
      </w:r>
      <w:hyperlink r:id="rId17" w:history="1">
        <w:r w:rsidR="00B576F8" w:rsidRPr="00B576F8">
          <w:rPr>
            <w:rStyle w:val="Hyperlink"/>
            <w:i/>
            <w:iCs/>
          </w:rPr>
          <w:t>ECLI:EU:C:2004:547</w:t>
        </w:r>
      </w:hyperlink>
      <w:r w:rsidR="00B576F8" w:rsidRPr="00B576F8">
        <w:rPr>
          <w:i/>
          <w:iCs/>
        </w:rPr>
        <w:t xml:space="preserve">, </w:t>
      </w:r>
      <w:r w:rsidR="00F34C63" w:rsidRPr="00B576F8">
        <w:rPr>
          <w:i/>
          <w:iCs/>
        </w:rPr>
        <w:t>6.punkts</w:t>
      </w:r>
      <w:r w:rsidR="00B576F8">
        <w:rPr>
          <w:i/>
          <w:iCs/>
        </w:rPr>
        <w:t>;</w:t>
      </w:r>
      <w:r w:rsidRPr="00B576F8">
        <w:rPr>
          <w:i/>
          <w:iCs/>
        </w:rPr>
        <w:t xml:space="preserve"> </w:t>
      </w:r>
      <w:r w:rsidR="00B576F8" w:rsidRPr="00DE0B69">
        <w:t>sal</w:t>
      </w:r>
      <w:r w:rsidRPr="00DE0B69">
        <w:t>.</w:t>
      </w:r>
      <w:r w:rsidR="00C660A5">
        <w:rPr>
          <w:i/>
          <w:iCs/>
        </w:rPr>
        <w:t xml:space="preserve"> </w:t>
      </w:r>
      <w:r w:rsidRPr="00DE0B69">
        <w:t>arī</w:t>
      </w:r>
      <w:r w:rsidRPr="00B576F8">
        <w:rPr>
          <w:i/>
          <w:iCs/>
        </w:rPr>
        <w:t xml:space="preserve"> </w:t>
      </w:r>
      <w:r w:rsidRPr="00B576F8">
        <w:rPr>
          <w:rFonts w:asciiTheme="majorBidi" w:hAnsiTheme="majorBidi" w:cstheme="majorBidi"/>
          <w:i/>
          <w:iCs/>
          <w:color w:val="000000" w:themeColor="text1"/>
        </w:rPr>
        <w:t>Senāta 2022.gada 22.decembra sprieduma lietā Nr. SKA</w:t>
      </w:r>
      <w:r w:rsidR="00FE6281">
        <w:rPr>
          <w:rFonts w:asciiTheme="majorBidi" w:hAnsiTheme="majorBidi" w:cstheme="majorBidi"/>
          <w:i/>
          <w:iCs/>
          <w:color w:val="000000" w:themeColor="text1"/>
        </w:rPr>
        <w:noBreakHyphen/>
      </w:r>
      <w:r w:rsidRPr="00B576F8">
        <w:rPr>
          <w:rFonts w:asciiTheme="majorBidi" w:hAnsiTheme="majorBidi" w:cstheme="majorBidi"/>
          <w:i/>
          <w:iCs/>
          <w:color w:val="000000" w:themeColor="text1"/>
        </w:rPr>
        <w:t xml:space="preserve">278/2022, </w:t>
      </w:r>
      <w:hyperlink r:id="rId18" w:history="1">
        <w:r w:rsidRPr="00B576F8">
          <w:rPr>
            <w:rStyle w:val="Hyperlink"/>
            <w:rFonts w:asciiTheme="majorBidi" w:hAnsiTheme="majorBidi" w:cstheme="majorBidi"/>
            <w:i/>
            <w:iCs/>
          </w:rPr>
          <w:t>ECLI:LV:AT:2022:1222.A420162919.10.S</w:t>
        </w:r>
      </w:hyperlink>
      <w:r w:rsidRPr="00B576F8">
        <w:rPr>
          <w:rFonts w:asciiTheme="majorBidi" w:hAnsiTheme="majorBidi" w:cstheme="majorBidi"/>
          <w:i/>
          <w:iCs/>
          <w:color w:val="000000" w:themeColor="text1"/>
          <w:lang w:eastAsia="ru-RU"/>
        </w:rPr>
        <w:t>,</w:t>
      </w:r>
      <w:r w:rsidRPr="00B576F8">
        <w:rPr>
          <w:rFonts w:asciiTheme="majorBidi" w:hAnsiTheme="majorBidi" w:cstheme="majorBidi"/>
          <w:i/>
          <w:iCs/>
          <w:color w:val="000000" w:themeColor="text1"/>
        </w:rPr>
        <w:t xml:space="preserve"> 10.punkts</w:t>
      </w:r>
      <w:r w:rsidRPr="00B576F8">
        <w:rPr>
          <w:rFonts w:asciiTheme="majorBidi" w:hAnsiTheme="majorBidi" w:cstheme="majorBidi"/>
          <w:color w:val="000000" w:themeColor="text1"/>
        </w:rPr>
        <w:t>).</w:t>
      </w:r>
    </w:p>
    <w:p w14:paraId="391C54F4" w14:textId="45B85C89" w:rsidR="00F34C63" w:rsidRPr="00B65E27" w:rsidRDefault="008B54F8" w:rsidP="00747DBB">
      <w:pPr>
        <w:spacing w:line="276" w:lineRule="auto"/>
        <w:ind w:firstLine="567"/>
        <w:jc w:val="both"/>
      </w:pPr>
      <w:r>
        <w:t xml:space="preserve">Līdz ar to </w:t>
      </w:r>
      <w:r w:rsidR="00227ACD">
        <w:t xml:space="preserve">no </w:t>
      </w:r>
      <w:r w:rsidR="00005ED0">
        <w:rPr>
          <w:shd w:val="clear" w:color="auto" w:fill="FFFFFF"/>
        </w:rPr>
        <w:t>piesardzības princip</w:t>
      </w:r>
      <w:r w:rsidR="00227ACD">
        <w:rPr>
          <w:shd w:val="clear" w:color="auto" w:fill="FFFFFF"/>
        </w:rPr>
        <w:t xml:space="preserve">a izriet </w:t>
      </w:r>
      <w:r w:rsidR="0025628B">
        <w:rPr>
          <w:shd w:val="clear" w:color="auto" w:fill="FFFFFF"/>
        </w:rPr>
        <w:t xml:space="preserve">kompetentās </w:t>
      </w:r>
      <w:r w:rsidR="00227ACD">
        <w:rPr>
          <w:shd w:val="clear" w:color="auto" w:fill="FFFFFF"/>
        </w:rPr>
        <w:t>iestādes tiesības</w:t>
      </w:r>
      <w:r w:rsidR="003B2BA8" w:rsidRPr="00F34C63">
        <w:rPr>
          <w:shd w:val="clear" w:color="auto" w:fill="FFFFFF"/>
        </w:rPr>
        <w:t xml:space="preserve"> </w:t>
      </w:r>
      <w:r w:rsidR="0025628B">
        <w:rPr>
          <w:shd w:val="clear" w:color="auto" w:fill="FFFFFF"/>
        </w:rPr>
        <w:t>noteikt</w:t>
      </w:r>
      <w:r w:rsidR="00227ACD" w:rsidRPr="00F34C63">
        <w:rPr>
          <w:shd w:val="clear" w:color="auto" w:fill="FFFFFF"/>
        </w:rPr>
        <w:t xml:space="preserve"> </w:t>
      </w:r>
      <w:r w:rsidR="00824E93">
        <w:rPr>
          <w:shd w:val="clear" w:color="auto" w:fill="FFFFFF"/>
        </w:rPr>
        <w:t xml:space="preserve">piesārņojošās darbības </w:t>
      </w:r>
      <w:r w:rsidR="00824E93" w:rsidRPr="00F34C63">
        <w:rPr>
          <w:shd w:val="clear" w:color="auto" w:fill="FFFFFF"/>
        </w:rPr>
        <w:t xml:space="preserve">atļaujā </w:t>
      </w:r>
      <w:r w:rsidR="00CD2CEF">
        <w:rPr>
          <w:shd w:val="clear" w:color="auto" w:fill="FFFFFF"/>
        </w:rPr>
        <w:t xml:space="preserve">tādus </w:t>
      </w:r>
      <w:r w:rsidR="00F34C63" w:rsidRPr="00F34C63">
        <w:rPr>
          <w:rFonts w:asciiTheme="majorBidi" w:hAnsiTheme="majorBidi" w:cstheme="majorBidi"/>
          <w:shd w:val="clear" w:color="auto" w:fill="FFFFFF"/>
        </w:rPr>
        <w:t>nosacījumu</w:t>
      </w:r>
      <w:r w:rsidR="00F34C63">
        <w:rPr>
          <w:rFonts w:asciiTheme="majorBidi" w:hAnsiTheme="majorBidi" w:cstheme="majorBidi"/>
          <w:shd w:val="clear" w:color="auto" w:fill="FFFFFF"/>
        </w:rPr>
        <w:t>s</w:t>
      </w:r>
      <w:r w:rsidR="00F34C63" w:rsidRPr="00F34C63">
        <w:rPr>
          <w:rFonts w:asciiTheme="majorBidi" w:hAnsiTheme="majorBidi" w:cstheme="majorBidi"/>
          <w:shd w:val="clear" w:color="auto" w:fill="FFFFFF"/>
        </w:rPr>
        <w:t xml:space="preserve">, </w:t>
      </w:r>
      <w:r w:rsidR="00CD2CEF">
        <w:rPr>
          <w:rFonts w:asciiTheme="majorBidi" w:hAnsiTheme="majorBidi" w:cstheme="majorBidi"/>
          <w:shd w:val="clear" w:color="auto" w:fill="FFFFFF"/>
        </w:rPr>
        <w:t>kuru mērķis ir</w:t>
      </w:r>
      <w:r w:rsidR="00F34C63" w:rsidRPr="00F34C63">
        <w:rPr>
          <w:rFonts w:asciiTheme="majorBidi" w:hAnsiTheme="majorBidi" w:cstheme="majorBidi"/>
          <w:shd w:val="clear" w:color="auto" w:fill="FFFFFF"/>
        </w:rPr>
        <w:t xml:space="preserve"> aizsargāt </w:t>
      </w:r>
      <w:r w:rsidR="00005ED0">
        <w:rPr>
          <w:rFonts w:asciiTheme="majorBidi" w:hAnsiTheme="majorBidi" w:cstheme="majorBidi"/>
          <w:shd w:val="clear" w:color="auto" w:fill="FFFFFF"/>
        </w:rPr>
        <w:t xml:space="preserve">cilvēku veselību vai </w:t>
      </w:r>
      <w:r w:rsidR="00F34C63" w:rsidRPr="00F34C63">
        <w:rPr>
          <w:rFonts w:asciiTheme="majorBidi" w:hAnsiTheme="majorBidi" w:cstheme="majorBidi"/>
          <w:shd w:val="clear" w:color="auto" w:fill="FFFFFF"/>
        </w:rPr>
        <w:t>vidi pret</w:t>
      </w:r>
      <w:r w:rsidR="003816F9">
        <w:rPr>
          <w:rFonts w:asciiTheme="majorBidi" w:hAnsiTheme="majorBidi" w:cstheme="majorBidi"/>
          <w:shd w:val="clear" w:color="auto" w:fill="FFFFFF"/>
        </w:rPr>
        <w:t xml:space="preserve"> </w:t>
      </w:r>
      <w:r w:rsidR="00F34C63" w:rsidRPr="00F34C63">
        <w:rPr>
          <w:rFonts w:asciiTheme="majorBidi" w:hAnsiTheme="majorBidi" w:cstheme="majorBidi"/>
          <w:shd w:val="clear" w:color="auto" w:fill="FFFFFF"/>
        </w:rPr>
        <w:t>piesārņojum</w:t>
      </w:r>
      <w:r w:rsidR="0025628B">
        <w:rPr>
          <w:rFonts w:asciiTheme="majorBidi" w:hAnsiTheme="majorBidi" w:cstheme="majorBidi"/>
          <w:shd w:val="clear" w:color="auto" w:fill="FFFFFF"/>
        </w:rPr>
        <w:t xml:space="preserve">a rašanos </w:t>
      </w:r>
      <w:r w:rsidR="00005ED0">
        <w:rPr>
          <w:rFonts w:asciiTheme="majorBidi" w:hAnsiTheme="majorBidi" w:cstheme="majorBidi"/>
          <w:shd w:val="clear" w:color="auto" w:fill="FFFFFF"/>
        </w:rPr>
        <w:t>situācijā</w:t>
      </w:r>
      <w:r w:rsidR="003816F9">
        <w:rPr>
          <w:rFonts w:asciiTheme="majorBidi" w:hAnsiTheme="majorBidi" w:cstheme="majorBidi"/>
          <w:shd w:val="clear" w:color="auto" w:fill="FFFFFF"/>
        </w:rPr>
        <w:t>,</w:t>
      </w:r>
      <w:r w:rsidR="00795F0C">
        <w:rPr>
          <w:rFonts w:asciiTheme="majorBidi" w:eastAsiaTheme="minorHAnsi" w:hAnsiTheme="majorBidi" w:cstheme="majorBidi"/>
          <w:lang w:eastAsia="en-US"/>
        </w:rPr>
        <w:t xml:space="preserve"> </w:t>
      </w:r>
      <w:r w:rsidR="00824E93">
        <w:rPr>
          <w:rFonts w:asciiTheme="majorBidi" w:eastAsiaTheme="minorHAnsi" w:hAnsiTheme="majorBidi" w:cstheme="majorBidi"/>
          <w:lang w:eastAsia="en-US"/>
        </w:rPr>
        <w:t>kad</w:t>
      </w:r>
      <w:r w:rsidR="00795F0C">
        <w:rPr>
          <w:rFonts w:asciiTheme="majorBidi" w:eastAsiaTheme="minorHAnsi" w:hAnsiTheme="majorBidi" w:cstheme="majorBidi"/>
          <w:lang w:eastAsia="en-US"/>
        </w:rPr>
        <w:t xml:space="preserve"> </w:t>
      </w:r>
      <w:r w:rsidR="00A817BB">
        <w:rPr>
          <w:shd w:val="clear" w:color="auto" w:fill="FFFFFF"/>
        </w:rPr>
        <w:t xml:space="preserve">arī </w:t>
      </w:r>
      <w:r w:rsidR="00795F0C">
        <w:rPr>
          <w:rFonts w:asciiTheme="majorBidi" w:eastAsiaTheme="minorHAnsi" w:hAnsiTheme="majorBidi" w:cstheme="majorBidi"/>
          <w:lang w:eastAsia="en-US"/>
        </w:rPr>
        <w:t>i</w:t>
      </w:r>
      <w:r w:rsidR="00F34C63" w:rsidRPr="00F34C63">
        <w:rPr>
          <w:rFonts w:asciiTheme="majorBidi" w:eastAsiaTheme="minorHAnsi" w:hAnsiTheme="majorBidi" w:cstheme="majorBidi"/>
          <w:lang w:eastAsia="en-US"/>
        </w:rPr>
        <w:t>ztrūkst precīz</w:t>
      </w:r>
      <w:r w:rsidR="003B2BA8">
        <w:rPr>
          <w:rFonts w:asciiTheme="majorBidi" w:eastAsiaTheme="minorHAnsi" w:hAnsiTheme="majorBidi" w:cstheme="majorBidi"/>
          <w:lang w:eastAsia="en-US"/>
        </w:rPr>
        <w:t>as</w:t>
      </w:r>
      <w:r w:rsidR="00F34C63" w:rsidRPr="00F34C63">
        <w:rPr>
          <w:rFonts w:asciiTheme="majorBidi" w:eastAsiaTheme="minorHAnsi" w:hAnsiTheme="majorBidi" w:cstheme="majorBidi"/>
          <w:lang w:eastAsia="en-US"/>
        </w:rPr>
        <w:t xml:space="preserve"> ziņas par</w:t>
      </w:r>
      <w:r w:rsidR="00005ED0">
        <w:rPr>
          <w:rFonts w:asciiTheme="majorBidi" w:eastAsiaTheme="minorHAnsi" w:hAnsiTheme="majorBidi" w:cstheme="majorBidi"/>
          <w:lang w:eastAsia="en-US"/>
        </w:rPr>
        <w:t xml:space="preserve"> š</w:t>
      </w:r>
      <w:r w:rsidR="00667A58">
        <w:rPr>
          <w:rFonts w:asciiTheme="majorBidi" w:eastAsiaTheme="minorHAnsi" w:hAnsiTheme="majorBidi" w:cstheme="majorBidi"/>
          <w:lang w:eastAsia="en-US"/>
        </w:rPr>
        <w:t>ā</w:t>
      </w:r>
      <w:r w:rsidR="00F34C63" w:rsidRPr="00F34C63">
        <w:rPr>
          <w:rFonts w:asciiTheme="majorBidi" w:eastAsiaTheme="minorHAnsi" w:hAnsiTheme="majorBidi" w:cstheme="majorBidi"/>
          <w:lang w:eastAsia="en-US"/>
        </w:rPr>
        <w:t xml:space="preserve"> piesārņojuma riska varbūtību</w:t>
      </w:r>
      <w:r w:rsidR="0025628B">
        <w:rPr>
          <w:rFonts w:asciiTheme="majorBidi" w:eastAsiaTheme="minorHAnsi" w:hAnsiTheme="majorBidi" w:cstheme="majorBidi"/>
          <w:lang w:eastAsia="en-US"/>
        </w:rPr>
        <w:t>, citiem vārdiem sakot – noteikt prasības a</w:t>
      </w:r>
      <w:r w:rsidR="00227ACD">
        <w:rPr>
          <w:rFonts w:asciiTheme="majorBidi" w:eastAsiaTheme="minorHAnsi" w:hAnsiTheme="majorBidi" w:cstheme="majorBidi"/>
          <w:lang w:eastAsia="en-US"/>
        </w:rPr>
        <w:t xml:space="preserve">rī </w:t>
      </w:r>
      <w:r w:rsidR="00227ACD" w:rsidRPr="00005ED0">
        <w:t>šaub</w:t>
      </w:r>
      <w:r w:rsidR="00227ACD">
        <w:t>u gadījumā</w:t>
      </w:r>
      <w:r w:rsidR="0025628B">
        <w:t xml:space="preserve">, negaidot, </w:t>
      </w:r>
      <w:r w:rsidR="0025628B" w:rsidRPr="003B2BA8">
        <w:t xml:space="preserve">kamēr šo risku nopietnība kļūst </w:t>
      </w:r>
      <w:r w:rsidR="00A26C44">
        <w:t>pierādīta.</w:t>
      </w:r>
    </w:p>
    <w:p w14:paraId="243C7E89" w14:textId="0EF3E9C3" w:rsidR="00F34C63" w:rsidRDefault="00F34C63" w:rsidP="00747DBB">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197A50CC" w14:textId="79B1D8E8" w:rsidR="008B54F8" w:rsidRDefault="00383211" w:rsidP="00747DBB">
      <w:pPr>
        <w:autoSpaceDE w:val="0"/>
        <w:autoSpaceDN w:val="0"/>
        <w:adjustRightInd w:val="0"/>
        <w:spacing w:line="276" w:lineRule="auto"/>
        <w:ind w:firstLine="720"/>
        <w:jc w:val="both"/>
        <w:rPr>
          <w:rFonts w:ascii="TimesNewRomanPSMT" w:eastAsiaTheme="minorHAnsi" w:hAnsi="TimesNewRomanPSMT" w:cs="TimesNewRomanPSMT"/>
          <w:lang w:eastAsia="en-US"/>
        </w:rPr>
      </w:pPr>
      <w:r w:rsidRPr="008B54F8">
        <w:rPr>
          <w:shd w:val="clear" w:color="auto" w:fill="FFFFFF"/>
        </w:rPr>
        <w:t>[1</w:t>
      </w:r>
      <w:r w:rsidR="009308A7">
        <w:rPr>
          <w:shd w:val="clear" w:color="auto" w:fill="FFFFFF"/>
        </w:rPr>
        <w:t>5</w:t>
      </w:r>
      <w:r w:rsidRPr="008B54F8">
        <w:rPr>
          <w:shd w:val="clear" w:color="auto" w:fill="FFFFFF"/>
        </w:rPr>
        <w:t>] </w:t>
      </w:r>
      <w:r w:rsidR="008B54F8">
        <w:rPr>
          <w:rFonts w:ascii="TimesNewRomanPSMT" w:eastAsiaTheme="minorHAnsi" w:hAnsi="TimesNewRomanPSMT" w:cs="TimesNewRomanPSMT"/>
          <w:lang w:eastAsia="en-US"/>
        </w:rPr>
        <w:t>Pieteicēja iebildus</w:t>
      </w:r>
      <w:r w:rsidR="00D01B00">
        <w:rPr>
          <w:rFonts w:ascii="TimesNewRomanPSMT" w:eastAsiaTheme="minorHAnsi" w:hAnsi="TimesNewRomanPSMT" w:cs="TimesNewRomanPSMT"/>
          <w:lang w:eastAsia="en-US"/>
        </w:rPr>
        <w:t>i pret to, ka prasība</w:t>
      </w:r>
      <w:r w:rsidR="008B54F8">
        <w:rPr>
          <w:rFonts w:ascii="TimesNewRomanPSMT" w:eastAsiaTheme="minorHAnsi" w:hAnsi="TimesNewRomanPSMT" w:cs="TimesNewRomanPSMT"/>
          <w:lang w:eastAsia="en-US"/>
        </w:rPr>
        <w:t xml:space="preserve"> izbūvēt atbilstošu pretinfiltrācijas segumu</w:t>
      </w:r>
      <w:r w:rsidR="00D01B00">
        <w:rPr>
          <w:rFonts w:ascii="TimesNewRomanPSMT" w:eastAsiaTheme="minorHAnsi" w:hAnsi="TimesNewRomanPSMT" w:cs="TimesNewRomanPSMT"/>
          <w:lang w:eastAsia="en-US"/>
        </w:rPr>
        <w:t xml:space="preserve"> ir noteikta, pamatojoties </w:t>
      </w:r>
      <w:r w:rsidR="008B54F8">
        <w:rPr>
          <w:rFonts w:ascii="TimesNewRomanPSMT" w:eastAsiaTheme="minorHAnsi" w:hAnsi="TimesNewRomanPSMT" w:cs="TimesNewRomanPSMT"/>
          <w:lang w:eastAsia="en-US"/>
        </w:rPr>
        <w:t>uz noteikumu Nr. 409 prasībām kā vadlīnijām.</w:t>
      </w:r>
    </w:p>
    <w:p w14:paraId="197EA8C0" w14:textId="7AC8B765" w:rsidR="00D67A2F" w:rsidRDefault="00E47B70" w:rsidP="00747DBB">
      <w:pPr>
        <w:autoSpaceDE w:val="0"/>
        <w:autoSpaceDN w:val="0"/>
        <w:adjustRightInd w:val="0"/>
        <w:spacing w:line="276" w:lineRule="auto"/>
        <w:ind w:firstLine="720"/>
        <w:jc w:val="both"/>
        <w:rPr>
          <w:shd w:val="clear" w:color="auto" w:fill="FFFFFF"/>
        </w:rPr>
      </w:pPr>
      <w:r>
        <w:rPr>
          <w:rFonts w:ascii="TimesNewRomanPSMT" w:eastAsiaTheme="minorHAnsi" w:hAnsi="TimesNewRomanPSMT" w:cs="TimesNewRomanPSMT"/>
          <w:lang w:eastAsia="en-US"/>
        </w:rPr>
        <w:t>Šajā ziņā t</w:t>
      </w:r>
      <w:r w:rsidR="008B54F8" w:rsidRPr="008B54F8">
        <w:rPr>
          <w:shd w:val="clear" w:color="auto" w:fill="FFFFFF"/>
        </w:rPr>
        <w:t>iesa atzin</w:t>
      </w:r>
      <w:r>
        <w:rPr>
          <w:shd w:val="clear" w:color="auto" w:fill="FFFFFF"/>
        </w:rPr>
        <w:t>a</w:t>
      </w:r>
      <w:r w:rsidR="008B54F8" w:rsidRPr="008B54F8">
        <w:rPr>
          <w:shd w:val="clear" w:color="auto" w:fill="FFFFFF"/>
        </w:rPr>
        <w:t xml:space="preserve">, ka noteikumi Nr. 409 </w:t>
      </w:r>
      <w:r w:rsidR="007B5686">
        <w:rPr>
          <w:shd w:val="clear" w:color="auto" w:fill="FFFFFF"/>
        </w:rPr>
        <w:t xml:space="preserve">patiešām tieši </w:t>
      </w:r>
      <w:r w:rsidR="008B54F8" w:rsidRPr="008B54F8">
        <w:rPr>
          <w:shd w:val="clear" w:color="auto" w:fill="FFFFFF"/>
        </w:rPr>
        <w:t>nav piemērojami attiecībā uz ogļūdeņražu ieguvi. Tomēr tas, ka ar tiesību normu nav tieši noregulētas prasības šāda veida darbībai, nenozīmē, ka prasība</w:t>
      </w:r>
      <w:r w:rsidR="008B54F8">
        <w:rPr>
          <w:shd w:val="clear" w:color="auto" w:fill="FFFFFF"/>
        </w:rPr>
        <w:t xml:space="preserve"> par atbilstoša pretinfiltrācijas seguma izbūvi </w:t>
      </w:r>
      <w:r w:rsidR="008B54F8" w:rsidRPr="008B54F8">
        <w:rPr>
          <w:shd w:val="clear" w:color="auto" w:fill="FFFFFF"/>
        </w:rPr>
        <w:t>vides aizsardzības nolūkos nevarētu tikt izvirzīta, vērtējot prasības, kas ar normatīvo aktu ir noteiktas salīdzināmai piesārņojošai darbībai</w:t>
      </w:r>
      <w:r>
        <w:rPr>
          <w:shd w:val="clear" w:color="auto" w:fill="FFFFFF"/>
        </w:rPr>
        <w:t>.</w:t>
      </w:r>
    </w:p>
    <w:p w14:paraId="2E7C3EC9" w14:textId="591E8CF8" w:rsidR="0098328E" w:rsidRPr="00FE6281" w:rsidRDefault="00E47B70" w:rsidP="00747DBB">
      <w:pPr>
        <w:autoSpaceDE w:val="0"/>
        <w:autoSpaceDN w:val="0"/>
        <w:adjustRightInd w:val="0"/>
        <w:spacing w:line="276" w:lineRule="auto"/>
        <w:ind w:firstLine="720"/>
        <w:jc w:val="both"/>
        <w:rPr>
          <w:shd w:val="clear" w:color="auto" w:fill="FFFFFF"/>
        </w:rPr>
      </w:pPr>
      <w:r>
        <w:rPr>
          <w:shd w:val="clear" w:color="auto" w:fill="FFFFFF"/>
        </w:rPr>
        <w:t xml:space="preserve">Jāņem vērā, ka </w:t>
      </w:r>
      <w:r w:rsidR="008B54F8" w:rsidRPr="008B54F8">
        <w:rPr>
          <w:shd w:val="clear" w:color="auto" w:fill="FFFFFF"/>
        </w:rPr>
        <w:t>likuma „Par piesārņojumu” 31.panta pirmās daļas 8.punkt</w:t>
      </w:r>
      <w:r>
        <w:rPr>
          <w:shd w:val="clear" w:color="auto" w:fill="FFFFFF"/>
        </w:rPr>
        <w:t>s paredz</w:t>
      </w:r>
      <w:r w:rsidR="008B54F8" w:rsidRPr="008B54F8">
        <w:rPr>
          <w:shd w:val="clear" w:color="auto" w:fill="FFFFFF"/>
        </w:rPr>
        <w:t xml:space="preserve"> atļaujā ietver</w:t>
      </w:r>
      <w:r>
        <w:rPr>
          <w:shd w:val="clear" w:color="auto" w:fill="FFFFFF"/>
        </w:rPr>
        <w:t>t</w:t>
      </w:r>
      <w:r w:rsidR="008B54F8" w:rsidRPr="008B54F8">
        <w:rPr>
          <w:shd w:val="clear" w:color="auto" w:fill="FFFFFF"/>
        </w:rPr>
        <w:t xml:space="preserve"> nosacījumus, kuru ievērošana nepieciešama, lai nodrošinātu cilvēku veselības aizsardzību un sasniegtu augstu vides aizsardzības līmeni kopumā.</w:t>
      </w:r>
      <w:r w:rsidR="00D67A2F">
        <w:rPr>
          <w:shd w:val="clear" w:color="auto" w:fill="FFFFFF"/>
        </w:rPr>
        <w:t xml:space="preserve"> </w:t>
      </w:r>
      <w:r w:rsidR="00885972">
        <w:rPr>
          <w:shd w:val="clear" w:color="auto" w:fill="FFFFFF"/>
        </w:rPr>
        <w:t>Savukārt t</w:t>
      </w:r>
      <w:r>
        <w:rPr>
          <w:shd w:val="clear" w:color="auto" w:fill="FFFFFF"/>
        </w:rPr>
        <w:t>iesa konstatēja, ka s</w:t>
      </w:r>
      <w:r w:rsidR="008B54F8" w:rsidRPr="008B54F8">
        <w:rPr>
          <w:shd w:val="clear" w:color="auto" w:fill="FFFFFF"/>
        </w:rPr>
        <w:t>askaņā ar Ministru kabineta 2002.gada 22.janvāra noteikumu Nr. 34 „Noteikumi par piesārņojošo vielu emisiju ūdenī” 7.punktu un 8.37.apakšpunktu prioritārās vielas, tostarp naftas izcelsmes ogļūdeņraži, rada būtisku risku ūdens videi.</w:t>
      </w:r>
      <w:r w:rsidR="003E3274">
        <w:rPr>
          <w:shd w:val="clear" w:color="auto" w:fill="FFFFFF"/>
        </w:rPr>
        <w:t xml:space="preserve"> </w:t>
      </w:r>
      <w:r w:rsidR="0098328E">
        <w:rPr>
          <w:shd w:val="clear" w:color="auto" w:fill="FFFFFF"/>
        </w:rPr>
        <w:t>T</w:t>
      </w:r>
      <w:r w:rsidR="00885972">
        <w:rPr>
          <w:shd w:val="clear" w:color="auto" w:fill="FFFFFF"/>
        </w:rPr>
        <w:t>āpat t</w:t>
      </w:r>
      <w:r>
        <w:rPr>
          <w:shd w:val="clear" w:color="auto" w:fill="FFFFFF"/>
        </w:rPr>
        <w:t>iesa</w:t>
      </w:r>
      <w:r w:rsidR="008B54F8" w:rsidRPr="008B54F8">
        <w:rPr>
          <w:shd w:val="clear" w:color="auto" w:fill="FFFFFF"/>
        </w:rPr>
        <w:t xml:space="preserve"> </w:t>
      </w:r>
      <w:r w:rsidR="0098328E">
        <w:rPr>
          <w:shd w:val="clear" w:color="auto" w:fill="FFFFFF"/>
        </w:rPr>
        <w:t>arī atzina</w:t>
      </w:r>
      <w:r w:rsidR="008B54F8" w:rsidRPr="008B54F8">
        <w:rPr>
          <w:shd w:val="clear" w:color="auto" w:fill="FFFFFF"/>
        </w:rPr>
        <w:t xml:space="preserve">, ka </w:t>
      </w:r>
      <w:r w:rsidRPr="008B54F8">
        <w:rPr>
          <w:shd w:val="clear" w:color="auto" w:fill="FFFFFF"/>
        </w:rPr>
        <w:t>piesārņojuma risks no pārstrādātiem un nepārstrādātiem ogļūdeņražiem ir salīdzināms</w:t>
      </w:r>
      <w:r>
        <w:rPr>
          <w:shd w:val="clear" w:color="auto" w:fill="FFFFFF"/>
        </w:rPr>
        <w:t xml:space="preserve"> – tas </w:t>
      </w:r>
      <w:r>
        <w:rPr>
          <w:shd w:val="clear" w:color="auto" w:fill="FFFFFF"/>
        </w:rPr>
        <w:lastRenderedPageBreak/>
        <w:t xml:space="preserve">izriet no </w:t>
      </w:r>
      <w:r w:rsidRPr="008B54F8">
        <w:rPr>
          <w:shd w:val="clear" w:color="auto" w:fill="FFFFFF"/>
        </w:rPr>
        <w:t>biroja 2017.gada 13.novembra atzinum</w:t>
      </w:r>
      <w:r>
        <w:rPr>
          <w:shd w:val="clear" w:color="auto" w:fill="FFFFFF"/>
        </w:rPr>
        <w:t xml:space="preserve">a </w:t>
      </w:r>
      <w:r w:rsidRPr="008B54F8">
        <w:rPr>
          <w:shd w:val="clear" w:color="auto" w:fill="FFFFFF"/>
        </w:rPr>
        <w:t>Nr. 17 par ietekmes uz vidi novērtējuma ziņojumu plānotai ogļūdeņražu ieguvei</w:t>
      </w:r>
      <w:r w:rsidR="008B54F8" w:rsidRPr="008B54F8">
        <w:rPr>
          <w:shd w:val="clear" w:color="auto" w:fill="FFFFFF"/>
        </w:rPr>
        <w:t xml:space="preserve">. </w:t>
      </w:r>
      <w:r w:rsidR="0098328E">
        <w:rPr>
          <w:shd w:val="clear" w:color="auto" w:fill="FFFFFF"/>
        </w:rPr>
        <w:t>Līdz ar to</w:t>
      </w:r>
      <w:r>
        <w:rPr>
          <w:shd w:val="clear" w:color="auto" w:fill="FFFFFF"/>
        </w:rPr>
        <w:t xml:space="preserve"> tiesa </w:t>
      </w:r>
      <w:r w:rsidR="00C17BB5">
        <w:rPr>
          <w:shd w:val="clear" w:color="auto" w:fill="FFFFFF"/>
        </w:rPr>
        <w:t xml:space="preserve">pamatoti </w:t>
      </w:r>
      <w:r>
        <w:rPr>
          <w:shd w:val="clear" w:color="auto" w:fill="FFFFFF"/>
        </w:rPr>
        <w:t>piekrita, ka</w:t>
      </w:r>
      <w:r w:rsidR="008B54F8" w:rsidRPr="008B54F8">
        <w:rPr>
          <w:shd w:val="clear" w:color="auto" w:fill="FFFFFF"/>
        </w:rPr>
        <w:t xml:space="preserve"> noteikumos Nr. 409 ietvertās </w:t>
      </w:r>
      <w:r w:rsidR="008B54F8" w:rsidRPr="00FE6281">
        <w:rPr>
          <w:shd w:val="clear" w:color="auto" w:fill="FFFFFF"/>
        </w:rPr>
        <w:t>prasības attiecībā uz prasībām pretinfiltrācijas segumam var tikt izmantotas kā vadlīnijas, lai izvirzītu atbilstošas prasības ogļūdeņražu ieguve</w:t>
      </w:r>
      <w:r w:rsidRPr="00FE6281">
        <w:rPr>
          <w:shd w:val="clear" w:color="auto" w:fill="FFFFFF"/>
        </w:rPr>
        <w:t>s darbībai</w:t>
      </w:r>
      <w:r w:rsidR="0098328E" w:rsidRPr="00FE6281">
        <w:rPr>
          <w:shd w:val="clear" w:color="auto" w:fill="FFFFFF"/>
        </w:rPr>
        <w:t xml:space="preserve"> saskaņā ar </w:t>
      </w:r>
      <w:r w:rsidR="0098328E" w:rsidRPr="00FE6281">
        <w:t xml:space="preserve">likuma </w:t>
      </w:r>
      <w:r w:rsidR="0098328E" w:rsidRPr="00FE6281">
        <w:rPr>
          <w:shd w:val="clear" w:color="auto" w:fill="FFFFFF"/>
        </w:rPr>
        <w:t>„Par piesārņojumu” 31.panta pirmās daļas 8.punktu.</w:t>
      </w:r>
    </w:p>
    <w:p w14:paraId="4F92D306" w14:textId="3461A2CF" w:rsidR="00153E9C" w:rsidRPr="00FE6281" w:rsidRDefault="0098328E" w:rsidP="00747DBB">
      <w:pPr>
        <w:pStyle w:val="NormalWeb"/>
        <w:shd w:val="clear" w:color="auto" w:fill="FFFFFF"/>
        <w:spacing w:before="0" w:beforeAutospacing="0" w:after="0" w:afterAutospacing="0" w:line="276" w:lineRule="auto"/>
        <w:ind w:firstLine="720"/>
        <w:jc w:val="both"/>
        <w:rPr>
          <w:shd w:val="clear" w:color="auto" w:fill="FFFFFF"/>
          <w:lang w:eastAsia="ru-RU"/>
        </w:rPr>
      </w:pPr>
      <w:r w:rsidRPr="00FE6281">
        <w:rPr>
          <w:shd w:val="clear" w:color="auto" w:fill="FFFFFF"/>
        </w:rPr>
        <w:t>Senātam nav pamata apšaubīt tiesas secinājumu</w:t>
      </w:r>
      <w:r w:rsidR="00153E9C" w:rsidRPr="00FE6281">
        <w:rPr>
          <w:shd w:val="clear" w:color="auto" w:fill="FFFFFF"/>
        </w:rPr>
        <w:t xml:space="preserve"> pamatotību, attiecīgi </w:t>
      </w:r>
      <w:r w:rsidRPr="00FE6281">
        <w:rPr>
          <w:shd w:val="clear" w:color="auto" w:fill="FFFFFF"/>
          <w:lang w:eastAsia="ru-RU"/>
        </w:rPr>
        <w:t>noraidāms ir pieteicējas iebildums par likuma atrunas principa pārkāpumu.</w:t>
      </w:r>
    </w:p>
    <w:p w14:paraId="12C8A401" w14:textId="18E8C6A8" w:rsidR="008B54F8" w:rsidRPr="00FE6281" w:rsidRDefault="0098328E" w:rsidP="00747DBB">
      <w:pPr>
        <w:pStyle w:val="NormalWeb"/>
        <w:shd w:val="clear" w:color="auto" w:fill="FFFFFF"/>
        <w:spacing w:before="0" w:beforeAutospacing="0" w:after="0" w:afterAutospacing="0" w:line="276" w:lineRule="auto"/>
        <w:ind w:firstLine="720"/>
        <w:jc w:val="both"/>
        <w:rPr>
          <w:shd w:val="clear" w:color="auto" w:fill="FFFFFF"/>
        </w:rPr>
      </w:pPr>
      <w:r w:rsidRPr="00FE6281">
        <w:rPr>
          <w:shd w:val="clear" w:color="auto" w:fill="FFFFFF"/>
          <w:lang w:eastAsia="ru-RU"/>
        </w:rPr>
        <w:t xml:space="preserve">Tāpat Senāts </w:t>
      </w:r>
      <w:r w:rsidR="00E36C63" w:rsidRPr="00FE6281">
        <w:rPr>
          <w:shd w:val="clear" w:color="auto" w:fill="FFFFFF"/>
          <w:lang w:eastAsia="ru-RU"/>
        </w:rPr>
        <w:t xml:space="preserve">nekonstatē </w:t>
      </w:r>
      <w:r w:rsidRPr="00FE6281">
        <w:rPr>
          <w:shd w:val="clear" w:color="auto" w:fill="FFFFFF"/>
          <w:lang w:eastAsia="ru-RU"/>
        </w:rPr>
        <w:t>ne tiesiskās paļāvības principa, ne arī procesuālā taisnīguma principa pārkāpumu, ko</w:t>
      </w:r>
      <w:r w:rsidR="00153E9C" w:rsidRPr="00FE6281">
        <w:rPr>
          <w:shd w:val="clear" w:color="auto" w:fill="FFFFFF"/>
          <w:lang w:eastAsia="ru-RU"/>
        </w:rPr>
        <w:t xml:space="preserve"> šajā saistībā</w:t>
      </w:r>
      <w:r w:rsidRPr="00FE6281">
        <w:rPr>
          <w:shd w:val="clear" w:color="auto" w:fill="FFFFFF"/>
          <w:lang w:eastAsia="ru-RU"/>
        </w:rPr>
        <w:t xml:space="preserve"> pieteicēja, atsaukdamās uz Administratīvā procesa likuma 10.</w:t>
      </w:r>
      <w:r w:rsidR="0053646E">
        <w:rPr>
          <w:shd w:val="clear" w:color="auto" w:fill="FFFFFF"/>
          <w:lang w:eastAsia="ru-RU"/>
        </w:rPr>
        <w:t> </w:t>
      </w:r>
      <w:r w:rsidRPr="00FE6281">
        <w:rPr>
          <w:shd w:val="clear" w:color="auto" w:fill="FFFFFF"/>
          <w:lang w:eastAsia="ru-RU"/>
        </w:rPr>
        <w:t>un 14.</w:t>
      </w:r>
      <w:r w:rsidRPr="00FE6281">
        <w:rPr>
          <w:shd w:val="clear" w:color="auto" w:fill="FFFFFF"/>
          <w:vertAlign w:val="superscript"/>
          <w:lang w:eastAsia="ru-RU"/>
        </w:rPr>
        <w:t>1</w:t>
      </w:r>
      <w:r w:rsidRPr="00FE6281">
        <w:rPr>
          <w:shd w:val="clear" w:color="auto" w:fill="FFFFFF"/>
          <w:lang w:eastAsia="ru-RU"/>
        </w:rPr>
        <w:t>pantu, norāda kasācijas sūdzībā.</w:t>
      </w:r>
    </w:p>
    <w:p w14:paraId="4716931E" w14:textId="77777777" w:rsidR="0098328E" w:rsidRPr="00FE6281" w:rsidRDefault="0098328E" w:rsidP="00747DBB">
      <w:pPr>
        <w:pStyle w:val="NormalWeb"/>
        <w:shd w:val="clear" w:color="auto" w:fill="FFFFFF"/>
        <w:spacing w:before="0" w:beforeAutospacing="0" w:after="0" w:afterAutospacing="0" w:line="276" w:lineRule="auto"/>
        <w:ind w:firstLine="720"/>
        <w:jc w:val="both"/>
        <w:rPr>
          <w:shd w:val="clear" w:color="auto" w:fill="FFFFFF"/>
          <w:lang w:eastAsia="ru-RU"/>
        </w:rPr>
      </w:pPr>
    </w:p>
    <w:p w14:paraId="67CBDD12" w14:textId="29FE84DD" w:rsidR="00EF17A6" w:rsidRPr="00FE6281" w:rsidRDefault="00EF17A6" w:rsidP="00747DBB">
      <w:pPr>
        <w:pStyle w:val="NormalWeb"/>
        <w:shd w:val="clear" w:color="auto" w:fill="FFFFFF"/>
        <w:spacing w:before="0" w:beforeAutospacing="0" w:after="0" w:afterAutospacing="0" w:line="276" w:lineRule="auto"/>
        <w:ind w:firstLine="720"/>
        <w:jc w:val="both"/>
        <w:rPr>
          <w:shd w:val="clear" w:color="auto" w:fill="FFFFFF"/>
          <w:lang w:eastAsia="ru-RU"/>
        </w:rPr>
      </w:pPr>
      <w:r w:rsidRPr="00FE6281">
        <w:rPr>
          <w:shd w:val="clear" w:color="auto" w:fill="FFFFFF"/>
          <w:lang w:eastAsia="ru-RU"/>
        </w:rPr>
        <w:t>[1</w:t>
      </w:r>
      <w:r w:rsidR="009308A7">
        <w:rPr>
          <w:shd w:val="clear" w:color="auto" w:fill="FFFFFF"/>
          <w:lang w:eastAsia="ru-RU"/>
        </w:rPr>
        <w:t>6</w:t>
      </w:r>
      <w:r w:rsidRPr="00FE6281">
        <w:rPr>
          <w:shd w:val="clear" w:color="auto" w:fill="FFFFFF"/>
          <w:lang w:eastAsia="ru-RU"/>
        </w:rPr>
        <w:t>]</w:t>
      </w:r>
      <w:r w:rsidR="00FF0D36" w:rsidRPr="00FE6281">
        <w:rPr>
          <w:shd w:val="clear" w:color="auto" w:fill="FFFFFF"/>
          <w:lang w:eastAsia="ru-RU"/>
        </w:rPr>
        <w:t> </w:t>
      </w:r>
      <w:r w:rsidR="00A37EF6" w:rsidRPr="00FE6281">
        <w:rPr>
          <w:shd w:val="clear" w:color="auto" w:fill="FFFFFF"/>
          <w:lang w:eastAsia="ru-RU"/>
        </w:rPr>
        <w:t xml:space="preserve">Visbeidzot, </w:t>
      </w:r>
      <w:r w:rsidR="00F262CA" w:rsidRPr="00FE6281">
        <w:rPr>
          <w:shd w:val="clear" w:color="auto" w:fill="FFFFFF"/>
          <w:lang w:eastAsia="ru-RU"/>
        </w:rPr>
        <w:t xml:space="preserve">Senāts arī </w:t>
      </w:r>
      <w:r w:rsidR="000C47A3" w:rsidRPr="00FE6281">
        <w:rPr>
          <w:shd w:val="clear" w:color="auto" w:fill="FFFFFF"/>
          <w:lang w:eastAsia="ru-RU"/>
        </w:rPr>
        <w:t xml:space="preserve">noraida </w:t>
      </w:r>
      <w:r w:rsidR="00F262CA" w:rsidRPr="00FE6281">
        <w:rPr>
          <w:shd w:val="clear" w:color="auto" w:fill="FFFFFF"/>
          <w:lang w:eastAsia="ru-RU"/>
        </w:rPr>
        <w:t xml:space="preserve">pieteicējas </w:t>
      </w:r>
      <w:r w:rsidR="00935403" w:rsidRPr="00FE6281">
        <w:rPr>
          <w:shd w:val="clear" w:color="auto" w:fill="FFFFFF"/>
          <w:lang w:eastAsia="ru-RU"/>
        </w:rPr>
        <w:t>izteiktos</w:t>
      </w:r>
      <w:r w:rsidR="00F262CA" w:rsidRPr="00FE6281">
        <w:rPr>
          <w:shd w:val="clear" w:color="auto" w:fill="FFFFFF"/>
          <w:lang w:eastAsia="ru-RU"/>
        </w:rPr>
        <w:t xml:space="preserve"> </w:t>
      </w:r>
      <w:r w:rsidR="005569FF" w:rsidRPr="00FE6281">
        <w:rPr>
          <w:shd w:val="clear" w:color="auto" w:fill="FFFFFF"/>
          <w:lang w:eastAsia="ru-RU"/>
        </w:rPr>
        <w:t>pārmetum</w:t>
      </w:r>
      <w:r w:rsidR="00453982" w:rsidRPr="00FE6281">
        <w:rPr>
          <w:shd w:val="clear" w:color="auto" w:fill="FFFFFF"/>
          <w:lang w:eastAsia="ru-RU"/>
        </w:rPr>
        <w:t>u</w:t>
      </w:r>
      <w:r w:rsidR="005569FF" w:rsidRPr="00FE6281">
        <w:rPr>
          <w:shd w:val="clear" w:color="auto" w:fill="FFFFFF"/>
          <w:lang w:eastAsia="ru-RU"/>
        </w:rPr>
        <w:t>s tiesai par</w:t>
      </w:r>
      <w:r w:rsidRPr="00FE6281">
        <w:rPr>
          <w:shd w:val="clear" w:color="auto" w:fill="FFFFFF"/>
          <w:lang w:eastAsia="ru-RU"/>
        </w:rPr>
        <w:t xml:space="preserve"> Administratīvā procesa likuma 103., 67. un 251.panta pārkāpumu. </w:t>
      </w:r>
      <w:r w:rsidR="005569FF" w:rsidRPr="00FE6281">
        <w:rPr>
          <w:shd w:val="clear" w:color="auto" w:fill="FFFFFF"/>
          <w:lang w:eastAsia="ru-RU"/>
        </w:rPr>
        <w:t>Pieteicēja sūdzībā nav norādījusi, k</w:t>
      </w:r>
      <w:r w:rsidR="00F262CA" w:rsidRPr="00FE6281">
        <w:rPr>
          <w:shd w:val="clear" w:color="auto" w:fill="FFFFFF"/>
          <w:lang w:eastAsia="ru-RU"/>
        </w:rPr>
        <w:t xml:space="preserve">ādus tieši vēl apstākļus tiesai </w:t>
      </w:r>
      <w:r w:rsidR="00667A58" w:rsidRPr="00FE6281">
        <w:rPr>
          <w:shd w:val="clear" w:color="auto" w:fill="FFFFFF"/>
          <w:lang w:eastAsia="ru-RU"/>
        </w:rPr>
        <w:t xml:space="preserve">papildus </w:t>
      </w:r>
      <w:r w:rsidR="00F262CA" w:rsidRPr="00FE6281">
        <w:rPr>
          <w:shd w:val="clear" w:color="auto" w:fill="FFFFFF"/>
          <w:lang w:eastAsia="ru-RU"/>
        </w:rPr>
        <w:t xml:space="preserve">vajadzēja noskaidrot un kā tie varēja ietekmēt iznākumu lietā. Senāts </w:t>
      </w:r>
      <w:r w:rsidR="00935403" w:rsidRPr="00FE6281">
        <w:rPr>
          <w:shd w:val="clear" w:color="auto" w:fill="FFFFFF"/>
          <w:lang w:eastAsia="ru-RU"/>
        </w:rPr>
        <w:t xml:space="preserve">arī </w:t>
      </w:r>
      <w:r w:rsidR="00F262CA" w:rsidRPr="00FE6281">
        <w:rPr>
          <w:shd w:val="clear" w:color="auto" w:fill="FFFFFF"/>
          <w:lang w:eastAsia="ru-RU"/>
        </w:rPr>
        <w:t>atzīst, ka tiesas secinājumi</w:t>
      </w:r>
      <w:r w:rsidR="00153E9C" w:rsidRPr="00FE6281">
        <w:rPr>
          <w:shd w:val="clear" w:color="auto" w:fill="FFFFFF"/>
          <w:lang w:eastAsia="ru-RU"/>
        </w:rPr>
        <w:t xml:space="preserve"> – pretēji pieteicējas viedoklim –</w:t>
      </w:r>
      <w:r w:rsidR="003E3274" w:rsidRPr="00FE6281">
        <w:rPr>
          <w:shd w:val="clear" w:color="auto" w:fill="FFFFFF"/>
          <w:lang w:eastAsia="ru-RU"/>
        </w:rPr>
        <w:t xml:space="preserve"> spriedumā </w:t>
      </w:r>
      <w:r w:rsidR="00F262CA" w:rsidRPr="00FE6281">
        <w:rPr>
          <w:shd w:val="clear" w:color="auto" w:fill="FFFFFF"/>
          <w:lang w:eastAsia="ru-RU"/>
        </w:rPr>
        <w:t>ir motivēti</w:t>
      </w:r>
      <w:r w:rsidR="003E3274" w:rsidRPr="00FE6281">
        <w:rPr>
          <w:shd w:val="clear" w:color="auto" w:fill="FFFFFF"/>
          <w:lang w:eastAsia="ru-RU"/>
        </w:rPr>
        <w:t>.</w:t>
      </w:r>
      <w:r w:rsidR="00F262CA" w:rsidRPr="00FE6281">
        <w:rPr>
          <w:shd w:val="clear" w:color="auto" w:fill="FFFFFF"/>
          <w:lang w:eastAsia="ru-RU"/>
        </w:rPr>
        <w:t xml:space="preserve"> </w:t>
      </w:r>
      <w:r w:rsidR="00935403" w:rsidRPr="00FE6281">
        <w:rPr>
          <w:shd w:val="clear" w:color="auto" w:fill="FFFFFF"/>
          <w:lang w:eastAsia="ru-RU"/>
        </w:rPr>
        <w:t>P</w:t>
      </w:r>
      <w:r w:rsidR="00F262CA" w:rsidRPr="00FE6281">
        <w:rPr>
          <w:shd w:val="clear" w:color="auto" w:fill="FFFFFF"/>
          <w:lang w:eastAsia="ru-RU"/>
        </w:rPr>
        <w:t>ieteicējas pārmetumi, ka tiesa nav vērtējusi apelācijas sūdzības argumentus, ir noraidāmi.</w:t>
      </w:r>
    </w:p>
    <w:p w14:paraId="173CED3B" w14:textId="77777777" w:rsidR="00DE0B69" w:rsidRPr="00FE6281" w:rsidRDefault="00DE0B69" w:rsidP="00747DBB">
      <w:pPr>
        <w:pStyle w:val="NormalWeb"/>
        <w:shd w:val="clear" w:color="auto" w:fill="FFFFFF"/>
        <w:spacing w:before="0" w:beforeAutospacing="0" w:after="0" w:afterAutospacing="0" w:line="276" w:lineRule="auto"/>
        <w:ind w:firstLine="720"/>
        <w:jc w:val="both"/>
        <w:rPr>
          <w:shd w:val="clear" w:color="auto" w:fill="FFFFFF"/>
          <w:lang w:eastAsia="ru-RU"/>
        </w:rPr>
      </w:pPr>
    </w:p>
    <w:p w14:paraId="5F103C70" w14:textId="4E0238E5" w:rsidR="00DE0B69" w:rsidRDefault="00DE0B69" w:rsidP="00747DBB">
      <w:pPr>
        <w:pStyle w:val="NormalWeb"/>
        <w:shd w:val="clear" w:color="auto" w:fill="FFFFFF"/>
        <w:spacing w:before="0" w:beforeAutospacing="0" w:after="0" w:afterAutospacing="0" w:line="276" w:lineRule="auto"/>
        <w:ind w:firstLine="720"/>
        <w:jc w:val="both"/>
        <w:rPr>
          <w:shd w:val="clear" w:color="auto" w:fill="FFFFFF"/>
          <w:lang w:eastAsia="ru-RU"/>
        </w:rPr>
      </w:pPr>
      <w:r w:rsidRPr="00FE6281">
        <w:rPr>
          <w:shd w:val="clear" w:color="auto" w:fill="FFFFFF"/>
          <w:lang w:eastAsia="ru-RU"/>
        </w:rPr>
        <w:t>[1</w:t>
      </w:r>
      <w:r w:rsidR="009308A7">
        <w:rPr>
          <w:shd w:val="clear" w:color="auto" w:fill="FFFFFF"/>
          <w:lang w:eastAsia="ru-RU"/>
        </w:rPr>
        <w:t>7</w:t>
      </w:r>
      <w:r w:rsidRPr="00FE6281">
        <w:rPr>
          <w:shd w:val="clear" w:color="auto" w:fill="FFFFFF"/>
          <w:lang w:eastAsia="ru-RU"/>
        </w:rPr>
        <w:t>]</w:t>
      </w:r>
      <w:r w:rsidR="00403660">
        <w:rPr>
          <w:shd w:val="clear" w:color="auto" w:fill="FFFFFF"/>
          <w:lang w:eastAsia="ru-RU"/>
        </w:rPr>
        <w:t> </w:t>
      </w:r>
      <w:r w:rsidR="00FC4B99" w:rsidRPr="00FE6281">
        <w:rPr>
          <w:shd w:val="clear" w:color="auto" w:fill="FFFFFF"/>
          <w:lang w:eastAsia="ru-RU"/>
        </w:rPr>
        <w:t>Apkopojot izklāstīto</w:t>
      </w:r>
      <w:r w:rsidRPr="00FE6281">
        <w:rPr>
          <w:shd w:val="clear" w:color="auto" w:fill="FFFFFF"/>
          <w:lang w:eastAsia="ru-RU"/>
        </w:rPr>
        <w:t xml:space="preserve">, </w:t>
      </w:r>
      <w:r w:rsidR="00FC4B99" w:rsidRPr="00FE6281">
        <w:t xml:space="preserve">Senāts </w:t>
      </w:r>
      <w:r w:rsidR="00984560" w:rsidRPr="00FE6281">
        <w:t>secina</w:t>
      </w:r>
      <w:r w:rsidR="00FC4B99" w:rsidRPr="00FE6281">
        <w:t>, ka nav pamata kasācijas sūdzības apmierināšanai un apelācijas instances tiesas sprieduma atcelšanai.</w:t>
      </w:r>
    </w:p>
    <w:p w14:paraId="496FBA81" w14:textId="77777777" w:rsidR="00025594" w:rsidRPr="00CC1917" w:rsidRDefault="00025594" w:rsidP="00747DBB">
      <w:pPr>
        <w:pStyle w:val="NormalWeb"/>
        <w:shd w:val="clear" w:color="auto" w:fill="FFFFFF"/>
        <w:spacing w:before="0" w:beforeAutospacing="0" w:after="0" w:afterAutospacing="0" w:line="276" w:lineRule="auto"/>
        <w:ind w:firstLine="720"/>
        <w:jc w:val="both"/>
        <w:rPr>
          <w:shd w:val="clear" w:color="auto" w:fill="FFFFFF"/>
        </w:rPr>
      </w:pPr>
    </w:p>
    <w:p w14:paraId="4F7A72E5" w14:textId="2B59DCB4" w:rsidR="00507CB3" w:rsidRPr="00C61DBC" w:rsidRDefault="00507CB3" w:rsidP="00747DBB">
      <w:pPr>
        <w:shd w:val="clear" w:color="auto" w:fill="FFFFFF"/>
        <w:spacing w:line="276" w:lineRule="auto"/>
        <w:jc w:val="center"/>
        <w:rPr>
          <w:b/>
        </w:rPr>
      </w:pPr>
      <w:r w:rsidRPr="00C61DBC">
        <w:rPr>
          <w:b/>
        </w:rPr>
        <w:t>Rezolutīvā daļa</w:t>
      </w:r>
    </w:p>
    <w:p w14:paraId="2796A79D" w14:textId="77777777" w:rsidR="00507CB3" w:rsidRPr="00EC2DBE" w:rsidRDefault="00507CB3" w:rsidP="00747DBB">
      <w:pPr>
        <w:shd w:val="clear" w:color="auto" w:fill="FFFFFF"/>
        <w:spacing w:line="276" w:lineRule="auto"/>
        <w:ind w:firstLine="709"/>
        <w:rPr>
          <w:b/>
        </w:rPr>
      </w:pPr>
    </w:p>
    <w:p w14:paraId="66D954B1" w14:textId="53287A4B" w:rsidR="002733EA" w:rsidRDefault="002733EA" w:rsidP="00747DBB">
      <w:pPr>
        <w:spacing w:line="276" w:lineRule="auto"/>
        <w:ind w:firstLine="720"/>
        <w:jc w:val="both"/>
      </w:pPr>
      <w:r w:rsidRPr="00D83406">
        <w:t xml:space="preserve">Pamatojoties uz Administratīvā procesa </w:t>
      </w:r>
      <w:r w:rsidRPr="00EF17A6">
        <w:t>likuma 348.panta pirmās daļas 1.punktu un 351.pantu, Senāts</w:t>
      </w:r>
    </w:p>
    <w:p w14:paraId="1A231621" w14:textId="77777777" w:rsidR="00C660A5" w:rsidRPr="00C660A5" w:rsidRDefault="00C660A5" w:rsidP="00747DBB">
      <w:pPr>
        <w:spacing w:line="276" w:lineRule="auto"/>
        <w:ind w:firstLine="720"/>
        <w:jc w:val="both"/>
      </w:pPr>
    </w:p>
    <w:p w14:paraId="2812170B" w14:textId="3D6856DE" w:rsidR="00507CB3" w:rsidRPr="00EF17A6" w:rsidRDefault="00507CB3" w:rsidP="00747DBB">
      <w:pPr>
        <w:shd w:val="clear" w:color="auto" w:fill="FFFFFF"/>
        <w:spacing w:line="276" w:lineRule="auto"/>
        <w:jc w:val="center"/>
        <w:rPr>
          <w:b/>
        </w:rPr>
      </w:pPr>
      <w:r w:rsidRPr="00EF17A6">
        <w:rPr>
          <w:b/>
        </w:rPr>
        <w:t>nosprieda</w:t>
      </w:r>
    </w:p>
    <w:p w14:paraId="195A6333" w14:textId="77777777" w:rsidR="00507CB3" w:rsidRPr="00EF17A6" w:rsidRDefault="00507CB3" w:rsidP="00747DBB">
      <w:pPr>
        <w:shd w:val="clear" w:color="auto" w:fill="FFFFFF"/>
        <w:spacing w:line="276" w:lineRule="auto"/>
        <w:ind w:firstLine="709"/>
        <w:rPr>
          <w:b/>
        </w:rPr>
      </w:pPr>
    </w:p>
    <w:p w14:paraId="3BCC552F" w14:textId="04A97D9E" w:rsidR="00D708A0" w:rsidRPr="002733EA" w:rsidRDefault="002733EA" w:rsidP="00747DBB">
      <w:pPr>
        <w:spacing w:line="276" w:lineRule="auto"/>
        <w:ind w:firstLine="720"/>
        <w:jc w:val="both"/>
      </w:pPr>
      <w:r w:rsidRPr="00EF17A6">
        <w:t>atstāt Administratīvās apgabaltiesas 2021.gada 16.septembra spriedumu negrozītu, bet SIA</w:t>
      </w:r>
      <w:r w:rsidR="00C660A5">
        <w:t> </w:t>
      </w:r>
      <w:r w:rsidRPr="00EF17A6">
        <w:t>„BALTIC OIL MANAGEMENT” kasācijas sūdzību noraidīt.</w:t>
      </w:r>
    </w:p>
    <w:p w14:paraId="2935F327" w14:textId="77777777" w:rsidR="002733EA" w:rsidRPr="002733EA" w:rsidRDefault="002733EA" w:rsidP="00747DBB">
      <w:pPr>
        <w:spacing w:line="276" w:lineRule="auto"/>
        <w:ind w:firstLine="720"/>
        <w:jc w:val="both"/>
      </w:pPr>
    </w:p>
    <w:p w14:paraId="33452B7C" w14:textId="77777777" w:rsidR="006F0AC1" w:rsidRPr="00C61DBC" w:rsidRDefault="006F0AC1" w:rsidP="00747DBB">
      <w:pPr>
        <w:spacing w:line="276" w:lineRule="auto"/>
        <w:ind w:firstLine="720"/>
        <w:jc w:val="both"/>
      </w:pPr>
      <w:r w:rsidRPr="002733EA">
        <w:t>Spriedums nav pārsūdzams.</w:t>
      </w:r>
    </w:p>
    <w:p w14:paraId="0118FEB9" w14:textId="77777777" w:rsidR="005A3C91" w:rsidRPr="00C61DBC" w:rsidRDefault="005A3C91" w:rsidP="008B54F8">
      <w:pPr>
        <w:spacing w:line="276" w:lineRule="auto"/>
        <w:ind w:firstLine="720"/>
        <w:jc w:val="both"/>
      </w:pPr>
    </w:p>
    <w:p w14:paraId="27E90625" w14:textId="77777777" w:rsidR="00FA4468" w:rsidRDefault="00FA4468" w:rsidP="008B54F8">
      <w:pPr>
        <w:spacing w:line="276" w:lineRule="auto"/>
        <w:ind w:firstLine="720"/>
        <w:jc w:val="both"/>
      </w:pPr>
    </w:p>
    <w:p w14:paraId="3F462096" w14:textId="77777777" w:rsidR="00BE0A9C" w:rsidRDefault="00BE0A9C" w:rsidP="008B54F8">
      <w:pPr>
        <w:spacing w:line="276" w:lineRule="auto"/>
        <w:ind w:firstLine="720"/>
        <w:jc w:val="both"/>
      </w:pPr>
    </w:p>
    <w:p w14:paraId="5611165F" w14:textId="77777777" w:rsidR="00BE0A9C" w:rsidRPr="00C61DBC" w:rsidRDefault="00BE0A9C" w:rsidP="008B54F8">
      <w:pPr>
        <w:spacing w:line="276" w:lineRule="auto"/>
        <w:ind w:firstLine="720"/>
        <w:jc w:val="both"/>
      </w:pPr>
    </w:p>
    <w:p w14:paraId="176CFF8B" w14:textId="399DC162" w:rsidR="008B54F8" w:rsidRPr="00C61DBC" w:rsidRDefault="008B54F8" w:rsidP="00820DE9">
      <w:pPr>
        <w:tabs>
          <w:tab w:val="center" w:pos="4536"/>
          <w:tab w:val="right" w:pos="9356"/>
        </w:tabs>
        <w:spacing w:line="276" w:lineRule="auto"/>
        <w:jc w:val="both"/>
      </w:pPr>
    </w:p>
    <w:sectPr w:rsidR="008B54F8" w:rsidRPr="00C61DBC" w:rsidSect="00A56F00">
      <w:footerReference w:type="default" r:id="rId1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9CFD8" w14:textId="77777777" w:rsidR="00714ACF" w:rsidRDefault="00714ACF" w:rsidP="00EC6C35">
      <w:r>
        <w:separator/>
      </w:r>
    </w:p>
  </w:endnote>
  <w:endnote w:type="continuationSeparator" w:id="0">
    <w:p w14:paraId="5E54853E" w14:textId="77777777" w:rsidR="00714ACF" w:rsidRDefault="00714ACF" w:rsidP="00EC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AEB3" w14:textId="35F70282" w:rsidR="00EC6C35" w:rsidRPr="00FD217A" w:rsidRDefault="004D01C4" w:rsidP="004D01C4">
    <w:pPr>
      <w:pStyle w:val="Footer"/>
      <w:tabs>
        <w:tab w:val="clear" w:pos="4153"/>
        <w:tab w:val="clear" w:pos="8306"/>
      </w:tabs>
      <w:jc w:val="center"/>
      <w:rPr>
        <w:sz w:val="20"/>
        <w:szCs w:val="20"/>
      </w:rPr>
    </w:pPr>
    <w:r w:rsidRPr="00FD217A">
      <w:rPr>
        <w:rStyle w:val="PageNumber"/>
        <w:sz w:val="20"/>
        <w:szCs w:val="20"/>
      </w:rPr>
      <w:fldChar w:fldCharType="begin"/>
    </w:r>
    <w:r w:rsidRPr="00FD217A">
      <w:rPr>
        <w:rStyle w:val="PageNumber"/>
        <w:sz w:val="20"/>
        <w:szCs w:val="20"/>
      </w:rPr>
      <w:instrText xml:space="preserve">PAGE  </w:instrText>
    </w:r>
    <w:r w:rsidRPr="00FD217A">
      <w:rPr>
        <w:rStyle w:val="PageNumber"/>
        <w:sz w:val="20"/>
        <w:szCs w:val="20"/>
      </w:rPr>
      <w:fldChar w:fldCharType="separate"/>
    </w:r>
    <w:r w:rsidRPr="00FD217A">
      <w:rPr>
        <w:rStyle w:val="PageNumber"/>
        <w:sz w:val="20"/>
        <w:szCs w:val="20"/>
      </w:rPr>
      <w:t>3</w:t>
    </w:r>
    <w:r w:rsidRPr="00FD217A">
      <w:rPr>
        <w:rStyle w:val="PageNumber"/>
        <w:sz w:val="20"/>
        <w:szCs w:val="20"/>
      </w:rPr>
      <w:fldChar w:fldCharType="end"/>
    </w:r>
    <w:r w:rsidRPr="00FD217A">
      <w:rPr>
        <w:rStyle w:val="PageNumber"/>
        <w:sz w:val="20"/>
        <w:szCs w:val="20"/>
      </w:rPr>
      <w:t xml:space="preserve"> no </w:t>
    </w:r>
    <w:r w:rsidRPr="00FD217A">
      <w:rPr>
        <w:rStyle w:val="PageNumber"/>
        <w:noProof/>
        <w:sz w:val="20"/>
        <w:szCs w:val="20"/>
      </w:rPr>
      <w:fldChar w:fldCharType="begin"/>
    </w:r>
    <w:r w:rsidRPr="00FD217A">
      <w:rPr>
        <w:rStyle w:val="PageNumber"/>
        <w:noProof/>
        <w:sz w:val="20"/>
        <w:szCs w:val="20"/>
      </w:rPr>
      <w:instrText xml:space="preserve"> SECTIONPAGES   \* MERGEFORMAT </w:instrText>
    </w:r>
    <w:r w:rsidRPr="00FD217A">
      <w:rPr>
        <w:rStyle w:val="PageNumber"/>
        <w:noProof/>
        <w:sz w:val="20"/>
        <w:szCs w:val="20"/>
      </w:rPr>
      <w:fldChar w:fldCharType="separate"/>
    </w:r>
    <w:r w:rsidR="00DD2556">
      <w:rPr>
        <w:rStyle w:val="PageNumber"/>
        <w:noProof/>
        <w:sz w:val="20"/>
        <w:szCs w:val="20"/>
      </w:rPr>
      <w:t>12</w:t>
    </w:r>
    <w:r w:rsidRPr="00FD217A">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220CA" w14:textId="77777777" w:rsidR="00714ACF" w:rsidRDefault="00714ACF" w:rsidP="00EC6C35">
      <w:r>
        <w:separator/>
      </w:r>
    </w:p>
  </w:footnote>
  <w:footnote w:type="continuationSeparator" w:id="0">
    <w:p w14:paraId="391B481E" w14:textId="77777777" w:rsidR="00714ACF" w:rsidRDefault="00714ACF" w:rsidP="00EC6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674"/>
    <w:multiLevelType w:val="hybridMultilevel"/>
    <w:tmpl w:val="80360CBC"/>
    <w:lvl w:ilvl="0" w:tplc="0BFAD212">
      <w:start w:val="4"/>
      <w:numFmt w:val="decimal"/>
      <w:lvlText w:val="%1."/>
      <w:lvlJc w:val="left"/>
      <w:pPr>
        <w:tabs>
          <w:tab w:val="num" w:pos="720"/>
        </w:tabs>
        <w:ind w:left="720" w:hanging="360"/>
      </w:pPr>
    </w:lvl>
    <w:lvl w:ilvl="1" w:tplc="9BD2771A" w:tentative="1">
      <w:start w:val="1"/>
      <w:numFmt w:val="decimal"/>
      <w:lvlText w:val="%2."/>
      <w:lvlJc w:val="left"/>
      <w:pPr>
        <w:tabs>
          <w:tab w:val="num" w:pos="1440"/>
        </w:tabs>
        <w:ind w:left="1440" w:hanging="360"/>
      </w:pPr>
    </w:lvl>
    <w:lvl w:ilvl="2" w:tplc="BA4455E6" w:tentative="1">
      <w:start w:val="1"/>
      <w:numFmt w:val="decimal"/>
      <w:lvlText w:val="%3."/>
      <w:lvlJc w:val="left"/>
      <w:pPr>
        <w:tabs>
          <w:tab w:val="num" w:pos="2160"/>
        </w:tabs>
        <w:ind w:left="2160" w:hanging="360"/>
      </w:pPr>
    </w:lvl>
    <w:lvl w:ilvl="3" w:tplc="E7FA0C66" w:tentative="1">
      <w:start w:val="1"/>
      <w:numFmt w:val="decimal"/>
      <w:lvlText w:val="%4."/>
      <w:lvlJc w:val="left"/>
      <w:pPr>
        <w:tabs>
          <w:tab w:val="num" w:pos="2880"/>
        </w:tabs>
        <w:ind w:left="2880" w:hanging="360"/>
      </w:pPr>
    </w:lvl>
    <w:lvl w:ilvl="4" w:tplc="0FF4480E" w:tentative="1">
      <w:start w:val="1"/>
      <w:numFmt w:val="decimal"/>
      <w:lvlText w:val="%5."/>
      <w:lvlJc w:val="left"/>
      <w:pPr>
        <w:tabs>
          <w:tab w:val="num" w:pos="3600"/>
        </w:tabs>
        <w:ind w:left="3600" w:hanging="360"/>
      </w:pPr>
    </w:lvl>
    <w:lvl w:ilvl="5" w:tplc="9EA8088A" w:tentative="1">
      <w:start w:val="1"/>
      <w:numFmt w:val="decimal"/>
      <w:lvlText w:val="%6."/>
      <w:lvlJc w:val="left"/>
      <w:pPr>
        <w:tabs>
          <w:tab w:val="num" w:pos="4320"/>
        </w:tabs>
        <w:ind w:left="4320" w:hanging="360"/>
      </w:pPr>
    </w:lvl>
    <w:lvl w:ilvl="6" w:tplc="02908B24" w:tentative="1">
      <w:start w:val="1"/>
      <w:numFmt w:val="decimal"/>
      <w:lvlText w:val="%7."/>
      <w:lvlJc w:val="left"/>
      <w:pPr>
        <w:tabs>
          <w:tab w:val="num" w:pos="5040"/>
        </w:tabs>
        <w:ind w:left="5040" w:hanging="360"/>
      </w:pPr>
    </w:lvl>
    <w:lvl w:ilvl="7" w:tplc="5E763A84" w:tentative="1">
      <w:start w:val="1"/>
      <w:numFmt w:val="decimal"/>
      <w:lvlText w:val="%8."/>
      <w:lvlJc w:val="left"/>
      <w:pPr>
        <w:tabs>
          <w:tab w:val="num" w:pos="5760"/>
        </w:tabs>
        <w:ind w:left="5760" w:hanging="360"/>
      </w:pPr>
    </w:lvl>
    <w:lvl w:ilvl="8" w:tplc="676E42A2" w:tentative="1">
      <w:start w:val="1"/>
      <w:numFmt w:val="decimal"/>
      <w:lvlText w:val="%9."/>
      <w:lvlJc w:val="left"/>
      <w:pPr>
        <w:tabs>
          <w:tab w:val="num" w:pos="6480"/>
        </w:tabs>
        <w:ind w:left="6480" w:hanging="360"/>
      </w:pPr>
    </w:lvl>
  </w:abstractNum>
  <w:abstractNum w:abstractNumId="1" w15:restartNumberingAfterBreak="0">
    <w:nsid w:val="13F53F62"/>
    <w:multiLevelType w:val="hybridMultilevel"/>
    <w:tmpl w:val="AA76E7C4"/>
    <w:lvl w:ilvl="0" w:tplc="FCA01EE2">
      <w:start w:val="1"/>
      <w:numFmt w:val="decimal"/>
      <w:lvlText w:val="%1."/>
      <w:lvlJc w:val="left"/>
      <w:pPr>
        <w:tabs>
          <w:tab w:val="num" w:pos="720"/>
        </w:tabs>
        <w:ind w:left="720" w:hanging="360"/>
      </w:pPr>
    </w:lvl>
    <w:lvl w:ilvl="1" w:tplc="2A8E186A" w:tentative="1">
      <w:start w:val="1"/>
      <w:numFmt w:val="decimal"/>
      <w:lvlText w:val="%2."/>
      <w:lvlJc w:val="left"/>
      <w:pPr>
        <w:tabs>
          <w:tab w:val="num" w:pos="1440"/>
        </w:tabs>
        <w:ind w:left="1440" w:hanging="360"/>
      </w:pPr>
    </w:lvl>
    <w:lvl w:ilvl="2" w:tplc="F1BC5806" w:tentative="1">
      <w:start w:val="1"/>
      <w:numFmt w:val="decimal"/>
      <w:lvlText w:val="%3."/>
      <w:lvlJc w:val="left"/>
      <w:pPr>
        <w:tabs>
          <w:tab w:val="num" w:pos="2160"/>
        </w:tabs>
        <w:ind w:left="2160" w:hanging="360"/>
      </w:pPr>
    </w:lvl>
    <w:lvl w:ilvl="3" w:tplc="50D0C5CE" w:tentative="1">
      <w:start w:val="1"/>
      <w:numFmt w:val="decimal"/>
      <w:lvlText w:val="%4."/>
      <w:lvlJc w:val="left"/>
      <w:pPr>
        <w:tabs>
          <w:tab w:val="num" w:pos="2880"/>
        </w:tabs>
        <w:ind w:left="2880" w:hanging="360"/>
      </w:pPr>
    </w:lvl>
    <w:lvl w:ilvl="4" w:tplc="02A26B5A" w:tentative="1">
      <w:start w:val="1"/>
      <w:numFmt w:val="decimal"/>
      <w:lvlText w:val="%5."/>
      <w:lvlJc w:val="left"/>
      <w:pPr>
        <w:tabs>
          <w:tab w:val="num" w:pos="3600"/>
        </w:tabs>
        <w:ind w:left="3600" w:hanging="360"/>
      </w:pPr>
    </w:lvl>
    <w:lvl w:ilvl="5" w:tplc="CB4EEDD2" w:tentative="1">
      <w:start w:val="1"/>
      <w:numFmt w:val="decimal"/>
      <w:lvlText w:val="%6."/>
      <w:lvlJc w:val="left"/>
      <w:pPr>
        <w:tabs>
          <w:tab w:val="num" w:pos="4320"/>
        </w:tabs>
        <w:ind w:left="4320" w:hanging="360"/>
      </w:pPr>
    </w:lvl>
    <w:lvl w:ilvl="6" w:tplc="12685BEC" w:tentative="1">
      <w:start w:val="1"/>
      <w:numFmt w:val="decimal"/>
      <w:lvlText w:val="%7."/>
      <w:lvlJc w:val="left"/>
      <w:pPr>
        <w:tabs>
          <w:tab w:val="num" w:pos="5040"/>
        </w:tabs>
        <w:ind w:left="5040" w:hanging="360"/>
      </w:pPr>
    </w:lvl>
    <w:lvl w:ilvl="7" w:tplc="D084F8BE" w:tentative="1">
      <w:start w:val="1"/>
      <w:numFmt w:val="decimal"/>
      <w:lvlText w:val="%8."/>
      <w:lvlJc w:val="left"/>
      <w:pPr>
        <w:tabs>
          <w:tab w:val="num" w:pos="5760"/>
        </w:tabs>
        <w:ind w:left="5760" w:hanging="360"/>
      </w:pPr>
    </w:lvl>
    <w:lvl w:ilvl="8" w:tplc="5C325EF8" w:tentative="1">
      <w:start w:val="1"/>
      <w:numFmt w:val="decimal"/>
      <w:lvlText w:val="%9."/>
      <w:lvlJc w:val="left"/>
      <w:pPr>
        <w:tabs>
          <w:tab w:val="num" w:pos="6480"/>
        </w:tabs>
        <w:ind w:left="6480" w:hanging="360"/>
      </w:pPr>
    </w:lvl>
  </w:abstractNum>
  <w:abstractNum w:abstractNumId="2"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3" w15:restartNumberingAfterBreak="0">
    <w:nsid w:val="16F56500"/>
    <w:multiLevelType w:val="hybridMultilevel"/>
    <w:tmpl w:val="DD46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86937"/>
    <w:multiLevelType w:val="hybridMultilevel"/>
    <w:tmpl w:val="BFF22A5E"/>
    <w:lvl w:ilvl="0" w:tplc="19FAEA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A305BD"/>
    <w:multiLevelType w:val="hybridMultilevel"/>
    <w:tmpl w:val="C80ACB4E"/>
    <w:lvl w:ilvl="0" w:tplc="2EE4253C">
      <w:start w:val="1"/>
      <w:numFmt w:val="decimal"/>
      <w:lvlText w:val="%1."/>
      <w:lvlJc w:val="left"/>
      <w:pPr>
        <w:tabs>
          <w:tab w:val="num" w:pos="720"/>
        </w:tabs>
        <w:ind w:left="720" w:hanging="360"/>
      </w:pPr>
    </w:lvl>
    <w:lvl w:ilvl="1" w:tplc="CB9804D0" w:tentative="1">
      <w:start w:val="1"/>
      <w:numFmt w:val="decimal"/>
      <w:lvlText w:val="%2."/>
      <w:lvlJc w:val="left"/>
      <w:pPr>
        <w:tabs>
          <w:tab w:val="num" w:pos="1440"/>
        </w:tabs>
        <w:ind w:left="1440" w:hanging="360"/>
      </w:pPr>
    </w:lvl>
    <w:lvl w:ilvl="2" w:tplc="E904BAE4" w:tentative="1">
      <w:start w:val="1"/>
      <w:numFmt w:val="decimal"/>
      <w:lvlText w:val="%3."/>
      <w:lvlJc w:val="left"/>
      <w:pPr>
        <w:tabs>
          <w:tab w:val="num" w:pos="2160"/>
        </w:tabs>
        <w:ind w:left="2160" w:hanging="360"/>
      </w:pPr>
    </w:lvl>
    <w:lvl w:ilvl="3" w:tplc="6ED679A4" w:tentative="1">
      <w:start w:val="1"/>
      <w:numFmt w:val="decimal"/>
      <w:lvlText w:val="%4."/>
      <w:lvlJc w:val="left"/>
      <w:pPr>
        <w:tabs>
          <w:tab w:val="num" w:pos="2880"/>
        </w:tabs>
        <w:ind w:left="2880" w:hanging="360"/>
      </w:pPr>
    </w:lvl>
    <w:lvl w:ilvl="4" w:tplc="1D301E16" w:tentative="1">
      <w:start w:val="1"/>
      <w:numFmt w:val="decimal"/>
      <w:lvlText w:val="%5."/>
      <w:lvlJc w:val="left"/>
      <w:pPr>
        <w:tabs>
          <w:tab w:val="num" w:pos="3600"/>
        </w:tabs>
        <w:ind w:left="3600" w:hanging="360"/>
      </w:pPr>
    </w:lvl>
    <w:lvl w:ilvl="5" w:tplc="7930C04E" w:tentative="1">
      <w:start w:val="1"/>
      <w:numFmt w:val="decimal"/>
      <w:lvlText w:val="%6."/>
      <w:lvlJc w:val="left"/>
      <w:pPr>
        <w:tabs>
          <w:tab w:val="num" w:pos="4320"/>
        </w:tabs>
        <w:ind w:left="4320" w:hanging="360"/>
      </w:pPr>
    </w:lvl>
    <w:lvl w:ilvl="6" w:tplc="24505634" w:tentative="1">
      <w:start w:val="1"/>
      <w:numFmt w:val="decimal"/>
      <w:lvlText w:val="%7."/>
      <w:lvlJc w:val="left"/>
      <w:pPr>
        <w:tabs>
          <w:tab w:val="num" w:pos="5040"/>
        </w:tabs>
        <w:ind w:left="5040" w:hanging="360"/>
      </w:pPr>
    </w:lvl>
    <w:lvl w:ilvl="7" w:tplc="68424364" w:tentative="1">
      <w:start w:val="1"/>
      <w:numFmt w:val="decimal"/>
      <w:lvlText w:val="%8."/>
      <w:lvlJc w:val="left"/>
      <w:pPr>
        <w:tabs>
          <w:tab w:val="num" w:pos="5760"/>
        </w:tabs>
        <w:ind w:left="5760" w:hanging="360"/>
      </w:pPr>
    </w:lvl>
    <w:lvl w:ilvl="8" w:tplc="D390FD38" w:tentative="1">
      <w:start w:val="1"/>
      <w:numFmt w:val="decimal"/>
      <w:lvlText w:val="%9."/>
      <w:lvlJc w:val="left"/>
      <w:pPr>
        <w:tabs>
          <w:tab w:val="num" w:pos="6480"/>
        </w:tabs>
        <w:ind w:left="6480" w:hanging="360"/>
      </w:pPr>
    </w:lvl>
  </w:abstractNum>
  <w:abstractNum w:abstractNumId="6" w15:restartNumberingAfterBreak="0">
    <w:nsid w:val="332F46A9"/>
    <w:multiLevelType w:val="hybridMultilevel"/>
    <w:tmpl w:val="D8F6F782"/>
    <w:lvl w:ilvl="0" w:tplc="492CA0A2">
      <w:start w:val="20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2770E"/>
    <w:multiLevelType w:val="hybridMultilevel"/>
    <w:tmpl w:val="BF4C53A4"/>
    <w:lvl w:ilvl="0" w:tplc="A5BC97D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F60518"/>
    <w:multiLevelType w:val="hybridMultilevel"/>
    <w:tmpl w:val="DCA8B8A0"/>
    <w:lvl w:ilvl="0" w:tplc="83A6E4C8">
      <w:start w:val="1"/>
      <w:numFmt w:val="decimal"/>
      <w:lvlText w:val="%1)"/>
      <w:lvlJc w:val="left"/>
      <w:pPr>
        <w:ind w:left="1069" w:hanging="360"/>
      </w:pPr>
      <w:rPr>
        <w:rFonts w:ascii="Times New Roman" w:eastAsia="Times New Roman" w:hAnsi="Times New Roman" w:cs="Times New Roman"/>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3AF800B7"/>
    <w:multiLevelType w:val="hybridMultilevel"/>
    <w:tmpl w:val="9ED6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50BE9"/>
    <w:multiLevelType w:val="hybridMultilevel"/>
    <w:tmpl w:val="5A3299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456162EE"/>
    <w:multiLevelType w:val="hybridMultilevel"/>
    <w:tmpl w:val="D19A8AB6"/>
    <w:lvl w:ilvl="0" w:tplc="1A4423B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D21EF"/>
    <w:multiLevelType w:val="hybridMultilevel"/>
    <w:tmpl w:val="EF38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D2DBB"/>
    <w:multiLevelType w:val="hybridMultilevel"/>
    <w:tmpl w:val="17C8B8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CF7701"/>
    <w:multiLevelType w:val="hybridMultilevel"/>
    <w:tmpl w:val="DD604B22"/>
    <w:lvl w:ilvl="0" w:tplc="C8B2ECA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5A1E0A18"/>
    <w:multiLevelType w:val="hybridMultilevel"/>
    <w:tmpl w:val="B950D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6685A"/>
    <w:multiLevelType w:val="hybridMultilevel"/>
    <w:tmpl w:val="311E9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7C198F"/>
    <w:multiLevelType w:val="hybridMultilevel"/>
    <w:tmpl w:val="0F0CAC94"/>
    <w:lvl w:ilvl="0" w:tplc="47420876">
      <w:start w:val="1"/>
      <w:numFmt w:val="decimal"/>
      <w:lvlText w:val="%1)"/>
      <w:lvlJc w:val="left"/>
      <w:pPr>
        <w:ind w:left="1069" w:hanging="360"/>
      </w:pPr>
      <w:rPr>
        <w:rFonts w:hint="default"/>
        <w:color w:val="FF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748F588F"/>
    <w:multiLevelType w:val="hybridMultilevel"/>
    <w:tmpl w:val="6838C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00880893">
    <w:abstractNumId w:val="2"/>
  </w:num>
  <w:num w:numId="2" w16cid:durableId="1542814925">
    <w:abstractNumId w:val="5"/>
  </w:num>
  <w:num w:numId="3" w16cid:durableId="777871279">
    <w:abstractNumId w:val="1"/>
  </w:num>
  <w:num w:numId="4" w16cid:durableId="194739746">
    <w:abstractNumId w:val="0"/>
  </w:num>
  <w:num w:numId="5" w16cid:durableId="1029648038">
    <w:abstractNumId w:val="14"/>
  </w:num>
  <w:num w:numId="6" w16cid:durableId="52700587">
    <w:abstractNumId w:val="12"/>
  </w:num>
  <w:num w:numId="7" w16cid:durableId="467475005">
    <w:abstractNumId w:val="16"/>
  </w:num>
  <w:num w:numId="8" w16cid:durableId="547033889">
    <w:abstractNumId w:val="13"/>
  </w:num>
  <w:num w:numId="9" w16cid:durableId="1187914475">
    <w:abstractNumId w:val="7"/>
  </w:num>
  <w:num w:numId="10" w16cid:durableId="2007903875">
    <w:abstractNumId w:val="11"/>
  </w:num>
  <w:num w:numId="11" w16cid:durableId="2137750644">
    <w:abstractNumId w:val="9"/>
  </w:num>
  <w:num w:numId="12" w16cid:durableId="1867135360">
    <w:abstractNumId w:val="3"/>
  </w:num>
  <w:num w:numId="13" w16cid:durableId="1076706764">
    <w:abstractNumId w:val="18"/>
  </w:num>
  <w:num w:numId="14" w16cid:durableId="817720565">
    <w:abstractNumId w:val="10"/>
  </w:num>
  <w:num w:numId="15" w16cid:durableId="301547561">
    <w:abstractNumId w:val="6"/>
  </w:num>
  <w:num w:numId="16" w16cid:durableId="34696051">
    <w:abstractNumId w:val="15"/>
  </w:num>
  <w:num w:numId="17" w16cid:durableId="1933974867">
    <w:abstractNumId w:val="17"/>
  </w:num>
  <w:num w:numId="18" w16cid:durableId="137000700">
    <w:abstractNumId w:val="8"/>
  </w:num>
  <w:num w:numId="19" w16cid:durableId="1608266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5ED0"/>
    <w:rsid w:val="000065BA"/>
    <w:rsid w:val="00006F08"/>
    <w:rsid w:val="000076A1"/>
    <w:rsid w:val="00010324"/>
    <w:rsid w:val="000135C3"/>
    <w:rsid w:val="0001518D"/>
    <w:rsid w:val="000154D5"/>
    <w:rsid w:val="00016C41"/>
    <w:rsid w:val="0001755A"/>
    <w:rsid w:val="00017D56"/>
    <w:rsid w:val="000207DE"/>
    <w:rsid w:val="000225B9"/>
    <w:rsid w:val="000238E4"/>
    <w:rsid w:val="000241F1"/>
    <w:rsid w:val="00024446"/>
    <w:rsid w:val="000253FE"/>
    <w:rsid w:val="00025594"/>
    <w:rsid w:val="00025A5E"/>
    <w:rsid w:val="00027827"/>
    <w:rsid w:val="00027CD0"/>
    <w:rsid w:val="000305AD"/>
    <w:rsid w:val="00031680"/>
    <w:rsid w:val="00031BA9"/>
    <w:rsid w:val="00032312"/>
    <w:rsid w:val="000334FD"/>
    <w:rsid w:val="00035036"/>
    <w:rsid w:val="00035ABE"/>
    <w:rsid w:val="0003639D"/>
    <w:rsid w:val="00036557"/>
    <w:rsid w:val="00036A7B"/>
    <w:rsid w:val="00037CA0"/>
    <w:rsid w:val="00040692"/>
    <w:rsid w:val="000418CE"/>
    <w:rsid w:val="00042EF6"/>
    <w:rsid w:val="0004384F"/>
    <w:rsid w:val="000440E1"/>
    <w:rsid w:val="0004615E"/>
    <w:rsid w:val="0005439F"/>
    <w:rsid w:val="0005476A"/>
    <w:rsid w:val="00055D50"/>
    <w:rsid w:val="0005622E"/>
    <w:rsid w:val="00057EA8"/>
    <w:rsid w:val="00061223"/>
    <w:rsid w:val="0006272B"/>
    <w:rsid w:val="00062925"/>
    <w:rsid w:val="00065D84"/>
    <w:rsid w:val="00066098"/>
    <w:rsid w:val="000660C4"/>
    <w:rsid w:val="00070CC9"/>
    <w:rsid w:val="00071ADF"/>
    <w:rsid w:val="00071F3C"/>
    <w:rsid w:val="00072983"/>
    <w:rsid w:val="00072E05"/>
    <w:rsid w:val="00073363"/>
    <w:rsid w:val="00073D2E"/>
    <w:rsid w:val="000745D8"/>
    <w:rsid w:val="00076733"/>
    <w:rsid w:val="00076B03"/>
    <w:rsid w:val="0008130A"/>
    <w:rsid w:val="00082C01"/>
    <w:rsid w:val="00082FF8"/>
    <w:rsid w:val="00084CAA"/>
    <w:rsid w:val="00084EB0"/>
    <w:rsid w:val="000866D4"/>
    <w:rsid w:val="00086C77"/>
    <w:rsid w:val="000875A2"/>
    <w:rsid w:val="00092160"/>
    <w:rsid w:val="0009655B"/>
    <w:rsid w:val="000A07A6"/>
    <w:rsid w:val="000A09DE"/>
    <w:rsid w:val="000A45A9"/>
    <w:rsid w:val="000A6611"/>
    <w:rsid w:val="000A6760"/>
    <w:rsid w:val="000B1D90"/>
    <w:rsid w:val="000B4FCA"/>
    <w:rsid w:val="000B5465"/>
    <w:rsid w:val="000C1903"/>
    <w:rsid w:val="000C1DA2"/>
    <w:rsid w:val="000C2D10"/>
    <w:rsid w:val="000C3EB9"/>
    <w:rsid w:val="000C47A3"/>
    <w:rsid w:val="000C524D"/>
    <w:rsid w:val="000C6CA9"/>
    <w:rsid w:val="000C6E6A"/>
    <w:rsid w:val="000C75A1"/>
    <w:rsid w:val="000D08AF"/>
    <w:rsid w:val="000D1190"/>
    <w:rsid w:val="000D13DF"/>
    <w:rsid w:val="000D1950"/>
    <w:rsid w:val="000D30C0"/>
    <w:rsid w:val="000D4161"/>
    <w:rsid w:val="000D6DAF"/>
    <w:rsid w:val="000E3151"/>
    <w:rsid w:val="000E31D3"/>
    <w:rsid w:val="000E6F30"/>
    <w:rsid w:val="000F03A6"/>
    <w:rsid w:val="000F065E"/>
    <w:rsid w:val="000F2CD5"/>
    <w:rsid w:val="000F7E1E"/>
    <w:rsid w:val="00103D3F"/>
    <w:rsid w:val="001048A8"/>
    <w:rsid w:val="0011057D"/>
    <w:rsid w:val="0011119F"/>
    <w:rsid w:val="001119EB"/>
    <w:rsid w:val="00111D11"/>
    <w:rsid w:val="001124C8"/>
    <w:rsid w:val="0011577B"/>
    <w:rsid w:val="00121D18"/>
    <w:rsid w:val="00122347"/>
    <w:rsid w:val="00122397"/>
    <w:rsid w:val="0012783D"/>
    <w:rsid w:val="00130331"/>
    <w:rsid w:val="00134470"/>
    <w:rsid w:val="00135385"/>
    <w:rsid w:val="00135904"/>
    <w:rsid w:val="00141B7C"/>
    <w:rsid w:val="001425EB"/>
    <w:rsid w:val="001441C2"/>
    <w:rsid w:val="001447B3"/>
    <w:rsid w:val="00145713"/>
    <w:rsid w:val="001459EA"/>
    <w:rsid w:val="001464A2"/>
    <w:rsid w:val="00150D3F"/>
    <w:rsid w:val="0015277F"/>
    <w:rsid w:val="001527BF"/>
    <w:rsid w:val="00152D23"/>
    <w:rsid w:val="00153C6E"/>
    <w:rsid w:val="00153E9C"/>
    <w:rsid w:val="00154221"/>
    <w:rsid w:val="00154908"/>
    <w:rsid w:val="00155354"/>
    <w:rsid w:val="00155BD2"/>
    <w:rsid w:val="001568B3"/>
    <w:rsid w:val="001571E7"/>
    <w:rsid w:val="0015724D"/>
    <w:rsid w:val="0016083C"/>
    <w:rsid w:val="00160FD3"/>
    <w:rsid w:val="00162565"/>
    <w:rsid w:val="001653E5"/>
    <w:rsid w:val="00165AD2"/>
    <w:rsid w:val="001671B4"/>
    <w:rsid w:val="00167D8C"/>
    <w:rsid w:val="00170B53"/>
    <w:rsid w:val="00172358"/>
    <w:rsid w:val="00172A6C"/>
    <w:rsid w:val="00175EC0"/>
    <w:rsid w:val="00176769"/>
    <w:rsid w:val="00176A71"/>
    <w:rsid w:val="00177837"/>
    <w:rsid w:val="00177A7F"/>
    <w:rsid w:val="00180173"/>
    <w:rsid w:val="00181638"/>
    <w:rsid w:val="001823F5"/>
    <w:rsid w:val="001830E7"/>
    <w:rsid w:val="001860DC"/>
    <w:rsid w:val="00186B34"/>
    <w:rsid w:val="00187381"/>
    <w:rsid w:val="00191813"/>
    <w:rsid w:val="0019287B"/>
    <w:rsid w:val="00193652"/>
    <w:rsid w:val="00193982"/>
    <w:rsid w:val="00193CF9"/>
    <w:rsid w:val="001946B5"/>
    <w:rsid w:val="001A019D"/>
    <w:rsid w:val="001A080D"/>
    <w:rsid w:val="001A2C6C"/>
    <w:rsid w:val="001A571C"/>
    <w:rsid w:val="001A610D"/>
    <w:rsid w:val="001A6909"/>
    <w:rsid w:val="001A716D"/>
    <w:rsid w:val="001A7237"/>
    <w:rsid w:val="001B58C0"/>
    <w:rsid w:val="001B75F5"/>
    <w:rsid w:val="001C0FB1"/>
    <w:rsid w:val="001C2193"/>
    <w:rsid w:val="001C4971"/>
    <w:rsid w:val="001C4AAF"/>
    <w:rsid w:val="001C66AD"/>
    <w:rsid w:val="001C675D"/>
    <w:rsid w:val="001D4407"/>
    <w:rsid w:val="001D45BB"/>
    <w:rsid w:val="001D51E4"/>
    <w:rsid w:val="001D546F"/>
    <w:rsid w:val="001D5AE3"/>
    <w:rsid w:val="001D64DA"/>
    <w:rsid w:val="001E0D88"/>
    <w:rsid w:val="001E147C"/>
    <w:rsid w:val="001E4D41"/>
    <w:rsid w:val="001F1774"/>
    <w:rsid w:val="001F1CA3"/>
    <w:rsid w:val="001F258E"/>
    <w:rsid w:val="001F335C"/>
    <w:rsid w:val="001F5B39"/>
    <w:rsid w:val="001F5D58"/>
    <w:rsid w:val="001F71B4"/>
    <w:rsid w:val="0020026F"/>
    <w:rsid w:val="00200B26"/>
    <w:rsid w:val="00202D8E"/>
    <w:rsid w:val="002039F6"/>
    <w:rsid w:val="00203E46"/>
    <w:rsid w:val="00204DC3"/>
    <w:rsid w:val="00205269"/>
    <w:rsid w:val="00210C8C"/>
    <w:rsid w:val="00221EBF"/>
    <w:rsid w:val="00222414"/>
    <w:rsid w:val="00224065"/>
    <w:rsid w:val="002251E2"/>
    <w:rsid w:val="00226722"/>
    <w:rsid w:val="00226AC9"/>
    <w:rsid w:val="00227ACD"/>
    <w:rsid w:val="0023098E"/>
    <w:rsid w:val="00230C9B"/>
    <w:rsid w:val="00232877"/>
    <w:rsid w:val="00233E0E"/>
    <w:rsid w:val="002374CE"/>
    <w:rsid w:val="00240357"/>
    <w:rsid w:val="002439F0"/>
    <w:rsid w:val="00245574"/>
    <w:rsid w:val="0025008E"/>
    <w:rsid w:val="002508CD"/>
    <w:rsid w:val="00251876"/>
    <w:rsid w:val="00251C0E"/>
    <w:rsid w:val="0025545D"/>
    <w:rsid w:val="002561B0"/>
    <w:rsid w:val="0025628B"/>
    <w:rsid w:val="00256F95"/>
    <w:rsid w:val="00257E06"/>
    <w:rsid w:val="00257F4C"/>
    <w:rsid w:val="00261502"/>
    <w:rsid w:val="00262CEF"/>
    <w:rsid w:val="00263CB8"/>
    <w:rsid w:val="00265588"/>
    <w:rsid w:val="00266176"/>
    <w:rsid w:val="0026752A"/>
    <w:rsid w:val="00270D34"/>
    <w:rsid w:val="002717AD"/>
    <w:rsid w:val="00271B8E"/>
    <w:rsid w:val="002733EA"/>
    <w:rsid w:val="00273C13"/>
    <w:rsid w:val="002742C6"/>
    <w:rsid w:val="00277ADB"/>
    <w:rsid w:val="00280BB9"/>
    <w:rsid w:val="00280BBF"/>
    <w:rsid w:val="00281A09"/>
    <w:rsid w:val="00281DB2"/>
    <w:rsid w:val="00284066"/>
    <w:rsid w:val="002857B5"/>
    <w:rsid w:val="0028782D"/>
    <w:rsid w:val="00287B3C"/>
    <w:rsid w:val="002918D8"/>
    <w:rsid w:val="00291C03"/>
    <w:rsid w:val="002933F7"/>
    <w:rsid w:val="00294221"/>
    <w:rsid w:val="00296189"/>
    <w:rsid w:val="002A0D74"/>
    <w:rsid w:val="002A49AE"/>
    <w:rsid w:val="002B269E"/>
    <w:rsid w:val="002B2C16"/>
    <w:rsid w:val="002B31D6"/>
    <w:rsid w:val="002B32AB"/>
    <w:rsid w:val="002B5714"/>
    <w:rsid w:val="002B57AB"/>
    <w:rsid w:val="002B770E"/>
    <w:rsid w:val="002C1983"/>
    <w:rsid w:val="002C274D"/>
    <w:rsid w:val="002C29EF"/>
    <w:rsid w:val="002C2EAA"/>
    <w:rsid w:val="002C4A4A"/>
    <w:rsid w:val="002C65A8"/>
    <w:rsid w:val="002C7196"/>
    <w:rsid w:val="002D1331"/>
    <w:rsid w:val="002D1693"/>
    <w:rsid w:val="002D696B"/>
    <w:rsid w:val="002E12CE"/>
    <w:rsid w:val="002E1BAC"/>
    <w:rsid w:val="002E52AE"/>
    <w:rsid w:val="002F4316"/>
    <w:rsid w:val="002F5399"/>
    <w:rsid w:val="002F6C54"/>
    <w:rsid w:val="00300B4C"/>
    <w:rsid w:val="00300D61"/>
    <w:rsid w:val="00300E09"/>
    <w:rsid w:val="003010A9"/>
    <w:rsid w:val="0030197C"/>
    <w:rsid w:val="003021E3"/>
    <w:rsid w:val="00302B58"/>
    <w:rsid w:val="00312600"/>
    <w:rsid w:val="0031423E"/>
    <w:rsid w:val="0031581A"/>
    <w:rsid w:val="00315BFB"/>
    <w:rsid w:val="0032381D"/>
    <w:rsid w:val="00323C32"/>
    <w:rsid w:val="00325E47"/>
    <w:rsid w:val="003265F7"/>
    <w:rsid w:val="00326C09"/>
    <w:rsid w:val="00333AB6"/>
    <w:rsid w:val="00337FDC"/>
    <w:rsid w:val="0034000A"/>
    <w:rsid w:val="0034430D"/>
    <w:rsid w:val="00344366"/>
    <w:rsid w:val="003452BC"/>
    <w:rsid w:val="00346632"/>
    <w:rsid w:val="00346DF6"/>
    <w:rsid w:val="00350183"/>
    <w:rsid w:val="003504EC"/>
    <w:rsid w:val="00350DA4"/>
    <w:rsid w:val="00352AB1"/>
    <w:rsid w:val="00352F08"/>
    <w:rsid w:val="003530C2"/>
    <w:rsid w:val="003531C4"/>
    <w:rsid w:val="00354976"/>
    <w:rsid w:val="00354C58"/>
    <w:rsid w:val="00355483"/>
    <w:rsid w:val="003558A0"/>
    <w:rsid w:val="00356661"/>
    <w:rsid w:val="00363136"/>
    <w:rsid w:val="00364A10"/>
    <w:rsid w:val="00365AFD"/>
    <w:rsid w:val="00372B82"/>
    <w:rsid w:val="00373451"/>
    <w:rsid w:val="00373D7F"/>
    <w:rsid w:val="003743B2"/>
    <w:rsid w:val="00375166"/>
    <w:rsid w:val="00377E6B"/>
    <w:rsid w:val="00380BB3"/>
    <w:rsid w:val="003816F9"/>
    <w:rsid w:val="00382C97"/>
    <w:rsid w:val="00383211"/>
    <w:rsid w:val="003841F2"/>
    <w:rsid w:val="0038639F"/>
    <w:rsid w:val="003869F1"/>
    <w:rsid w:val="003907CB"/>
    <w:rsid w:val="003916E6"/>
    <w:rsid w:val="00392FEB"/>
    <w:rsid w:val="003931CC"/>
    <w:rsid w:val="00395008"/>
    <w:rsid w:val="00395C00"/>
    <w:rsid w:val="003A316B"/>
    <w:rsid w:val="003A3AC5"/>
    <w:rsid w:val="003A6D6D"/>
    <w:rsid w:val="003B05F6"/>
    <w:rsid w:val="003B0B90"/>
    <w:rsid w:val="003B2501"/>
    <w:rsid w:val="003B2BA8"/>
    <w:rsid w:val="003B308D"/>
    <w:rsid w:val="003B3855"/>
    <w:rsid w:val="003B47C0"/>
    <w:rsid w:val="003B4886"/>
    <w:rsid w:val="003B590E"/>
    <w:rsid w:val="003C1E23"/>
    <w:rsid w:val="003C2BB7"/>
    <w:rsid w:val="003C3EE5"/>
    <w:rsid w:val="003C6B69"/>
    <w:rsid w:val="003C6C02"/>
    <w:rsid w:val="003D1589"/>
    <w:rsid w:val="003D297E"/>
    <w:rsid w:val="003D3B68"/>
    <w:rsid w:val="003D4A30"/>
    <w:rsid w:val="003D4D99"/>
    <w:rsid w:val="003D5996"/>
    <w:rsid w:val="003D69FD"/>
    <w:rsid w:val="003D79F4"/>
    <w:rsid w:val="003E2A09"/>
    <w:rsid w:val="003E3274"/>
    <w:rsid w:val="003E3429"/>
    <w:rsid w:val="003E347F"/>
    <w:rsid w:val="003E5669"/>
    <w:rsid w:val="003E676E"/>
    <w:rsid w:val="003E75FF"/>
    <w:rsid w:val="003F15AF"/>
    <w:rsid w:val="003F2DBF"/>
    <w:rsid w:val="003F36E8"/>
    <w:rsid w:val="003F5B16"/>
    <w:rsid w:val="003F6FED"/>
    <w:rsid w:val="0040099D"/>
    <w:rsid w:val="00403244"/>
    <w:rsid w:val="00403660"/>
    <w:rsid w:val="00403684"/>
    <w:rsid w:val="00404C19"/>
    <w:rsid w:val="00406146"/>
    <w:rsid w:val="00406ADF"/>
    <w:rsid w:val="004101C0"/>
    <w:rsid w:val="004103C4"/>
    <w:rsid w:val="00410E06"/>
    <w:rsid w:val="00420D67"/>
    <w:rsid w:val="00421D4E"/>
    <w:rsid w:val="004228FB"/>
    <w:rsid w:val="00424167"/>
    <w:rsid w:val="004276DC"/>
    <w:rsid w:val="00427CE3"/>
    <w:rsid w:val="00430F9E"/>
    <w:rsid w:val="0043609D"/>
    <w:rsid w:val="00436D82"/>
    <w:rsid w:val="004448DF"/>
    <w:rsid w:val="00447A5A"/>
    <w:rsid w:val="00447EE6"/>
    <w:rsid w:val="0045013A"/>
    <w:rsid w:val="0045149D"/>
    <w:rsid w:val="00452248"/>
    <w:rsid w:val="004522EE"/>
    <w:rsid w:val="00452591"/>
    <w:rsid w:val="00453314"/>
    <w:rsid w:val="00453982"/>
    <w:rsid w:val="0045693F"/>
    <w:rsid w:val="00456E9F"/>
    <w:rsid w:val="00457527"/>
    <w:rsid w:val="004635B0"/>
    <w:rsid w:val="004708EE"/>
    <w:rsid w:val="00470F65"/>
    <w:rsid w:val="00471033"/>
    <w:rsid w:val="0047238B"/>
    <w:rsid w:val="004725FF"/>
    <w:rsid w:val="00472C43"/>
    <w:rsid w:val="004745FB"/>
    <w:rsid w:val="00475032"/>
    <w:rsid w:val="004763EC"/>
    <w:rsid w:val="00476914"/>
    <w:rsid w:val="00476DFF"/>
    <w:rsid w:val="004804F3"/>
    <w:rsid w:val="0048054F"/>
    <w:rsid w:val="00481645"/>
    <w:rsid w:val="004873A0"/>
    <w:rsid w:val="004902DC"/>
    <w:rsid w:val="0049073C"/>
    <w:rsid w:val="00492515"/>
    <w:rsid w:val="0049715F"/>
    <w:rsid w:val="00497B03"/>
    <w:rsid w:val="00497B2C"/>
    <w:rsid w:val="004A2ED7"/>
    <w:rsid w:val="004A3993"/>
    <w:rsid w:val="004A6209"/>
    <w:rsid w:val="004B2578"/>
    <w:rsid w:val="004B2A94"/>
    <w:rsid w:val="004B33BC"/>
    <w:rsid w:val="004B61C3"/>
    <w:rsid w:val="004C048C"/>
    <w:rsid w:val="004C0D11"/>
    <w:rsid w:val="004C1CAD"/>
    <w:rsid w:val="004C1EA5"/>
    <w:rsid w:val="004C3F0D"/>
    <w:rsid w:val="004C4AD2"/>
    <w:rsid w:val="004C5129"/>
    <w:rsid w:val="004C548E"/>
    <w:rsid w:val="004C6BEC"/>
    <w:rsid w:val="004D01C4"/>
    <w:rsid w:val="004D08BA"/>
    <w:rsid w:val="004D0B31"/>
    <w:rsid w:val="004D0DB6"/>
    <w:rsid w:val="004D39E6"/>
    <w:rsid w:val="004D3D63"/>
    <w:rsid w:val="004D4CA3"/>
    <w:rsid w:val="004D79EB"/>
    <w:rsid w:val="004E350F"/>
    <w:rsid w:val="004E65D2"/>
    <w:rsid w:val="004E6F8D"/>
    <w:rsid w:val="004E780E"/>
    <w:rsid w:val="004E7B66"/>
    <w:rsid w:val="004F3530"/>
    <w:rsid w:val="004F573F"/>
    <w:rsid w:val="004F76A4"/>
    <w:rsid w:val="0050054A"/>
    <w:rsid w:val="00501EC1"/>
    <w:rsid w:val="00503331"/>
    <w:rsid w:val="00503B05"/>
    <w:rsid w:val="00503D82"/>
    <w:rsid w:val="00507BEB"/>
    <w:rsid w:val="00507CB3"/>
    <w:rsid w:val="00511D43"/>
    <w:rsid w:val="00512365"/>
    <w:rsid w:val="00512A22"/>
    <w:rsid w:val="005135B6"/>
    <w:rsid w:val="005167EB"/>
    <w:rsid w:val="00516ABD"/>
    <w:rsid w:val="00516ADC"/>
    <w:rsid w:val="00520473"/>
    <w:rsid w:val="0052086E"/>
    <w:rsid w:val="00520C50"/>
    <w:rsid w:val="005214BE"/>
    <w:rsid w:val="00522B14"/>
    <w:rsid w:val="00524B81"/>
    <w:rsid w:val="00526033"/>
    <w:rsid w:val="005307B2"/>
    <w:rsid w:val="005308E1"/>
    <w:rsid w:val="00530DD7"/>
    <w:rsid w:val="00531D0A"/>
    <w:rsid w:val="005329A2"/>
    <w:rsid w:val="00533020"/>
    <w:rsid w:val="00533F43"/>
    <w:rsid w:val="0053616A"/>
    <w:rsid w:val="0053646E"/>
    <w:rsid w:val="005365C1"/>
    <w:rsid w:val="005379C3"/>
    <w:rsid w:val="005379C4"/>
    <w:rsid w:val="005408D7"/>
    <w:rsid w:val="00541560"/>
    <w:rsid w:val="00543179"/>
    <w:rsid w:val="005454EA"/>
    <w:rsid w:val="005458FA"/>
    <w:rsid w:val="0054729C"/>
    <w:rsid w:val="00547424"/>
    <w:rsid w:val="00547C02"/>
    <w:rsid w:val="0055011E"/>
    <w:rsid w:val="0055453B"/>
    <w:rsid w:val="00555F4C"/>
    <w:rsid w:val="00556063"/>
    <w:rsid w:val="0055696B"/>
    <w:rsid w:val="005569FF"/>
    <w:rsid w:val="00556D3B"/>
    <w:rsid w:val="005578E4"/>
    <w:rsid w:val="00565A55"/>
    <w:rsid w:val="005667B8"/>
    <w:rsid w:val="005667E9"/>
    <w:rsid w:val="00566D69"/>
    <w:rsid w:val="00567624"/>
    <w:rsid w:val="00570128"/>
    <w:rsid w:val="00570B47"/>
    <w:rsid w:val="005713A8"/>
    <w:rsid w:val="0057148A"/>
    <w:rsid w:val="00571724"/>
    <w:rsid w:val="00572AEC"/>
    <w:rsid w:val="00572B71"/>
    <w:rsid w:val="005759CB"/>
    <w:rsid w:val="005808AF"/>
    <w:rsid w:val="005834D8"/>
    <w:rsid w:val="00584A91"/>
    <w:rsid w:val="005862EE"/>
    <w:rsid w:val="00587EEC"/>
    <w:rsid w:val="005916BE"/>
    <w:rsid w:val="005926FA"/>
    <w:rsid w:val="00594AC7"/>
    <w:rsid w:val="00595874"/>
    <w:rsid w:val="0059678E"/>
    <w:rsid w:val="00596C8B"/>
    <w:rsid w:val="005976A5"/>
    <w:rsid w:val="005A02F2"/>
    <w:rsid w:val="005A1B5F"/>
    <w:rsid w:val="005A1E8C"/>
    <w:rsid w:val="005A351F"/>
    <w:rsid w:val="005A3C91"/>
    <w:rsid w:val="005A4461"/>
    <w:rsid w:val="005A52C4"/>
    <w:rsid w:val="005A71C9"/>
    <w:rsid w:val="005B4F56"/>
    <w:rsid w:val="005B50FE"/>
    <w:rsid w:val="005B67CB"/>
    <w:rsid w:val="005B7908"/>
    <w:rsid w:val="005B79A0"/>
    <w:rsid w:val="005C0E40"/>
    <w:rsid w:val="005C0E72"/>
    <w:rsid w:val="005C1188"/>
    <w:rsid w:val="005C1376"/>
    <w:rsid w:val="005C5686"/>
    <w:rsid w:val="005C7915"/>
    <w:rsid w:val="005D15A3"/>
    <w:rsid w:val="005D1723"/>
    <w:rsid w:val="005D553D"/>
    <w:rsid w:val="005D66DE"/>
    <w:rsid w:val="005E104A"/>
    <w:rsid w:val="005E245D"/>
    <w:rsid w:val="005E290A"/>
    <w:rsid w:val="005E60E3"/>
    <w:rsid w:val="005E6BE4"/>
    <w:rsid w:val="005F0AB9"/>
    <w:rsid w:val="005F13C0"/>
    <w:rsid w:val="005F2AD2"/>
    <w:rsid w:val="005F3586"/>
    <w:rsid w:val="005F679C"/>
    <w:rsid w:val="006000D5"/>
    <w:rsid w:val="006015CC"/>
    <w:rsid w:val="00601845"/>
    <w:rsid w:val="00604FC4"/>
    <w:rsid w:val="00606C85"/>
    <w:rsid w:val="00606F1C"/>
    <w:rsid w:val="00611E2C"/>
    <w:rsid w:val="00612539"/>
    <w:rsid w:val="0061402F"/>
    <w:rsid w:val="00616F44"/>
    <w:rsid w:val="00617829"/>
    <w:rsid w:val="00617E91"/>
    <w:rsid w:val="00617EEF"/>
    <w:rsid w:val="006217AF"/>
    <w:rsid w:val="00622084"/>
    <w:rsid w:val="006224AC"/>
    <w:rsid w:val="00623B8D"/>
    <w:rsid w:val="00624268"/>
    <w:rsid w:val="006266C1"/>
    <w:rsid w:val="006272C9"/>
    <w:rsid w:val="006305D0"/>
    <w:rsid w:val="00631263"/>
    <w:rsid w:val="00631FE5"/>
    <w:rsid w:val="00632880"/>
    <w:rsid w:val="006339A1"/>
    <w:rsid w:val="006356E8"/>
    <w:rsid w:val="006424D5"/>
    <w:rsid w:val="00644E54"/>
    <w:rsid w:val="00645D50"/>
    <w:rsid w:val="0064714B"/>
    <w:rsid w:val="00650530"/>
    <w:rsid w:val="00650731"/>
    <w:rsid w:val="00650FD7"/>
    <w:rsid w:val="006522FB"/>
    <w:rsid w:val="00652B6A"/>
    <w:rsid w:val="00653409"/>
    <w:rsid w:val="00654F0D"/>
    <w:rsid w:val="006573C0"/>
    <w:rsid w:val="00657446"/>
    <w:rsid w:val="006578B6"/>
    <w:rsid w:val="0065795D"/>
    <w:rsid w:val="0066170A"/>
    <w:rsid w:val="006624D8"/>
    <w:rsid w:val="006637EA"/>
    <w:rsid w:val="00664716"/>
    <w:rsid w:val="00665150"/>
    <w:rsid w:val="0066526C"/>
    <w:rsid w:val="00665E5F"/>
    <w:rsid w:val="00666C44"/>
    <w:rsid w:val="006673AB"/>
    <w:rsid w:val="006679E6"/>
    <w:rsid w:val="00667A58"/>
    <w:rsid w:val="006710CB"/>
    <w:rsid w:val="00677A3D"/>
    <w:rsid w:val="00682861"/>
    <w:rsid w:val="006839CB"/>
    <w:rsid w:val="00684083"/>
    <w:rsid w:val="0069104E"/>
    <w:rsid w:val="00692901"/>
    <w:rsid w:val="00693154"/>
    <w:rsid w:val="00693D10"/>
    <w:rsid w:val="006940B1"/>
    <w:rsid w:val="006946C9"/>
    <w:rsid w:val="00696540"/>
    <w:rsid w:val="006A07F5"/>
    <w:rsid w:val="006A1068"/>
    <w:rsid w:val="006A2525"/>
    <w:rsid w:val="006A76E0"/>
    <w:rsid w:val="006B3863"/>
    <w:rsid w:val="006B58AA"/>
    <w:rsid w:val="006B6F12"/>
    <w:rsid w:val="006B7533"/>
    <w:rsid w:val="006C0C1D"/>
    <w:rsid w:val="006C10B4"/>
    <w:rsid w:val="006C2610"/>
    <w:rsid w:val="006C2A55"/>
    <w:rsid w:val="006C340B"/>
    <w:rsid w:val="006C3B28"/>
    <w:rsid w:val="006D333B"/>
    <w:rsid w:val="006E062E"/>
    <w:rsid w:val="006E0E55"/>
    <w:rsid w:val="006E27D2"/>
    <w:rsid w:val="006E2A1C"/>
    <w:rsid w:val="006E303D"/>
    <w:rsid w:val="006E5718"/>
    <w:rsid w:val="006E572C"/>
    <w:rsid w:val="006E5B90"/>
    <w:rsid w:val="006E6977"/>
    <w:rsid w:val="006E76DB"/>
    <w:rsid w:val="006E77D0"/>
    <w:rsid w:val="006F0AC1"/>
    <w:rsid w:val="006F390D"/>
    <w:rsid w:val="006F3971"/>
    <w:rsid w:val="006F559D"/>
    <w:rsid w:val="006F5732"/>
    <w:rsid w:val="006F5C8F"/>
    <w:rsid w:val="006F5F23"/>
    <w:rsid w:val="006F71A5"/>
    <w:rsid w:val="007012FD"/>
    <w:rsid w:val="00701B5B"/>
    <w:rsid w:val="007023F0"/>
    <w:rsid w:val="007029C0"/>
    <w:rsid w:val="00703981"/>
    <w:rsid w:val="00710DE2"/>
    <w:rsid w:val="00711ECF"/>
    <w:rsid w:val="00712F70"/>
    <w:rsid w:val="00714ACF"/>
    <w:rsid w:val="00715060"/>
    <w:rsid w:val="0071592F"/>
    <w:rsid w:val="0072383E"/>
    <w:rsid w:val="00724419"/>
    <w:rsid w:val="00724562"/>
    <w:rsid w:val="00724FC3"/>
    <w:rsid w:val="00725172"/>
    <w:rsid w:val="00725180"/>
    <w:rsid w:val="00725F85"/>
    <w:rsid w:val="007267BF"/>
    <w:rsid w:val="00730FE9"/>
    <w:rsid w:val="007320F1"/>
    <w:rsid w:val="007340FB"/>
    <w:rsid w:val="00735377"/>
    <w:rsid w:val="00735A08"/>
    <w:rsid w:val="007365A5"/>
    <w:rsid w:val="007370AE"/>
    <w:rsid w:val="007373CA"/>
    <w:rsid w:val="0074119B"/>
    <w:rsid w:val="00744639"/>
    <w:rsid w:val="0074598D"/>
    <w:rsid w:val="007463EB"/>
    <w:rsid w:val="007470EF"/>
    <w:rsid w:val="00747A78"/>
    <w:rsid w:val="00747DBB"/>
    <w:rsid w:val="00751B69"/>
    <w:rsid w:val="007523E9"/>
    <w:rsid w:val="00755AC3"/>
    <w:rsid w:val="0075646C"/>
    <w:rsid w:val="0075755B"/>
    <w:rsid w:val="00761537"/>
    <w:rsid w:val="00761B25"/>
    <w:rsid w:val="00763153"/>
    <w:rsid w:val="007637E6"/>
    <w:rsid w:val="007640A6"/>
    <w:rsid w:val="007642DA"/>
    <w:rsid w:val="007642F4"/>
    <w:rsid w:val="007651BA"/>
    <w:rsid w:val="00770A05"/>
    <w:rsid w:val="00771680"/>
    <w:rsid w:val="00772500"/>
    <w:rsid w:val="0077264D"/>
    <w:rsid w:val="00772712"/>
    <w:rsid w:val="00772CF5"/>
    <w:rsid w:val="00772D91"/>
    <w:rsid w:val="0077582E"/>
    <w:rsid w:val="00783823"/>
    <w:rsid w:val="007853A4"/>
    <w:rsid w:val="00786E84"/>
    <w:rsid w:val="0078767A"/>
    <w:rsid w:val="0079065D"/>
    <w:rsid w:val="00794FE9"/>
    <w:rsid w:val="00795F0C"/>
    <w:rsid w:val="00796727"/>
    <w:rsid w:val="00797C01"/>
    <w:rsid w:val="007A018F"/>
    <w:rsid w:val="007A32DD"/>
    <w:rsid w:val="007A4BB6"/>
    <w:rsid w:val="007A4D0B"/>
    <w:rsid w:val="007A4F3C"/>
    <w:rsid w:val="007B1EA0"/>
    <w:rsid w:val="007B378A"/>
    <w:rsid w:val="007B3DB3"/>
    <w:rsid w:val="007B3EA4"/>
    <w:rsid w:val="007B4524"/>
    <w:rsid w:val="007B5686"/>
    <w:rsid w:val="007B5BCC"/>
    <w:rsid w:val="007B7533"/>
    <w:rsid w:val="007C15FC"/>
    <w:rsid w:val="007C18BB"/>
    <w:rsid w:val="007C350D"/>
    <w:rsid w:val="007C3A28"/>
    <w:rsid w:val="007C3BEB"/>
    <w:rsid w:val="007C619C"/>
    <w:rsid w:val="007C658E"/>
    <w:rsid w:val="007C65DD"/>
    <w:rsid w:val="007D343B"/>
    <w:rsid w:val="007D4B48"/>
    <w:rsid w:val="007D7270"/>
    <w:rsid w:val="007E3D98"/>
    <w:rsid w:val="007E44AE"/>
    <w:rsid w:val="007E5849"/>
    <w:rsid w:val="007E6741"/>
    <w:rsid w:val="007F012C"/>
    <w:rsid w:val="007F117B"/>
    <w:rsid w:val="007F1862"/>
    <w:rsid w:val="007F3559"/>
    <w:rsid w:val="007F5646"/>
    <w:rsid w:val="0080038F"/>
    <w:rsid w:val="008003B5"/>
    <w:rsid w:val="00800496"/>
    <w:rsid w:val="00800B63"/>
    <w:rsid w:val="00801044"/>
    <w:rsid w:val="00802F4F"/>
    <w:rsid w:val="00804846"/>
    <w:rsid w:val="00805263"/>
    <w:rsid w:val="0080672D"/>
    <w:rsid w:val="008067D2"/>
    <w:rsid w:val="00811385"/>
    <w:rsid w:val="00812CF6"/>
    <w:rsid w:val="00812D2E"/>
    <w:rsid w:val="0081324A"/>
    <w:rsid w:val="00813B7E"/>
    <w:rsid w:val="00814C70"/>
    <w:rsid w:val="0081632C"/>
    <w:rsid w:val="00817E82"/>
    <w:rsid w:val="00820070"/>
    <w:rsid w:val="00820DE9"/>
    <w:rsid w:val="008211E0"/>
    <w:rsid w:val="008229F6"/>
    <w:rsid w:val="00824E93"/>
    <w:rsid w:val="0082512E"/>
    <w:rsid w:val="008274CE"/>
    <w:rsid w:val="00832540"/>
    <w:rsid w:val="00833589"/>
    <w:rsid w:val="00833DC8"/>
    <w:rsid w:val="00837934"/>
    <w:rsid w:val="00837A88"/>
    <w:rsid w:val="00840317"/>
    <w:rsid w:val="0084199A"/>
    <w:rsid w:val="00841E62"/>
    <w:rsid w:val="00846629"/>
    <w:rsid w:val="00851BF7"/>
    <w:rsid w:val="00851E51"/>
    <w:rsid w:val="008534EC"/>
    <w:rsid w:val="00854B6A"/>
    <w:rsid w:val="0085558C"/>
    <w:rsid w:val="0086218F"/>
    <w:rsid w:val="00862220"/>
    <w:rsid w:val="00863026"/>
    <w:rsid w:val="00863347"/>
    <w:rsid w:val="00863620"/>
    <w:rsid w:val="008648B7"/>
    <w:rsid w:val="008657AB"/>
    <w:rsid w:val="00866E75"/>
    <w:rsid w:val="008732E1"/>
    <w:rsid w:val="00873C25"/>
    <w:rsid w:val="00874117"/>
    <w:rsid w:val="0087583B"/>
    <w:rsid w:val="008776DC"/>
    <w:rsid w:val="008835B8"/>
    <w:rsid w:val="00884BAC"/>
    <w:rsid w:val="00885972"/>
    <w:rsid w:val="008869CC"/>
    <w:rsid w:val="0088790F"/>
    <w:rsid w:val="008909F2"/>
    <w:rsid w:val="0089357B"/>
    <w:rsid w:val="008938F2"/>
    <w:rsid w:val="00896235"/>
    <w:rsid w:val="008966CB"/>
    <w:rsid w:val="008977FD"/>
    <w:rsid w:val="00897CB5"/>
    <w:rsid w:val="00897FC6"/>
    <w:rsid w:val="008A1CFD"/>
    <w:rsid w:val="008A20C3"/>
    <w:rsid w:val="008A309A"/>
    <w:rsid w:val="008A3E02"/>
    <w:rsid w:val="008A4057"/>
    <w:rsid w:val="008A4137"/>
    <w:rsid w:val="008A472A"/>
    <w:rsid w:val="008B4357"/>
    <w:rsid w:val="008B487E"/>
    <w:rsid w:val="008B4AD4"/>
    <w:rsid w:val="008B54F8"/>
    <w:rsid w:val="008B59A1"/>
    <w:rsid w:val="008B63BE"/>
    <w:rsid w:val="008B65D0"/>
    <w:rsid w:val="008C1D7A"/>
    <w:rsid w:val="008C43F3"/>
    <w:rsid w:val="008C459B"/>
    <w:rsid w:val="008C4B37"/>
    <w:rsid w:val="008C6A0D"/>
    <w:rsid w:val="008C73DC"/>
    <w:rsid w:val="008D0C1D"/>
    <w:rsid w:val="008D1707"/>
    <w:rsid w:val="008D182E"/>
    <w:rsid w:val="008D54AC"/>
    <w:rsid w:val="008E0E30"/>
    <w:rsid w:val="008E13C8"/>
    <w:rsid w:val="008E5179"/>
    <w:rsid w:val="008E6279"/>
    <w:rsid w:val="008E6CDE"/>
    <w:rsid w:val="008E6D96"/>
    <w:rsid w:val="008F0038"/>
    <w:rsid w:val="008F0317"/>
    <w:rsid w:val="008F089D"/>
    <w:rsid w:val="008F2151"/>
    <w:rsid w:val="008F2BC6"/>
    <w:rsid w:val="008F2E42"/>
    <w:rsid w:val="008F330B"/>
    <w:rsid w:val="008F36E7"/>
    <w:rsid w:val="008F5139"/>
    <w:rsid w:val="008F5EB5"/>
    <w:rsid w:val="008F6389"/>
    <w:rsid w:val="008F63C0"/>
    <w:rsid w:val="00900199"/>
    <w:rsid w:val="009019B6"/>
    <w:rsid w:val="00904B49"/>
    <w:rsid w:val="0090613E"/>
    <w:rsid w:val="00906EA0"/>
    <w:rsid w:val="00915820"/>
    <w:rsid w:val="009158A3"/>
    <w:rsid w:val="00920CBF"/>
    <w:rsid w:val="00922963"/>
    <w:rsid w:val="00923B1C"/>
    <w:rsid w:val="00923DD3"/>
    <w:rsid w:val="0092441F"/>
    <w:rsid w:val="00926028"/>
    <w:rsid w:val="00926CF3"/>
    <w:rsid w:val="009270C6"/>
    <w:rsid w:val="009308A7"/>
    <w:rsid w:val="00932198"/>
    <w:rsid w:val="00935403"/>
    <w:rsid w:val="00935F6C"/>
    <w:rsid w:val="00940EA4"/>
    <w:rsid w:val="00945389"/>
    <w:rsid w:val="00946962"/>
    <w:rsid w:val="009473E9"/>
    <w:rsid w:val="00950FDA"/>
    <w:rsid w:val="00951088"/>
    <w:rsid w:val="009549D9"/>
    <w:rsid w:val="00955866"/>
    <w:rsid w:val="009577E9"/>
    <w:rsid w:val="00960659"/>
    <w:rsid w:val="0096071E"/>
    <w:rsid w:val="00961C5B"/>
    <w:rsid w:val="009624E8"/>
    <w:rsid w:val="0096260C"/>
    <w:rsid w:val="0096400D"/>
    <w:rsid w:val="0097569B"/>
    <w:rsid w:val="0098328E"/>
    <w:rsid w:val="00984560"/>
    <w:rsid w:val="0098540B"/>
    <w:rsid w:val="00986678"/>
    <w:rsid w:val="009909DA"/>
    <w:rsid w:val="00992B0E"/>
    <w:rsid w:val="00995A23"/>
    <w:rsid w:val="00997669"/>
    <w:rsid w:val="009A1174"/>
    <w:rsid w:val="009A1E4D"/>
    <w:rsid w:val="009A2922"/>
    <w:rsid w:val="009A2948"/>
    <w:rsid w:val="009A2A40"/>
    <w:rsid w:val="009A2B01"/>
    <w:rsid w:val="009A319F"/>
    <w:rsid w:val="009A3B5F"/>
    <w:rsid w:val="009A3D28"/>
    <w:rsid w:val="009A4AD5"/>
    <w:rsid w:val="009A4BBC"/>
    <w:rsid w:val="009A4C12"/>
    <w:rsid w:val="009A4E71"/>
    <w:rsid w:val="009A58E1"/>
    <w:rsid w:val="009A664D"/>
    <w:rsid w:val="009A69C4"/>
    <w:rsid w:val="009A6B0D"/>
    <w:rsid w:val="009A7308"/>
    <w:rsid w:val="009A7523"/>
    <w:rsid w:val="009B0164"/>
    <w:rsid w:val="009B1F9F"/>
    <w:rsid w:val="009B3D06"/>
    <w:rsid w:val="009B5278"/>
    <w:rsid w:val="009B5826"/>
    <w:rsid w:val="009B68DA"/>
    <w:rsid w:val="009C01CC"/>
    <w:rsid w:val="009C2BBF"/>
    <w:rsid w:val="009C3B9A"/>
    <w:rsid w:val="009C4D0E"/>
    <w:rsid w:val="009C7283"/>
    <w:rsid w:val="009D0E27"/>
    <w:rsid w:val="009D243B"/>
    <w:rsid w:val="009D2BB8"/>
    <w:rsid w:val="009D4387"/>
    <w:rsid w:val="009D50CD"/>
    <w:rsid w:val="009D5114"/>
    <w:rsid w:val="009D6F41"/>
    <w:rsid w:val="009D7EC8"/>
    <w:rsid w:val="009E07CA"/>
    <w:rsid w:val="009E1C0D"/>
    <w:rsid w:val="009E1EDA"/>
    <w:rsid w:val="009E4E17"/>
    <w:rsid w:val="009E5150"/>
    <w:rsid w:val="009E5346"/>
    <w:rsid w:val="009E5A4E"/>
    <w:rsid w:val="009F16D0"/>
    <w:rsid w:val="009F2453"/>
    <w:rsid w:val="009F2A4D"/>
    <w:rsid w:val="009F32FC"/>
    <w:rsid w:val="009F5C27"/>
    <w:rsid w:val="00A0045D"/>
    <w:rsid w:val="00A009A4"/>
    <w:rsid w:val="00A0115D"/>
    <w:rsid w:val="00A03A07"/>
    <w:rsid w:val="00A03F13"/>
    <w:rsid w:val="00A044F7"/>
    <w:rsid w:val="00A062C6"/>
    <w:rsid w:val="00A0747A"/>
    <w:rsid w:val="00A0776A"/>
    <w:rsid w:val="00A119AF"/>
    <w:rsid w:val="00A13C34"/>
    <w:rsid w:val="00A1434C"/>
    <w:rsid w:val="00A1631A"/>
    <w:rsid w:val="00A16FD4"/>
    <w:rsid w:val="00A177E9"/>
    <w:rsid w:val="00A206D7"/>
    <w:rsid w:val="00A20951"/>
    <w:rsid w:val="00A21DE1"/>
    <w:rsid w:val="00A24895"/>
    <w:rsid w:val="00A25439"/>
    <w:rsid w:val="00A26C44"/>
    <w:rsid w:val="00A32804"/>
    <w:rsid w:val="00A330EC"/>
    <w:rsid w:val="00A364E0"/>
    <w:rsid w:val="00A36FE4"/>
    <w:rsid w:val="00A375C6"/>
    <w:rsid w:val="00A37EF6"/>
    <w:rsid w:val="00A43EC8"/>
    <w:rsid w:val="00A45734"/>
    <w:rsid w:val="00A468D7"/>
    <w:rsid w:val="00A5274B"/>
    <w:rsid w:val="00A53AB7"/>
    <w:rsid w:val="00A55494"/>
    <w:rsid w:val="00A554EB"/>
    <w:rsid w:val="00A561E9"/>
    <w:rsid w:val="00A56A63"/>
    <w:rsid w:val="00A56F00"/>
    <w:rsid w:val="00A56F2A"/>
    <w:rsid w:val="00A639D5"/>
    <w:rsid w:val="00A641B4"/>
    <w:rsid w:val="00A64A9E"/>
    <w:rsid w:val="00A7318A"/>
    <w:rsid w:val="00A74C69"/>
    <w:rsid w:val="00A769E0"/>
    <w:rsid w:val="00A76F45"/>
    <w:rsid w:val="00A776CC"/>
    <w:rsid w:val="00A77789"/>
    <w:rsid w:val="00A77875"/>
    <w:rsid w:val="00A805BB"/>
    <w:rsid w:val="00A8150E"/>
    <w:rsid w:val="00A817BB"/>
    <w:rsid w:val="00A84181"/>
    <w:rsid w:val="00A85229"/>
    <w:rsid w:val="00A861A6"/>
    <w:rsid w:val="00A868C3"/>
    <w:rsid w:val="00A93EE4"/>
    <w:rsid w:val="00A948D0"/>
    <w:rsid w:val="00A97C00"/>
    <w:rsid w:val="00AA0E00"/>
    <w:rsid w:val="00AA209B"/>
    <w:rsid w:val="00AA241F"/>
    <w:rsid w:val="00AA2A3D"/>
    <w:rsid w:val="00AA349D"/>
    <w:rsid w:val="00AA4719"/>
    <w:rsid w:val="00AB1156"/>
    <w:rsid w:val="00AB44C6"/>
    <w:rsid w:val="00AB468D"/>
    <w:rsid w:val="00AB6181"/>
    <w:rsid w:val="00AB6D99"/>
    <w:rsid w:val="00AB7114"/>
    <w:rsid w:val="00AC560E"/>
    <w:rsid w:val="00AC5F49"/>
    <w:rsid w:val="00AC686B"/>
    <w:rsid w:val="00AC7B7A"/>
    <w:rsid w:val="00AD0A38"/>
    <w:rsid w:val="00AD1052"/>
    <w:rsid w:val="00AD125D"/>
    <w:rsid w:val="00AD2039"/>
    <w:rsid w:val="00AD3150"/>
    <w:rsid w:val="00AD315E"/>
    <w:rsid w:val="00AD33AC"/>
    <w:rsid w:val="00AD388F"/>
    <w:rsid w:val="00AD4F6B"/>
    <w:rsid w:val="00AD558F"/>
    <w:rsid w:val="00AD562E"/>
    <w:rsid w:val="00AD5F27"/>
    <w:rsid w:val="00AD6CD4"/>
    <w:rsid w:val="00AD6D7A"/>
    <w:rsid w:val="00AD780E"/>
    <w:rsid w:val="00AE0AEA"/>
    <w:rsid w:val="00AE130D"/>
    <w:rsid w:val="00AE14BB"/>
    <w:rsid w:val="00AE2CDE"/>
    <w:rsid w:val="00AE47D0"/>
    <w:rsid w:val="00AE47D6"/>
    <w:rsid w:val="00AE632A"/>
    <w:rsid w:val="00AF0215"/>
    <w:rsid w:val="00AF1B99"/>
    <w:rsid w:val="00AF2E66"/>
    <w:rsid w:val="00AF49DB"/>
    <w:rsid w:val="00AF58B1"/>
    <w:rsid w:val="00AF598C"/>
    <w:rsid w:val="00B03CEB"/>
    <w:rsid w:val="00B046E5"/>
    <w:rsid w:val="00B05114"/>
    <w:rsid w:val="00B0681D"/>
    <w:rsid w:val="00B11202"/>
    <w:rsid w:val="00B132C0"/>
    <w:rsid w:val="00B14BE6"/>
    <w:rsid w:val="00B15BD4"/>
    <w:rsid w:val="00B163BF"/>
    <w:rsid w:val="00B17022"/>
    <w:rsid w:val="00B175E1"/>
    <w:rsid w:val="00B20DB8"/>
    <w:rsid w:val="00B217FF"/>
    <w:rsid w:val="00B30162"/>
    <w:rsid w:val="00B31486"/>
    <w:rsid w:val="00B32E94"/>
    <w:rsid w:val="00B35045"/>
    <w:rsid w:val="00B36FF2"/>
    <w:rsid w:val="00B375A1"/>
    <w:rsid w:val="00B425FA"/>
    <w:rsid w:val="00B428C4"/>
    <w:rsid w:val="00B46072"/>
    <w:rsid w:val="00B46CEF"/>
    <w:rsid w:val="00B47A0A"/>
    <w:rsid w:val="00B50D4E"/>
    <w:rsid w:val="00B51502"/>
    <w:rsid w:val="00B522A6"/>
    <w:rsid w:val="00B523BC"/>
    <w:rsid w:val="00B527E3"/>
    <w:rsid w:val="00B52F8A"/>
    <w:rsid w:val="00B53DD9"/>
    <w:rsid w:val="00B53FD2"/>
    <w:rsid w:val="00B54F4B"/>
    <w:rsid w:val="00B55A1D"/>
    <w:rsid w:val="00B55C15"/>
    <w:rsid w:val="00B55C37"/>
    <w:rsid w:val="00B56A87"/>
    <w:rsid w:val="00B57565"/>
    <w:rsid w:val="00B576F8"/>
    <w:rsid w:val="00B63871"/>
    <w:rsid w:val="00B65E27"/>
    <w:rsid w:val="00B66B05"/>
    <w:rsid w:val="00B70F57"/>
    <w:rsid w:val="00B716B3"/>
    <w:rsid w:val="00B71731"/>
    <w:rsid w:val="00B7268E"/>
    <w:rsid w:val="00B72FAF"/>
    <w:rsid w:val="00B838FE"/>
    <w:rsid w:val="00B85961"/>
    <w:rsid w:val="00B85DDB"/>
    <w:rsid w:val="00B87646"/>
    <w:rsid w:val="00B94553"/>
    <w:rsid w:val="00B94F94"/>
    <w:rsid w:val="00B9542E"/>
    <w:rsid w:val="00B96B9C"/>
    <w:rsid w:val="00B96BF6"/>
    <w:rsid w:val="00B9704B"/>
    <w:rsid w:val="00BA0CEF"/>
    <w:rsid w:val="00BA1CEF"/>
    <w:rsid w:val="00BA1E4C"/>
    <w:rsid w:val="00BA2209"/>
    <w:rsid w:val="00BA3E17"/>
    <w:rsid w:val="00BA435C"/>
    <w:rsid w:val="00BA5AA7"/>
    <w:rsid w:val="00BA7C4D"/>
    <w:rsid w:val="00BB2D68"/>
    <w:rsid w:val="00BB32E6"/>
    <w:rsid w:val="00BB44BB"/>
    <w:rsid w:val="00BB6852"/>
    <w:rsid w:val="00BB73D1"/>
    <w:rsid w:val="00BB73F0"/>
    <w:rsid w:val="00BC1EAF"/>
    <w:rsid w:val="00BC3940"/>
    <w:rsid w:val="00BC3F82"/>
    <w:rsid w:val="00BC4230"/>
    <w:rsid w:val="00BD2189"/>
    <w:rsid w:val="00BD3713"/>
    <w:rsid w:val="00BD58E5"/>
    <w:rsid w:val="00BD5911"/>
    <w:rsid w:val="00BD69EA"/>
    <w:rsid w:val="00BE07DA"/>
    <w:rsid w:val="00BE0A9C"/>
    <w:rsid w:val="00BE10D4"/>
    <w:rsid w:val="00BE1C9D"/>
    <w:rsid w:val="00BE4364"/>
    <w:rsid w:val="00BE48E0"/>
    <w:rsid w:val="00BE6747"/>
    <w:rsid w:val="00BE6F47"/>
    <w:rsid w:val="00BF12E0"/>
    <w:rsid w:val="00BF33FA"/>
    <w:rsid w:val="00BF5300"/>
    <w:rsid w:val="00BF6320"/>
    <w:rsid w:val="00BF6400"/>
    <w:rsid w:val="00BF6CD5"/>
    <w:rsid w:val="00BF7DFB"/>
    <w:rsid w:val="00BF7FCC"/>
    <w:rsid w:val="00C00649"/>
    <w:rsid w:val="00C00817"/>
    <w:rsid w:val="00C01918"/>
    <w:rsid w:val="00C02AD3"/>
    <w:rsid w:val="00C02FC9"/>
    <w:rsid w:val="00C11DBA"/>
    <w:rsid w:val="00C150DD"/>
    <w:rsid w:val="00C16903"/>
    <w:rsid w:val="00C17BB5"/>
    <w:rsid w:val="00C22237"/>
    <w:rsid w:val="00C2398A"/>
    <w:rsid w:val="00C23EED"/>
    <w:rsid w:val="00C25D27"/>
    <w:rsid w:val="00C26679"/>
    <w:rsid w:val="00C278F1"/>
    <w:rsid w:val="00C32237"/>
    <w:rsid w:val="00C326FB"/>
    <w:rsid w:val="00C3695E"/>
    <w:rsid w:val="00C41204"/>
    <w:rsid w:val="00C41498"/>
    <w:rsid w:val="00C41818"/>
    <w:rsid w:val="00C43BAA"/>
    <w:rsid w:val="00C45404"/>
    <w:rsid w:val="00C5023B"/>
    <w:rsid w:val="00C5357B"/>
    <w:rsid w:val="00C53DCB"/>
    <w:rsid w:val="00C578E6"/>
    <w:rsid w:val="00C60316"/>
    <w:rsid w:val="00C61D64"/>
    <w:rsid w:val="00C61DBC"/>
    <w:rsid w:val="00C638DC"/>
    <w:rsid w:val="00C63EFE"/>
    <w:rsid w:val="00C660A5"/>
    <w:rsid w:val="00C661D5"/>
    <w:rsid w:val="00C7043F"/>
    <w:rsid w:val="00C70F65"/>
    <w:rsid w:val="00C718CF"/>
    <w:rsid w:val="00C73348"/>
    <w:rsid w:val="00C73F56"/>
    <w:rsid w:val="00C75AB8"/>
    <w:rsid w:val="00C773C3"/>
    <w:rsid w:val="00C8036F"/>
    <w:rsid w:val="00C808DC"/>
    <w:rsid w:val="00C81C63"/>
    <w:rsid w:val="00C91B81"/>
    <w:rsid w:val="00C94FA6"/>
    <w:rsid w:val="00C95DE4"/>
    <w:rsid w:val="00C972ED"/>
    <w:rsid w:val="00CA0255"/>
    <w:rsid w:val="00CA0811"/>
    <w:rsid w:val="00CA2CC8"/>
    <w:rsid w:val="00CA5BCC"/>
    <w:rsid w:val="00CA6EC9"/>
    <w:rsid w:val="00CB0A6A"/>
    <w:rsid w:val="00CB4720"/>
    <w:rsid w:val="00CB54C3"/>
    <w:rsid w:val="00CB5FC2"/>
    <w:rsid w:val="00CB6542"/>
    <w:rsid w:val="00CC1917"/>
    <w:rsid w:val="00CC2647"/>
    <w:rsid w:val="00CC2DB9"/>
    <w:rsid w:val="00CC3449"/>
    <w:rsid w:val="00CC39B6"/>
    <w:rsid w:val="00CC40EE"/>
    <w:rsid w:val="00CC50F5"/>
    <w:rsid w:val="00CC6C35"/>
    <w:rsid w:val="00CC7DC2"/>
    <w:rsid w:val="00CD077C"/>
    <w:rsid w:val="00CD2CEF"/>
    <w:rsid w:val="00CD43DB"/>
    <w:rsid w:val="00CD46AC"/>
    <w:rsid w:val="00CD630E"/>
    <w:rsid w:val="00CD6EC5"/>
    <w:rsid w:val="00CE332F"/>
    <w:rsid w:val="00CE49C9"/>
    <w:rsid w:val="00CE4D9A"/>
    <w:rsid w:val="00CF1222"/>
    <w:rsid w:val="00CF2311"/>
    <w:rsid w:val="00CF3F4C"/>
    <w:rsid w:val="00CF4F4A"/>
    <w:rsid w:val="00CF5AF7"/>
    <w:rsid w:val="00CF77A4"/>
    <w:rsid w:val="00D01644"/>
    <w:rsid w:val="00D01B00"/>
    <w:rsid w:val="00D01C1B"/>
    <w:rsid w:val="00D05836"/>
    <w:rsid w:val="00D05CD7"/>
    <w:rsid w:val="00D06BC9"/>
    <w:rsid w:val="00D1076A"/>
    <w:rsid w:val="00D10B7D"/>
    <w:rsid w:val="00D12C53"/>
    <w:rsid w:val="00D142ED"/>
    <w:rsid w:val="00D14661"/>
    <w:rsid w:val="00D1511B"/>
    <w:rsid w:val="00D1600E"/>
    <w:rsid w:val="00D16337"/>
    <w:rsid w:val="00D1746D"/>
    <w:rsid w:val="00D17F05"/>
    <w:rsid w:val="00D20D9E"/>
    <w:rsid w:val="00D21310"/>
    <w:rsid w:val="00D22185"/>
    <w:rsid w:val="00D23D16"/>
    <w:rsid w:val="00D2427E"/>
    <w:rsid w:val="00D26809"/>
    <w:rsid w:val="00D341C8"/>
    <w:rsid w:val="00D3470E"/>
    <w:rsid w:val="00D3517F"/>
    <w:rsid w:val="00D35917"/>
    <w:rsid w:val="00D40AFA"/>
    <w:rsid w:val="00D417A4"/>
    <w:rsid w:val="00D41BB3"/>
    <w:rsid w:val="00D41CFB"/>
    <w:rsid w:val="00D4334F"/>
    <w:rsid w:val="00D45C11"/>
    <w:rsid w:val="00D46215"/>
    <w:rsid w:val="00D46245"/>
    <w:rsid w:val="00D47C17"/>
    <w:rsid w:val="00D504ED"/>
    <w:rsid w:val="00D506F0"/>
    <w:rsid w:val="00D5071E"/>
    <w:rsid w:val="00D512A8"/>
    <w:rsid w:val="00D534A4"/>
    <w:rsid w:val="00D54009"/>
    <w:rsid w:val="00D5583B"/>
    <w:rsid w:val="00D56B61"/>
    <w:rsid w:val="00D56F7F"/>
    <w:rsid w:val="00D5712F"/>
    <w:rsid w:val="00D57885"/>
    <w:rsid w:val="00D60171"/>
    <w:rsid w:val="00D62636"/>
    <w:rsid w:val="00D63B24"/>
    <w:rsid w:val="00D66881"/>
    <w:rsid w:val="00D67694"/>
    <w:rsid w:val="00D67A2F"/>
    <w:rsid w:val="00D67F5C"/>
    <w:rsid w:val="00D708A0"/>
    <w:rsid w:val="00D71E62"/>
    <w:rsid w:val="00D72A80"/>
    <w:rsid w:val="00D7399E"/>
    <w:rsid w:val="00D740CF"/>
    <w:rsid w:val="00D7578E"/>
    <w:rsid w:val="00D7767F"/>
    <w:rsid w:val="00D77B0E"/>
    <w:rsid w:val="00D829BE"/>
    <w:rsid w:val="00D8305E"/>
    <w:rsid w:val="00D83FEF"/>
    <w:rsid w:val="00D854C4"/>
    <w:rsid w:val="00D85FB8"/>
    <w:rsid w:val="00D8676A"/>
    <w:rsid w:val="00D868C2"/>
    <w:rsid w:val="00D86C0F"/>
    <w:rsid w:val="00D8738E"/>
    <w:rsid w:val="00D903C6"/>
    <w:rsid w:val="00D90824"/>
    <w:rsid w:val="00D91381"/>
    <w:rsid w:val="00D91ECD"/>
    <w:rsid w:val="00D929FB"/>
    <w:rsid w:val="00D93AD6"/>
    <w:rsid w:val="00D94A61"/>
    <w:rsid w:val="00D94BF9"/>
    <w:rsid w:val="00D95209"/>
    <w:rsid w:val="00D97718"/>
    <w:rsid w:val="00DA22B0"/>
    <w:rsid w:val="00DA4519"/>
    <w:rsid w:val="00DA572A"/>
    <w:rsid w:val="00DA63EC"/>
    <w:rsid w:val="00DB063E"/>
    <w:rsid w:val="00DB0C47"/>
    <w:rsid w:val="00DB3CAB"/>
    <w:rsid w:val="00DB4128"/>
    <w:rsid w:val="00DB4BF8"/>
    <w:rsid w:val="00DB5986"/>
    <w:rsid w:val="00DB5E10"/>
    <w:rsid w:val="00DB6F1F"/>
    <w:rsid w:val="00DB70EF"/>
    <w:rsid w:val="00DB7B56"/>
    <w:rsid w:val="00DB7B6B"/>
    <w:rsid w:val="00DB7F28"/>
    <w:rsid w:val="00DC35DD"/>
    <w:rsid w:val="00DC3CF1"/>
    <w:rsid w:val="00DC6535"/>
    <w:rsid w:val="00DC78D2"/>
    <w:rsid w:val="00DC78D9"/>
    <w:rsid w:val="00DC78F8"/>
    <w:rsid w:val="00DD1D73"/>
    <w:rsid w:val="00DD1F07"/>
    <w:rsid w:val="00DD2556"/>
    <w:rsid w:val="00DD407B"/>
    <w:rsid w:val="00DD6814"/>
    <w:rsid w:val="00DE0B69"/>
    <w:rsid w:val="00DE0F84"/>
    <w:rsid w:val="00DE3590"/>
    <w:rsid w:val="00DE38B5"/>
    <w:rsid w:val="00DE452F"/>
    <w:rsid w:val="00DE48B0"/>
    <w:rsid w:val="00DE597F"/>
    <w:rsid w:val="00DF2A73"/>
    <w:rsid w:val="00DF3ABD"/>
    <w:rsid w:val="00DF5354"/>
    <w:rsid w:val="00DF675B"/>
    <w:rsid w:val="00E00AA7"/>
    <w:rsid w:val="00E00E97"/>
    <w:rsid w:val="00E01581"/>
    <w:rsid w:val="00E01875"/>
    <w:rsid w:val="00E0191E"/>
    <w:rsid w:val="00E020FE"/>
    <w:rsid w:val="00E02274"/>
    <w:rsid w:val="00E02747"/>
    <w:rsid w:val="00E0418C"/>
    <w:rsid w:val="00E044C5"/>
    <w:rsid w:val="00E05154"/>
    <w:rsid w:val="00E05218"/>
    <w:rsid w:val="00E07165"/>
    <w:rsid w:val="00E121A5"/>
    <w:rsid w:val="00E14D57"/>
    <w:rsid w:val="00E17896"/>
    <w:rsid w:val="00E20B99"/>
    <w:rsid w:val="00E21739"/>
    <w:rsid w:val="00E21FA0"/>
    <w:rsid w:val="00E2483C"/>
    <w:rsid w:val="00E24C88"/>
    <w:rsid w:val="00E26116"/>
    <w:rsid w:val="00E2625F"/>
    <w:rsid w:val="00E31BBD"/>
    <w:rsid w:val="00E31EDE"/>
    <w:rsid w:val="00E32D79"/>
    <w:rsid w:val="00E344BE"/>
    <w:rsid w:val="00E34E4D"/>
    <w:rsid w:val="00E36C63"/>
    <w:rsid w:val="00E37DCF"/>
    <w:rsid w:val="00E4156F"/>
    <w:rsid w:val="00E423E1"/>
    <w:rsid w:val="00E42B39"/>
    <w:rsid w:val="00E42EFA"/>
    <w:rsid w:val="00E44792"/>
    <w:rsid w:val="00E468EC"/>
    <w:rsid w:val="00E46920"/>
    <w:rsid w:val="00E47B70"/>
    <w:rsid w:val="00E51A5E"/>
    <w:rsid w:val="00E533FE"/>
    <w:rsid w:val="00E539F7"/>
    <w:rsid w:val="00E558BA"/>
    <w:rsid w:val="00E57A67"/>
    <w:rsid w:val="00E66233"/>
    <w:rsid w:val="00E666CC"/>
    <w:rsid w:val="00E66B52"/>
    <w:rsid w:val="00E67EB0"/>
    <w:rsid w:val="00E70091"/>
    <w:rsid w:val="00E7034F"/>
    <w:rsid w:val="00E707FB"/>
    <w:rsid w:val="00E716EC"/>
    <w:rsid w:val="00E73FF6"/>
    <w:rsid w:val="00E74842"/>
    <w:rsid w:val="00E80023"/>
    <w:rsid w:val="00E83827"/>
    <w:rsid w:val="00E8422F"/>
    <w:rsid w:val="00E92375"/>
    <w:rsid w:val="00E93539"/>
    <w:rsid w:val="00E94A2B"/>
    <w:rsid w:val="00E95216"/>
    <w:rsid w:val="00EA0E9C"/>
    <w:rsid w:val="00EA1251"/>
    <w:rsid w:val="00EA1B96"/>
    <w:rsid w:val="00EA2838"/>
    <w:rsid w:val="00EA2E4C"/>
    <w:rsid w:val="00EA5EED"/>
    <w:rsid w:val="00EA6A7E"/>
    <w:rsid w:val="00EA6B12"/>
    <w:rsid w:val="00EB0DAC"/>
    <w:rsid w:val="00EB4C1D"/>
    <w:rsid w:val="00EB5935"/>
    <w:rsid w:val="00EB77C8"/>
    <w:rsid w:val="00EC081C"/>
    <w:rsid w:val="00EC18DE"/>
    <w:rsid w:val="00EC2140"/>
    <w:rsid w:val="00EC2DBE"/>
    <w:rsid w:val="00EC4822"/>
    <w:rsid w:val="00EC5085"/>
    <w:rsid w:val="00EC6C35"/>
    <w:rsid w:val="00EC6C51"/>
    <w:rsid w:val="00ED30A7"/>
    <w:rsid w:val="00ED4A34"/>
    <w:rsid w:val="00ED4EC1"/>
    <w:rsid w:val="00ED574F"/>
    <w:rsid w:val="00EE2954"/>
    <w:rsid w:val="00EE357C"/>
    <w:rsid w:val="00EE367B"/>
    <w:rsid w:val="00EE5700"/>
    <w:rsid w:val="00EE5A98"/>
    <w:rsid w:val="00EF0E1E"/>
    <w:rsid w:val="00EF0FE0"/>
    <w:rsid w:val="00EF17A6"/>
    <w:rsid w:val="00EF2D8C"/>
    <w:rsid w:val="00EF3DA8"/>
    <w:rsid w:val="00EF4330"/>
    <w:rsid w:val="00EF489A"/>
    <w:rsid w:val="00EF712F"/>
    <w:rsid w:val="00F007DB"/>
    <w:rsid w:val="00F027D8"/>
    <w:rsid w:val="00F02F6E"/>
    <w:rsid w:val="00F059F0"/>
    <w:rsid w:val="00F06CB6"/>
    <w:rsid w:val="00F1012D"/>
    <w:rsid w:val="00F10A68"/>
    <w:rsid w:val="00F124DF"/>
    <w:rsid w:val="00F13642"/>
    <w:rsid w:val="00F15562"/>
    <w:rsid w:val="00F16C00"/>
    <w:rsid w:val="00F17761"/>
    <w:rsid w:val="00F215C9"/>
    <w:rsid w:val="00F22F90"/>
    <w:rsid w:val="00F23CE3"/>
    <w:rsid w:val="00F23FD0"/>
    <w:rsid w:val="00F25F0E"/>
    <w:rsid w:val="00F262CA"/>
    <w:rsid w:val="00F26814"/>
    <w:rsid w:val="00F303C6"/>
    <w:rsid w:val="00F3290F"/>
    <w:rsid w:val="00F34A0B"/>
    <w:rsid w:val="00F34C63"/>
    <w:rsid w:val="00F3640E"/>
    <w:rsid w:val="00F36A84"/>
    <w:rsid w:val="00F41558"/>
    <w:rsid w:val="00F424DB"/>
    <w:rsid w:val="00F4293C"/>
    <w:rsid w:val="00F42A53"/>
    <w:rsid w:val="00F43185"/>
    <w:rsid w:val="00F4762F"/>
    <w:rsid w:val="00F478BD"/>
    <w:rsid w:val="00F53B2D"/>
    <w:rsid w:val="00F56E4E"/>
    <w:rsid w:val="00F573D0"/>
    <w:rsid w:val="00F57C7B"/>
    <w:rsid w:val="00F61A99"/>
    <w:rsid w:val="00F61BD5"/>
    <w:rsid w:val="00F63699"/>
    <w:rsid w:val="00F63F46"/>
    <w:rsid w:val="00F64770"/>
    <w:rsid w:val="00F6532C"/>
    <w:rsid w:val="00F662D5"/>
    <w:rsid w:val="00F671BF"/>
    <w:rsid w:val="00F673C1"/>
    <w:rsid w:val="00F71537"/>
    <w:rsid w:val="00F71B7C"/>
    <w:rsid w:val="00F72AB5"/>
    <w:rsid w:val="00F73CC7"/>
    <w:rsid w:val="00F77232"/>
    <w:rsid w:val="00F84EFB"/>
    <w:rsid w:val="00F86309"/>
    <w:rsid w:val="00F866B6"/>
    <w:rsid w:val="00F86D0E"/>
    <w:rsid w:val="00F92DE8"/>
    <w:rsid w:val="00F94543"/>
    <w:rsid w:val="00F950EC"/>
    <w:rsid w:val="00F95AB1"/>
    <w:rsid w:val="00F95B20"/>
    <w:rsid w:val="00F962E3"/>
    <w:rsid w:val="00F9687C"/>
    <w:rsid w:val="00F97BD9"/>
    <w:rsid w:val="00FA1941"/>
    <w:rsid w:val="00FA2ABB"/>
    <w:rsid w:val="00FA4468"/>
    <w:rsid w:val="00FA4A7B"/>
    <w:rsid w:val="00FA75D9"/>
    <w:rsid w:val="00FA7CE0"/>
    <w:rsid w:val="00FB07E7"/>
    <w:rsid w:val="00FB0CBC"/>
    <w:rsid w:val="00FB1512"/>
    <w:rsid w:val="00FB1676"/>
    <w:rsid w:val="00FB3451"/>
    <w:rsid w:val="00FB4210"/>
    <w:rsid w:val="00FB6EE4"/>
    <w:rsid w:val="00FB72DF"/>
    <w:rsid w:val="00FB78D2"/>
    <w:rsid w:val="00FB7DCE"/>
    <w:rsid w:val="00FC066A"/>
    <w:rsid w:val="00FC44F5"/>
    <w:rsid w:val="00FC4B99"/>
    <w:rsid w:val="00FC4F58"/>
    <w:rsid w:val="00FD12D5"/>
    <w:rsid w:val="00FD217A"/>
    <w:rsid w:val="00FD3608"/>
    <w:rsid w:val="00FD7701"/>
    <w:rsid w:val="00FE1C38"/>
    <w:rsid w:val="00FE27A3"/>
    <w:rsid w:val="00FE290A"/>
    <w:rsid w:val="00FE383B"/>
    <w:rsid w:val="00FE4517"/>
    <w:rsid w:val="00FE4D52"/>
    <w:rsid w:val="00FE6281"/>
    <w:rsid w:val="00FE6E46"/>
    <w:rsid w:val="00FF0D36"/>
    <w:rsid w:val="00FF130D"/>
    <w:rsid w:val="00FF1EA4"/>
    <w:rsid w:val="00FF2CF5"/>
    <w:rsid w:val="00FF53FD"/>
    <w:rsid w:val="00FF5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EC6C35"/>
    <w:pPr>
      <w:tabs>
        <w:tab w:val="center" w:pos="4153"/>
        <w:tab w:val="right" w:pos="8306"/>
      </w:tabs>
    </w:pPr>
  </w:style>
  <w:style w:type="character" w:customStyle="1" w:styleId="HeaderChar">
    <w:name w:val="Header Char"/>
    <w:basedOn w:val="DefaultParagraphFont"/>
    <w:link w:val="Header"/>
    <w:uiPriority w:val="99"/>
    <w:rsid w:val="00EC6C35"/>
    <w:rPr>
      <w:rFonts w:eastAsia="Times New Roman" w:cs="Times New Roman"/>
      <w:szCs w:val="24"/>
      <w:lang w:val="lv-LV" w:eastAsia="ru-RU"/>
    </w:rPr>
  </w:style>
  <w:style w:type="paragraph" w:styleId="Footer">
    <w:name w:val="footer"/>
    <w:basedOn w:val="Normal"/>
    <w:link w:val="FooterChar"/>
    <w:uiPriority w:val="99"/>
    <w:unhideWhenUsed/>
    <w:rsid w:val="00EC6C35"/>
    <w:pPr>
      <w:tabs>
        <w:tab w:val="center" w:pos="4153"/>
        <w:tab w:val="right" w:pos="8306"/>
      </w:tabs>
    </w:pPr>
  </w:style>
  <w:style w:type="character" w:customStyle="1" w:styleId="FooterChar">
    <w:name w:val="Footer Char"/>
    <w:basedOn w:val="DefaultParagraphFont"/>
    <w:link w:val="Footer"/>
    <w:uiPriority w:val="99"/>
    <w:rsid w:val="00EC6C35"/>
    <w:rPr>
      <w:rFonts w:eastAsia="Times New Roman" w:cs="Times New Roman"/>
      <w:szCs w:val="24"/>
      <w:lang w:val="lv-LV" w:eastAsia="ru-RU"/>
    </w:rPr>
  </w:style>
  <w:style w:type="character" w:styleId="Hyperlink">
    <w:name w:val="Hyperlink"/>
    <w:basedOn w:val="DefaultParagraphFont"/>
    <w:uiPriority w:val="99"/>
    <w:unhideWhenUsed/>
    <w:rsid w:val="0006272B"/>
    <w:rPr>
      <w:color w:val="0000FF"/>
      <w:u w:val="single"/>
    </w:rPr>
  </w:style>
  <w:style w:type="character" w:customStyle="1" w:styleId="highlight">
    <w:name w:val="highlight"/>
    <w:basedOn w:val="DefaultParagraphFont"/>
    <w:rsid w:val="00526033"/>
  </w:style>
  <w:style w:type="paragraph" w:styleId="ListParagraph">
    <w:name w:val="List Paragraph"/>
    <w:basedOn w:val="Normal"/>
    <w:uiPriority w:val="34"/>
    <w:qFormat/>
    <w:rsid w:val="0084199A"/>
    <w:pPr>
      <w:ind w:left="720"/>
      <w:contextualSpacing/>
    </w:pPr>
    <w:rPr>
      <w:lang w:eastAsia="lv-LV"/>
    </w:rPr>
  </w:style>
  <w:style w:type="character" w:styleId="UnresolvedMention">
    <w:name w:val="Unresolved Mention"/>
    <w:basedOn w:val="DefaultParagraphFont"/>
    <w:uiPriority w:val="99"/>
    <w:semiHidden/>
    <w:unhideWhenUsed/>
    <w:rsid w:val="00CD077C"/>
    <w:rPr>
      <w:color w:val="605E5C"/>
      <w:shd w:val="clear" w:color="auto" w:fill="E1DFDD"/>
    </w:rPr>
  </w:style>
  <w:style w:type="character" w:styleId="FollowedHyperlink">
    <w:name w:val="FollowedHyperlink"/>
    <w:basedOn w:val="DefaultParagraphFont"/>
    <w:uiPriority w:val="99"/>
    <w:semiHidden/>
    <w:unhideWhenUsed/>
    <w:rsid w:val="00CD077C"/>
    <w:rPr>
      <w:color w:val="954F72" w:themeColor="followedHyperlink"/>
      <w:u w:val="single"/>
    </w:rPr>
  </w:style>
  <w:style w:type="character" w:styleId="PageNumber">
    <w:name w:val="page number"/>
    <w:basedOn w:val="DefaultParagraphFont"/>
    <w:rsid w:val="004D01C4"/>
  </w:style>
  <w:style w:type="character" w:styleId="CommentReference">
    <w:name w:val="annotation reference"/>
    <w:basedOn w:val="DefaultParagraphFont"/>
    <w:unhideWhenUsed/>
    <w:rsid w:val="007E44AE"/>
    <w:rPr>
      <w:sz w:val="16"/>
      <w:szCs w:val="16"/>
    </w:rPr>
  </w:style>
  <w:style w:type="paragraph" w:styleId="CommentText">
    <w:name w:val="annotation text"/>
    <w:basedOn w:val="Normal"/>
    <w:link w:val="CommentTextChar"/>
    <w:unhideWhenUsed/>
    <w:rsid w:val="007E44AE"/>
    <w:rPr>
      <w:sz w:val="20"/>
      <w:szCs w:val="20"/>
    </w:rPr>
  </w:style>
  <w:style w:type="character" w:customStyle="1" w:styleId="CommentTextChar">
    <w:name w:val="Comment Text Char"/>
    <w:basedOn w:val="DefaultParagraphFont"/>
    <w:link w:val="CommentText"/>
    <w:rsid w:val="007E44A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7E44AE"/>
    <w:rPr>
      <w:b/>
      <w:bCs/>
    </w:rPr>
  </w:style>
  <w:style w:type="character" w:customStyle="1" w:styleId="CommentSubjectChar">
    <w:name w:val="Comment Subject Char"/>
    <w:basedOn w:val="CommentTextChar"/>
    <w:link w:val="CommentSubject"/>
    <w:uiPriority w:val="99"/>
    <w:semiHidden/>
    <w:rsid w:val="007E44AE"/>
    <w:rPr>
      <w:rFonts w:eastAsia="Times New Roman" w:cs="Times New Roman"/>
      <w:b/>
      <w:bCs/>
      <w:sz w:val="20"/>
      <w:szCs w:val="20"/>
      <w:lang w:val="lv-LV" w:eastAsia="ru-RU"/>
    </w:rPr>
  </w:style>
  <w:style w:type="paragraph" w:styleId="Revision">
    <w:name w:val="Revision"/>
    <w:hidden/>
    <w:uiPriority w:val="99"/>
    <w:semiHidden/>
    <w:rsid w:val="00FA75D9"/>
    <w:pPr>
      <w:spacing w:after="0" w:line="240" w:lineRule="auto"/>
    </w:pPr>
    <w:rPr>
      <w:rFonts w:eastAsia="Times New Roman" w:cs="Times New Roman"/>
      <w:szCs w:val="24"/>
      <w:lang w:val="lv-LV" w:eastAsia="ru-RU"/>
    </w:rPr>
  </w:style>
  <w:style w:type="character" w:customStyle="1" w:styleId="t3">
    <w:name w:val="t3"/>
    <w:basedOn w:val="DefaultParagraphFont"/>
    <w:rsid w:val="00FE27A3"/>
  </w:style>
  <w:style w:type="paragraph" w:customStyle="1" w:styleId="c01pointnumerotealtn">
    <w:name w:val="c01pointnumerotealtn"/>
    <w:basedOn w:val="Normal"/>
    <w:rsid w:val="00B9704B"/>
    <w:pPr>
      <w:spacing w:before="100" w:beforeAutospacing="1" w:after="100" w:afterAutospacing="1"/>
    </w:pPr>
    <w:rPr>
      <w:rFonts w:ascii="Calibri" w:eastAsiaTheme="minorHAnsi" w:hAnsi="Calibri" w:cs="Calibri"/>
      <w:sz w:val="22"/>
      <w:szCs w:val="22"/>
      <w:lang w:val="en-GB" w:eastAsia="en-GB"/>
    </w:rPr>
  </w:style>
  <w:style w:type="paragraph" w:customStyle="1" w:styleId="tv213">
    <w:name w:val="tv213"/>
    <w:basedOn w:val="Normal"/>
    <w:rsid w:val="00D417A4"/>
    <w:pPr>
      <w:spacing w:before="100" w:beforeAutospacing="1" w:after="100" w:afterAutospacing="1"/>
    </w:pPr>
    <w:rPr>
      <w:lang w:val="en-GB" w:eastAsia="en-GB"/>
    </w:rPr>
  </w:style>
  <w:style w:type="paragraph" w:customStyle="1" w:styleId="ti-art">
    <w:name w:val="ti-art"/>
    <w:basedOn w:val="Normal"/>
    <w:rsid w:val="001527BF"/>
    <w:pPr>
      <w:spacing w:before="100" w:beforeAutospacing="1" w:after="100" w:afterAutospacing="1"/>
    </w:pPr>
    <w:rPr>
      <w:lang w:val="en-GB" w:eastAsia="en-GB"/>
    </w:rPr>
  </w:style>
  <w:style w:type="paragraph" w:customStyle="1" w:styleId="sti-art">
    <w:name w:val="sti-art"/>
    <w:basedOn w:val="Normal"/>
    <w:rsid w:val="001527BF"/>
    <w:pPr>
      <w:spacing w:before="100" w:beforeAutospacing="1" w:after="100" w:afterAutospacing="1"/>
    </w:pPr>
    <w:rPr>
      <w:lang w:val="en-GB" w:eastAsia="en-GB"/>
    </w:rPr>
  </w:style>
  <w:style w:type="paragraph" w:customStyle="1" w:styleId="Normal1">
    <w:name w:val="Normal1"/>
    <w:basedOn w:val="Normal"/>
    <w:rsid w:val="001527BF"/>
    <w:pPr>
      <w:spacing w:before="100" w:beforeAutospacing="1" w:after="100" w:afterAutospacing="1"/>
    </w:pPr>
    <w:rPr>
      <w:lang w:val="en-GB" w:eastAsia="en-GB"/>
    </w:rPr>
  </w:style>
  <w:style w:type="character" w:customStyle="1" w:styleId="italic">
    <w:name w:val="italic"/>
    <w:basedOn w:val="DefaultParagraphFont"/>
    <w:rsid w:val="001527BF"/>
  </w:style>
  <w:style w:type="character" w:customStyle="1" w:styleId="super">
    <w:name w:val="super"/>
    <w:basedOn w:val="DefaultParagraphFont"/>
    <w:rsid w:val="001527BF"/>
  </w:style>
  <w:style w:type="character" w:customStyle="1" w:styleId="spelle">
    <w:name w:val="spelle"/>
    <w:basedOn w:val="DefaultParagraphFont"/>
    <w:rsid w:val="002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348635">
      <w:bodyDiv w:val="1"/>
      <w:marLeft w:val="0"/>
      <w:marRight w:val="0"/>
      <w:marTop w:val="0"/>
      <w:marBottom w:val="0"/>
      <w:divBdr>
        <w:top w:val="none" w:sz="0" w:space="0" w:color="auto"/>
        <w:left w:val="none" w:sz="0" w:space="0" w:color="auto"/>
        <w:bottom w:val="none" w:sz="0" w:space="0" w:color="auto"/>
        <w:right w:val="none" w:sz="0" w:space="0" w:color="auto"/>
      </w:divBdr>
    </w:div>
    <w:div w:id="530453796">
      <w:bodyDiv w:val="1"/>
      <w:marLeft w:val="0"/>
      <w:marRight w:val="0"/>
      <w:marTop w:val="0"/>
      <w:marBottom w:val="0"/>
      <w:divBdr>
        <w:top w:val="none" w:sz="0" w:space="0" w:color="auto"/>
        <w:left w:val="none" w:sz="0" w:space="0" w:color="auto"/>
        <w:bottom w:val="none" w:sz="0" w:space="0" w:color="auto"/>
        <w:right w:val="none" w:sz="0" w:space="0" w:color="auto"/>
      </w:divBdr>
    </w:div>
    <w:div w:id="575214611">
      <w:bodyDiv w:val="1"/>
      <w:marLeft w:val="0"/>
      <w:marRight w:val="0"/>
      <w:marTop w:val="0"/>
      <w:marBottom w:val="0"/>
      <w:divBdr>
        <w:top w:val="none" w:sz="0" w:space="0" w:color="auto"/>
        <w:left w:val="none" w:sz="0" w:space="0" w:color="auto"/>
        <w:bottom w:val="none" w:sz="0" w:space="0" w:color="auto"/>
        <w:right w:val="none" w:sz="0" w:space="0" w:color="auto"/>
      </w:divBdr>
    </w:div>
    <w:div w:id="604004268">
      <w:bodyDiv w:val="1"/>
      <w:marLeft w:val="0"/>
      <w:marRight w:val="0"/>
      <w:marTop w:val="0"/>
      <w:marBottom w:val="0"/>
      <w:divBdr>
        <w:top w:val="none" w:sz="0" w:space="0" w:color="auto"/>
        <w:left w:val="none" w:sz="0" w:space="0" w:color="auto"/>
        <w:bottom w:val="none" w:sz="0" w:space="0" w:color="auto"/>
        <w:right w:val="none" w:sz="0" w:space="0" w:color="auto"/>
      </w:divBdr>
    </w:div>
    <w:div w:id="619578268">
      <w:bodyDiv w:val="1"/>
      <w:marLeft w:val="0"/>
      <w:marRight w:val="0"/>
      <w:marTop w:val="0"/>
      <w:marBottom w:val="0"/>
      <w:divBdr>
        <w:top w:val="none" w:sz="0" w:space="0" w:color="auto"/>
        <w:left w:val="none" w:sz="0" w:space="0" w:color="auto"/>
        <w:bottom w:val="none" w:sz="0" w:space="0" w:color="auto"/>
        <w:right w:val="none" w:sz="0" w:space="0" w:color="auto"/>
      </w:divBdr>
    </w:div>
    <w:div w:id="657423127">
      <w:bodyDiv w:val="1"/>
      <w:marLeft w:val="0"/>
      <w:marRight w:val="0"/>
      <w:marTop w:val="0"/>
      <w:marBottom w:val="0"/>
      <w:divBdr>
        <w:top w:val="none" w:sz="0" w:space="0" w:color="auto"/>
        <w:left w:val="none" w:sz="0" w:space="0" w:color="auto"/>
        <w:bottom w:val="none" w:sz="0" w:space="0" w:color="auto"/>
        <w:right w:val="none" w:sz="0" w:space="0" w:color="auto"/>
      </w:divBdr>
      <w:divsChild>
        <w:div w:id="689066938">
          <w:marLeft w:val="418"/>
          <w:marRight w:val="0"/>
          <w:marTop w:val="0"/>
          <w:marBottom w:val="60"/>
          <w:divBdr>
            <w:top w:val="none" w:sz="0" w:space="0" w:color="auto"/>
            <w:left w:val="none" w:sz="0" w:space="0" w:color="auto"/>
            <w:bottom w:val="none" w:sz="0" w:space="0" w:color="auto"/>
            <w:right w:val="none" w:sz="0" w:space="0" w:color="auto"/>
          </w:divBdr>
        </w:div>
        <w:div w:id="812796143">
          <w:marLeft w:val="418"/>
          <w:marRight w:val="0"/>
          <w:marTop w:val="0"/>
          <w:marBottom w:val="60"/>
          <w:divBdr>
            <w:top w:val="none" w:sz="0" w:space="0" w:color="auto"/>
            <w:left w:val="none" w:sz="0" w:space="0" w:color="auto"/>
            <w:bottom w:val="none" w:sz="0" w:space="0" w:color="auto"/>
            <w:right w:val="none" w:sz="0" w:space="0" w:color="auto"/>
          </w:divBdr>
        </w:div>
        <w:div w:id="1926840768">
          <w:marLeft w:val="418"/>
          <w:marRight w:val="0"/>
          <w:marTop w:val="0"/>
          <w:marBottom w:val="60"/>
          <w:divBdr>
            <w:top w:val="none" w:sz="0" w:space="0" w:color="auto"/>
            <w:left w:val="none" w:sz="0" w:space="0" w:color="auto"/>
            <w:bottom w:val="none" w:sz="0" w:space="0" w:color="auto"/>
            <w:right w:val="none" w:sz="0" w:space="0" w:color="auto"/>
          </w:divBdr>
        </w:div>
        <w:div w:id="1072194378">
          <w:marLeft w:val="418"/>
          <w:marRight w:val="0"/>
          <w:marTop w:val="0"/>
          <w:marBottom w:val="60"/>
          <w:divBdr>
            <w:top w:val="none" w:sz="0" w:space="0" w:color="auto"/>
            <w:left w:val="none" w:sz="0" w:space="0" w:color="auto"/>
            <w:bottom w:val="none" w:sz="0" w:space="0" w:color="auto"/>
            <w:right w:val="none" w:sz="0" w:space="0" w:color="auto"/>
          </w:divBdr>
        </w:div>
      </w:divsChild>
    </w:div>
    <w:div w:id="995298403">
      <w:bodyDiv w:val="1"/>
      <w:marLeft w:val="0"/>
      <w:marRight w:val="0"/>
      <w:marTop w:val="0"/>
      <w:marBottom w:val="0"/>
      <w:divBdr>
        <w:top w:val="none" w:sz="0" w:space="0" w:color="auto"/>
        <w:left w:val="none" w:sz="0" w:space="0" w:color="auto"/>
        <w:bottom w:val="none" w:sz="0" w:space="0" w:color="auto"/>
        <w:right w:val="none" w:sz="0" w:space="0" w:color="auto"/>
      </w:divBdr>
    </w:div>
    <w:div w:id="1112362230">
      <w:bodyDiv w:val="1"/>
      <w:marLeft w:val="0"/>
      <w:marRight w:val="0"/>
      <w:marTop w:val="0"/>
      <w:marBottom w:val="0"/>
      <w:divBdr>
        <w:top w:val="none" w:sz="0" w:space="0" w:color="auto"/>
        <w:left w:val="none" w:sz="0" w:space="0" w:color="auto"/>
        <w:bottom w:val="none" w:sz="0" w:space="0" w:color="auto"/>
        <w:right w:val="none" w:sz="0" w:space="0" w:color="auto"/>
      </w:divBdr>
    </w:div>
    <w:div w:id="1127897939">
      <w:bodyDiv w:val="1"/>
      <w:marLeft w:val="0"/>
      <w:marRight w:val="0"/>
      <w:marTop w:val="0"/>
      <w:marBottom w:val="0"/>
      <w:divBdr>
        <w:top w:val="none" w:sz="0" w:space="0" w:color="auto"/>
        <w:left w:val="none" w:sz="0" w:space="0" w:color="auto"/>
        <w:bottom w:val="none" w:sz="0" w:space="0" w:color="auto"/>
        <w:right w:val="none" w:sz="0" w:space="0" w:color="auto"/>
      </w:divBdr>
    </w:div>
    <w:div w:id="1212498000">
      <w:bodyDiv w:val="1"/>
      <w:marLeft w:val="0"/>
      <w:marRight w:val="0"/>
      <w:marTop w:val="0"/>
      <w:marBottom w:val="0"/>
      <w:divBdr>
        <w:top w:val="none" w:sz="0" w:space="0" w:color="auto"/>
        <w:left w:val="none" w:sz="0" w:space="0" w:color="auto"/>
        <w:bottom w:val="none" w:sz="0" w:space="0" w:color="auto"/>
        <w:right w:val="none" w:sz="0" w:space="0" w:color="auto"/>
      </w:divBdr>
    </w:div>
    <w:div w:id="1247110515">
      <w:bodyDiv w:val="1"/>
      <w:marLeft w:val="0"/>
      <w:marRight w:val="0"/>
      <w:marTop w:val="0"/>
      <w:marBottom w:val="0"/>
      <w:divBdr>
        <w:top w:val="none" w:sz="0" w:space="0" w:color="auto"/>
        <w:left w:val="none" w:sz="0" w:space="0" w:color="auto"/>
        <w:bottom w:val="none" w:sz="0" w:space="0" w:color="auto"/>
        <w:right w:val="none" w:sz="0" w:space="0" w:color="auto"/>
      </w:divBdr>
      <w:divsChild>
        <w:div w:id="1796604088">
          <w:marLeft w:val="360"/>
          <w:marRight w:val="0"/>
          <w:marTop w:val="0"/>
          <w:marBottom w:val="0"/>
          <w:divBdr>
            <w:top w:val="none" w:sz="0" w:space="0" w:color="auto"/>
            <w:left w:val="none" w:sz="0" w:space="0" w:color="auto"/>
            <w:bottom w:val="none" w:sz="0" w:space="0" w:color="auto"/>
            <w:right w:val="none" w:sz="0" w:space="0" w:color="auto"/>
          </w:divBdr>
        </w:div>
        <w:div w:id="1501695001">
          <w:marLeft w:val="360"/>
          <w:marRight w:val="0"/>
          <w:marTop w:val="0"/>
          <w:marBottom w:val="0"/>
          <w:divBdr>
            <w:top w:val="none" w:sz="0" w:space="0" w:color="auto"/>
            <w:left w:val="none" w:sz="0" w:space="0" w:color="auto"/>
            <w:bottom w:val="none" w:sz="0" w:space="0" w:color="auto"/>
            <w:right w:val="none" w:sz="0" w:space="0" w:color="auto"/>
          </w:divBdr>
        </w:div>
        <w:div w:id="606275342">
          <w:marLeft w:val="360"/>
          <w:marRight w:val="0"/>
          <w:marTop w:val="0"/>
          <w:marBottom w:val="0"/>
          <w:divBdr>
            <w:top w:val="none" w:sz="0" w:space="0" w:color="auto"/>
            <w:left w:val="none" w:sz="0" w:space="0" w:color="auto"/>
            <w:bottom w:val="none" w:sz="0" w:space="0" w:color="auto"/>
            <w:right w:val="none" w:sz="0" w:space="0" w:color="auto"/>
          </w:divBdr>
        </w:div>
        <w:div w:id="556477515">
          <w:marLeft w:val="360"/>
          <w:marRight w:val="0"/>
          <w:marTop w:val="0"/>
          <w:marBottom w:val="0"/>
          <w:divBdr>
            <w:top w:val="none" w:sz="0" w:space="0" w:color="auto"/>
            <w:left w:val="none" w:sz="0" w:space="0" w:color="auto"/>
            <w:bottom w:val="none" w:sz="0" w:space="0" w:color="auto"/>
            <w:right w:val="none" w:sz="0" w:space="0" w:color="auto"/>
          </w:divBdr>
        </w:div>
        <w:div w:id="747196857">
          <w:marLeft w:val="360"/>
          <w:marRight w:val="0"/>
          <w:marTop w:val="0"/>
          <w:marBottom w:val="0"/>
          <w:divBdr>
            <w:top w:val="none" w:sz="0" w:space="0" w:color="auto"/>
            <w:left w:val="none" w:sz="0" w:space="0" w:color="auto"/>
            <w:bottom w:val="none" w:sz="0" w:space="0" w:color="auto"/>
            <w:right w:val="none" w:sz="0" w:space="0" w:color="auto"/>
          </w:divBdr>
        </w:div>
      </w:divsChild>
    </w:div>
    <w:div w:id="1251934429">
      <w:bodyDiv w:val="1"/>
      <w:marLeft w:val="0"/>
      <w:marRight w:val="0"/>
      <w:marTop w:val="0"/>
      <w:marBottom w:val="0"/>
      <w:divBdr>
        <w:top w:val="none" w:sz="0" w:space="0" w:color="auto"/>
        <w:left w:val="none" w:sz="0" w:space="0" w:color="auto"/>
        <w:bottom w:val="none" w:sz="0" w:space="0" w:color="auto"/>
        <w:right w:val="none" w:sz="0" w:space="0" w:color="auto"/>
      </w:divBdr>
    </w:div>
    <w:div w:id="1521310798">
      <w:bodyDiv w:val="1"/>
      <w:marLeft w:val="0"/>
      <w:marRight w:val="0"/>
      <w:marTop w:val="0"/>
      <w:marBottom w:val="0"/>
      <w:divBdr>
        <w:top w:val="none" w:sz="0" w:space="0" w:color="auto"/>
        <w:left w:val="none" w:sz="0" w:space="0" w:color="auto"/>
        <w:bottom w:val="none" w:sz="0" w:space="0" w:color="auto"/>
        <w:right w:val="none" w:sz="0" w:space="0" w:color="auto"/>
      </w:divBdr>
    </w:div>
    <w:div w:id="1651397016">
      <w:bodyDiv w:val="1"/>
      <w:marLeft w:val="0"/>
      <w:marRight w:val="0"/>
      <w:marTop w:val="0"/>
      <w:marBottom w:val="0"/>
      <w:divBdr>
        <w:top w:val="none" w:sz="0" w:space="0" w:color="auto"/>
        <w:left w:val="none" w:sz="0" w:space="0" w:color="auto"/>
        <w:bottom w:val="none" w:sz="0" w:space="0" w:color="auto"/>
        <w:right w:val="none" w:sz="0" w:space="0" w:color="auto"/>
      </w:divBdr>
    </w:div>
    <w:div w:id="1700400350">
      <w:bodyDiv w:val="1"/>
      <w:marLeft w:val="0"/>
      <w:marRight w:val="0"/>
      <w:marTop w:val="0"/>
      <w:marBottom w:val="0"/>
      <w:divBdr>
        <w:top w:val="none" w:sz="0" w:space="0" w:color="auto"/>
        <w:left w:val="none" w:sz="0" w:space="0" w:color="auto"/>
        <w:bottom w:val="none" w:sz="0" w:space="0" w:color="auto"/>
        <w:right w:val="none" w:sz="0" w:space="0" w:color="auto"/>
      </w:divBdr>
    </w:div>
    <w:div w:id="1789085256">
      <w:bodyDiv w:val="1"/>
      <w:marLeft w:val="0"/>
      <w:marRight w:val="0"/>
      <w:marTop w:val="0"/>
      <w:marBottom w:val="0"/>
      <w:divBdr>
        <w:top w:val="none" w:sz="0" w:space="0" w:color="auto"/>
        <w:left w:val="none" w:sz="0" w:space="0" w:color="auto"/>
        <w:bottom w:val="none" w:sz="0" w:space="0" w:color="auto"/>
        <w:right w:val="none" w:sz="0" w:space="0" w:color="auto"/>
      </w:divBdr>
    </w:div>
    <w:div w:id="18445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0625.pdf" TargetMode="External"/><Relationship Id="rId13" Type="http://schemas.openxmlformats.org/officeDocument/2006/relationships/hyperlink" Target="https://likumi.lv/wwwraksti/ANOTACIJAS/TAP/2020_09/VARAMANOT_170720_ATLAUJAS.1457.DOCX" TargetMode="External"/><Relationship Id="rId18" Type="http://schemas.openxmlformats.org/officeDocument/2006/relationships/hyperlink" Target="https://manas.tiesas.lv:443/eTiesasMvc/nolemumi/pdf/494563.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ap.mk.gov.lv/doc/2016_01/EMizz_TA857_281015.857.doc" TargetMode="External"/><Relationship Id="rId17" Type="http://schemas.openxmlformats.org/officeDocument/2006/relationships/hyperlink" Target="https://curia.europa.eu/juris/document/document.jsf?text=&amp;docid=49522&amp;pageIndex=0&amp;doclang=LV&amp;mode=lst&amp;dir=&amp;occ=first&amp;part=1&amp;cid=3474184" TargetMode="External"/><Relationship Id="rId2" Type="http://schemas.openxmlformats.org/officeDocument/2006/relationships/numbering" Target="numbering.xml"/><Relationship Id="rId16" Type="http://schemas.openxmlformats.org/officeDocument/2006/relationships/hyperlink" Target="https://curia.europa.eu/juris/document/document.jsf?text=&amp;docid=79066&amp;pageIndex=0&amp;doclang=LV&amp;mode=lst&amp;dir=&amp;occ=first&amp;part=1&amp;cid=347344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443/eTiesasMvc/nolemumi/pdf/412862.pdf" TargetMode="External"/><Relationship Id="rId5" Type="http://schemas.openxmlformats.org/officeDocument/2006/relationships/webSettings" Target="webSettings.xml"/><Relationship Id="rId15" Type="http://schemas.openxmlformats.org/officeDocument/2006/relationships/hyperlink" Target="https://curia.europa.eu/juris/document/document.jsf?text=&amp;docid=58802&amp;pageIndex=0&amp;doclang=LV&amp;mode=lst&amp;dir=&amp;occ=first&amp;part=1&amp;cid=3472695" TargetMode="External"/><Relationship Id="rId10" Type="http://schemas.openxmlformats.org/officeDocument/2006/relationships/hyperlink" Target="https://eur-lex.europa.eu/eli/dir/1994/22/oj/?locale=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dir/2013/30/oj/?locale=LV" TargetMode="External"/><Relationship Id="rId14" Type="http://schemas.openxmlformats.org/officeDocument/2006/relationships/hyperlink" Target="https://curia.europa.eu/juris/document/document.jsf?text=&amp;docid=76074&amp;pageIndex=0&amp;doclang=LV&amp;mode=lst&amp;dir=&amp;occ=first&amp;part=1&amp;cid=3471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060E3-82A8-47B0-9665-F3723887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24169</Words>
  <Characters>13777</Characters>
  <Application>Microsoft Office Word</Application>
  <DocSecurity>0</DocSecurity>
  <Lines>114</Lines>
  <Paragraphs>75</Paragraphs>
  <ScaleCrop>false</ScaleCrop>
  <Company/>
  <LinksUpToDate>false</LinksUpToDate>
  <CharactersWithSpaces>37871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2024-09-06T12:38:00Z</dcterms:created>
  <dcterms:modified xsi:type="dcterms:W3CDTF">2024-09-06T12:38:00Z</dcterms:modified>
</cp:coreProperties>
</file>