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6126C" w14:textId="77777777" w:rsidR="00F7772C" w:rsidRPr="00453E97" w:rsidRDefault="00F7772C" w:rsidP="00823685">
      <w:pPr>
        <w:spacing w:after="0" w:line="276" w:lineRule="auto"/>
        <w:jc w:val="both"/>
        <w:rPr>
          <w:b/>
          <w:bCs/>
          <w:highlight w:val="green"/>
        </w:rPr>
      </w:pPr>
      <w:r w:rsidRPr="00453E97">
        <w:rPr>
          <w:b/>
          <w:bCs/>
        </w:rPr>
        <w:t>Noziedzīgu nodarījumu recidīvs kā atbildību pastiprinošs apstāklis pēc Krimināllikuma 312. panta otrās daļas</w:t>
      </w:r>
    </w:p>
    <w:p w14:paraId="10D1252F" w14:textId="27909044" w:rsidR="00B5372F" w:rsidRDefault="00F7772C" w:rsidP="00823685">
      <w:pPr>
        <w:spacing w:after="0" w:line="276" w:lineRule="auto"/>
        <w:contextualSpacing/>
        <w:jc w:val="both"/>
      </w:pPr>
      <w:r w:rsidRPr="00F7772C">
        <w:t>Viena</w:t>
      </w:r>
      <w:r w:rsidRPr="00453E97">
        <w:t xml:space="preserve"> sodāmība par Krimināllikumā paredzētu tīšu noziedzīgu nodarījumu, ar kuru personai atņemtas transportlīdzekļa vadīšanas tiesības, neveido Krimināllikuma 48. panta pirmās daļas 1. punktā paredzēto atbildību pastiprinošo apstākli gadījumā, kad persona atzīta par vainīgu apsūdzībā pēc Krimināllikuma 312. panta otrās daļas par izvairīšanos no transportlīdzekļa vadīšanas tiesību atņemšanas soda izciešanas.</w:t>
      </w:r>
    </w:p>
    <w:p w14:paraId="16C7EF73" w14:textId="77777777" w:rsidR="00F7772C" w:rsidRPr="00F7772C" w:rsidRDefault="00F7772C" w:rsidP="00823685">
      <w:pPr>
        <w:spacing w:after="0" w:line="276" w:lineRule="auto"/>
        <w:contextualSpacing/>
        <w:jc w:val="both"/>
        <w:rPr>
          <w:rFonts w:asciiTheme="majorBidi" w:hAnsiTheme="majorBidi" w:cstheme="majorBidi"/>
        </w:rPr>
      </w:pPr>
    </w:p>
    <w:p w14:paraId="63816D62" w14:textId="77777777" w:rsidR="00740F32" w:rsidRPr="00740F32" w:rsidRDefault="00B5372F" w:rsidP="00823685">
      <w:pPr>
        <w:spacing w:after="0" w:line="276" w:lineRule="auto"/>
        <w:contextualSpacing/>
        <w:jc w:val="center"/>
        <w:rPr>
          <w:rFonts w:asciiTheme="majorBidi" w:hAnsiTheme="majorBidi" w:cstheme="majorBidi"/>
          <w:b/>
          <w:szCs w:val="24"/>
        </w:rPr>
      </w:pPr>
      <w:r w:rsidRPr="00740F32">
        <w:rPr>
          <w:rFonts w:asciiTheme="majorBidi" w:hAnsiTheme="majorBidi" w:cstheme="majorBidi"/>
          <w:b/>
          <w:szCs w:val="24"/>
        </w:rPr>
        <w:t>Latvijas Republikas Senāt</w:t>
      </w:r>
      <w:r w:rsidR="00740F32" w:rsidRPr="00740F32">
        <w:rPr>
          <w:rFonts w:asciiTheme="majorBidi" w:hAnsiTheme="majorBidi" w:cstheme="majorBidi"/>
          <w:b/>
          <w:szCs w:val="24"/>
        </w:rPr>
        <w:t xml:space="preserve">a </w:t>
      </w:r>
    </w:p>
    <w:p w14:paraId="4FC69FD2" w14:textId="77777777" w:rsidR="00740F32" w:rsidRPr="00740F32" w:rsidRDefault="00740F32" w:rsidP="00823685">
      <w:pPr>
        <w:bidi/>
        <w:spacing w:after="0" w:line="276" w:lineRule="auto"/>
        <w:contextualSpacing/>
        <w:jc w:val="center"/>
        <w:rPr>
          <w:rFonts w:asciiTheme="majorBidi" w:hAnsiTheme="majorBidi" w:cstheme="majorBidi"/>
          <w:b/>
          <w:szCs w:val="24"/>
        </w:rPr>
      </w:pPr>
      <w:r w:rsidRPr="00740F32">
        <w:rPr>
          <w:rFonts w:asciiTheme="majorBidi" w:hAnsiTheme="majorBidi" w:cstheme="majorBidi"/>
          <w:b/>
          <w:szCs w:val="24"/>
        </w:rPr>
        <w:t>Krimināllietu departamenta</w:t>
      </w:r>
    </w:p>
    <w:p w14:paraId="428C3745" w14:textId="6F4982B1" w:rsidR="00B5372F" w:rsidRPr="00740F32" w:rsidRDefault="00740F32" w:rsidP="00823685">
      <w:pPr>
        <w:bidi/>
        <w:spacing w:after="0" w:line="276" w:lineRule="auto"/>
        <w:contextualSpacing/>
        <w:jc w:val="center"/>
        <w:rPr>
          <w:rFonts w:asciiTheme="majorBidi" w:hAnsiTheme="majorBidi" w:cstheme="majorBidi"/>
          <w:b/>
          <w:szCs w:val="24"/>
        </w:rPr>
      </w:pPr>
      <w:r w:rsidRPr="00740F32">
        <w:rPr>
          <w:rFonts w:asciiTheme="majorBidi" w:hAnsiTheme="majorBidi" w:cstheme="majorBidi"/>
          <w:b/>
          <w:szCs w:val="24"/>
        </w:rPr>
        <w:t>2024. gada 15. maija</w:t>
      </w:r>
    </w:p>
    <w:p w14:paraId="27839EF1" w14:textId="77777777" w:rsidR="00740F32" w:rsidRPr="00740F32" w:rsidRDefault="00B5372F" w:rsidP="00823685">
      <w:pPr>
        <w:spacing w:after="0" w:line="276" w:lineRule="auto"/>
        <w:contextualSpacing/>
        <w:jc w:val="center"/>
        <w:rPr>
          <w:rFonts w:asciiTheme="majorBidi" w:hAnsiTheme="majorBidi" w:cstheme="majorBidi"/>
          <w:b/>
          <w:szCs w:val="24"/>
          <w:lang w:val="en-US"/>
          <w14:ligatures w14:val="standardContextual"/>
        </w:rPr>
      </w:pPr>
      <w:r w:rsidRPr="00740F32">
        <w:rPr>
          <w:rFonts w:asciiTheme="majorBidi" w:hAnsiTheme="majorBidi" w:cstheme="majorBidi"/>
          <w:b/>
          <w:szCs w:val="24"/>
        </w:rPr>
        <w:t>LĒMUMS</w:t>
      </w:r>
      <w:r w:rsidR="00740F32" w:rsidRPr="00740F32">
        <w:rPr>
          <w:rFonts w:asciiTheme="majorBidi" w:hAnsiTheme="majorBidi" w:cstheme="majorBidi"/>
          <w:b/>
          <w:szCs w:val="24"/>
          <w:lang w:val="en-US"/>
          <w14:ligatures w14:val="standardContextual"/>
        </w:rPr>
        <w:t xml:space="preserve"> </w:t>
      </w:r>
    </w:p>
    <w:p w14:paraId="18311894" w14:textId="6D6A7126" w:rsidR="00B5372F" w:rsidRPr="00740F32" w:rsidRDefault="00740F32" w:rsidP="00823685">
      <w:pPr>
        <w:spacing w:after="0" w:line="276" w:lineRule="auto"/>
        <w:contextualSpacing/>
        <w:jc w:val="center"/>
        <w:rPr>
          <w:rFonts w:asciiTheme="majorBidi" w:hAnsiTheme="majorBidi" w:cstheme="majorBidi"/>
          <w:szCs w:val="24"/>
        </w:rPr>
      </w:pPr>
      <w:proofErr w:type="spellStart"/>
      <w:r w:rsidRPr="00740F32">
        <w:rPr>
          <w:rFonts w:asciiTheme="majorBidi" w:hAnsiTheme="majorBidi" w:cstheme="majorBidi"/>
          <w:b/>
          <w:szCs w:val="24"/>
          <w:lang w:val="en-US"/>
          <w14:ligatures w14:val="standardContextual"/>
        </w:rPr>
        <w:t>Lieta</w:t>
      </w:r>
      <w:proofErr w:type="spellEnd"/>
      <w:r w:rsidRPr="00740F32">
        <w:rPr>
          <w:rFonts w:asciiTheme="majorBidi" w:hAnsiTheme="majorBidi" w:cstheme="majorBidi"/>
          <w:b/>
          <w:szCs w:val="24"/>
          <w:lang w:val="en-US"/>
          <w14:ligatures w14:val="standardContextual"/>
        </w:rPr>
        <w:t xml:space="preserve"> Nr.11300016022</w:t>
      </w:r>
      <w:r w:rsidRPr="00740F32">
        <w:rPr>
          <w:rFonts w:asciiTheme="majorBidi" w:hAnsiTheme="majorBidi" w:cstheme="majorBidi"/>
          <w:b/>
          <w:szCs w:val="24"/>
        </w:rPr>
        <w:t>, SKK-165/2024</w:t>
      </w:r>
    </w:p>
    <w:p w14:paraId="4F11D61C" w14:textId="5A96CA08" w:rsidR="00740F32" w:rsidRPr="00740F32" w:rsidRDefault="00823685" w:rsidP="00823685">
      <w:pPr>
        <w:spacing w:after="0" w:line="276" w:lineRule="auto"/>
        <w:contextualSpacing/>
        <w:jc w:val="center"/>
        <w:rPr>
          <w:rFonts w:asciiTheme="majorBidi" w:hAnsiTheme="majorBidi" w:cstheme="majorBidi"/>
          <w:b/>
          <w:szCs w:val="24"/>
        </w:rPr>
      </w:pPr>
      <w:hyperlink r:id="rId7" w:history="1">
        <w:r w:rsidR="00740F32" w:rsidRPr="009C6455">
          <w:rPr>
            <w:rStyle w:val="Hyperlink"/>
            <w:rFonts w:asciiTheme="majorBidi" w:hAnsiTheme="majorBidi" w:cstheme="majorBidi"/>
            <w:szCs w:val="24"/>
            <w:shd w:val="clear" w:color="auto" w:fill="FFFFFF"/>
          </w:rPr>
          <w:t>ECLI:LV:AT:2024</w:t>
        </w:r>
        <w:r w:rsidR="00740F32" w:rsidRPr="009C6455">
          <w:rPr>
            <w:rStyle w:val="Hyperlink"/>
            <w:rFonts w:asciiTheme="majorBidi" w:hAnsiTheme="majorBidi" w:cstheme="majorBidi"/>
            <w:szCs w:val="24"/>
            <w:shd w:val="clear" w:color="auto" w:fill="FFFFFF"/>
          </w:rPr>
          <w:t>:</w:t>
        </w:r>
        <w:r w:rsidR="00740F32" w:rsidRPr="009C6455">
          <w:rPr>
            <w:rStyle w:val="Hyperlink"/>
            <w:rFonts w:asciiTheme="majorBidi" w:hAnsiTheme="majorBidi" w:cstheme="majorBidi"/>
            <w:szCs w:val="24"/>
            <w:shd w:val="clear" w:color="auto" w:fill="FFFFFF"/>
          </w:rPr>
          <w:t>0515.11300016022.6.L</w:t>
        </w:r>
      </w:hyperlink>
    </w:p>
    <w:p w14:paraId="48FB963D" w14:textId="77777777" w:rsidR="00B5372F" w:rsidRPr="00682EBB" w:rsidRDefault="00B5372F" w:rsidP="00823685">
      <w:pPr>
        <w:spacing w:after="0" w:line="276" w:lineRule="auto"/>
        <w:ind w:firstLine="720"/>
        <w:contextualSpacing/>
        <w:jc w:val="center"/>
        <w:rPr>
          <w:rFonts w:asciiTheme="majorBidi" w:hAnsiTheme="majorBidi" w:cstheme="majorBidi"/>
          <w:szCs w:val="24"/>
        </w:rPr>
      </w:pPr>
    </w:p>
    <w:p w14:paraId="76BF82D1" w14:textId="77777777" w:rsidR="00B5372F" w:rsidRPr="00001D17" w:rsidRDefault="00B5372F" w:rsidP="00823685">
      <w:pPr>
        <w:spacing w:after="0" w:line="276" w:lineRule="auto"/>
        <w:ind w:firstLine="720"/>
        <w:jc w:val="both"/>
        <w:rPr>
          <w:rFonts w:eastAsia="Calibri" w:cs="Times New Roman"/>
          <w:szCs w:val="24"/>
        </w:rPr>
      </w:pPr>
      <w:r w:rsidRPr="00682EBB">
        <w:rPr>
          <w:rFonts w:asciiTheme="majorBidi" w:hAnsiTheme="majorBidi" w:cstheme="majorBidi"/>
          <w:szCs w:val="24"/>
        </w:rPr>
        <w:t>Senāts šādā sastāvā: senators referents Artūrs Freibergs, senator</w:t>
      </w:r>
      <w:r>
        <w:rPr>
          <w:rFonts w:asciiTheme="majorBidi" w:hAnsiTheme="majorBidi" w:cstheme="majorBidi"/>
          <w:szCs w:val="24"/>
        </w:rPr>
        <w:t>es</w:t>
      </w:r>
      <w:r w:rsidRPr="00682EBB">
        <w:rPr>
          <w:rFonts w:asciiTheme="majorBidi" w:hAnsiTheme="majorBidi" w:cstheme="majorBidi"/>
          <w:szCs w:val="24"/>
        </w:rPr>
        <w:t xml:space="preserve"> </w:t>
      </w:r>
      <w:r w:rsidRPr="00001D17">
        <w:rPr>
          <w:rFonts w:eastAsia="Calibri" w:cs="Times New Roman"/>
          <w:szCs w:val="24"/>
        </w:rPr>
        <w:t>Inguna Radzeviča</w:t>
      </w:r>
      <w:r w:rsidRPr="00682EBB">
        <w:rPr>
          <w:rFonts w:eastAsia="Calibri" w:cs="Times New Roman"/>
          <w:szCs w:val="24"/>
        </w:rPr>
        <w:t xml:space="preserve"> un Inese Laura Zemīte</w:t>
      </w:r>
    </w:p>
    <w:p w14:paraId="2C0A71E8" w14:textId="77777777" w:rsidR="00B5372F" w:rsidRPr="00682EBB" w:rsidRDefault="00B5372F" w:rsidP="00B5372F">
      <w:pPr>
        <w:spacing w:line="276" w:lineRule="auto"/>
        <w:ind w:firstLine="720"/>
        <w:contextualSpacing/>
        <w:jc w:val="both"/>
        <w:rPr>
          <w:rFonts w:asciiTheme="majorBidi" w:hAnsiTheme="majorBidi" w:cstheme="majorBidi"/>
          <w:szCs w:val="24"/>
        </w:rPr>
      </w:pPr>
    </w:p>
    <w:p w14:paraId="27C08D00" w14:textId="77777777" w:rsidR="00B5372F" w:rsidRPr="00001D17" w:rsidRDefault="00B5372F" w:rsidP="00B5372F">
      <w:pPr>
        <w:autoSpaceDE w:val="0"/>
        <w:autoSpaceDN w:val="0"/>
        <w:adjustRightInd w:val="0"/>
        <w:spacing w:after="0" w:line="276" w:lineRule="auto"/>
        <w:ind w:firstLine="720"/>
        <w:jc w:val="both"/>
        <w:rPr>
          <w:rFonts w:eastAsia="Times New Roman" w:cs="Times New Roman"/>
          <w:szCs w:val="24"/>
        </w:rPr>
      </w:pPr>
      <w:r w:rsidRPr="00682EBB">
        <w:rPr>
          <w:rFonts w:asciiTheme="majorBidi" w:hAnsiTheme="majorBidi" w:cstheme="majorBidi"/>
          <w:szCs w:val="24"/>
        </w:rPr>
        <w:t xml:space="preserve">rakstveida procesā izskatīja krimināllietu sakarā ar </w:t>
      </w:r>
      <w:r w:rsidRPr="00682EBB">
        <w:rPr>
          <w:rFonts w:eastAsia="Calibri" w:cs="Times New Roman"/>
          <w:szCs w:val="24"/>
        </w:rPr>
        <w:t>Vidzemes tiesas apgabala</w:t>
      </w:r>
      <w:r w:rsidRPr="00001D17">
        <w:rPr>
          <w:rFonts w:eastAsia="Calibri" w:cs="Times New Roman"/>
          <w:szCs w:val="24"/>
        </w:rPr>
        <w:t xml:space="preserve"> prokuratūras prokuror</w:t>
      </w:r>
      <w:r w:rsidRPr="00682EBB">
        <w:rPr>
          <w:rFonts w:eastAsia="Calibri" w:cs="Times New Roman"/>
          <w:szCs w:val="24"/>
        </w:rPr>
        <w:t xml:space="preserve">a </w:t>
      </w:r>
      <w:r w:rsidRPr="00682EBB">
        <w:rPr>
          <w:rFonts w:eastAsia="Calibri" w:cs="Arial"/>
          <w:szCs w:val="24"/>
        </w:rPr>
        <w:t>Sergeja Medvedeva</w:t>
      </w:r>
      <w:r w:rsidRPr="00001D17">
        <w:rPr>
          <w:rFonts w:eastAsia="Calibri" w:cs="Times New Roman"/>
          <w:szCs w:val="24"/>
        </w:rPr>
        <w:t xml:space="preserve"> kasācijas protestu par </w:t>
      </w:r>
      <w:r w:rsidRPr="00682EBB">
        <w:rPr>
          <w:rFonts w:eastAsia="Times New Roman" w:cs="Times New Roman"/>
          <w:szCs w:val="24"/>
          <w:lang w:eastAsia="lv-LV"/>
        </w:rPr>
        <w:t xml:space="preserve">Vidzemes apgabaltiesas 2023. gada </w:t>
      </w:r>
      <w:r w:rsidRPr="00682EBB">
        <w:rPr>
          <w:rFonts w:eastAsia="Calibri" w:cs="Times New Roman"/>
          <w:szCs w:val="24"/>
          <w:lang w:eastAsia="lv-LV"/>
        </w:rPr>
        <w:t>30. novembra lēmumu</w:t>
      </w:r>
      <w:r w:rsidRPr="00001D17">
        <w:rPr>
          <w:rFonts w:eastAsia="Times New Roman" w:cs="Times New Roman"/>
          <w:szCs w:val="24"/>
        </w:rPr>
        <w:t>.</w:t>
      </w:r>
    </w:p>
    <w:p w14:paraId="20EE09ED" w14:textId="77777777" w:rsidR="00B5372F" w:rsidRPr="00001D17" w:rsidRDefault="00B5372F" w:rsidP="00B5372F">
      <w:pPr>
        <w:spacing w:after="0" w:line="276" w:lineRule="auto"/>
        <w:jc w:val="both"/>
        <w:rPr>
          <w:rFonts w:eastAsia="Times New Roman" w:cs="Times New Roman"/>
          <w:szCs w:val="24"/>
        </w:rPr>
      </w:pPr>
    </w:p>
    <w:p w14:paraId="66FF832A" w14:textId="77777777" w:rsidR="00B5372F" w:rsidRPr="00001D17" w:rsidRDefault="00B5372F" w:rsidP="00B5372F">
      <w:pPr>
        <w:spacing w:after="0" w:line="276" w:lineRule="auto"/>
        <w:jc w:val="center"/>
        <w:rPr>
          <w:rFonts w:eastAsia="Calibri" w:cs="Arial"/>
          <w:b/>
          <w:szCs w:val="24"/>
        </w:rPr>
      </w:pPr>
      <w:r w:rsidRPr="00001D17">
        <w:rPr>
          <w:rFonts w:eastAsia="Calibri" w:cs="Arial"/>
          <w:b/>
          <w:szCs w:val="24"/>
        </w:rPr>
        <w:t>Aprakstošā daļa</w:t>
      </w:r>
    </w:p>
    <w:p w14:paraId="7357D9B1" w14:textId="77777777" w:rsidR="00B5372F" w:rsidRPr="00682EBB" w:rsidRDefault="00B5372F" w:rsidP="00B5372F">
      <w:pPr>
        <w:pStyle w:val="NoSpacing"/>
        <w:spacing w:line="276" w:lineRule="auto"/>
        <w:jc w:val="both"/>
        <w:rPr>
          <w:szCs w:val="24"/>
        </w:rPr>
      </w:pPr>
    </w:p>
    <w:p w14:paraId="0C4749AC" w14:textId="486E5202" w:rsidR="00B5372F" w:rsidRPr="00682EBB" w:rsidRDefault="00B5372F" w:rsidP="00A1132E">
      <w:pPr>
        <w:pStyle w:val="NoSpacing"/>
        <w:spacing w:line="276" w:lineRule="auto"/>
        <w:ind w:firstLine="720"/>
        <w:jc w:val="both"/>
        <w:rPr>
          <w:rFonts w:asciiTheme="majorBidi" w:hAnsiTheme="majorBidi" w:cstheme="majorBidi"/>
          <w:szCs w:val="24"/>
          <w14:ligatures w14:val="standardContextual"/>
        </w:rPr>
      </w:pPr>
      <w:r w:rsidRPr="00682EBB">
        <w:rPr>
          <w:rFonts w:asciiTheme="majorBidi" w:hAnsiTheme="majorBidi" w:cstheme="majorBidi"/>
          <w:color w:val="000000" w:themeColor="text1"/>
          <w:szCs w:val="24"/>
        </w:rPr>
        <w:t>[1]</w:t>
      </w:r>
      <w:r w:rsidR="004F4BC2">
        <w:rPr>
          <w:rFonts w:asciiTheme="majorBidi" w:hAnsiTheme="majorBidi" w:cstheme="majorBidi"/>
          <w:color w:val="000000" w:themeColor="text1"/>
          <w:szCs w:val="24"/>
        </w:rPr>
        <w:t> </w:t>
      </w:r>
      <w:r w:rsidRPr="00682EBB">
        <w:rPr>
          <w:rFonts w:asciiTheme="majorBidi" w:hAnsiTheme="majorBidi" w:cstheme="majorBidi"/>
          <w:color w:val="000000" w:themeColor="text1"/>
          <w:szCs w:val="24"/>
        </w:rPr>
        <w:t xml:space="preserve">Ar </w:t>
      </w:r>
      <w:r w:rsidRPr="00682EBB">
        <w:rPr>
          <w:rFonts w:asciiTheme="majorBidi" w:hAnsiTheme="majorBidi" w:cstheme="majorBidi"/>
          <w:szCs w:val="24"/>
          <w14:ligatures w14:val="standardContextual"/>
        </w:rPr>
        <w:t>Vidzemes rajona tiesas 2023. gada 27.</w:t>
      </w:r>
      <w:r>
        <w:rPr>
          <w:rFonts w:asciiTheme="majorBidi" w:hAnsiTheme="majorBidi" w:cstheme="majorBidi"/>
          <w:szCs w:val="24"/>
          <w14:ligatures w14:val="standardContextual"/>
        </w:rPr>
        <w:t> </w:t>
      </w:r>
      <w:r w:rsidRPr="00682EBB">
        <w:rPr>
          <w:rFonts w:asciiTheme="majorBidi" w:hAnsiTheme="majorBidi" w:cstheme="majorBidi"/>
          <w:szCs w:val="24"/>
          <w14:ligatures w14:val="standardContextual"/>
        </w:rPr>
        <w:t xml:space="preserve">februāra spriedumu </w:t>
      </w:r>
    </w:p>
    <w:p w14:paraId="25E21464" w14:textId="68120AAA" w:rsidR="00B5372F" w:rsidRPr="00682EBB" w:rsidRDefault="00740F32" w:rsidP="00740F32">
      <w:pPr>
        <w:pStyle w:val="NoSpacing"/>
        <w:spacing w:line="276" w:lineRule="auto"/>
        <w:ind w:firstLine="720"/>
        <w:jc w:val="both"/>
        <w:rPr>
          <w:rFonts w:asciiTheme="majorBidi" w:hAnsiTheme="majorBidi" w:cstheme="majorBidi"/>
          <w:szCs w:val="24"/>
          <w14:ligatures w14:val="standardContextual"/>
        </w:rPr>
      </w:pPr>
      <w:r>
        <w:rPr>
          <w:szCs w:val="24"/>
        </w:rPr>
        <w:t>[pers. </w:t>
      </w:r>
      <w:r>
        <w:t>A]</w:t>
      </w:r>
      <w:r w:rsidR="00B5372F" w:rsidRPr="00682EBB">
        <w:rPr>
          <w:szCs w:val="24"/>
        </w:rPr>
        <w:t xml:space="preserve">, personas kods </w:t>
      </w:r>
      <w:r>
        <w:rPr>
          <w:szCs w:val="24"/>
        </w:rPr>
        <w:t>[..]</w:t>
      </w:r>
      <w:r w:rsidR="00B5372F" w:rsidRPr="00682EBB">
        <w:rPr>
          <w:szCs w:val="24"/>
        </w:rPr>
        <w:t>,</w:t>
      </w:r>
    </w:p>
    <w:p w14:paraId="6D35100D" w14:textId="61C7310A" w:rsidR="00B5372F" w:rsidRPr="00682EBB" w:rsidRDefault="00B5372F" w:rsidP="00A1132E">
      <w:pPr>
        <w:pStyle w:val="NoSpacing"/>
        <w:spacing w:line="276" w:lineRule="auto"/>
        <w:ind w:firstLine="720"/>
        <w:jc w:val="both"/>
        <w:rPr>
          <w:szCs w:val="24"/>
        </w:rPr>
      </w:pPr>
      <w:r w:rsidRPr="00682EBB">
        <w:rPr>
          <w:rFonts w:eastAsia="Times New Roman"/>
          <w:szCs w:val="24"/>
        </w:rPr>
        <w:t>atzīts</w:t>
      </w:r>
      <w:r w:rsidRPr="00682EBB">
        <w:rPr>
          <w:szCs w:val="24"/>
        </w:rPr>
        <w:t xml:space="preserve"> par vainīgu Krimināllikuma 262. panta ceturtajā daļā paredzētajā noziedzīgajā nodarījumā un sodīts ar brīvības atņemšanu uz 3 gadiem 2 mēnešiem, atņemot transportlīdzekļ</w:t>
      </w:r>
      <w:r w:rsidR="00D32B2E">
        <w:rPr>
          <w:szCs w:val="24"/>
        </w:rPr>
        <w:t>a</w:t>
      </w:r>
      <w:r w:rsidRPr="00682EBB">
        <w:rPr>
          <w:szCs w:val="24"/>
        </w:rPr>
        <w:t xml:space="preserve"> vadīšanas tiesības uz 5 gadiem</w:t>
      </w:r>
      <w:r>
        <w:rPr>
          <w:szCs w:val="24"/>
        </w:rPr>
        <w:t>;</w:t>
      </w:r>
    </w:p>
    <w:p w14:paraId="27B5A6C1" w14:textId="31B14558" w:rsidR="00B5372F" w:rsidRPr="00682EBB" w:rsidRDefault="00B5372F" w:rsidP="00A1132E">
      <w:pPr>
        <w:pStyle w:val="NoSpacing"/>
        <w:spacing w:line="276" w:lineRule="auto"/>
        <w:ind w:firstLine="720"/>
        <w:jc w:val="both"/>
        <w:rPr>
          <w:szCs w:val="24"/>
        </w:rPr>
      </w:pPr>
      <w:r w:rsidRPr="00682EBB">
        <w:rPr>
          <w:szCs w:val="24"/>
        </w:rPr>
        <w:t>atzīts par vainīgu Krimināllikuma 312. panta otrajā daļā paredzētajā noziedzīgajā nodarījumā un sodīts ar īslaicīgu brīvības atņemšanu uz 2 mēnešiem</w:t>
      </w:r>
      <w:r w:rsidR="009834C0">
        <w:rPr>
          <w:szCs w:val="24"/>
        </w:rPr>
        <w:t>.</w:t>
      </w:r>
    </w:p>
    <w:p w14:paraId="7ECB0078" w14:textId="70C8EFF6" w:rsidR="00B5372F" w:rsidRPr="00735067" w:rsidRDefault="00B5372F" w:rsidP="00A1132E">
      <w:pPr>
        <w:pStyle w:val="NoSpacing"/>
        <w:spacing w:line="276" w:lineRule="auto"/>
        <w:ind w:firstLine="720"/>
        <w:jc w:val="both"/>
      </w:pPr>
      <w:r w:rsidRPr="00682EBB">
        <w:rPr>
          <w:szCs w:val="24"/>
        </w:rPr>
        <w:t>Saskaņā ar Krimināllikuma 50. panta pirmo</w:t>
      </w:r>
      <w:r w:rsidRPr="00D55439">
        <w:t xml:space="preserve"> un trešo daļu</w:t>
      </w:r>
      <w:r w:rsidR="000C4F38" w:rsidRPr="000C4F38">
        <w:t xml:space="preserve"> </w:t>
      </w:r>
      <w:r w:rsidRPr="00D55439">
        <w:t>galīgais sods</w:t>
      </w:r>
      <w:r w:rsidR="00D32B2E">
        <w:t xml:space="preserve"> </w:t>
      </w:r>
      <w:r w:rsidR="00740F32">
        <w:t>[pers. A]</w:t>
      </w:r>
      <w:r w:rsidR="001A5137" w:rsidRPr="00D55439">
        <w:t xml:space="preserve"> </w:t>
      </w:r>
      <w:r w:rsidRPr="00D55439">
        <w:t>noteikts brīvības atņemšana uz 3 gadiem 3 mēnešiem, atņemot transportlīdzekļ</w:t>
      </w:r>
      <w:r w:rsidR="00D32B2E">
        <w:t>a</w:t>
      </w:r>
      <w:r w:rsidRPr="00D55439">
        <w:t xml:space="preserve"> vadīšanas tiesības uz 5 gadiem.</w:t>
      </w:r>
    </w:p>
    <w:p w14:paraId="4CDDEAF0" w14:textId="77777777" w:rsidR="00B5372F" w:rsidRDefault="00B5372F" w:rsidP="00A1132E">
      <w:pPr>
        <w:spacing w:line="276" w:lineRule="auto"/>
        <w:ind w:firstLine="720"/>
        <w:contextualSpacing/>
        <w:jc w:val="both"/>
        <w:rPr>
          <w:rFonts w:asciiTheme="majorBidi" w:hAnsiTheme="majorBidi" w:cstheme="majorBidi"/>
          <w:szCs w:val="24"/>
        </w:rPr>
      </w:pPr>
    </w:p>
    <w:p w14:paraId="788AD007" w14:textId="53AE055E" w:rsidR="00B5372F" w:rsidRPr="00D55439" w:rsidRDefault="00B5372F" w:rsidP="00740F32">
      <w:pPr>
        <w:spacing w:line="276" w:lineRule="auto"/>
        <w:ind w:firstLine="720"/>
        <w:contextualSpacing/>
        <w:jc w:val="both"/>
        <w:rPr>
          <w:rFonts w:asciiTheme="majorBidi" w:hAnsiTheme="majorBidi" w:cstheme="majorBidi"/>
          <w:szCs w:val="24"/>
        </w:rPr>
      </w:pPr>
      <w:r w:rsidRPr="00D55439">
        <w:rPr>
          <w:rFonts w:asciiTheme="majorBidi" w:hAnsiTheme="majorBidi" w:cstheme="majorBidi"/>
          <w:szCs w:val="24"/>
        </w:rPr>
        <w:t xml:space="preserve">[2] Ar Vidzemes rajona tiesas </w:t>
      </w:r>
      <w:r w:rsidRPr="00D55439">
        <w:rPr>
          <w:rFonts w:asciiTheme="majorBidi" w:hAnsiTheme="majorBidi" w:cstheme="majorBidi"/>
          <w:szCs w:val="24"/>
          <w14:ligatures w14:val="standardContextual"/>
        </w:rPr>
        <w:t>2023.</w:t>
      </w:r>
      <w:r>
        <w:rPr>
          <w:rFonts w:asciiTheme="majorBidi" w:hAnsiTheme="majorBidi" w:cstheme="majorBidi"/>
          <w:szCs w:val="24"/>
          <w14:ligatures w14:val="standardContextual"/>
        </w:rPr>
        <w:t> </w:t>
      </w:r>
      <w:r w:rsidRPr="00D55439">
        <w:rPr>
          <w:rFonts w:asciiTheme="majorBidi" w:hAnsiTheme="majorBidi" w:cstheme="majorBidi"/>
          <w:szCs w:val="24"/>
          <w14:ligatures w14:val="standardContextual"/>
        </w:rPr>
        <w:t>gada 27.</w:t>
      </w:r>
      <w:r>
        <w:rPr>
          <w:rFonts w:asciiTheme="majorBidi" w:hAnsiTheme="majorBidi" w:cstheme="majorBidi"/>
          <w:szCs w:val="24"/>
          <w14:ligatures w14:val="standardContextual"/>
        </w:rPr>
        <w:t> </w:t>
      </w:r>
      <w:r w:rsidRPr="00D55439">
        <w:rPr>
          <w:rFonts w:asciiTheme="majorBidi" w:hAnsiTheme="majorBidi" w:cstheme="majorBidi"/>
          <w:szCs w:val="24"/>
          <w14:ligatures w14:val="standardContextual"/>
        </w:rPr>
        <w:t xml:space="preserve">februāra </w:t>
      </w:r>
      <w:r w:rsidRPr="00D55439">
        <w:rPr>
          <w:rFonts w:asciiTheme="majorBidi" w:hAnsiTheme="majorBidi" w:cstheme="majorBidi"/>
          <w:szCs w:val="24"/>
        </w:rPr>
        <w:t xml:space="preserve">spriedumu </w:t>
      </w:r>
      <w:r w:rsidR="00740F32">
        <w:rPr>
          <w:rFonts w:asciiTheme="majorBidi" w:hAnsiTheme="majorBidi" w:cstheme="majorBidi"/>
          <w:color w:val="000000" w:themeColor="text1"/>
        </w:rPr>
        <w:t>[pers. </w:t>
      </w:r>
      <w:r w:rsidR="00740F32">
        <w:t>A]</w:t>
      </w:r>
      <w:r w:rsidR="00417CDD">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atzīts par vainīgu</w:t>
      </w:r>
      <w:r w:rsidRPr="00D55439">
        <w:rPr>
          <w:rFonts w:asciiTheme="majorBidi" w:hAnsiTheme="majorBidi" w:cstheme="majorBidi"/>
          <w:szCs w:val="24"/>
        </w:rPr>
        <w:t xml:space="preserve"> un sodīts pēc Krimināllikuma 262. panta ceturtās daļas par transportlīdzekļa vadīšanu bez transportlīdzekļa vadīšanas tiesībām alkohola ietekmē</w:t>
      </w:r>
      <w:r w:rsidR="00D32B2E">
        <w:rPr>
          <w:rFonts w:asciiTheme="majorBidi" w:hAnsiTheme="majorBidi" w:cstheme="majorBidi"/>
          <w:szCs w:val="24"/>
        </w:rPr>
        <w:t>, kā rezultātā cietušajai tika nodarīti smagi miesas bojājumi</w:t>
      </w:r>
      <w:r w:rsidRPr="00D55439">
        <w:rPr>
          <w:rFonts w:asciiTheme="majorBidi" w:hAnsiTheme="majorBidi" w:cstheme="majorBidi"/>
          <w:szCs w:val="24"/>
        </w:rPr>
        <w:t>.</w:t>
      </w:r>
    </w:p>
    <w:p w14:paraId="005B8A64" w14:textId="304F93BE" w:rsidR="00B5372F" w:rsidRDefault="00740F32" w:rsidP="00A1132E">
      <w:pPr>
        <w:spacing w:line="276" w:lineRule="auto"/>
        <w:ind w:firstLine="720"/>
        <w:contextualSpacing/>
        <w:jc w:val="both"/>
        <w:rPr>
          <w:rFonts w:asciiTheme="majorBidi" w:hAnsiTheme="majorBidi" w:cstheme="majorBidi"/>
          <w:szCs w:val="24"/>
        </w:rPr>
      </w:pPr>
      <w:r>
        <w:rPr>
          <w:rFonts w:asciiTheme="majorBidi" w:hAnsiTheme="majorBidi" w:cstheme="majorBidi"/>
          <w:color w:val="000000" w:themeColor="text1"/>
          <w:szCs w:val="24"/>
        </w:rPr>
        <w:t>[Pers. A]</w:t>
      </w:r>
      <w:r w:rsidR="00B5372F" w:rsidRPr="00D55439">
        <w:rPr>
          <w:rFonts w:asciiTheme="majorBidi" w:hAnsiTheme="majorBidi" w:cstheme="majorBidi"/>
          <w:szCs w:val="24"/>
        </w:rPr>
        <w:t xml:space="preserve"> atzīts par vainīgu un sodīts arī </w:t>
      </w:r>
      <w:r w:rsidR="00B5372F" w:rsidRPr="0087300A">
        <w:rPr>
          <w:rFonts w:asciiTheme="majorBidi" w:hAnsiTheme="majorBidi" w:cstheme="majorBidi"/>
        </w:rPr>
        <w:t>pēc Krimināllikuma 312. panta otrās daļas par izvairīšanos no tiesību ierobežošanas soda izciešanas.</w:t>
      </w:r>
    </w:p>
    <w:p w14:paraId="52D8DCE4" w14:textId="77777777" w:rsidR="00B5372F" w:rsidRDefault="00B5372F" w:rsidP="00A1132E">
      <w:pPr>
        <w:spacing w:line="276" w:lineRule="auto"/>
        <w:ind w:firstLine="720"/>
        <w:contextualSpacing/>
        <w:jc w:val="both"/>
        <w:rPr>
          <w:rFonts w:asciiTheme="majorBidi" w:hAnsiTheme="majorBidi" w:cstheme="majorBidi"/>
        </w:rPr>
      </w:pPr>
    </w:p>
    <w:p w14:paraId="649F0A5E" w14:textId="7E6EBE5E" w:rsidR="00B5372F" w:rsidRPr="00735067" w:rsidRDefault="00B5372F" w:rsidP="00740F32">
      <w:pPr>
        <w:spacing w:line="276" w:lineRule="auto"/>
        <w:ind w:firstLine="720"/>
        <w:contextualSpacing/>
        <w:jc w:val="both"/>
        <w:rPr>
          <w:rFonts w:asciiTheme="majorBidi" w:hAnsiTheme="majorBidi" w:cstheme="majorBidi"/>
          <w:szCs w:val="24"/>
        </w:rPr>
      </w:pPr>
      <w:r w:rsidRPr="0087300A">
        <w:rPr>
          <w:rFonts w:asciiTheme="majorBidi" w:hAnsiTheme="majorBidi" w:cstheme="majorBidi"/>
        </w:rPr>
        <w:lastRenderedPageBreak/>
        <w:t xml:space="preserve">[3] Ar Vidzemes apgabaltiesas </w:t>
      </w:r>
      <w:bookmarkStart w:id="0" w:name="_Hlk160712364"/>
      <w:r w:rsidRPr="00DE041F">
        <w:rPr>
          <w:rFonts w:ascii="TimesNewRomanPSMT" w:hAnsi="TimesNewRomanPSMT" w:cs="TimesNewRomanPSMT"/>
          <w:szCs w:val="24"/>
          <w14:ligatures w14:val="standardContextual"/>
        </w:rPr>
        <w:t>2023.</w:t>
      </w:r>
      <w:r>
        <w:rPr>
          <w:rFonts w:ascii="TimesNewRomanPSMT" w:hAnsi="TimesNewRomanPSMT" w:cs="TimesNewRomanPSMT"/>
          <w:szCs w:val="24"/>
          <w14:ligatures w14:val="standardContextual"/>
        </w:rPr>
        <w:t> </w:t>
      </w:r>
      <w:r w:rsidRPr="00DE041F">
        <w:rPr>
          <w:rFonts w:ascii="TimesNewRomanPSMT" w:hAnsi="TimesNewRomanPSMT" w:cs="TimesNewRomanPSMT"/>
          <w:szCs w:val="24"/>
          <w14:ligatures w14:val="standardContextual"/>
        </w:rPr>
        <w:t>gada 30.</w:t>
      </w:r>
      <w:r>
        <w:rPr>
          <w:rFonts w:ascii="TimesNewRomanPSMT" w:hAnsi="TimesNewRomanPSMT" w:cs="TimesNewRomanPSMT"/>
          <w:szCs w:val="24"/>
          <w14:ligatures w14:val="standardContextual"/>
        </w:rPr>
        <w:t> </w:t>
      </w:r>
      <w:r w:rsidRPr="00DE041F">
        <w:rPr>
          <w:rFonts w:ascii="TimesNewRomanPSMT" w:hAnsi="TimesNewRomanPSMT" w:cs="TimesNewRomanPSMT"/>
          <w:szCs w:val="24"/>
          <w14:ligatures w14:val="standardContextual"/>
        </w:rPr>
        <w:t>novembr</w:t>
      </w:r>
      <w:r>
        <w:rPr>
          <w:rFonts w:ascii="TimesNewRomanPSMT" w:hAnsi="TimesNewRomanPSMT" w:cs="TimesNewRomanPSMT"/>
          <w:szCs w:val="24"/>
          <w14:ligatures w14:val="standardContextual"/>
        </w:rPr>
        <w:t xml:space="preserve">a </w:t>
      </w:r>
      <w:bookmarkEnd w:id="0"/>
      <w:r w:rsidRPr="0087300A">
        <w:rPr>
          <w:rFonts w:asciiTheme="majorBidi" w:hAnsiTheme="majorBidi" w:cstheme="majorBidi"/>
        </w:rPr>
        <w:t xml:space="preserve">lēmumu, iztiesājot krimināllietu apelācijas kārtībā sakarā ar apsūdzētā </w:t>
      </w:r>
      <w:bookmarkStart w:id="1" w:name="_Hlk161837871"/>
      <w:r w:rsidR="00740F32">
        <w:rPr>
          <w:rFonts w:asciiTheme="majorBidi" w:hAnsiTheme="majorBidi" w:cstheme="majorBidi"/>
          <w:color w:val="000000" w:themeColor="text1"/>
        </w:rPr>
        <w:t>[pers. </w:t>
      </w:r>
      <w:r w:rsidR="00740F32">
        <w:t>A]</w:t>
      </w:r>
      <w:r w:rsidRPr="0087300A">
        <w:rPr>
          <w:rFonts w:asciiTheme="majorBidi" w:hAnsiTheme="majorBidi" w:cstheme="majorBidi"/>
        </w:rPr>
        <w:t xml:space="preserve"> </w:t>
      </w:r>
      <w:bookmarkEnd w:id="1"/>
      <w:r w:rsidR="007670ED">
        <w:rPr>
          <w:rFonts w:asciiTheme="majorBidi" w:hAnsiTheme="majorBidi" w:cstheme="majorBidi"/>
        </w:rPr>
        <w:t>aizstāvja zvērināta advokāta Guntara Sīmaņa</w:t>
      </w:r>
      <w:r w:rsidRPr="0087300A">
        <w:rPr>
          <w:rFonts w:asciiTheme="majorBidi" w:hAnsiTheme="majorBidi" w:cstheme="majorBidi"/>
        </w:rPr>
        <w:t xml:space="preserve"> apelācijas sūdzību, Vidzemes rajona tiesas </w:t>
      </w:r>
      <w:r w:rsidRPr="00DD3D54">
        <w:rPr>
          <w:rFonts w:asciiTheme="majorBidi" w:hAnsiTheme="majorBidi" w:cstheme="majorBidi"/>
          <w:szCs w:val="24"/>
          <w14:ligatures w14:val="standardContextual"/>
        </w:rPr>
        <w:t>2023.</w:t>
      </w:r>
      <w:r>
        <w:rPr>
          <w:rFonts w:asciiTheme="majorBidi" w:hAnsiTheme="majorBidi" w:cstheme="majorBidi"/>
          <w:szCs w:val="24"/>
          <w14:ligatures w14:val="standardContextual"/>
        </w:rPr>
        <w:t> </w:t>
      </w:r>
      <w:r w:rsidRPr="00DD3D54">
        <w:rPr>
          <w:rFonts w:asciiTheme="majorBidi" w:hAnsiTheme="majorBidi" w:cstheme="majorBidi"/>
          <w:szCs w:val="24"/>
          <w14:ligatures w14:val="standardContextual"/>
        </w:rPr>
        <w:t>gada 27.</w:t>
      </w:r>
      <w:r>
        <w:rPr>
          <w:rFonts w:asciiTheme="majorBidi" w:hAnsiTheme="majorBidi" w:cstheme="majorBidi"/>
          <w:szCs w:val="24"/>
          <w14:ligatures w14:val="standardContextual"/>
        </w:rPr>
        <w:t> </w:t>
      </w:r>
      <w:r w:rsidRPr="00DD3D54">
        <w:rPr>
          <w:rFonts w:asciiTheme="majorBidi" w:hAnsiTheme="majorBidi" w:cstheme="majorBidi"/>
          <w:szCs w:val="24"/>
          <w14:ligatures w14:val="standardContextual"/>
        </w:rPr>
        <w:t xml:space="preserve">februāra </w:t>
      </w:r>
      <w:r w:rsidRPr="0087300A">
        <w:rPr>
          <w:rFonts w:asciiTheme="majorBidi" w:hAnsiTheme="majorBidi" w:cstheme="majorBidi"/>
        </w:rPr>
        <w:t>spriedums atstāts negrozīts.</w:t>
      </w:r>
    </w:p>
    <w:p w14:paraId="445DA3D2" w14:textId="003386D0" w:rsidR="00B5372F" w:rsidRPr="005D64C5" w:rsidRDefault="00B5372F" w:rsidP="005D64C5">
      <w:pPr>
        <w:pStyle w:val="NoSpacing"/>
        <w:spacing w:line="276" w:lineRule="auto"/>
        <w:ind w:firstLine="720"/>
        <w:jc w:val="both"/>
        <w:rPr>
          <w:rFonts w:asciiTheme="majorBidi" w:hAnsiTheme="majorBidi" w:cstheme="majorBidi"/>
        </w:rPr>
      </w:pPr>
      <w:r w:rsidRPr="005D64C5">
        <w:rPr>
          <w:rFonts w:asciiTheme="majorBidi" w:hAnsiTheme="majorBidi" w:cstheme="majorBidi"/>
        </w:rPr>
        <w:t xml:space="preserve">[4] Par Vidzemes apgabaltiesas </w:t>
      </w:r>
      <w:r w:rsidRPr="005D64C5">
        <w:rPr>
          <w:rFonts w:asciiTheme="majorBidi" w:hAnsiTheme="majorBidi" w:cstheme="majorBidi"/>
          <w14:ligatures w14:val="standardContextual"/>
        </w:rPr>
        <w:t xml:space="preserve">2023. gada 30. novembra </w:t>
      </w:r>
      <w:r w:rsidRPr="005D64C5">
        <w:rPr>
          <w:rFonts w:asciiTheme="majorBidi" w:hAnsiTheme="majorBidi" w:cstheme="majorBidi"/>
        </w:rPr>
        <w:t>lēmumu</w:t>
      </w:r>
      <w:r w:rsidRPr="005D64C5">
        <w:rPr>
          <w:rFonts w:asciiTheme="majorBidi" w:eastAsia="Calibri" w:hAnsiTheme="majorBidi" w:cstheme="majorBidi"/>
        </w:rPr>
        <w:t xml:space="preserve"> Vidzemes tiesas apgabala prokuratūras prokurors S. Medvedevs iesniedzis</w:t>
      </w:r>
      <w:r w:rsidRPr="005D64C5">
        <w:rPr>
          <w:rFonts w:asciiTheme="majorBidi" w:hAnsiTheme="majorBidi" w:cstheme="majorBidi"/>
        </w:rPr>
        <w:t xml:space="preserve"> kasācijas protestu</w:t>
      </w:r>
      <w:r w:rsidR="009834C0" w:rsidRPr="005D64C5">
        <w:rPr>
          <w:rFonts w:asciiTheme="majorBidi" w:hAnsiTheme="majorBidi" w:cstheme="majorBidi"/>
        </w:rPr>
        <w:t>, kurā l</w:t>
      </w:r>
      <w:r w:rsidRPr="005D64C5">
        <w:rPr>
          <w:rFonts w:asciiTheme="majorBidi" w:hAnsiTheme="majorBidi" w:cstheme="majorBidi"/>
        </w:rPr>
        <w:t xml:space="preserve">ūdz atcelt </w:t>
      </w:r>
      <w:r w:rsidR="009834C0" w:rsidRPr="005D64C5">
        <w:rPr>
          <w:rFonts w:asciiTheme="majorBidi" w:hAnsiTheme="majorBidi" w:cstheme="majorBidi"/>
        </w:rPr>
        <w:t xml:space="preserve">apelācijas instances tiesas </w:t>
      </w:r>
      <w:r w:rsidRPr="005D64C5">
        <w:rPr>
          <w:rFonts w:asciiTheme="majorBidi" w:hAnsiTheme="majorBidi" w:cstheme="majorBidi"/>
        </w:rPr>
        <w:t xml:space="preserve">lēmumu daļā par </w:t>
      </w:r>
      <w:r w:rsidR="00740F32">
        <w:rPr>
          <w:rFonts w:asciiTheme="majorBidi" w:hAnsiTheme="majorBidi" w:cstheme="majorBidi"/>
        </w:rPr>
        <w:t>[pers. A]</w:t>
      </w:r>
      <w:r w:rsidRPr="005D64C5">
        <w:rPr>
          <w:rFonts w:asciiTheme="majorBidi" w:hAnsiTheme="majorBidi" w:cstheme="majorBidi"/>
        </w:rPr>
        <w:t xml:space="preserve"> noteikto sodu pēc Krimināllikuma 312. panta otrās daļas</w:t>
      </w:r>
      <w:r w:rsidR="00AC51DB" w:rsidRPr="005D64C5">
        <w:rPr>
          <w:rFonts w:asciiTheme="majorBidi" w:hAnsiTheme="majorBidi" w:cstheme="majorBidi"/>
        </w:rPr>
        <w:t xml:space="preserve"> un</w:t>
      </w:r>
      <w:r w:rsidRPr="005D64C5">
        <w:rPr>
          <w:rFonts w:asciiTheme="majorBidi" w:hAnsiTheme="majorBidi" w:cstheme="majorBidi"/>
        </w:rPr>
        <w:t xml:space="preserve"> </w:t>
      </w:r>
      <w:r w:rsidR="00ED3DC3" w:rsidRPr="005D64C5">
        <w:rPr>
          <w:rFonts w:asciiTheme="majorBidi" w:hAnsiTheme="majorBidi" w:cstheme="majorBidi"/>
        </w:rPr>
        <w:t xml:space="preserve">daļā par noteikto </w:t>
      </w:r>
      <w:r w:rsidRPr="005D64C5">
        <w:rPr>
          <w:rFonts w:asciiTheme="majorBidi" w:hAnsiTheme="majorBidi" w:cstheme="majorBidi"/>
        </w:rPr>
        <w:t>galīgo sodu saskaņā ar Krimināllikuma 50. panta pirmo un trešo daļu</w:t>
      </w:r>
      <w:r w:rsidR="00417CDD" w:rsidRPr="005D64C5">
        <w:rPr>
          <w:rFonts w:asciiTheme="majorBidi" w:hAnsiTheme="majorBidi" w:cstheme="majorBidi"/>
        </w:rPr>
        <w:t>,</w:t>
      </w:r>
      <w:r w:rsidRPr="005D64C5">
        <w:rPr>
          <w:rFonts w:asciiTheme="majorBidi" w:hAnsiTheme="majorBidi" w:cstheme="majorBidi"/>
        </w:rPr>
        <w:t xml:space="preserve"> un atceltajās daļās nosūtīt </w:t>
      </w:r>
      <w:r w:rsidR="00ED3DC3" w:rsidRPr="005D64C5">
        <w:rPr>
          <w:rFonts w:asciiTheme="majorBidi" w:hAnsiTheme="majorBidi" w:cstheme="majorBidi"/>
        </w:rPr>
        <w:t xml:space="preserve">lietu </w:t>
      </w:r>
      <w:r w:rsidRPr="005D64C5">
        <w:rPr>
          <w:rFonts w:asciiTheme="majorBidi" w:hAnsiTheme="majorBidi" w:cstheme="majorBidi"/>
        </w:rPr>
        <w:t xml:space="preserve">jaunai izskatīšanai </w:t>
      </w:r>
      <w:r w:rsidR="00D32B2E" w:rsidRPr="005D64C5">
        <w:rPr>
          <w:rFonts w:asciiTheme="majorBidi" w:hAnsiTheme="majorBidi" w:cstheme="majorBidi"/>
        </w:rPr>
        <w:t>apelācijas instances ties</w:t>
      </w:r>
      <w:r w:rsidRPr="005D64C5">
        <w:rPr>
          <w:rFonts w:asciiTheme="majorBidi" w:hAnsiTheme="majorBidi" w:cstheme="majorBidi"/>
        </w:rPr>
        <w:t>ā.</w:t>
      </w:r>
    </w:p>
    <w:p w14:paraId="5E1F7128" w14:textId="003D8C03" w:rsidR="00ED3DC3" w:rsidRPr="005D64C5" w:rsidRDefault="00ED3DC3" w:rsidP="005D64C5">
      <w:pPr>
        <w:pStyle w:val="NoSpacing"/>
        <w:spacing w:line="276" w:lineRule="auto"/>
        <w:ind w:firstLine="720"/>
        <w:jc w:val="both"/>
        <w:rPr>
          <w:rFonts w:asciiTheme="majorBidi" w:hAnsiTheme="majorBidi" w:cstheme="majorBidi"/>
        </w:rPr>
      </w:pPr>
      <w:r w:rsidRPr="005D64C5">
        <w:rPr>
          <w:rFonts w:asciiTheme="majorBidi" w:hAnsiTheme="majorBidi" w:cstheme="majorBidi"/>
        </w:rPr>
        <w:t xml:space="preserve">Savu lūgumu prokurors pamatojis ar šādiem argumentiem. </w:t>
      </w:r>
    </w:p>
    <w:p w14:paraId="4F5E19DB" w14:textId="4C9C0C73" w:rsidR="005D64C5" w:rsidRDefault="00B5372F" w:rsidP="005D64C5">
      <w:pPr>
        <w:pStyle w:val="NoSpacing"/>
        <w:spacing w:line="276" w:lineRule="auto"/>
        <w:ind w:firstLine="720"/>
        <w:jc w:val="both"/>
        <w:rPr>
          <w:rFonts w:asciiTheme="majorBidi" w:hAnsiTheme="majorBidi" w:cstheme="majorBidi"/>
        </w:rPr>
      </w:pPr>
      <w:r w:rsidRPr="005D64C5">
        <w:rPr>
          <w:rFonts w:asciiTheme="majorBidi" w:hAnsiTheme="majorBidi" w:cstheme="majorBidi"/>
        </w:rPr>
        <w:t>Krimināllikuma 312. panta otrajā daļā paredzēto noziedzīgo nodarījumu var izdarīt tikai speciālais subjekts – persona, kura agrāk notiesāta un izvairās no tiesas piespriestā soda izciešanas. Ar Ogres rajona tiesas 2017.</w:t>
      </w:r>
      <w:r w:rsidR="00ED3DC3" w:rsidRPr="005D64C5">
        <w:rPr>
          <w:rFonts w:asciiTheme="majorBidi" w:hAnsiTheme="majorBidi" w:cstheme="majorBidi"/>
        </w:rPr>
        <w:t> </w:t>
      </w:r>
      <w:r w:rsidRPr="005D64C5">
        <w:rPr>
          <w:rFonts w:asciiTheme="majorBidi" w:hAnsiTheme="majorBidi" w:cstheme="majorBidi"/>
        </w:rPr>
        <w:t xml:space="preserve">gada 31. jūlija spriedumu </w:t>
      </w:r>
      <w:r w:rsidR="00740F32">
        <w:rPr>
          <w:rFonts w:asciiTheme="majorBidi" w:hAnsiTheme="majorBidi" w:cstheme="majorBidi"/>
        </w:rPr>
        <w:t>[pers. A]</w:t>
      </w:r>
      <w:r w:rsidRPr="005D64C5">
        <w:rPr>
          <w:rFonts w:asciiTheme="majorBidi" w:hAnsiTheme="majorBidi" w:cstheme="majorBidi"/>
        </w:rPr>
        <w:t xml:space="preserve"> atzīts </w:t>
      </w:r>
      <w:r w:rsidR="00B65020">
        <w:rPr>
          <w:rFonts w:asciiTheme="majorBidi" w:hAnsiTheme="majorBidi" w:cstheme="majorBidi"/>
        </w:rPr>
        <w:t>p</w:t>
      </w:r>
      <w:r w:rsidRPr="005D64C5">
        <w:rPr>
          <w:rFonts w:asciiTheme="majorBidi" w:hAnsiTheme="majorBidi" w:cstheme="majorBidi"/>
        </w:rPr>
        <w:t xml:space="preserve">ar vainīgu pēc Krimināllikuma 262. panta pirmās daļas un sodīts ar sabiedrisko darbu uz 280 stundām, atņemot transportlīdzekļa vadīšanas tiesības uz 5 gadiem. Citas </w:t>
      </w:r>
      <w:r w:rsidR="00305E03" w:rsidRPr="005D64C5">
        <w:rPr>
          <w:rFonts w:asciiTheme="majorBidi" w:hAnsiTheme="majorBidi" w:cstheme="majorBidi"/>
        </w:rPr>
        <w:t xml:space="preserve">apsūdzētā </w:t>
      </w:r>
      <w:r w:rsidRPr="005D64C5">
        <w:rPr>
          <w:rFonts w:asciiTheme="majorBidi" w:hAnsiTheme="majorBidi" w:cstheme="majorBidi"/>
        </w:rPr>
        <w:t>sodāmības</w:t>
      </w:r>
      <w:r w:rsidR="00305E03" w:rsidRPr="005D64C5">
        <w:rPr>
          <w:rFonts w:asciiTheme="majorBidi" w:hAnsiTheme="majorBidi" w:cstheme="majorBidi"/>
        </w:rPr>
        <w:t xml:space="preserve"> ir</w:t>
      </w:r>
      <w:r w:rsidRPr="005D64C5">
        <w:rPr>
          <w:rFonts w:asciiTheme="majorBidi" w:hAnsiTheme="majorBidi" w:cstheme="majorBidi"/>
        </w:rPr>
        <w:t xml:space="preserve"> dzēstas. Tādējādi Krimināllikuma 48. panta pirmās daļas 1. punktā no</w:t>
      </w:r>
      <w:r w:rsidR="006B25E6">
        <w:rPr>
          <w:rFonts w:asciiTheme="majorBidi" w:hAnsiTheme="majorBidi" w:cstheme="majorBidi"/>
        </w:rPr>
        <w:t>rādīto</w:t>
      </w:r>
      <w:r w:rsidRPr="005D64C5">
        <w:rPr>
          <w:rFonts w:asciiTheme="majorBidi" w:hAnsiTheme="majorBidi" w:cstheme="majorBidi"/>
        </w:rPr>
        <w:t xml:space="preserve"> atbildību pastiprinošo apstākli</w:t>
      </w:r>
      <w:r w:rsidR="00305E03" w:rsidRPr="005D64C5">
        <w:rPr>
          <w:rFonts w:asciiTheme="majorBidi" w:hAnsiTheme="majorBidi" w:cstheme="majorBidi"/>
        </w:rPr>
        <w:t xml:space="preserve"> </w:t>
      </w:r>
      <w:bookmarkStart w:id="2" w:name="_Hlk161838371"/>
      <w:r w:rsidR="00305E03" w:rsidRPr="005D64C5">
        <w:rPr>
          <w:rFonts w:asciiTheme="majorBidi" w:hAnsiTheme="majorBidi" w:cstheme="majorBidi"/>
        </w:rPr>
        <w:t>–</w:t>
      </w:r>
      <w:bookmarkEnd w:id="2"/>
      <w:r w:rsidR="00305E03" w:rsidRPr="005D64C5">
        <w:rPr>
          <w:rFonts w:asciiTheme="majorBidi" w:hAnsiTheme="majorBidi" w:cstheme="majorBidi"/>
        </w:rPr>
        <w:t xml:space="preserve"> </w:t>
      </w:r>
      <w:r w:rsidR="00305E03" w:rsidRPr="005D64C5">
        <w:rPr>
          <w:rFonts w:asciiTheme="majorBidi" w:hAnsiTheme="majorBidi" w:cstheme="majorBidi"/>
          <w:bCs/>
        </w:rPr>
        <w:t xml:space="preserve">noziedzīgais nodarījums veido noziedzīgu nodarījumu recidīvu </w:t>
      </w:r>
      <w:r w:rsidR="00305E03" w:rsidRPr="005D64C5">
        <w:rPr>
          <w:rFonts w:asciiTheme="majorBidi" w:hAnsiTheme="majorBidi" w:cstheme="majorBidi"/>
        </w:rPr>
        <w:t>–</w:t>
      </w:r>
      <w:r w:rsidRPr="005D64C5">
        <w:rPr>
          <w:rFonts w:asciiTheme="majorBidi" w:hAnsiTheme="majorBidi" w:cstheme="majorBidi"/>
        </w:rPr>
        <w:t xml:space="preserve"> nevar attiecināt </w:t>
      </w:r>
      <w:r w:rsidR="00316FD2">
        <w:rPr>
          <w:rFonts w:asciiTheme="majorBidi" w:hAnsiTheme="majorBidi" w:cstheme="majorBidi"/>
        </w:rPr>
        <w:t xml:space="preserve">uz </w:t>
      </w:r>
      <w:r w:rsidRPr="005D64C5">
        <w:rPr>
          <w:rFonts w:asciiTheme="majorBidi" w:hAnsiTheme="majorBidi" w:cstheme="majorBidi"/>
        </w:rPr>
        <w:t>Krimināllikuma 312. panta otrajā daļā paredzēto noziedzīgo nodarījumu.</w:t>
      </w:r>
      <w:r w:rsidR="005D64C5" w:rsidRPr="005D64C5">
        <w:rPr>
          <w:rFonts w:asciiTheme="majorBidi" w:hAnsiTheme="majorBidi" w:cstheme="majorBidi"/>
        </w:rPr>
        <w:t xml:space="preserve"> </w:t>
      </w:r>
    </w:p>
    <w:p w14:paraId="7A4D677E" w14:textId="291340CF" w:rsidR="00B5372F" w:rsidRDefault="005D64C5" w:rsidP="005D64C5">
      <w:pPr>
        <w:pStyle w:val="NoSpacing"/>
        <w:spacing w:line="276" w:lineRule="auto"/>
        <w:ind w:firstLine="720"/>
        <w:jc w:val="both"/>
        <w:rPr>
          <w:rFonts w:asciiTheme="majorBidi" w:hAnsiTheme="majorBidi" w:cstheme="majorBidi"/>
        </w:rPr>
      </w:pPr>
      <w:r w:rsidRPr="005D64C5">
        <w:rPr>
          <w:rFonts w:asciiTheme="majorBidi" w:hAnsiTheme="majorBidi" w:cstheme="majorBidi"/>
        </w:rPr>
        <w:t>Pirmās instances un apelācijas instances tiesas kļūdaini konstatējušas</w:t>
      </w:r>
      <w:r w:rsidRPr="005D64C5">
        <w:rPr>
          <w:rStyle w:val="CommentReference"/>
          <w:rFonts w:asciiTheme="majorBidi" w:hAnsiTheme="majorBidi" w:cstheme="majorBidi"/>
          <w:sz w:val="24"/>
          <w:szCs w:val="24"/>
        </w:rPr>
        <w:t xml:space="preserve"> atbildību </w:t>
      </w:r>
      <w:r w:rsidRPr="005D64C5">
        <w:rPr>
          <w:rFonts w:asciiTheme="majorBidi" w:hAnsiTheme="majorBidi" w:cstheme="majorBidi"/>
        </w:rPr>
        <w:t>pastiprinošu apstākli</w:t>
      </w:r>
      <w:r w:rsidR="006B25E6" w:rsidRPr="006B25E6">
        <w:rPr>
          <w:rFonts w:asciiTheme="majorBidi" w:hAnsiTheme="majorBidi" w:cstheme="majorBidi"/>
        </w:rPr>
        <w:t xml:space="preserve"> </w:t>
      </w:r>
      <w:r w:rsidR="006B25E6">
        <w:rPr>
          <w:rFonts w:asciiTheme="majorBidi" w:hAnsiTheme="majorBidi" w:cstheme="majorBidi"/>
        </w:rPr>
        <w:t xml:space="preserve">pēc </w:t>
      </w:r>
      <w:r w:rsidR="006B25E6" w:rsidRPr="005D64C5">
        <w:rPr>
          <w:rFonts w:asciiTheme="majorBidi" w:hAnsiTheme="majorBidi" w:cstheme="majorBidi"/>
        </w:rPr>
        <w:t>Krimināllikuma 312. panta otrā</w:t>
      </w:r>
      <w:r w:rsidR="006B25E6">
        <w:rPr>
          <w:rFonts w:asciiTheme="majorBidi" w:hAnsiTheme="majorBidi" w:cstheme="majorBidi"/>
        </w:rPr>
        <w:t>s</w:t>
      </w:r>
      <w:r w:rsidR="006B25E6" w:rsidRPr="005D64C5">
        <w:rPr>
          <w:rFonts w:asciiTheme="majorBidi" w:hAnsiTheme="majorBidi" w:cstheme="majorBidi"/>
        </w:rPr>
        <w:t xml:space="preserve"> daļ</w:t>
      </w:r>
      <w:r w:rsidR="006B25E6">
        <w:rPr>
          <w:rFonts w:asciiTheme="majorBidi" w:hAnsiTheme="majorBidi" w:cstheme="majorBidi"/>
        </w:rPr>
        <w:t>as</w:t>
      </w:r>
      <w:r w:rsidR="00E822FF">
        <w:rPr>
          <w:rFonts w:asciiTheme="majorBidi" w:hAnsiTheme="majorBidi" w:cstheme="majorBidi"/>
        </w:rPr>
        <w:t>, t</w:t>
      </w:r>
      <w:r>
        <w:rPr>
          <w:rFonts w:asciiTheme="majorBidi" w:hAnsiTheme="majorBidi" w:cstheme="majorBidi"/>
        </w:rPr>
        <w:t>ādējādi</w:t>
      </w:r>
      <w:r w:rsidR="006B25E6">
        <w:rPr>
          <w:rFonts w:asciiTheme="majorBidi" w:hAnsiTheme="majorBidi" w:cstheme="majorBidi"/>
        </w:rPr>
        <w:t xml:space="preserve"> tiesas</w:t>
      </w:r>
      <w:r>
        <w:rPr>
          <w:rFonts w:asciiTheme="majorBidi" w:hAnsiTheme="majorBidi" w:cstheme="majorBidi"/>
        </w:rPr>
        <w:t xml:space="preserve"> </w:t>
      </w:r>
      <w:r w:rsidRPr="005D64C5">
        <w:rPr>
          <w:rStyle w:val="A4"/>
          <w:rFonts w:asciiTheme="majorBidi" w:hAnsiTheme="majorBidi" w:cstheme="majorBidi"/>
          <w:sz w:val="24"/>
          <w:szCs w:val="24"/>
        </w:rPr>
        <w:t xml:space="preserve">pieļāvušas </w:t>
      </w:r>
      <w:r w:rsidRPr="005D64C5">
        <w:rPr>
          <w:rFonts w:asciiTheme="majorBidi" w:hAnsiTheme="majorBidi" w:cstheme="majorBidi"/>
        </w:rPr>
        <w:t xml:space="preserve">Kriminālprocesa likuma 574. panta 1. punktā paredzēto Krimināllikuma pārkāpumu. </w:t>
      </w:r>
    </w:p>
    <w:p w14:paraId="16A1BBF5" w14:textId="77777777" w:rsidR="005D64C5" w:rsidRPr="005D64C5" w:rsidRDefault="005D64C5" w:rsidP="005D64C5">
      <w:pPr>
        <w:pStyle w:val="NoSpacing"/>
        <w:spacing w:line="276" w:lineRule="auto"/>
        <w:ind w:firstLine="720"/>
        <w:jc w:val="both"/>
        <w:rPr>
          <w:rFonts w:asciiTheme="majorBidi" w:hAnsiTheme="majorBidi" w:cstheme="majorBidi"/>
        </w:rPr>
      </w:pPr>
    </w:p>
    <w:p w14:paraId="253FDBB4" w14:textId="0EC3BE43" w:rsidR="00B5372F" w:rsidRPr="00521CA9" w:rsidRDefault="00B5372F" w:rsidP="004F4BC2">
      <w:pPr>
        <w:spacing w:line="276" w:lineRule="auto"/>
        <w:contextualSpacing/>
        <w:jc w:val="center"/>
        <w:rPr>
          <w:rFonts w:asciiTheme="majorBidi" w:hAnsiTheme="majorBidi" w:cstheme="majorBidi"/>
          <w:b/>
        </w:rPr>
      </w:pPr>
      <w:r w:rsidRPr="00521CA9">
        <w:rPr>
          <w:rFonts w:asciiTheme="majorBidi" w:hAnsiTheme="majorBidi" w:cstheme="majorBidi"/>
          <w:b/>
        </w:rPr>
        <w:t>Motīvu daļa</w:t>
      </w:r>
    </w:p>
    <w:p w14:paraId="1DDC527F" w14:textId="77777777" w:rsidR="00B5372F" w:rsidRPr="00521CA9" w:rsidRDefault="00B5372F" w:rsidP="00A1132E">
      <w:pPr>
        <w:spacing w:line="276" w:lineRule="auto"/>
        <w:contextualSpacing/>
        <w:jc w:val="both"/>
        <w:rPr>
          <w:rFonts w:asciiTheme="majorBidi" w:hAnsiTheme="majorBidi" w:cstheme="majorBidi"/>
          <w:b/>
        </w:rPr>
      </w:pPr>
    </w:p>
    <w:p w14:paraId="0BDB217E" w14:textId="61C448AE" w:rsidR="004C385E" w:rsidRDefault="00B5372F" w:rsidP="00881452">
      <w:pPr>
        <w:widowControl w:val="0"/>
        <w:spacing w:line="276" w:lineRule="auto"/>
        <w:ind w:firstLine="720"/>
        <w:contextualSpacing/>
        <w:jc w:val="both"/>
        <w:rPr>
          <w:szCs w:val="24"/>
        </w:rPr>
      </w:pPr>
      <w:r w:rsidRPr="00905CBB">
        <w:rPr>
          <w:szCs w:val="24"/>
        </w:rPr>
        <w:t>[5] Senāt</w:t>
      </w:r>
      <w:r w:rsidR="00881452">
        <w:rPr>
          <w:szCs w:val="24"/>
        </w:rPr>
        <w:t xml:space="preserve">s atzīst, ka </w:t>
      </w:r>
      <w:r w:rsidR="00881452" w:rsidRPr="00881452">
        <w:rPr>
          <w:szCs w:val="24"/>
        </w:rPr>
        <w:t>Vidzemes apgabaltiesas 2023.</w:t>
      </w:r>
      <w:r w:rsidR="00881452">
        <w:rPr>
          <w:szCs w:val="24"/>
        </w:rPr>
        <w:t> </w:t>
      </w:r>
      <w:r w:rsidR="00881452" w:rsidRPr="00881452">
        <w:rPr>
          <w:szCs w:val="24"/>
        </w:rPr>
        <w:t>gada 30.</w:t>
      </w:r>
      <w:r w:rsidR="00881452">
        <w:rPr>
          <w:szCs w:val="24"/>
        </w:rPr>
        <w:t> </w:t>
      </w:r>
      <w:r w:rsidR="00881452" w:rsidRPr="00881452">
        <w:rPr>
          <w:szCs w:val="24"/>
        </w:rPr>
        <w:t>novembra lēmum</w:t>
      </w:r>
      <w:r w:rsidR="00881452">
        <w:rPr>
          <w:szCs w:val="24"/>
        </w:rPr>
        <w:t>s atceļams</w:t>
      </w:r>
      <w:r w:rsidR="00881452" w:rsidRPr="00881452">
        <w:rPr>
          <w:szCs w:val="24"/>
        </w:rPr>
        <w:t xml:space="preserve"> daļā par </w:t>
      </w:r>
      <w:r w:rsidR="00740F32">
        <w:rPr>
          <w:szCs w:val="24"/>
        </w:rPr>
        <w:t>[pers. A]</w:t>
      </w:r>
      <w:r w:rsidR="00881452" w:rsidRPr="00881452">
        <w:rPr>
          <w:szCs w:val="24"/>
        </w:rPr>
        <w:t xml:space="preserve"> noteikto sodu pēc Krimināllikuma 312.</w:t>
      </w:r>
      <w:r w:rsidR="00881452">
        <w:rPr>
          <w:szCs w:val="24"/>
        </w:rPr>
        <w:t> </w:t>
      </w:r>
      <w:r w:rsidR="00881452" w:rsidRPr="00881452">
        <w:rPr>
          <w:szCs w:val="24"/>
        </w:rPr>
        <w:t>panta otrās daļas un daļā par noteikto galīgo sodu saskaņā ar Krimināllikuma 50.</w:t>
      </w:r>
      <w:r w:rsidR="00881452">
        <w:rPr>
          <w:szCs w:val="24"/>
        </w:rPr>
        <w:t> </w:t>
      </w:r>
      <w:r w:rsidR="00881452" w:rsidRPr="00881452">
        <w:rPr>
          <w:szCs w:val="24"/>
        </w:rPr>
        <w:t>panta pirmo un trešo daļu</w:t>
      </w:r>
      <w:r w:rsidR="00881452">
        <w:rPr>
          <w:szCs w:val="24"/>
        </w:rPr>
        <w:t>. A</w:t>
      </w:r>
      <w:r w:rsidR="00881452" w:rsidRPr="00881452">
        <w:rPr>
          <w:szCs w:val="24"/>
        </w:rPr>
        <w:t>tceltajā daļā liet</w:t>
      </w:r>
      <w:r w:rsidR="00881452">
        <w:rPr>
          <w:szCs w:val="24"/>
        </w:rPr>
        <w:t>a</w:t>
      </w:r>
      <w:r w:rsidR="00881452" w:rsidRPr="00881452">
        <w:rPr>
          <w:szCs w:val="24"/>
        </w:rPr>
        <w:t xml:space="preserve"> nosūt</w:t>
      </w:r>
      <w:r w:rsidR="00881452">
        <w:rPr>
          <w:szCs w:val="24"/>
        </w:rPr>
        <w:t>āma</w:t>
      </w:r>
      <w:r w:rsidR="00881452" w:rsidRPr="00881452">
        <w:rPr>
          <w:szCs w:val="24"/>
        </w:rPr>
        <w:t xml:space="preserve"> jaunai izskatīšanai Vidzemes apgabaltiesā</w:t>
      </w:r>
      <w:r w:rsidR="00881452">
        <w:rPr>
          <w:szCs w:val="24"/>
        </w:rPr>
        <w:t xml:space="preserve">. </w:t>
      </w:r>
    </w:p>
    <w:p w14:paraId="59964440" w14:textId="77777777" w:rsidR="004C385E" w:rsidRDefault="004C385E" w:rsidP="004C385E">
      <w:pPr>
        <w:widowControl w:val="0"/>
        <w:spacing w:line="276" w:lineRule="auto"/>
        <w:ind w:firstLine="720"/>
        <w:contextualSpacing/>
        <w:jc w:val="both"/>
        <w:rPr>
          <w:szCs w:val="24"/>
        </w:rPr>
      </w:pPr>
    </w:p>
    <w:p w14:paraId="1E12B9A8" w14:textId="69CBD1BB" w:rsidR="004C385E" w:rsidRDefault="00B5372F" w:rsidP="004C385E">
      <w:pPr>
        <w:widowControl w:val="0"/>
        <w:spacing w:line="276" w:lineRule="auto"/>
        <w:ind w:firstLine="720"/>
        <w:contextualSpacing/>
        <w:jc w:val="both"/>
      </w:pPr>
      <w:r w:rsidRPr="00C337BA">
        <w:rPr>
          <w:szCs w:val="24"/>
        </w:rPr>
        <w:t>[6]</w:t>
      </w:r>
      <w:r>
        <w:rPr>
          <w:szCs w:val="24"/>
        </w:rPr>
        <w:t> </w:t>
      </w:r>
      <w:r w:rsidR="00737F89" w:rsidRPr="00671178">
        <w:t xml:space="preserve">Krimināllikuma 27. pants noteic, ka noziedzīga nodarījuma </w:t>
      </w:r>
      <w:r w:rsidR="00D233B2" w:rsidRPr="00D233B2">
        <w:t>recidīvu veido personas izdarīts jauns tīšs noziedzīgs nodarījums pēc šīs personas notiesāšanas par agrāk izdarītu tīšu noziedzīgu nodarījumu, ja sodāmība par to jaunā noziedzīgā nodarījuma izdarīšanas brīdī nav noņemta vai nav dzēsta likumā noteiktajā kārtībā</w:t>
      </w:r>
      <w:r w:rsidR="00D233B2">
        <w:t>.</w:t>
      </w:r>
    </w:p>
    <w:p w14:paraId="40A2095E" w14:textId="60D57129" w:rsidR="004C385E" w:rsidRDefault="00305E03" w:rsidP="004C385E">
      <w:pPr>
        <w:widowControl w:val="0"/>
        <w:spacing w:line="276" w:lineRule="auto"/>
        <w:ind w:firstLine="720"/>
        <w:contextualSpacing/>
        <w:jc w:val="both"/>
      </w:pPr>
      <w:r>
        <w:rPr>
          <w:szCs w:val="24"/>
        </w:rPr>
        <w:t>A</w:t>
      </w:r>
      <w:r w:rsidRPr="00671178">
        <w:t xml:space="preserve">pelācijas instances tiesa </w:t>
      </w:r>
      <w:r w:rsidR="0045049E">
        <w:t>atzinusi</w:t>
      </w:r>
      <w:r w:rsidRPr="00671178">
        <w:t>, ka pirmās instances tiesa saskaņā ar Krimināllikuma 48. panta pirmās daļas 1. punktu</w:t>
      </w:r>
      <w:r w:rsidR="00312083" w:rsidRPr="00312083">
        <w:t xml:space="preserve"> </w:t>
      </w:r>
      <w:r w:rsidR="00312083" w:rsidRPr="00671178">
        <w:t>pamatoti</w:t>
      </w:r>
      <w:r w:rsidRPr="00671178">
        <w:t xml:space="preserve"> </w:t>
      </w:r>
      <w:r w:rsidR="00A1132E">
        <w:t xml:space="preserve">konstatējusi </w:t>
      </w:r>
      <w:r w:rsidRPr="00671178">
        <w:t xml:space="preserve">apsūdzētā </w:t>
      </w:r>
      <w:r w:rsidR="00740F32">
        <w:rPr>
          <w:szCs w:val="24"/>
        </w:rPr>
        <w:t>[pers. A]</w:t>
      </w:r>
      <w:r w:rsidRPr="00671178">
        <w:t xml:space="preserve"> atbildību pastiprinošu apstākli</w:t>
      </w:r>
      <w:r w:rsidR="00A1132E">
        <w:t xml:space="preserve"> –</w:t>
      </w:r>
      <w:r w:rsidR="00A1132E" w:rsidRPr="00671178">
        <w:t xml:space="preserve"> noziedzīgais nodarījums veido noziedzīgu nodarījumu recidīvu</w:t>
      </w:r>
      <w:r w:rsidR="00A1132E">
        <w:t xml:space="preserve"> –</w:t>
      </w:r>
      <w:r>
        <w:t xml:space="preserve"> par abiem inkriminētajiem noziedzīgajiem nodarījumiem</w:t>
      </w:r>
      <w:r w:rsidR="00312083">
        <w:t>.</w:t>
      </w:r>
      <w:r w:rsidR="00A1132E" w:rsidRPr="00A1132E">
        <w:t xml:space="preserve"> </w:t>
      </w:r>
      <w:r w:rsidR="00A1132E">
        <w:t>Lietā konstatēts, ka noziedzīgos nodarījumus apsūdzētais izdarījis 2022. gada 19.</w:t>
      </w:r>
      <w:r w:rsidR="004C385E">
        <w:t> </w:t>
      </w:r>
      <w:r w:rsidR="00A1132E">
        <w:t>maijā.</w:t>
      </w:r>
    </w:p>
    <w:p w14:paraId="009AF094" w14:textId="43BBCE68" w:rsidR="004C385E" w:rsidRDefault="00312083" w:rsidP="00740F32">
      <w:pPr>
        <w:widowControl w:val="0"/>
        <w:spacing w:line="276" w:lineRule="auto"/>
        <w:ind w:firstLine="720"/>
        <w:contextualSpacing/>
        <w:jc w:val="both"/>
      </w:pPr>
      <w:r>
        <w:t xml:space="preserve">Pirmās instances tiesa spriedumā </w:t>
      </w:r>
      <w:r w:rsidR="0071221B">
        <w:t>norādījusi</w:t>
      </w:r>
      <w:r w:rsidR="00DC22F4">
        <w:t>, ka</w:t>
      </w:r>
      <w:r>
        <w:t xml:space="preserve"> </w:t>
      </w:r>
      <w:r w:rsidR="00740F32">
        <w:t>[pers. A]</w:t>
      </w:r>
      <w:r>
        <w:t xml:space="preserve"> iepriekš trīs reizes </w:t>
      </w:r>
      <w:r w:rsidR="00DC22F4">
        <w:t xml:space="preserve">sodīts </w:t>
      </w:r>
      <w:r>
        <w:t>par transportlīdzekļ</w:t>
      </w:r>
      <w:r w:rsidR="00F46345">
        <w:t>a</w:t>
      </w:r>
      <w:r>
        <w:t xml:space="preserve"> vadīšanu alkohola ietekmē un bez transportlīdzekļ</w:t>
      </w:r>
      <w:r w:rsidR="00F46345">
        <w:t>a</w:t>
      </w:r>
      <w:r>
        <w:t xml:space="preserve"> vadīšanas tiesībām. Pēdējo reizi</w:t>
      </w:r>
      <w:r w:rsidR="00AC51DB" w:rsidRPr="00AC51DB">
        <w:t xml:space="preserve"> </w:t>
      </w:r>
      <w:r w:rsidR="00740F32">
        <w:t>[pers. A]</w:t>
      </w:r>
      <w:r>
        <w:t xml:space="preserve"> ar </w:t>
      </w:r>
      <w:bookmarkStart w:id="3" w:name="_Hlk161839513"/>
      <w:r>
        <w:t>Ogres rajona tiesas 2017.</w:t>
      </w:r>
      <w:r w:rsidR="001A5137">
        <w:t> </w:t>
      </w:r>
      <w:r>
        <w:t xml:space="preserve">gada 31. jūlija spriedumu </w:t>
      </w:r>
      <w:bookmarkEnd w:id="3"/>
      <w:r>
        <w:t xml:space="preserve">atzīts par vainīgu </w:t>
      </w:r>
      <w:r>
        <w:lastRenderedPageBreak/>
        <w:t xml:space="preserve">pēc </w:t>
      </w:r>
      <w:bookmarkStart w:id="4" w:name="_Hlk161900840"/>
      <w:r>
        <w:t>Krimināllikuma 262.</w:t>
      </w:r>
      <w:r w:rsidR="001A5137">
        <w:t> </w:t>
      </w:r>
      <w:r>
        <w:t xml:space="preserve">panta pirmās daļas </w:t>
      </w:r>
      <w:bookmarkEnd w:id="4"/>
      <w:r>
        <w:t>un sodīts ar sabiedrisko darbu uz 280 stundām, atņemot transportlīdzekļa vadīšanas tiesības uz 5 gadiem. Spriedums stājies spēkā 2017.</w:t>
      </w:r>
      <w:r w:rsidR="00E822FF">
        <w:t> </w:t>
      </w:r>
      <w:r>
        <w:t xml:space="preserve">gada 11. augustā. Pamatsodu </w:t>
      </w:r>
      <w:r w:rsidR="00740F32">
        <w:rPr>
          <w:szCs w:val="24"/>
        </w:rPr>
        <w:t>[pers. </w:t>
      </w:r>
      <w:r w:rsidR="00740F32">
        <w:t>A]</w:t>
      </w:r>
      <w:r>
        <w:rPr>
          <w:szCs w:val="24"/>
        </w:rPr>
        <w:t xml:space="preserve"> </w:t>
      </w:r>
      <w:r>
        <w:t>izcietis 2018. gada 29. jūnijā</w:t>
      </w:r>
      <w:r w:rsidR="00AC51DB">
        <w:t>,</w:t>
      </w:r>
      <w:r w:rsidR="00DC22F4">
        <w:t xml:space="preserve"> bet</w:t>
      </w:r>
      <w:r w:rsidR="00AC51DB">
        <w:t xml:space="preserve"> p</w:t>
      </w:r>
      <w:r>
        <w:t>apildsod</w:t>
      </w:r>
      <w:r w:rsidR="00AC51DB">
        <w:t>u</w:t>
      </w:r>
      <w:r w:rsidR="00737F89">
        <w:t xml:space="preserve"> </w:t>
      </w:r>
      <w:r w:rsidR="00881452">
        <w:t> </w:t>
      </w:r>
      <w:r w:rsidR="00737F89">
        <w:t xml:space="preserve">– </w:t>
      </w:r>
      <w:r>
        <w:t>transportlīdzekļa vadīšanas tiesību atņemšan</w:t>
      </w:r>
      <w:r w:rsidR="00AC51DB">
        <w:t>u</w:t>
      </w:r>
      <w:r>
        <w:t xml:space="preserve"> – izciet</w:t>
      </w:r>
      <w:r w:rsidR="00AC51DB">
        <w:t>is</w:t>
      </w:r>
      <w:r>
        <w:t xml:space="preserve"> 2022. gada 10. augustā. Sodāmība nav dzēsta.</w:t>
      </w:r>
    </w:p>
    <w:p w14:paraId="04C15B47" w14:textId="7519E84C" w:rsidR="004C385E" w:rsidRDefault="00616619" w:rsidP="004C385E">
      <w:pPr>
        <w:widowControl w:val="0"/>
        <w:spacing w:line="276" w:lineRule="auto"/>
        <w:ind w:firstLine="720"/>
        <w:contextualSpacing/>
        <w:jc w:val="both"/>
        <w:rPr>
          <w:i/>
          <w:iCs/>
          <w:szCs w:val="24"/>
        </w:rPr>
      </w:pPr>
      <w:r>
        <w:rPr>
          <w:rFonts w:cs="Times New Roman"/>
          <w:szCs w:val="24"/>
        </w:rPr>
        <w:t>Senāta judikatūrā atzīts, ka</w:t>
      </w:r>
      <w:r w:rsidR="00881452">
        <w:rPr>
          <w:rFonts w:cs="Times New Roman"/>
          <w:szCs w:val="24"/>
        </w:rPr>
        <w:t>, izlemjot</w:t>
      </w:r>
      <w:r w:rsidRPr="001F2D24">
        <w:rPr>
          <w:rFonts w:cs="Times New Roman"/>
          <w:szCs w:val="24"/>
        </w:rPr>
        <w:t xml:space="preserve"> par Krimināllikuma 48.</w:t>
      </w:r>
      <w:r>
        <w:rPr>
          <w:rFonts w:cs="Times New Roman"/>
          <w:szCs w:val="24"/>
        </w:rPr>
        <w:t> </w:t>
      </w:r>
      <w:r w:rsidRPr="001F2D24">
        <w:rPr>
          <w:rFonts w:cs="Times New Roman"/>
          <w:szCs w:val="24"/>
        </w:rPr>
        <w:t>panta pirmās daļas 1.</w:t>
      </w:r>
      <w:r w:rsidR="00E822FF">
        <w:rPr>
          <w:rFonts w:cs="Times New Roman"/>
          <w:szCs w:val="24"/>
        </w:rPr>
        <w:t> </w:t>
      </w:r>
      <w:r w:rsidRPr="001F2D24">
        <w:rPr>
          <w:rFonts w:cs="Times New Roman"/>
          <w:szCs w:val="24"/>
        </w:rPr>
        <w:t xml:space="preserve">punktā norādītā atbildību pastiprinošā apstākļa – </w:t>
      </w:r>
      <w:r w:rsidRPr="001F2D24">
        <w:rPr>
          <w:rFonts w:ascii="TimesNewRomanPSMT" w:hAnsi="TimesNewRomanPSMT" w:cs="TimesNewRomanPSMT"/>
          <w:szCs w:val="24"/>
        </w:rPr>
        <w:t xml:space="preserve">noziedzīgais nodarījums veido noziedzīgu nodarījumu recidīvu – piemērošanu personai, kura atzīta par vainīgu </w:t>
      </w:r>
      <w:r w:rsidRPr="001F2D24">
        <w:rPr>
          <w:rFonts w:cs="Times New Roman"/>
          <w:szCs w:val="24"/>
        </w:rPr>
        <w:t>Krimināllikuma 312.</w:t>
      </w:r>
      <w:r>
        <w:rPr>
          <w:rFonts w:cs="Times New Roman"/>
          <w:szCs w:val="24"/>
        </w:rPr>
        <w:t> </w:t>
      </w:r>
      <w:r w:rsidRPr="001F2D24">
        <w:rPr>
          <w:rFonts w:cs="Times New Roman"/>
          <w:szCs w:val="24"/>
        </w:rPr>
        <w:t xml:space="preserve">pantā paredzētajā noziedzīgajā nodarījumā, jāņem vērā, ka šo noziedzīgo nodarījumu var izdarīt tikai īpašais </w:t>
      </w:r>
      <w:r w:rsidRPr="003C39CA">
        <w:rPr>
          <w:rFonts w:cs="Times New Roman"/>
          <w:szCs w:val="24"/>
        </w:rPr>
        <w:t>(speciālais) subjekts</w:t>
      </w:r>
      <w:r w:rsidRPr="003C39CA">
        <w:rPr>
          <w:rFonts w:cs="Times New Roman"/>
          <w:i/>
          <w:iCs/>
          <w:szCs w:val="24"/>
        </w:rPr>
        <w:t xml:space="preserve"> </w:t>
      </w:r>
      <w:r w:rsidRPr="004C385E">
        <w:rPr>
          <w:szCs w:val="24"/>
        </w:rPr>
        <w:t>(</w:t>
      </w:r>
      <w:r w:rsidRPr="003C39CA">
        <w:rPr>
          <w:i/>
          <w:iCs/>
          <w:szCs w:val="24"/>
        </w:rPr>
        <w:t>Senāta 2017.</w:t>
      </w:r>
      <w:r w:rsidRPr="003C39CA">
        <w:rPr>
          <w:i/>
          <w:iCs/>
        </w:rPr>
        <w:t> </w:t>
      </w:r>
      <w:r w:rsidRPr="003C39CA">
        <w:rPr>
          <w:i/>
          <w:iCs/>
          <w:szCs w:val="24"/>
        </w:rPr>
        <w:t>gada 16. novembra lēmum</w:t>
      </w:r>
      <w:r w:rsidR="00381129">
        <w:rPr>
          <w:i/>
          <w:iCs/>
          <w:szCs w:val="24"/>
        </w:rPr>
        <w:t>a</w:t>
      </w:r>
      <w:r w:rsidRPr="003C39CA">
        <w:rPr>
          <w:i/>
          <w:iCs/>
          <w:szCs w:val="24"/>
        </w:rPr>
        <w:t xml:space="preserve"> lietā Nr. </w:t>
      </w:r>
      <w:r w:rsidRPr="003C39CA">
        <w:rPr>
          <w:rFonts w:eastAsia="Times New Roman" w:cs="Times New Roman"/>
          <w:i/>
          <w:iCs/>
          <w:szCs w:val="24"/>
        </w:rPr>
        <w:t>SKK-623/2017</w:t>
      </w:r>
      <w:r w:rsidRPr="003C39CA">
        <w:rPr>
          <w:i/>
          <w:iCs/>
          <w:szCs w:val="24"/>
        </w:rPr>
        <w:t>,</w:t>
      </w:r>
      <w:r w:rsidR="00381129" w:rsidRPr="00381129">
        <w:t xml:space="preserve"> </w:t>
      </w:r>
      <w:hyperlink r:id="rId8" w:history="1">
        <w:r w:rsidR="00381129" w:rsidRPr="00381129">
          <w:rPr>
            <w:rStyle w:val="Hyperlink"/>
            <w:i/>
            <w:iCs/>
            <w:szCs w:val="24"/>
          </w:rPr>
          <w:t>ECLI:LV:AT:2017:1116.11331029617.1.L</w:t>
        </w:r>
      </w:hyperlink>
      <w:r w:rsidR="000C4F38">
        <w:rPr>
          <w:rFonts w:ascii="TimesNewRomanPSMT" w:hAnsi="TimesNewRomanPSMT" w:cs="TimesNewRomanPSMT"/>
          <w:i/>
          <w:iCs/>
          <w:szCs w:val="24"/>
        </w:rPr>
        <w:t>, 3.3.</w:t>
      </w:r>
      <w:r w:rsidR="001067ED">
        <w:rPr>
          <w:rFonts w:ascii="TimesNewRomanPSMT" w:hAnsi="TimesNewRomanPSMT" w:cs="TimesNewRomanPSMT"/>
          <w:i/>
          <w:iCs/>
          <w:szCs w:val="24"/>
        </w:rPr>
        <w:t> </w:t>
      </w:r>
      <w:r>
        <w:rPr>
          <w:rFonts w:ascii="TimesNewRomanPSMT" w:hAnsi="TimesNewRomanPSMT" w:cs="TimesNewRomanPSMT"/>
          <w:i/>
          <w:iCs/>
          <w:szCs w:val="24"/>
        </w:rPr>
        <w:t>punkts</w:t>
      </w:r>
      <w:r w:rsidRPr="004C385E">
        <w:rPr>
          <w:szCs w:val="24"/>
        </w:rPr>
        <w:t>)</w:t>
      </w:r>
      <w:r w:rsidRPr="003C39CA">
        <w:rPr>
          <w:i/>
          <w:iCs/>
          <w:szCs w:val="24"/>
        </w:rPr>
        <w:t>.</w:t>
      </w:r>
    </w:p>
    <w:p w14:paraId="59A06B13" w14:textId="77777777" w:rsidR="004C385E" w:rsidRDefault="0045049E" w:rsidP="004C385E">
      <w:pPr>
        <w:widowControl w:val="0"/>
        <w:spacing w:line="276" w:lineRule="auto"/>
        <w:ind w:firstLine="720"/>
        <w:contextualSpacing/>
        <w:jc w:val="both"/>
        <w:rPr>
          <w:szCs w:val="24"/>
        </w:rPr>
      </w:pPr>
      <w:r>
        <w:rPr>
          <w:szCs w:val="24"/>
        </w:rPr>
        <w:t>Krimināllikuma 48.</w:t>
      </w:r>
      <w:r w:rsidR="00A1132E">
        <w:rPr>
          <w:szCs w:val="24"/>
        </w:rPr>
        <w:t> </w:t>
      </w:r>
      <w:r>
        <w:rPr>
          <w:szCs w:val="24"/>
        </w:rPr>
        <w:t>panta ceturtā daļa noteic, ka par atbildību pastiprinošu apstākli nav atzīstams tāds apstāklis, kurš šajā likumā paredzēts kā noziedzīga nodarījuma sastāva pazīme.</w:t>
      </w:r>
    </w:p>
    <w:p w14:paraId="60726770" w14:textId="70DFAE56" w:rsidR="004C385E" w:rsidRDefault="00616619" w:rsidP="004C385E">
      <w:pPr>
        <w:widowControl w:val="0"/>
        <w:spacing w:line="276" w:lineRule="auto"/>
        <w:ind w:firstLine="720"/>
        <w:contextualSpacing/>
        <w:jc w:val="both"/>
        <w:rPr>
          <w:szCs w:val="24"/>
        </w:rPr>
      </w:pPr>
      <w:r>
        <w:rPr>
          <w:rFonts w:cs="Times New Roman"/>
        </w:rPr>
        <w:t>Tiesību doktrīnā izteikta atziņa, ka: „Vispārējais un speciālais recidīvs ņemams vērā arī tad, ja likumā ir ietverta norāde uz noziedzīga nodarījuma subjektu kā personu, kura jau ir notiesāta par agrāk izdarītu noziedzīgu nodarījumu. Ar iepriekšējo sodāmību saistīts arī tāds noziedzīgs nodarījums kā izvairīšanās no tiesas piespriestā soda izciešanas (Krimināllikuma 312. pants).</w:t>
      </w:r>
      <w:r>
        <w:rPr>
          <w:i/>
          <w:iCs/>
        </w:rPr>
        <w:t xml:space="preserve"> </w:t>
      </w:r>
      <w:r>
        <w:rPr>
          <w:rFonts w:cs="Times New Roman"/>
          <w:szCs w:val="24"/>
        </w:rPr>
        <w:t>Pārējos gadījumos tiesa noziedzīgu nodarījumu recidīvu saskaņā ar Krimināllikuma 48. panta pirmās daļas 1. punktu var atzīt par atbildību pastiprinošu apstākli”</w:t>
      </w:r>
      <w:r>
        <w:rPr>
          <w:szCs w:val="24"/>
        </w:rPr>
        <w:t xml:space="preserve"> (</w:t>
      </w:r>
      <w:proofErr w:type="spellStart"/>
      <w:r>
        <w:rPr>
          <w:i/>
          <w:szCs w:val="24"/>
        </w:rPr>
        <w:t>Liholaja</w:t>
      </w:r>
      <w:proofErr w:type="spellEnd"/>
      <w:r>
        <w:rPr>
          <w:i/>
          <w:szCs w:val="24"/>
        </w:rPr>
        <w:t xml:space="preserve"> V. Noziedzīgu nodarījumu kvalifikācija: Likums.</w:t>
      </w:r>
      <w:r w:rsidR="001A5137">
        <w:rPr>
          <w:i/>
          <w:szCs w:val="24"/>
        </w:rPr>
        <w:t xml:space="preserve"> </w:t>
      </w:r>
      <w:r>
        <w:rPr>
          <w:i/>
          <w:szCs w:val="24"/>
        </w:rPr>
        <w:t>Teorija.</w:t>
      </w:r>
      <w:r w:rsidR="001A5137">
        <w:rPr>
          <w:i/>
          <w:szCs w:val="24"/>
        </w:rPr>
        <w:t xml:space="preserve"> </w:t>
      </w:r>
      <w:r>
        <w:rPr>
          <w:i/>
          <w:szCs w:val="24"/>
        </w:rPr>
        <w:t>Prakse. Otrais papildinātais izdevums, Rīga: Tiesu namu aģentūra, 2007, 174.-175.</w:t>
      </w:r>
      <w:r w:rsidR="000C4F38">
        <w:rPr>
          <w:i/>
          <w:szCs w:val="24"/>
        </w:rPr>
        <w:t> </w:t>
      </w:r>
      <w:r>
        <w:rPr>
          <w:i/>
          <w:szCs w:val="24"/>
        </w:rPr>
        <w:t>lpp.</w:t>
      </w:r>
      <w:r>
        <w:rPr>
          <w:szCs w:val="24"/>
        </w:rPr>
        <w:t>)</w:t>
      </w:r>
      <w:r w:rsidR="001A5137">
        <w:rPr>
          <w:szCs w:val="24"/>
        </w:rPr>
        <w:t>.</w:t>
      </w:r>
    </w:p>
    <w:p w14:paraId="767A0308" w14:textId="37093839" w:rsidR="004C385E" w:rsidRDefault="00A1132E" w:rsidP="004C385E">
      <w:pPr>
        <w:widowControl w:val="0"/>
        <w:spacing w:line="276" w:lineRule="auto"/>
        <w:ind w:firstLine="720"/>
        <w:contextualSpacing/>
        <w:jc w:val="both"/>
      </w:pPr>
      <w:r>
        <w:rPr>
          <w:szCs w:val="24"/>
        </w:rPr>
        <w:t>Tādējādi atzīstams, ka viena sodāmība p</w:t>
      </w:r>
      <w:r w:rsidR="00AC510A">
        <w:rPr>
          <w:szCs w:val="24"/>
        </w:rPr>
        <w:t>ar</w:t>
      </w:r>
      <w:r>
        <w:rPr>
          <w:szCs w:val="24"/>
        </w:rPr>
        <w:t xml:space="preserve"> </w:t>
      </w:r>
      <w:r>
        <w:t>Krimināllikum</w:t>
      </w:r>
      <w:r w:rsidR="00AC510A">
        <w:t xml:space="preserve">ā paredzētu </w:t>
      </w:r>
      <w:r w:rsidR="0059389F">
        <w:t xml:space="preserve">tīšu </w:t>
      </w:r>
      <w:r w:rsidR="00AC510A">
        <w:t>noziedzīgu nodarījumu, ar kuru personai atņemtas</w:t>
      </w:r>
      <w:r w:rsidR="00AC510A" w:rsidRPr="00AC510A">
        <w:t xml:space="preserve"> </w:t>
      </w:r>
      <w:r w:rsidR="00AC510A">
        <w:t>transportlīdzekļa vadīšanas tiesības,</w:t>
      </w:r>
      <w:r>
        <w:t xml:space="preserve"> nevar veidot</w:t>
      </w:r>
      <w:r w:rsidRPr="00A1132E">
        <w:rPr>
          <w:szCs w:val="24"/>
        </w:rPr>
        <w:t xml:space="preserve"> </w:t>
      </w:r>
      <w:r w:rsidRPr="00154E0D">
        <w:rPr>
          <w:szCs w:val="24"/>
        </w:rPr>
        <w:t>Krimināllikuma 48.</w:t>
      </w:r>
      <w:r>
        <w:rPr>
          <w:szCs w:val="24"/>
        </w:rPr>
        <w:t> </w:t>
      </w:r>
      <w:r w:rsidRPr="00154E0D">
        <w:rPr>
          <w:szCs w:val="24"/>
        </w:rPr>
        <w:t>panta pirmās daļas 1.</w:t>
      </w:r>
      <w:r>
        <w:rPr>
          <w:szCs w:val="24"/>
        </w:rPr>
        <w:t> </w:t>
      </w:r>
      <w:r w:rsidRPr="00154E0D">
        <w:rPr>
          <w:szCs w:val="24"/>
        </w:rPr>
        <w:t xml:space="preserve">punktā </w:t>
      </w:r>
      <w:r>
        <w:rPr>
          <w:szCs w:val="24"/>
        </w:rPr>
        <w:t xml:space="preserve">paredzēto </w:t>
      </w:r>
      <w:r w:rsidRPr="00154E0D">
        <w:rPr>
          <w:szCs w:val="24"/>
        </w:rPr>
        <w:t xml:space="preserve">atbildību </w:t>
      </w:r>
      <w:r w:rsidRPr="003C39CA">
        <w:rPr>
          <w:szCs w:val="24"/>
        </w:rPr>
        <w:t>pastiprinoš</w:t>
      </w:r>
      <w:r>
        <w:rPr>
          <w:szCs w:val="24"/>
        </w:rPr>
        <w:t>o</w:t>
      </w:r>
      <w:r w:rsidRPr="003C39CA">
        <w:rPr>
          <w:szCs w:val="24"/>
        </w:rPr>
        <w:t xml:space="preserve"> apstākli</w:t>
      </w:r>
      <w:r w:rsidR="000C4F38">
        <w:rPr>
          <w:szCs w:val="24"/>
        </w:rPr>
        <w:t xml:space="preserve"> gadījumā, kad persona atzīta par vainīgu</w:t>
      </w:r>
      <w:r w:rsidR="000C4F38" w:rsidRPr="000C4F38">
        <w:rPr>
          <w:szCs w:val="24"/>
        </w:rPr>
        <w:t xml:space="preserve"> </w:t>
      </w:r>
      <w:r w:rsidR="000C4F38">
        <w:rPr>
          <w:szCs w:val="24"/>
        </w:rPr>
        <w:t>apsūdzībā pēc Krimināllikuma 312. panta otrās daļas</w:t>
      </w:r>
      <w:r w:rsidR="009E1DC6">
        <w:rPr>
          <w:szCs w:val="24"/>
        </w:rPr>
        <w:t xml:space="preserve"> par izvairīšanos no tiesību ierobežošanas soda – </w:t>
      </w:r>
      <w:r w:rsidR="009E1DC6">
        <w:t>transportlīdzekļa vadīšanas tiesību atņemšanas.</w:t>
      </w:r>
      <w:r>
        <w:t xml:space="preserve"> </w:t>
      </w:r>
    </w:p>
    <w:p w14:paraId="02DF5856" w14:textId="760B0A29" w:rsidR="004C385E" w:rsidRDefault="000617AF" w:rsidP="004C385E">
      <w:pPr>
        <w:widowControl w:val="0"/>
        <w:spacing w:line="276" w:lineRule="auto"/>
        <w:ind w:firstLine="720"/>
        <w:contextualSpacing/>
        <w:jc w:val="both"/>
      </w:pPr>
      <w:r>
        <w:rPr>
          <w:szCs w:val="24"/>
        </w:rPr>
        <w:t>Abu instanču tiesu nolēmumos nav izklāstīts pamatojums un norādīti pierādījumi, kas apstiprinātu</w:t>
      </w:r>
      <w:r w:rsidRPr="00616619">
        <w:t xml:space="preserve"> </w:t>
      </w:r>
      <w:r w:rsidRPr="00154E0D">
        <w:rPr>
          <w:szCs w:val="24"/>
        </w:rPr>
        <w:t>Krimināllikuma 48.</w:t>
      </w:r>
      <w:r>
        <w:rPr>
          <w:szCs w:val="24"/>
        </w:rPr>
        <w:t> </w:t>
      </w:r>
      <w:r w:rsidRPr="00154E0D">
        <w:rPr>
          <w:szCs w:val="24"/>
        </w:rPr>
        <w:t>panta pirmās daļas 1.</w:t>
      </w:r>
      <w:r>
        <w:rPr>
          <w:szCs w:val="24"/>
        </w:rPr>
        <w:t> </w:t>
      </w:r>
      <w:r w:rsidRPr="00154E0D">
        <w:rPr>
          <w:szCs w:val="24"/>
        </w:rPr>
        <w:t>punktā no</w:t>
      </w:r>
      <w:r w:rsidR="0071221B">
        <w:rPr>
          <w:szCs w:val="24"/>
        </w:rPr>
        <w:t>rādītā</w:t>
      </w:r>
      <w:r>
        <w:rPr>
          <w:szCs w:val="24"/>
        </w:rPr>
        <w:t xml:space="preserve"> </w:t>
      </w:r>
      <w:r w:rsidRPr="00154E0D">
        <w:rPr>
          <w:szCs w:val="24"/>
        </w:rPr>
        <w:t xml:space="preserve">atbildību </w:t>
      </w:r>
      <w:r w:rsidRPr="003C39CA">
        <w:rPr>
          <w:szCs w:val="24"/>
        </w:rPr>
        <w:t>pastiprinoš</w:t>
      </w:r>
      <w:r>
        <w:rPr>
          <w:szCs w:val="24"/>
        </w:rPr>
        <w:t>ā</w:t>
      </w:r>
      <w:r w:rsidRPr="003C39CA">
        <w:rPr>
          <w:szCs w:val="24"/>
        </w:rPr>
        <w:t xml:space="preserve"> apstāk</w:t>
      </w:r>
      <w:r>
        <w:rPr>
          <w:szCs w:val="24"/>
        </w:rPr>
        <w:t>ļa –</w:t>
      </w:r>
      <w:r w:rsidRPr="00154E0D">
        <w:rPr>
          <w:szCs w:val="24"/>
        </w:rPr>
        <w:t xml:space="preserve"> </w:t>
      </w:r>
      <w:r w:rsidRPr="00671178">
        <w:t>noziedzīgais nodarījums veido noziedzīgu nodarījumu recidīvu</w:t>
      </w:r>
      <w:r>
        <w:t xml:space="preserve"> </w:t>
      </w:r>
      <w:r>
        <w:rPr>
          <w:szCs w:val="24"/>
        </w:rPr>
        <w:t>– esību apsūdzībā pēc Krimināllikuma 312. panta otrās daļas. Tiesu nolēmumos ir tikai norādīta</w:t>
      </w:r>
      <w:r>
        <w:t xml:space="preserve"> sodāmība</w:t>
      </w:r>
      <w:r w:rsidR="00DC22F4">
        <w:t xml:space="preserve"> pēc</w:t>
      </w:r>
      <w:r w:rsidRPr="00616619">
        <w:t xml:space="preserve"> </w:t>
      </w:r>
      <w:bookmarkStart w:id="5" w:name="_Hlk161903604"/>
      <w:r>
        <w:t>Ogres rajona tiesas 2017.</w:t>
      </w:r>
      <w:r w:rsidR="00DC22F4">
        <w:t> </w:t>
      </w:r>
      <w:r>
        <w:t>gada 31. jūlija spriedum</w:t>
      </w:r>
      <w:bookmarkEnd w:id="5"/>
      <w:r w:rsidR="00DC22F4">
        <w:t>a</w:t>
      </w:r>
      <w:r>
        <w:t xml:space="preserve">. </w:t>
      </w:r>
      <w:r w:rsidR="00F46345">
        <w:t>Ar m</w:t>
      </w:r>
      <w:r w:rsidR="00AD59B9">
        <w:t xml:space="preserve">inēto </w:t>
      </w:r>
      <w:r w:rsidR="000C4F38">
        <w:t xml:space="preserve">sodāmību </w:t>
      </w:r>
      <w:r w:rsidR="00AD59B9" w:rsidRPr="003C39CA">
        <w:rPr>
          <w:szCs w:val="24"/>
        </w:rPr>
        <w:t>nevar</w:t>
      </w:r>
      <w:r w:rsidR="00F46345">
        <w:rPr>
          <w:szCs w:val="24"/>
        </w:rPr>
        <w:t xml:space="preserve"> pamatot</w:t>
      </w:r>
      <w:r w:rsidR="00F46345" w:rsidRPr="00F46345">
        <w:rPr>
          <w:szCs w:val="24"/>
        </w:rPr>
        <w:t xml:space="preserve"> </w:t>
      </w:r>
      <w:r w:rsidR="00F46345" w:rsidRPr="00154E0D">
        <w:rPr>
          <w:szCs w:val="24"/>
        </w:rPr>
        <w:t>Krimināllikuma 48.</w:t>
      </w:r>
      <w:r w:rsidR="00F46345">
        <w:rPr>
          <w:szCs w:val="24"/>
        </w:rPr>
        <w:t> </w:t>
      </w:r>
      <w:r w:rsidR="00F46345" w:rsidRPr="00154E0D">
        <w:rPr>
          <w:szCs w:val="24"/>
        </w:rPr>
        <w:t>panta pirmās daļas 1.</w:t>
      </w:r>
      <w:r w:rsidR="00F46345">
        <w:rPr>
          <w:szCs w:val="24"/>
        </w:rPr>
        <w:t> </w:t>
      </w:r>
      <w:r w:rsidR="00F46345" w:rsidRPr="00154E0D">
        <w:rPr>
          <w:szCs w:val="24"/>
        </w:rPr>
        <w:t>punktā noteikt</w:t>
      </w:r>
      <w:r w:rsidR="00F46345">
        <w:rPr>
          <w:szCs w:val="24"/>
        </w:rPr>
        <w:t xml:space="preserve">ā </w:t>
      </w:r>
      <w:r w:rsidR="00F46345" w:rsidRPr="00154E0D">
        <w:rPr>
          <w:szCs w:val="24"/>
        </w:rPr>
        <w:t xml:space="preserve">atbildību </w:t>
      </w:r>
      <w:r w:rsidR="00F46345" w:rsidRPr="003C39CA">
        <w:rPr>
          <w:szCs w:val="24"/>
        </w:rPr>
        <w:t>pastiprinoš</w:t>
      </w:r>
      <w:r w:rsidR="00F46345">
        <w:rPr>
          <w:szCs w:val="24"/>
        </w:rPr>
        <w:t>ā</w:t>
      </w:r>
      <w:r w:rsidR="00F46345" w:rsidRPr="003C39CA">
        <w:rPr>
          <w:szCs w:val="24"/>
        </w:rPr>
        <w:t xml:space="preserve"> apstāk</w:t>
      </w:r>
      <w:r w:rsidR="00F46345">
        <w:rPr>
          <w:szCs w:val="24"/>
        </w:rPr>
        <w:t>ļa esību</w:t>
      </w:r>
      <w:r w:rsidR="00AD59B9" w:rsidRPr="003C39CA">
        <w:rPr>
          <w:szCs w:val="24"/>
        </w:rPr>
        <w:t xml:space="preserve"> </w:t>
      </w:r>
      <w:r w:rsidR="00D018D1">
        <w:rPr>
          <w:szCs w:val="24"/>
        </w:rPr>
        <w:t>apsūdzībā pēc Krimināllikuma 312. panta otrās daļas</w:t>
      </w:r>
      <w:r w:rsidR="0045049E">
        <w:rPr>
          <w:szCs w:val="24"/>
        </w:rPr>
        <w:t xml:space="preserve">, jo ar </w:t>
      </w:r>
      <w:r>
        <w:t>Ogres rajona tiesas 2017.</w:t>
      </w:r>
      <w:r w:rsidR="001067ED">
        <w:t> </w:t>
      </w:r>
      <w:r>
        <w:t>gada 31. jūlija spriedumu</w:t>
      </w:r>
      <w:r>
        <w:rPr>
          <w:szCs w:val="24"/>
        </w:rPr>
        <w:t xml:space="preserve"> </w:t>
      </w:r>
      <w:r w:rsidR="0045049E">
        <w:rPr>
          <w:szCs w:val="24"/>
        </w:rPr>
        <w:t xml:space="preserve">nav konstatēts </w:t>
      </w:r>
      <w:r w:rsidR="00740F32">
        <w:t>[pers. A]</w:t>
      </w:r>
      <w:r w:rsidR="0045049E">
        <w:t xml:space="preserve"> vainīgums cita </w:t>
      </w:r>
      <w:r w:rsidR="0059389F">
        <w:t xml:space="preserve">tīša </w:t>
      </w:r>
      <w:r w:rsidR="0045049E">
        <w:t>noziedzīga nodarījuma, izņemot</w:t>
      </w:r>
      <w:r w:rsidR="0045049E" w:rsidRPr="0045049E">
        <w:t xml:space="preserve"> </w:t>
      </w:r>
      <w:r w:rsidR="0045049E">
        <w:t>Krimināllikuma 262.</w:t>
      </w:r>
      <w:r w:rsidR="001067ED">
        <w:t> </w:t>
      </w:r>
      <w:r w:rsidR="0045049E">
        <w:t>panta pirm</w:t>
      </w:r>
      <w:r>
        <w:t>aj</w:t>
      </w:r>
      <w:r w:rsidR="0045049E">
        <w:t>ā daļā paredzētā</w:t>
      </w:r>
      <w:r w:rsidR="00CB17E3">
        <w:t>,</w:t>
      </w:r>
      <w:r>
        <w:t xml:space="preserve"> izdarīšanā</w:t>
      </w:r>
      <w:r w:rsidR="00441E3D">
        <w:t>.</w:t>
      </w:r>
    </w:p>
    <w:p w14:paraId="5520A3FE" w14:textId="29E85F9F" w:rsidR="004C385E" w:rsidRDefault="00616619" w:rsidP="004C385E">
      <w:pPr>
        <w:widowControl w:val="0"/>
        <w:spacing w:line="276" w:lineRule="auto"/>
        <w:ind w:firstLine="720"/>
        <w:contextualSpacing/>
        <w:jc w:val="both"/>
      </w:pPr>
      <w:r w:rsidRPr="00671178">
        <w:t xml:space="preserve">Senāts atzīst, ka apelācijas instances tiesa, izskatot lietu daļā par </w:t>
      </w:r>
      <w:r w:rsidR="00F46345">
        <w:t xml:space="preserve">apsūdzētajam </w:t>
      </w:r>
      <w:r w:rsidR="00740F32">
        <w:t>[pers. A]</w:t>
      </w:r>
      <w:r w:rsidRPr="00671178">
        <w:t xml:space="preserve"> noteikto sodu</w:t>
      </w:r>
      <w:r w:rsidR="00AD59B9" w:rsidRPr="00AD59B9">
        <w:rPr>
          <w:rFonts w:cs="Times New Roman"/>
          <w:szCs w:val="24"/>
        </w:rPr>
        <w:t xml:space="preserve"> </w:t>
      </w:r>
      <w:r w:rsidR="00AD59B9">
        <w:rPr>
          <w:rFonts w:cs="Times New Roman"/>
          <w:szCs w:val="24"/>
        </w:rPr>
        <w:t xml:space="preserve">pēc </w:t>
      </w:r>
      <w:r w:rsidR="00AD59B9" w:rsidRPr="001F2D24">
        <w:rPr>
          <w:rFonts w:cs="Times New Roman"/>
          <w:szCs w:val="24"/>
        </w:rPr>
        <w:t>Krimināllikuma 312.</w:t>
      </w:r>
      <w:r w:rsidR="00AD59B9">
        <w:rPr>
          <w:rFonts w:cs="Times New Roman"/>
          <w:szCs w:val="24"/>
        </w:rPr>
        <w:t> </w:t>
      </w:r>
      <w:r w:rsidR="00AD59B9" w:rsidRPr="001F2D24">
        <w:rPr>
          <w:rFonts w:cs="Times New Roman"/>
          <w:szCs w:val="24"/>
        </w:rPr>
        <w:t>pant</w:t>
      </w:r>
      <w:r w:rsidR="00AD59B9">
        <w:rPr>
          <w:rFonts w:cs="Times New Roman"/>
          <w:szCs w:val="24"/>
        </w:rPr>
        <w:t>a</w:t>
      </w:r>
      <w:r w:rsidR="00F46345">
        <w:rPr>
          <w:rFonts w:cs="Times New Roman"/>
          <w:szCs w:val="24"/>
        </w:rPr>
        <w:t xml:space="preserve"> un nepamatojot</w:t>
      </w:r>
      <w:r w:rsidR="00F46345" w:rsidRPr="00F46345">
        <w:t xml:space="preserve"> </w:t>
      </w:r>
      <w:r w:rsidR="00F46345" w:rsidRPr="00671178">
        <w:t>ar likumu, pārbaudītiem</w:t>
      </w:r>
      <w:r w:rsidR="00F46345">
        <w:t xml:space="preserve"> un</w:t>
      </w:r>
      <w:r w:rsidR="00F46345" w:rsidRPr="00671178">
        <w:t xml:space="preserve"> novērtētiem pierādījumiem</w:t>
      </w:r>
      <w:r w:rsidR="00F46345" w:rsidRPr="00F46345">
        <w:t xml:space="preserve"> </w:t>
      </w:r>
      <w:r w:rsidR="00F46345" w:rsidRPr="00671178">
        <w:t>atbildību pastiprinoša apstākļa</w:t>
      </w:r>
      <w:r w:rsidR="00F46345">
        <w:t xml:space="preserve"> </w:t>
      </w:r>
      <w:r w:rsidR="00F46345">
        <w:rPr>
          <w:szCs w:val="24"/>
        </w:rPr>
        <w:t>–</w:t>
      </w:r>
      <w:r w:rsidR="00F46345" w:rsidRPr="00154E0D">
        <w:rPr>
          <w:szCs w:val="24"/>
        </w:rPr>
        <w:t xml:space="preserve"> </w:t>
      </w:r>
      <w:r w:rsidR="00F46345" w:rsidRPr="00671178">
        <w:t>noziedzīgais nodarījums veido noziedzīgu nodarījumu recidīvu</w:t>
      </w:r>
      <w:r w:rsidR="00F46345">
        <w:t xml:space="preserve"> </w:t>
      </w:r>
      <w:bookmarkStart w:id="6" w:name="_Hlk161922459"/>
      <w:r w:rsidR="00F46345">
        <w:rPr>
          <w:szCs w:val="24"/>
        </w:rPr>
        <w:t>–</w:t>
      </w:r>
      <w:bookmarkEnd w:id="6"/>
      <w:r w:rsidR="00F46345">
        <w:rPr>
          <w:szCs w:val="24"/>
        </w:rPr>
        <w:t xml:space="preserve"> esību</w:t>
      </w:r>
      <w:r w:rsidRPr="00671178">
        <w:t xml:space="preserve">, </w:t>
      </w:r>
      <w:r w:rsidR="00F46345">
        <w:t xml:space="preserve">ir </w:t>
      </w:r>
      <w:r w:rsidRPr="00671178">
        <w:t xml:space="preserve">pieļāvusi Kriminālprocesa </w:t>
      </w:r>
      <w:r w:rsidRPr="00671178">
        <w:lastRenderedPageBreak/>
        <w:t>likuma 564. panta ceturtās daļas pārkāpumu. Norādītais pārkāpums atzīstams par Kriminālprocesa likuma būtisku pārkāpumu šā likuma 575. panta trešās daļas izpratnē</w:t>
      </w:r>
      <w:r w:rsidR="00D018D1">
        <w:t xml:space="preserve"> </w:t>
      </w:r>
      <w:r w:rsidR="0045049E">
        <w:t xml:space="preserve">un ir pamats </w:t>
      </w:r>
      <w:r w:rsidR="00D018D1">
        <w:t xml:space="preserve">apelācijas instances tiesas </w:t>
      </w:r>
      <w:r w:rsidR="0045049E">
        <w:t>lēmuma atcelšanai</w:t>
      </w:r>
      <w:r w:rsidR="00D018D1">
        <w:t xml:space="preserve"> daļā par </w:t>
      </w:r>
      <w:r w:rsidR="00740F32">
        <w:t>[pers. A]</w:t>
      </w:r>
      <w:r w:rsidR="00D018D1">
        <w:t xml:space="preserve"> noteikto sodu pēc Krimināllikuma 312. panta otrās daļas un</w:t>
      </w:r>
      <w:r w:rsidR="0045049E">
        <w:t xml:space="preserve"> daļā par</w:t>
      </w:r>
      <w:r w:rsidR="0045049E" w:rsidRPr="0045049E">
        <w:t xml:space="preserve"> </w:t>
      </w:r>
      <w:r w:rsidR="0045049E" w:rsidRPr="00671178">
        <w:t>noteikto</w:t>
      </w:r>
      <w:r w:rsidR="0045049E">
        <w:t xml:space="preserve"> galīgo</w:t>
      </w:r>
      <w:r w:rsidR="0045049E" w:rsidRPr="00671178">
        <w:t xml:space="preserve"> sodu</w:t>
      </w:r>
      <w:r w:rsidR="00CB17E3">
        <w:t xml:space="preserve"> saskaņā ar Krimināllikuma 50. panta pirmo un trešo daļu.</w:t>
      </w:r>
    </w:p>
    <w:p w14:paraId="1A4B444B" w14:textId="77777777" w:rsidR="004C385E" w:rsidRDefault="004C385E" w:rsidP="004C385E">
      <w:pPr>
        <w:widowControl w:val="0"/>
        <w:spacing w:line="276" w:lineRule="auto"/>
        <w:ind w:firstLine="720"/>
        <w:contextualSpacing/>
        <w:jc w:val="both"/>
      </w:pPr>
    </w:p>
    <w:p w14:paraId="6631F737" w14:textId="77777777" w:rsidR="00F123D5" w:rsidRDefault="00B5372F" w:rsidP="004C385E">
      <w:pPr>
        <w:widowControl w:val="0"/>
        <w:spacing w:line="276" w:lineRule="auto"/>
        <w:ind w:firstLine="720"/>
        <w:contextualSpacing/>
        <w:jc w:val="both"/>
        <w:rPr>
          <w:rFonts w:ascii="TimesNewRomanPSMT" w:hAnsi="TimesNewRomanPSMT" w:cs="TimesNewRomanPSMT"/>
          <w:szCs w:val="24"/>
          <w14:ligatures w14:val="standardContextual"/>
        </w:rPr>
      </w:pPr>
      <w:r w:rsidRPr="00905CBB">
        <w:t>[</w:t>
      </w:r>
      <w:r w:rsidR="001067ED">
        <w:t>7</w:t>
      </w:r>
      <w:r w:rsidRPr="00905CBB">
        <w:t>]</w:t>
      </w:r>
      <w:r>
        <w:t> </w:t>
      </w:r>
      <w:r w:rsidRPr="00905CBB">
        <w:t xml:space="preserve">Kriminālprocesa likuma 588. panta </w:t>
      </w:r>
      <w:r w:rsidRPr="00905CBB">
        <w:rPr>
          <w:rFonts w:ascii="TimesNewRomanPSMT" w:hAnsi="TimesNewRomanPSMT" w:cs="TimesNewRomanPSMT"/>
          <w:szCs w:val="24"/>
          <w14:ligatures w14:val="standardContextual"/>
        </w:rPr>
        <w:t>3.</w:t>
      </w:r>
      <w:r w:rsidRPr="00905CBB">
        <w:rPr>
          <w:rFonts w:ascii="TimesNewRomanPSMT" w:hAnsi="TimesNewRomanPSMT" w:cs="TimesNewRomanPSMT"/>
          <w:szCs w:val="24"/>
          <w:vertAlign w:val="superscript"/>
          <w14:ligatures w14:val="standardContextual"/>
        </w:rPr>
        <w:t>1</w:t>
      </w:r>
      <w:r>
        <w:rPr>
          <w:rFonts w:ascii="TimesNewRomanPSMT" w:hAnsi="TimesNewRomanPSMT" w:cs="TimesNewRomanPSMT"/>
          <w:szCs w:val="24"/>
          <w14:ligatures w14:val="standardContextual"/>
        </w:rPr>
        <w:t> </w:t>
      </w:r>
      <w:r w:rsidRPr="00905CBB">
        <w:rPr>
          <w:rFonts w:ascii="TimesNewRomanPSMT" w:hAnsi="TimesNewRomanPSMT" w:cs="TimesNewRomanPSMT"/>
          <w:szCs w:val="24"/>
          <w14:ligatures w14:val="standardContextual"/>
        </w:rPr>
        <w:t>daļa noteic</w:t>
      </w:r>
      <w:r w:rsidR="00F123D5">
        <w:rPr>
          <w:rFonts w:ascii="TimesNewRomanPSMT" w:hAnsi="TimesNewRomanPSMT" w:cs="TimesNewRomanPSMT"/>
          <w:szCs w:val="24"/>
          <w14:ligatures w14:val="standardContextual"/>
        </w:rPr>
        <w:t>:</w:t>
      </w:r>
      <w:r w:rsidRPr="00905CBB">
        <w:rPr>
          <w:rFonts w:ascii="TimesNewRomanPSMT" w:hAnsi="TimesNewRomanPSMT" w:cs="TimesNewRomanPSMT"/>
          <w:szCs w:val="24"/>
          <w14:ligatures w14:val="standardContextual"/>
        </w:rPr>
        <w:t xml:space="preserve"> ja kasācijas instance</w:t>
      </w:r>
      <w:r w:rsidR="00F123D5">
        <w:rPr>
          <w:rFonts w:ascii="TimesNewRomanPSMT" w:hAnsi="TimesNewRomanPSMT" w:cs="TimesNewRomanPSMT"/>
          <w:szCs w:val="24"/>
          <w14:ligatures w14:val="standardContextual"/>
        </w:rPr>
        <w:t>s tiesa</w:t>
      </w:r>
      <w:r w:rsidRPr="00905CBB">
        <w:rPr>
          <w:rFonts w:ascii="TimesNewRomanPSMT" w:hAnsi="TimesNewRomanPSMT" w:cs="TimesNewRomanPSMT"/>
          <w:szCs w:val="24"/>
          <w14:ligatures w14:val="standardContextual"/>
        </w:rPr>
        <w:t xml:space="preserve"> pieņem šā likuma 587. panta pirmās daļas 2. punktā paredzēto lēmumu, tā izlemj jautājumu arī par drošības līdzekli. </w:t>
      </w:r>
    </w:p>
    <w:p w14:paraId="7C513592" w14:textId="2051453F" w:rsidR="00B5372F" w:rsidRPr="004C385E" w:rsidRDefault="00F123D5" w:rsidP="00740F32">
      <w:pPr>
        <w:widowControl w:val="0"/>
        <w:spacing w:line="276" w:lineRule="auto"/>
        <w:ind w:firstLine="720"/>
        <w:contextualSpacing/>
        <w:jc w:val="both"/>
        <w:rPr>
          <w:szCs w:val="24"/>
        </w:rPr>
      </w:pPr>
      <w:r>
        <w:rPr>
          <w:rFonts w:ascii="TimesNewRomanPSMT" w:hAnsi="TimesNewRomanPSMT" w:cs="TimesNewRomanPSMT"/>
          <w:szCs w:val="24"/>
          <w14:ligatures w14:val="standardContextual"/>
        </w:rPr>
        <w:t>A</w:t>
      </w:r>
      <w:r w:rsidR="00B5372F" w:rsidRPr="005852DA">
        <w:rPr>
          <w:rFonts w:ascii="TimesNewRomanPSMT" w:hAnsi="TimesNewRomanPSMT" w:cs="TimesNewRomanPSMT"/>
          <w:szCs w:val="24"/>
          <w14:ligatures w14:val="standardContextual"/>
        </w:rPr>
        <w:t xml:space="preserve">r </w:t>
      </w:r>
      <w:r w:rsidR="006C7AF3">
        <w:rPr>
          <w:rFonts w:ascii="TimesNewRomanPSMT" w:hAnsi="TimesNewRomanPSMT" w:cs="TimesNewRomanPSMT"/>
          <w:szCs w:val="24"/>
          <w14:ligatures w14:val="standardContextual"/>
        </w:rPr>
        <w:t xml:space="preserve">pirmās instances tiesas spriedumu </w:t>
      </w:r>
      <w:r>
        <w:rPr>
          <w:rFonts w:ascii="TimesNewRomanPSMT" w:hAnsi="TimesNewRomanPSMT" w:cs="TimesNewRomanPSMT"/>
          <w:szCs w:val="24"/>
          <w14:ligatures w14:val="standardContextual"/>
        </w:rPr>
        <w:t>a</w:t>
      </w:r>
      <w:r w:rsidRPr="00905CBB">
        <w:rPr>
          <w:rFonts w:ascii="TimesNewRomanPSMT" w:hAnsi="TimesNewRomanPSMT" w:cs="TimesNewRomanPSMT"/>
          <w:szCs w:val="24"/>
          <w14:ligatures w14:val="standardContextual"/>
        </w:rPr>
        <w:t>psūdzētajam</w:t>
      </w:r>
      <w:r w:rsidRPr="005852DA">
        <w:rPr>
          <w:rFonts w:ascii="TimesNewRomanPSMT" w:hAnsi="TimesNewRomanPSMT" w:cs="TimesNewRomanPSMT"/>
          <w:szCs w:val="24"/>
          <w14:ligatures w14:val="standardContextual"/>
        </w:rPr>
        <w:t xml:space="preserve"> </w:t>
      </w:r>
      <w:r w:rsidR="00740F32">
        <w:rPr>
          <w:rFonts w:ascii="TimesNewRomanPSMT" w:hAnsi="TimesNewRomanPSMT" w:cs="TimesNewRomanPSMT"/>
          <w:szCs w:val="24"/>
          <w14:ligatures w14:val="standardContextual"/>
        </w:rPr>
        <w:t>[pers. </w:t>
      </w:r>
      <w:r w:rsidR="00740F32">
        <w:t>A]</w:t>
      </w:r>
      <w:r>
        <w:rPr>
          <w:rFonts w:ascii="TimesNewRomanPSMT" w:hAnsi="TimesNewRomanPSMT" w:cs="TimesNewRomanPSMT"/>
          <w:szCs w:val="24"/>
          <w14:ligatures w14:val="standardContextual"/>
        </w:rPr>
        <w:t xml:space="preserve"> </w:t>
      </w:r>
      <w:r w:rsidRPr="00905CBB">
        <w:rPr>
          <w:rFonts w:ascii="TimesNewRomanPSMT" w:hAnsi="TimesNewRomanPSMT" w:cs="TimesNewRomanPSMT"/>
          <w:szCs w:val="24"/>
          <w14:ligatures w14:val="standardContextual"/>
        </w:rPr>
        <w:t>piemērotie drošības līdzekļi – uzturēšanās noteiktā</w:t>
      </w:r>
      <w:r w:rsidRPr="005852DA">
        <w:rPr>
          <w:rFonts w:ascii="TimesNewRomanPSMT" w:hAnsi="TimesNewRomanPSMT" w:cs="TimesNewRomanPSMT"/>
          <w:szCs w:val="24"/>
          <w14:ligatures w14:val="standardContextual"/>
        </w:rPr>
        <w:t xml:space="preserve"> </w:t>
      </w:r>
      <w:r w:rsidRPr="00905CBB">
        <w:rPr>
          <w:rFonts w:ascii="TimesNewRomanPSMT" w:hAnsi="TimesNewRomanPSMT" w:cs="TimesNewRomanPSMT"/>
          <w:szCs w:val="24"/>
          <w14:ligatures w14:val="standardContextual"/>
        </w:rPr>
        <w:t xml:space="preserve">vietā un aizliegums izbraukt no valsts </w:t>
      </w:r>
      <w:r w:rsidRPr="005852DA">
        <w:rPr>
          <w:rFonts w:ascii="TimesNewRomanPSMT" w:hAnsi="TimesNewRomanPSMT" w:cs="TimesNewRomanPSMT"/>
          <w:szCs w:val="24"/>
          <w14:ligatures w14:val="standardContextual"/>
        </w:rPr>
        <w:t>–</w:t>
      </w:r>
      <w:r>
        <w:rPr>
          <w:rFonts w:ascii="TimesNewRomanPSMT" w:hAnsi="TimesNewRomanPSMT" w:cs="TimesNewRomanPSMT"/>
          <w:szCs w:val="24"/>
          <w14:ligatures w14:val="standardContextual"/>
        </w:rPr>
        <w:t xml:space="preserve"> </w:t>
      </w:r>
      <w:r w:rsidR="001A5137" w:rsidRPr="005852DA">
        <w:rPr>
          <w:rFonts w:ascii="TimesNewRomanPSMT" w:hAnsi="TimesNewRomanPSMT" w:cs="TimesNewRomanPSMT"/>
          <w:szCs w:val="24"/>
          <w14:ligatures w14:val="standardContextual"/>
        </w:rPr>
        <w:t>grozīti</w:t>
      </w:r>
      <w:r w:rsidR="00737F89">
        <w:rPr>
          <w:rFonts w:ascii="TimesNewRomanPSMT" w:hAnsi="TimesNewRomanPSMT" w:cs="TimesNewRomanPSMT"/>
          <w:szCs w:val="24"/>
          <w14:ligatures w14:val="standardContextual"/>
        </w:rPr>
        <w:t xml:space="preserve"> </w:t>
      </w:r>
      <w:r>
        <w:rPr>
          <w:rFonts w:ascii="TimesNewRomanPSMT" w:hAnsi="TimesNewRomanPSMT" w:cs="TimesNewRomanPSMT"/>
          <w:szCs w:val="24"/>
          <w14:ligatures w14:val="standardContextual"/>
        </w:rPr>
        <w:t>uz apcietinājumu</w:t>
      </w:r>
      <w:r w:rsidR="00B5372F" w:rsidRPr="005852DA">
        <w:rPr>
          <w:rFonts w:ascii="TimesNewRomanPSMT" w:hAnsi="TimesNewRomanPSMT" w:cs="TimesNewRomanPSMT"/>
          <w:szCs w:val="24"/>
          <w14:ligatures w14:val="standardContextual"/>
        </w:rPr>
        <w:t xml:space="preserve">. </w:t>
      </w:r>
      <w:r w:rsidR="00B5372F" w:rsidRPr="00905CBB">
        <w:rPr>
          <w:rFonts w:ascii="TimesNewRomanPSMT" w:hAnsi="TimesNewRomanPSMT" w:cs="TimesNewRomanPSMT"/>
          <w:szCs w:val="24"/>
          <w14:ligatures w14:val="standardContextual"/>
        </w:rPr>
        <w:t xml:space="preserve">Senāts atzīst par samērīgu un pamatotu turpināt piemērot </w:t>
      </w:r>
      <w:r w:rsidR="00740F32">
        <w:rPr>
          <w:rFonts w:ascii="TimesNewRomanPSMT" w:hAnsi="TimesNewRomanPSMT" w:cs="TimesNewRomanPSMT"/>
          <w:szCs w:val="24"/>
          <w14:ligatures w14:val="standardContextual"/>
        </w:rPr>
        <w:t>[pers. A]</w:t>
      </w:r>
      <w:r w:rsidR="00B5372F" w:rsidRPr="00905CBB">
        <w:rPr>
          <w:rFonts w:ascii="TimesNewRomanPSMT" w:hAnsi="TimesNewRomanPSMT" w:cs="TimesNewRomanPSMT"/>
          <w:szCs w:val="24"/>
          <w14:ligatures w14:val="standardContextual"/>
        </w:rPr>
        <w:t xml:space="preserve"> drošības līdzekli </w:t>
      </w:r>
      <w:r w:rsidR="00B5372F" w:rsidRPr="008B7106">
        <w:rPr>
          <w:rFonts w:ascii="TimesNewRomanPSMT" w:hAnsi="TimesNewRomanPSMT" w:cs="TimesNewRomanPSMT"/>
          <w:szCs w:val="24"/>
          <w14:ligatures w14:val="standardContextual"/>
        </w:rPr>
        <w:t xml:space="preserve">– </w:t>
      </w:r>
      <w:r w:rsidR="00B5372F" w:rsidRPr="00905CBB">
        <w:rPr>
          <w:rFonts w:ascii="TimesNewRomanPSMT" w:hAnsi="TimesNewRomanPSMT" w:cs="TimesNewRomanPSMT"/>
          <w:szCs w:val="24"/>
          <w14:ligatures w14:val="standardContextual"/>
        </w:rPr>
        <w:t>apcietinājumu.</w:t>
      </w:r>
    </w:p>
    <w:p w14:paraId="52810EC2" w14:textId="77777777" w:rsidR="00B5372F" w:rsidRDefault="00B5372F" w:rsidP="00B5372F">
      <w:pPr>
        <w:autoSpaceDE w:val="0"/>
        <w:autoSpaceDN w:val="0"/>
        <w:adjustRightInd w:val="0"/>
        <w:spacing w:after="0" w:line="276" w:lineRule="auto"/>
        <w:jc w:val="both"/>
        <w:rPr>
          <w:rFonts w:cs="Times New Roman"/>
          <w:szCs w:val="24"/>
        </w:rPr>
      </w:pPr>
    </w:p>
    <w:p w14:paraId="3C2017E5" w14:textId="77777777" w:rsidR="00B5372F" w:rsidRPr="00154E0D" w:rsidRDefault="00B5372F" w:rsidP="00B5372F">
      <w:pPr>
        <w:spacing w:after="0" w:line="276" w:lineRule="auto"/>
        <w:jc w:val="center"/>
        <w:rPr>
          <w:rFonts w:eastAsia="Times New Roman" w:cs="Times New Roman"/>
          <w:b/>
          <w:szCs w:val="24"/>
        </w:rPr>
      </w:pPr>
      <w:r w:rsidRPr="00154E0D">
        <w:rPr>
          <w:rFonts w:eastAsia="Times New Roman" w:cs="Times New Roman"/>
          <w:b/>
          <w:szCs w:val="24"/>
        </w:rPr>
        <w:t>Rezolutīvā daļa</w:t>
      </w:r>
    </w:p>
    <w:p w14:paraId="364189DA" w14:textId="77777777" w:rsidR="00B5372F" w:rsidRPr="00154E0D" w:rsidRDefault="00B5372F" w:rsidP="00B5372F">
      <w:pPr>
        <w:spacing w:after="0" w:line="276" w:lineRule="auto"/>
        <w:jc w:val="center"/>
        <w:rPr>
          <w:rFonts w:eastAsia="Times New Roman" w:cs="Times New Roman"/>
          <w:b/>
          <w:szCs w:val="24"/>
        </w:rPr>
      </w:pPr>
    </w:p>
    <w:p w14:paraId="0B524BFC" w14:textId="244A90AC" w:rsidR="00B5372F" w:rsidRPr="00154E0D" w:rsidRDefault="00B5372F" w:rsidP="00B5372F">
      <w:pPr>
        <w:spacing w:after="0" w:line="276" w:lineRule="auto"/>
        <w:ind w:firstLine="720"/>
        <w:jc w:val="both"/>
        <w:rPr>
          <w:rFonts w:eastAsia="Times New Roman" w:cs="Times New Roman"/>
          <w:szCs w:val="24"/>
        </w:rPr>
      </w:pPr>
      <w:r w:rsidRPr="00154E0D">
        <w:rPr>
          <w:rFonts w:eastAsia="Times New Roman" w:cs="Times New Roman"/>
          <w:szCs w:val="24"/>
        </w:rPr>
        <w:t>Pamatojoties uz Kriminālprocesa likuma 585.</w:t>
      </w:r>
      <w:r w:rsidR="009E1DC6">
        <w:t> </w:t>
      </w:r>
      <w:r w:rsidR="009E1DC6">
        <w:rPr>
          <w:rFonts w:eastAsia="Times New Roman" w:cs="Times New Roman"/>
          <w:szCs w:val="24"/>
        </w:rPr>
        <w:t>pantu</w:t>
      </w:r>
      <w:r w:rsidRPr="00154E0D">
        <w:rPr>
          <w:rFonts w:eastAsia="Times New Roman" w:cs="Times New Roman"/>
          <w:szCs w:val="24"/>
        </w:rPr>
        <w:t>, 587.</w:t>
      </w:r>
      <w:r w:rsidR="001A5137">
        <w:rPr>
          <w:rFonts w:eastAsia="Times New Roman" w:cs="Times New Roman"/>
          <w:szCs w:val="24"/>
        </w:rPr>
        <w:t> </w:t>
      </w:r>
      <w:r w:rsidRPr="00154E0D">
        <w:rPr>
          <w:rFonts w:eastAsia="Times New Roman" w:cs="Times New Roman"/>
          <w:szCs w:val="24"/>
        </w:rPr>
        <w:t>pant</w:t>
      </w:r>
      <w:r w:rsidR="009E1DC6">
        <w:rPr>
          <w:rFonts w:eastAsia="Times New Roman" w:cs="Times New Roman"/>
          <w:szCs w:val="24"/>
        </w:rPr>
        <w:t>a</w:t>
      </w:r>
      <w:r w:rsidR="009E1DC6" w:rsidRPr="009E1DC6">
        <w:rPr>
          <w:rFonts w:ascii="TimesNewRomanPSMT" w:hAnsi="TimesNewRomanPSMT" w:cs="TimesNewRomanPSMT"/>
          <w:szCs w:val="24"/>
          <w14:ligatures w14:val="standardContextual"/>
        </w:rPr>
        <w:t xml:space="preserve"> </w:t>
      </w:r>
      <w:r w:rsidR="009E1DC6" w:rsidRPr="00905CBB">
        <w:rPr>
          <w:rFonts w:ascii="TimesNewRomanPSMT" w:hAnsi="TimesNewRomanPSMT" w:cs="TimesNewRomanPSMT"/>
          <w:szCs w:val="24"/>
          <w14:ligatures w14:val="standardContextual"/>
        </w:rPr>
        <w:t>pirmās daļas 2. punkt</w:t>
      </w:r>
      <w:r w:rsidR="009E1DC6">
        <w:rPr>
          <w:rFonts w:ascii="TimesNewRomanPSMT" w:hAnsi="TimesNewRomanPSMT" w:cs="TimesNewRomanPSMT"/>
          <w:szCs w:val="24"/>
          <w14:ligatures w14:val="standardContextual"/>
        </w:rPr>
        <w:t>u</w:t>
      </w:r>
      <w:r w:rsidRPr="00154E0D">
        <w:rPr>
          <w:rFonts w:eastAsia="Times New Roman" w:cs="Times New Roman"/>
          <w:szCs w:val="24"/>
        </w:rPr>
        <w:t xml:space="preserve">, </w:t>
      </w:r>
      <w:r w:rsidR="000A31DA">
        <w:rPr>
          <w:rFonts w:eastAsia="Times New Roman" w:cs="Times New Roman"/>
          <w:szCs w:val="24"/>
        </w:rPr>
        <w:t>Senāts</w:t>
      </w:r>
    </w:p>
    <w:p w14:paraId="6F39C994" w14:textId="77777777" w:rsidR="00B5372F" w:rsidRPr="00154E0D" w:rsidRDefault="00B5372F" w:rsidP="00B5372F">
      <w:pPr>
        <w:spacing w:after="0" w:line="276" w:lineRule="auto"/>
        <w:ind w:firstLine="720"/>
        <w:jc w:val="both"/>
        <w:rPr>
          <w:rFonts w:eastAsia="Times New Roman" w:cs="Times New Roman"/>
          <w:szCs w:val="24"/>
        </w:rPr>
      </w:pPr>
    </w:p>
    <w:p w14:paraId="16F7141A" w14:textId="1E4D0E67" w:rsidR="00B5372F" w:rsidRPr="00ED16DD" w:rsidRDefault="00B5372F" w:rsidP="00B5372F">
      <w:pPr>
        <w:spacing w:after="0" w:line="276" w:lineRule="auto"/>
        <w:jc w:val="center"/>
        <w:rPr>
          <w:rFonts w:eastAsia="Times New Roman" w:cs="Times New Roman"/>
          <w:b/>
          <w:szCs w:val="24"/>
        </w:rPr>
      </w:pPr>
      <w:r w:rsidRPr="00154E0D">
        <w:rPr>
          <w:rFonts w:eastAsia="Times New Roman" w:cs="Times New Roman"/>
          <w:b/>
          <w:szCs w:val="24"/>
        </w:rPr>
        <w:t>nolēma</w:t>
      </w:r>
    </w:p>
    <w:p w14:paraId="1FCADB20" w14:textId="77777777" w:rsidR="00B5372F" w:rsidRPr="00154E0D" w:rsidRDefault="00B5372F" w:rsidP="00B5372F">
      <w:pPr>
        <w:autoSpaceDE w:val="0"/>
        <w:autoSpaceDN w:val="0"/>
        <w:adjustRightInd w:val="0"/>
        <w:spacing w:after="0" w:line="276" w:lineRule="auto"/>
        <w:jc w:val="both"/>
        <w:rPr>
          <w:rFonts w:cs="Times New Roman"/>
          <w:szCs w:val="24"/>
        </w:rPr>
      </w:pPr>
    </w:p>
    <w:p w14:paraId="44451E83" w14:textId="45776445" w:rsidR="00B5372F" w:rsidRDefault="00B5372F" w:rsidP="00B5372F">
      <w:pPr>
        <w:spacing w:after="0" w:line="276" w:lineRule="auto"/>
        <w:ind w:firstLine="720"/>
        <w:jc w:val="both"/>
        <w:rPr>
          <w:szCs w:val="24"/>
        </w:rPr>
      </w:pPr>
      <w:r w:rsidRPr="00154E0D">
        <w:rPr>
          <w:szCs w:val="24"/>
        </w:rPr>
        <w:t>atcelt Vidzemes apgabaltiesas 2023.</w:t>
      </w:r>
      <w:r>
        <w:rPr>
          <w:szCs w:val="24"/>
        </w:rPr>
        <w:t> </w:t>
      </w:r>
      <w:r w:rsidRPr="00154E0D">
        <w:rPr>
          <w:szCs w:val="24"/>
        </w:rPr>
        <w:t xml:space="preserve">gada </w:t>
      </w:r>
      <w:r w:rsidRPr="00154E0D">
        <w:rPr>
          <w:rFonts w:eastAsia="Calibri"/>
          <w:szCs w:val="24"/>
        </w:rPr>
        <w:t>30.</w:t>
      </w:r>
      <w:r>
        <w:rPr>
          <w:rFonts w:eastAsia="Calibri"/>
          <w:szCs w:val="24"/>
        </w:rPr>
        <w:t> </w:t>
      </w:r>
      <w:r w:rsidRPr="00154E0D">
        <w:rPr>
          <w:rFonts w:eastAsia="Calibri"/>
          <w:szCs w:val="24"/>
        </w:rPr>
        <w:t>novembra lēmumu</w:t>
      </w:r>
      <w:r w:rsidRPr="00154E0D">
        <w:rPr>
          <w:szCs w:val="24"/>
        </w:rPr>
        <w:t xml:space="preserve"> daļā par </w:t>
      </w:r>
      <w:r w:rsidR="00740F32">
        <w:rPr>
          <w:szCs w:val="24"/>
        </w:rPr>
        <w:t>[pers. A]</w:t>
      </w:r>
      <w:r>
        <w:rPr>
          <w:szCs w:val="24"/>
        </w:rPr>
        <w:t xml:space="preserve"> noteikto sodu</w:t>
      </w:r>
      <w:r w:rsidRPr="00154E0D">
        <w:rPr>
          <w:szCs w:val="24"/>
        </w:rPr>
        <w:t xml:space="preserve"> pēc Krimināllikuma 312.</w:t>
      </w:r>
      <w:r>
        <w:rPr>
          <w:szCs w:val="24"/>
        </w:rPr>
        <w:t> </w:t>
      </w:r>
      <w:r w:rsidRPr="00154E0D">
        <w:rPr>
          <w:szCs w:val="24"/>
        </w:rPr>
        <w:t>panta otrās daļas</w:t>
      </w:r>
      <w:r w:rsidR="000A31DA">
        <w:rPr>
          <w:szCs w:val="24"/>
        </w:rPr>
        <w:t xml:space="preserve"> un </w:t>
      </w:r>
      <w:r>
        <w:rPr>
          <w:szCs w:val="24"/>
        </w:rPr>
        <w:t>daļā par noteikto galīgo sodu saskaņā ar</w:t>
      </w:r>
      <w:r w:rsidRPr="00154E0D">
        <w:rPr>
          <w:szCs w:val="24"/>
        </w:rPr>
        <w:t xml:space="preserve"> Krimināllikuma 50.</w:t>
      </w:r>
      <w:r>
        <w:rPr>
          <w:szCs w:val="24"/>
        </w:rPr>
        <w:t> </w:t>
      </w:r>
      <w:r w:rsidRPr="00154E0D">
        <w:rPr>
          <w:szCs w:val="24"/>
        </w:rPr>
        <w:t>panta pirmo un trešo daļu</w:t>
      </w:r>
      <w:r>
        <w:rPr>
          <w:szCs w:val="24"/>
        </w:rPr>
        <w:t>;</w:t>
      </w:r>
      <w:r w:rsidRPr="00154E0D">
        <w:rPr>
          <w:szCs w:val="24"/>
        </w:rPr>
        <w:t xml:space="preserve"> </w:t>
      </w:r>
    </w:p>
    <w:p w14:paraId="2AB050CC" w14:textId="16523021" w:rsidR="00B5372F" w:rsidRPr="00154E0D" w:rsidRDefault="00B5372F" w:rsidP="00B5372F">
      <w:pPr>
        <w:spacing w:after="0" w:line="276" w:lineRule="auto"/>
        <w:ind w:firstLine="720"/>
        <w:jc w:val="both"/>
        <w:rPr>
          <w:szCs w:val="24"/>
        </w:rPr>
      </w:pPr>
      <w:r>
        <w:rPr>
          <w:szCs w:val="24"/>
        </w:rPr>
        <w:t>atceltajā</w:t>
      </w:r>
      <w:r w:rsidRPr="00154E0D">
        <w:rPr>
          <w:szCs w:val="24"/>
        </w:rPr>
        <w:t xml:space="preserve"> daļā lietu nosūtīt jaunai izskatīšanai </w:t>
      </w:r>
      <w:r>
        <w:rPr>
          <w:szCs w:val="24"/>
        </w:rPr>
        <w:t>Vidzemes apgabaltiesā;</w:t>
      </w:r>
    </w:p>
    <w:p w14:paraId="6BA5A346" w14:textId="77777777" w:rsidR="000A31DA" w:rsidRDefault="00B5372F" w:rsidP="00B5372F">
      <w:pPr>
        <w:widowControl w:val="0"/>
        <w:autoSpaceDE w:val="0"/>
        <w:autoSpaceDN w:val="0"/>
        <w:adjustRightInd w:val="0"/>
        <w:spacing w:line="276" w:lineRule="auto"/>
        <w:ind w:firstLine="720"/>
        <w:contextualSpacing/>
        <w:jc w:val="both"/>
        <w:rPr>
          <w:rFonts w:asciiTheme="majorBidi" w:hAnsiTheme="majorBidi" w:cstheme="majorBidi"/>
          <w:szCs w:val="24"/>
        </w:rPr>
      </w:pPr>
      <w:r w:rsidRPr="00154E0D">
        <w:rPr>
          <w:rFonts w:asciiTheme="majorBidi" w:hAnsiTheme="majorBidi" w:cstheme="majorBidi"/>
          <w:szCs w:val="24"/>
        </w:rPr>
        <w:t xml:space="preserve">pārējā daļā </w:t>
      </w:r>
      <w:r w:rsidRPr="00154E0D">
        <w:rPr>
          <w:szCs w:val="24"/>
        </w:rPr>
        <w:t>Vidzemes apgabaltiesas 2023.</w:t>
      </w:r>
      <w:r>
        <w:rPr>
          <w:szCs w:val="24"/>
        </w:rPr>
        <w:t> </w:t>
      </w:r>
      <w:r w:rsidRPr="00154E0D">
        <w:rPr>
          <w:szCs w:val="24"/>
        </w:rPr>
        <w:t xml:space="preserve">gada </w:t>
      </w:r>
      <w:r w:rsidRPr="00154E0D">
        <w:rPr>
          <w:rFonts w:eastAsia="Calibri"/>
          <w:szCs w:val="24"/>
        </w:rPr>
        <w:t>30.</w:t>
      </w:r>
      <w:r>
        <w:rPr>
          <w:rFonts w:eastAsia="Calibri"/>
          <w:szCs w:val="24"/>
        </w:rPr>
        <w:t> </w:t>
      </w:r>
      <w:r w:rsidRPr="00154E0D">
        <w:rPr>
          <w:rFonts w:eastAsia="Calibri"/>
          <w:szCs w:val="24"/>
        </w:rPr>
        <w:t>novembra lēmumu</w:t>
      </w:r>
      <w:r w:rsidRPr="00154E0D">
        <w:rPr>
          <w:szCs w:val="24"/>
        </w:rPr>
        <w:t xml:space="preserve"> </w:t>
      </w:r>
      <w:r w:rsidRPr="00154E0D">
        <w:rPr>
          <w:rFonts w:asciiTheme="majorBidi" w:hAnsiTheme="majorBidi" w:cstheme="majorBidi"/>
          <w:szCs w:val="24"/>
        </w:rPr>
        <w:t>atstāt negrozītu</w:t>
      </w:r>
      <w:r w:rsidR="000A31DA">
        <w:rPr>
          <w:rFonts w:asciiTheme="majorBidi" w:hAnsiTheme="majorBidi" w:cstheme="majorBidi"/>
          <w:szCs w:val="24"/>
        </w:rPr>
        <w:t>;</w:t>
      </w:r>
    </w:p>
    <w:p w14:paraId="49186758" w14:textId="1CE39872" w:rsidR="00B5372F" w:rsidRPr="00154E0D" w:rsidRDefault="000A31DA" w:rsidP="00740F32">
      <w:pPr>
        <w:widowControl w:val="0"/>
        <w:autoSpaceDE w:val="0"/>
        <w:autoSpaceDN w:val="0"/>
        <w:adjustRightInd w:val="0"/>
        <w:spacing w:line="276" w:lineRule="auto"/>
        <w:ind w:firstLine="720"/>
        <w:contextualSpacing/>
        <w:jc w:val="both"/>
        <w:rPr>
          <w:rFonts w:asciiTheme="majorBidi" w:hAnsiTheme="majorBidi" w:cstheme="majorBidi"/>
          <w:szCs w:val="24"/>
        </w:rPr>
      </w:pPr>
      <w:r w:rsidRPr="00905CBB">
        <w:rPr>
          <w:rFonts w:ascii="TimesNewRomanPSMT" w:hAnsi="TimesNewRomanPSMT" w:cs="TimesNewRomanPSMT"/>
          <w:szCs w:val="24"/>
          <w14:ligatures w14:val="standardContextual"/>
        </w:rPr>
        <w:t xml:space="preserve">turpināt piemērot </w:t>
      </w:r>
      <w:r w:rsidR="00740F32">
        <w:rPr>
          <w:rFonts w:ascii="TimesNewRomanPSMT" w:hAnsi="TimesNewRomanPSMT" w:cs="TimesNewRomanPSMT"/>
          <w:szCs w:val="24"/>
          <w14:ligatures w14:val="standardContextual"/>
        </w:rPr>
        <w:t>[pers. </w:t>
      </w:r>
      <w:r w:rsidR="00740F32">
        <w:t>A]</w:t>
      </w:r>
      <w:r w:rsidRPr="00905CBB">
        <w:rPr>
          <w:rFonts w:ascii="TimesNewRomanPSMT" w:hAnsi="TimesNewRomanPSMT" w:cs="TimesNewRomanPSMT"/>
          <w:szCs w:val="24"/>
          <w14:ligatures w14:val="standardContextual"/>
        </w:rPr>
        <w:t xml:space="preserve"> drošības līdzekli </w:t>
      </w:r>
      <w:r w:rsidRPr="008B7106">
        <w:rPr>
          <w:rFonts w:ascii="TimesNewRomanPSMT" w:hAnsi="TimesNewRomanPSMT" w:cs="TimesNewRomanPSMT"/>
          <w:szCs w:val="24"/>
          <w14:ligatures w14:val="standardContextual"/>
        </w:rPr>
        <w:t xml:space="preserve">– </w:t>
      </w:r>
      <w:r w:rsidRPr="00905CBB">
        <w:rPr>
          <w:rFonts w:ascii="TimesNewRomanPSMT" w:hAnsi="TimesNewRomanPSMT" w:cs="TimesNewRomanPSMT"/>
          <w:szCs w:val="24"/>
          <w14:ligatures w14:val="standardContextual"/>
        </w:rPr>
        <w:t>apcietinājumu.</w:t>
      </w:r>
      <w:r w:rsidR="00B5372F" w:rsidRPr="00154E0D">
        <w:rPr>
          <w:rFonts w:asciiTheme="majorBidi" w:hAnsiTheme="majorBidi" w:cstheme="majorBidi"/>
          <w:szCs w:val="24"/>
        </w:rPr>
        <w:t xml:space="preserve"> </w:t>
      </w:r>
    </w:p>
    <w:p w14:paraId="48416E83" w14:textId="77777777" w:rsidR="00B5372F" w:rsidRPr="00154E0D" w:rsidRDefault="00B5372F" w:rsidP="00B5372F">
      <w:pPr>
        <w:spacing w:after="0" w:line="276" w:lineRule="auto"/>
        <w:jc w:val="both"/>
        <w:rPr>
          <w:szCs w:val="24"/>
        </w:rPr>
      </w:pPr>
    </w:p>
    <w:p w14:paraId="113985BD" w14:textId="77777777" w:rsidR="00B5372F" w:rsidRPr="008C1FA1" w:rsidRDefault="00B5372F" w:rsidP="00B5372F">
      <w:pPr>
        <w:widowControl w:val="0"/>
        <w:spacing w:line="276" w:lineRule="auto"/>
        <w:ind w:firstLine="720"/>
        <w:contextualSpacing/>
        <w:jc w:val="both"/>
        <w:rPr>
          <w:rFonts w:asciiTheme="majorBidi" w:hAnsiTheme="majorBidi" w:cstheme="majorBidi"/>
          <w:szCs w:val="24"/>
        </w:rPr>
      </w:pPr>
      <w:r w:rsidRPr="00154E0D">
        <w:rPr>
          <w:rFonts w:asciiTheme="majorBidi" w:hAnsiTheme="majorBidi" w:cstheme="majorBidi"/>
          <w:szCs w:val="24"/>
        </w:rPr>
        <w:t>Lēmums nav pārsūdzams.</w:t>
      </w:r>
    </w:p>
    <w:sectPr w:rsidR="00B5372F" w:rsidRPr="008C1FA1" w:rsidSect="00BB0BB5">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E033" w14:textId="77777777" w:rsidR="00BB0BB5" w:rsidRDefault="00BB0BB5" w:rsidP="001067ED">
      <w:pPr>
        <w:spacing w:after="0" w:line="240" w:lineRule="auto"/>
      </w:pPr>
      <w:r>
        <w:separator/>
      </w:r>
    </w:p>
  </w:endnote>
  <w:endnote w:type="continuationSeparator" w:id="0">
    <w:p w14:paraId="235AE2E3" w14:textId="77777777" w:rsidR="00BB0BB5" w:rsidRDefault="00BB0BB5" w:rsidP="0010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3359160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40C771E" w14:textId="317E8D44" w:rsidR="001067ED" w:rsidRPr="001067ED" w:rsidRDefault="001067ED">
            <w:pPr>
              <w:pStyle w:val="Footer"/>
              <w:jc w:val="center"/>
              <w:rPr>
                <w:sz w:val="20"/>
                <w:szCs w:val="20"/>
              </w:rPr>
            </w:pPr>
            <w:r w:rsidRPr="001067ED">
              <w:rPr>
                <w:sz w:val="20"/>
                <w:szCs w:val="20"/>
              </w:rPr>
              <w:fldChar w:fldCharType="begin"/>
            </w:r>
            <w:r w:rsidRPr="001067ED">
              <w:rPr>
                <w:sz w:val="20"/>
                <w:szCs w:val="20"/>
              </w:rPr>
              <w:instrText xml:space="preserve"> PAGE </w:instrText>
            </w:r>
            <w:r w:rsidRPr="001067ED">
              <w:rPr>
                <w:sz w:val="20"/>
                <w:szCs w:val="20"/>
              </w:rPr>
              <w:fldChar w:fldCharType="separate"/>
            </w:r>
            <w:r w:rsidRPr="001067ED">
              <w:rPr>
                <w:noProof/>
                <w:sz w:val="20"/>
                <w:szCs w:val="20"/>
              </w:rPr>
              <w:t>2</w:t>
            </w:r>
            <w:r w:rsidRPr="001067ED">
              <w:rPr>
                <w:sz w:val="20"/>
                <w:szCs w:val="20"/>
              </w:rPr>
              <w:fldChar w:fldCharType="end"/>
            </w:r>
            <w:r w:rsidRPr="001067ED">
              <w:rPr>
                <w:sz w:val="20"/>
                <w:szCs w:val="20"/>
              </w:rPr>
              <w:t xml:space="preserve"> no </w:t>
            </w:r>
            <w:r w:rsidRPr="001067ED">
              <w:rPr>
                <w:sz w:val="20"/>
                <w:szCs w:val="20"/>
              </w:rPr>
              <w:fldChar w:fldCharType="begin"/>
            </w:r>
            <w:r w:rsidRPr="001067ED">
              <w:rPr>
                <w:sz w:val="20"/>
                <w:szCs w:val="20"/>
              </w:rPr>
              <w:instrText xml:space="preserve"> NUMPAGES  </w:instrText>
            </w:r>
            <w:r w:rsidRPr="001067ED">
              <w:rPr>
                <w:sz w:val="20"/>
                <w:szCs w:val="20"/>
              </w:rPr>
              <w:fldChar w:fldCharType="separate"/>
            </w:r>
            <w:r w:rsidRPr="001067ED">
              <w:rPr>
                <w:noProof/>
                <w:sz w:val="20"/>
                <w:szCs w:val="20"/>
              </w:rPr>
              <w:t>2</w:t>
            </w:r>
            <w:r w:rsidRPr="001067ED">
              <w:rPr>
                <w:sz w:val="20"/>
                <w:szCs w:val="20"/>
              </w:rPr>
              <w:fldChar w:fldCharType="end"/>
            </w:r>
          </w:p>
        </w:sdtContent>
      </w:sdt>
    </w:sdtContent>
  </w:sdt>
  <w:p w14:paraId="5DF5B016" w14:textId="77777777" w:rsidR="001067ED" w:rsidRPr="001067ED" w:rsidRDefault="001067E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A585" w14:textId="77777777" w:rsidR="00BB0BB5" w:rsidRDefault="00BB0BB5" w:rsidP="001067ED">
      <w:pPr>
        <w:spacing w:after="0" w:line="240" w:lineRule="auto"/>
      </w:pPr>
      <w:r>
        <w:separator/>
      </w:r>
    </w:p>
  </w:footnote>
  <w:footnote w:type="continuationSeparator" w:id="0">
    <w:p w14:paraId="58E40228" w14:textId="77777777" w:rsidR="00BB0BB5" w:rsidRDefault="00BB0BB5" w:rsidP="0010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7B9A"/>
    <w:multiLevelType w:val="hybridMultilevel"/>
    <w:tmpl w:val="86D653B2"/>
    <w:lvl w:ilvl="0" w:tplc="27A445EC">
      <w:start w:val="1"/>
      <w:numFmt w:val="decimal"/>
      <w:lvlText w:val="%1)"/>
      <w:lvlJc w:val="left"/>
      <w:pPr>
        <w:ind w:left="1080" w:hanging="360"/>
      </w:pPr>
      <w:rPr>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437170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F"/>
    <w:rsid w:val="000617AF"/>
    <w:rsid w:val="000A31DA"/>
    <w:rsid w:val="000C4F38"/>
    <w:rsid w:val="000D4256"/>
    <w:rsid w:val="000E6D31"/>
    <w:rsid w:val="001067ED"/>
    <w:rsid w:val="00171178"/>
    <w:rsid w:val="001A5137"/>
    <w:rsid w:val="001B0BCB"/>
    <w:rsid w:val="00305E03"/>
    <w:rsid w:val="00312083"/>
    <w:rsid w:val="00316FD2"/>
    <w:rsid w:val="00354715"/>
    <w:rsid w:val="00381129"/>
    <w:rsid w:val="003A39B7"/>
    <w:rsid w:val="003E6F6A"/>
    <w:rsid w:val="00417CDD"/>
    <w:rsid w:val="00441E3D"/>
    <w:rsid w:val="004436AE"/>
    <w:rsid w:val="0045049E"/>
    <w:rsid w:val="004C385E"/>
    <w:rsid w:val="004E5EFF"/>
    <w:rsid w:val="004F4BC2"/>
    <w:rsid w:val="00553131"/>
    <w:rsid w:val="005819DB"/>
    <w:rsid w:val="0059389F"/>
    <w:rsid w:val="005A6F3E"/>
    <w:rsid w:val="005D64C5"/>
    <w:rsid w:val="005E5C61"/>
    <w:rsid w:val="005E5F89"/>
    <w:rsid w:val="005E6AB5"/>
    <w:rsid w:val="005F3D70"/>
    <w:rsid w:val="00616619"/>
    <w:rsid w:val="00641DEA"/>
    <w:rsid w:val="006B25E6"/>
    <w:rsid w:val="006C7AF3"/>
    <w:rsid w:val="0071221B"/>
    <w:rsid w:val="00716417"/>
    <w:rsid w:val="00735BC8"/>
    <w:rsid w:val="00737F89"/>
    <w:rsid w:val="00740F32"/>
    <w:rsid w:val="007670ED"/>
    <w:rsid w:val="007F182E"/>
    <w:rsid w:val="00823685"/>
    <w:rsid w:val="00881452"/>
    <w:rsid w:val="009530B3"/>
    <w:rsid w:val="009812EE"/>
    <w:rsid w:val="009834C0"/>
    <w:rsid w:val="009C6455"/>
    <w:rsid w:val="009E1DC6"/>
    <w:rsid w:val="00A1132E"/>
    <w:rsid w:val="00A51FCD"/>
    <w:rsid w:val="00A55B4E"/>
    <w:rsid w:val="00A849F2"/>
    <w:rsid w:val="00AC510A"/>
    <w:rsid w:val="00AC51DB"/>
    <w:rsid w:val="00AD59B9"/>
    <w:rsid w:val="00AE1D7F"/>
    <w:rsid w:val="00B5372F"/>
    <w:rsid w:val="00B65020"/>
    <w:rsid w:val="00B9637E"/>
    <w:rsid w:val="00BA0610"/>
    <w:rsid w:val="00BB0BB5"/>
    <w:rsid w:val="00BB3275"/>
    <w:rsid w:val="00CB17E3"/>
    <w:rsid w:val="00CD28A0"/>
    <w:rsid w:val="00CE6BD8"/>
    <w:rsid w:val="00D018D1"/>
    <w:rsid w:val="00D233B2"/>
    <w:rsid w:val="00D32B2E"/>
    <w:rsid w:val="00D4722C"/>
    <w:rsid w:val="00DC22F4"/>
    <w:rsid w:val="00E31D9D"/>
    <w:rsid w:val="00E539AD"/>
    <w:rsid w:val="00E63F09"/>
    <w:rsid w:val="00E8026C"/>
    <w:rsid w:val="00E822FF"/>
    <w:rsid w:val="00EA0734"/>
    <w:rsid w:val="00EC71B9"/>
    <w:rsid w:val="00ED3DC3"/>
    <w:rsid w:val="00F123D5"/>
    <w:rsid w:val="00F230C1"/>
    <w:rsid w:val="00F27E3C"/>
    <w:rsid w:val="00F46345"/>
    <w:rsid w:val="00F5263C"/>
    <w:rsid w:val="00F777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E9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2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B5372F"/>
    <w:rPr>
      <w:rFonts w:cs="Myriad Pro"/>
      <w:color w:val="000000"/>
      <w:sz w:val="21"/>
      <w:szCs w:val="21"/>
    </w:rPr>
  </w:style>
  <w:style w:type="paragraph" w:styleId="BodyText2">
    <w:name w:val="Body Text 2"/>
    <w:basedOn w:val="Normal"/>
    <w:link w:val="BodyText2Char"/>
    <w:semiHidden/>
    <w:unhideWhenUsed/>
    <w:rsid w:val="00B5372F"/>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semiHidden/>
    <w:rsid w:val="00B5372F"/>
    <w:rPr>
      <w:rFonts w:ascii="Garamond" w:eastAsia="Times New Roman" w:hAnsi="Garamond" w:cs="Times New Roman"/>
      <w:kern w:val="0"/>
      <w:sz w:val="28"/>
      <w:szCs w:val="28"/>
      <w14:ligatures w14:val="none"/>
    </w:rPr>
  </w:style>
  <w:style w:type="paragraph" w:styleId="ListParagraph">
    <w:name w:val="List Paragraph"/>
    <w:basedOn w:val="Normal"/>
    <w:uiPriority w:val="34"/>
    <w:qFormat/>
    <w:rsid w:val="00B5372F"/>
    <w:pPr>
      <w:ind w:left="720"/>
      <w:contextualSpacing/>
    </w:pPr>
  </w:style>
  <w:style w:type="paragraph" w:styleId="NoSpacing">
    <w:name w:val="No Spacing"/>
    <w:uiPriority w:val="1"/>
    <w:qFormat/>
    <w:rsid w:val="00B5372F"/>
    <w:pPr>
      <w:spacing w:after="0" w:line="240" w:lineRule="auto"/>
    </w:pPr>
    <w:rPr>
      <w:kern w:val="0"/>
      <w14:ligatures w14:val="none"/>
    </w:rPr>
  </w:style>
  <w:style w:type="character" w:styleId="CommentReference">
    <w:name w:val="annotation reference"/>
    <w:basedOn w:val="DefaultParagraphFont"/>
    <w:uiPriority w:val="99"/>
    <w:semiHidden/>
    <w:unhideWhenUsed/>
    <w:rsid w:val="00B5372F"/>
    <w:rPr>
      <w:sz w:val="16"/>
      <w:szCs w:val="16"/>
    </w:rPr>
  </w:style>
  <w:style w:type="paragraph" w:styleId="CommentText">
    <w:name w:val="annotation text"/>
    <w:basedOn w:val="Normal"/>
    <w:link w:val="CommentTextChar"/>
    <w:uiPriority w:val="99"/>
    <w:semiHidden/>
    <w:unhideWhenUsed/>
    <w:rsid w:val="00B5372F"/>
    <w:pPr>
      <w:spacing w:line="240" w:lineRule="auto"/>
    </w:pPr>
    <w:rPr>
      <w:sz w:val="20"/>
      <w:szCs w:val="20"/>
    </w:rPr>
  </w:style>
  <w:style w:type="character" w:customStyle="1" w:styleId="CommentTextChar">
    <w:name w:val="Comment Text Char"/>
    <w:basedOn w:val="DefaultParagraphFont"/>
    <w:link w:val="CommentText"/>
    <w:uiPriority w:val="99"/>
    <w:semiHidden/>
    <w:rsid w:val="00B5372F"/>
    <w:rPr>
      <w:kern w:val="0"/>
      <w:sz w:val="20"/>
      <w:szCs w:val="20"/>
      <w14:ligatures w14:val="none"/>
    </w:rPr>
  </w:style>
  <w:style w:type="paragraph" w:styleId="Header">
    <w:name w:val="header"/>
    <w:basedOn w:val="Normal"/>
    <w:link w:val="HeaderChar"/>
    <w:uiPriority w:val="99"/>
    <w:unhideWhenUsed/>
    <w:rsid w:val="0010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ED"/>
    <w:rPr>
      <w:kern w:val="0"/>
      <w14:ligatures w14:val="none"/>
    </w:rPr>
  </w:style>
  <w:style w:type="paragraph" w:styleId="Footer">
    <w:name w:val="footer"/>
    <w:basedOn w:val="Normal"/>
    <w:link w:val="FooterChar"/>
    <w:uiPriority w:val="99"/>
    <w:unhideWhenUsed/>
    <w:rsid w:val="0010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ED"/>
    <w:rPr>
      <w:kern w:val="0"/>
      <w14:ligatures w14:val="none"/>
    </w:rPr>
  </w:style>
  <w:style w:type="character" w:styleId="Hyperlink">
    <w:name w:val="Hyperlink"/>
    <w:basedOn w:val="DefaultParagraphFont"/>
    <w:uiPriority w:val="99"/>
    <w:unhideWhenUsed/>
    <w:rsid w:val="00381129"/>
    <w:rPr>
      <w:color w:val="0563C1" w:themeColor="hyperlink"/>
      <w:u w:val="single"/>
    </w:rPr>
  </w:style>
  <w:style w:type="character" w:styleId="UnresolvedMention">
    <w:name w:val="Unresolved Mention"/>
    <w:basedOn w:val="DefaultParagraphFont"/>
    <w:uiPriority w:val="99"/>
    <w:semiHidden/>
    <w:unhideWhenUsed/>
    <w:rsid w:val="00381129"/>
    <w:rPr>
      <w:color w:val="605E5C"/>
      <w:shd w:val="clear" w:color="auto" w:fill="E1DFDD"/>
    </w:rPr>
  </w:style>
  <w:style w:type="character" w:styleId="FollowedHyperlink">
    <w:name w:val="FollowedHyperlink"/>
    <w:basedOn w:val="DefaultParagraphFont"/>
    <w:uiPriority w:val="99"/>
    <w:semiHidden/>
    <w:unhideWhenUsed/>
    <w:rsid w:val="00DC22F4"/>
    <w:rPr>
      <w:color w:val="954F72" w:themeColor="followedHyperlink"/>
      <w:u w:val="single"/>
    </w:rPr>
  </w:style>
  <w:style w:type="table" w:styleId="TableGrid">
    <w:name w:val="Table Grid"/>
    <w:basedOn w:val="TableNormal"/>
    <w:uiPriority w:val="39"/>
    <w:rsid w:val="005E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FD2"/>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316FD2"/>
    <w:rPr>
      <w:b/>
      <w:bCs/>
    </w:rPr>
  </w:style>
  <w:style w:type="character" w:customStyle="1" w:styleId="CommentSubjectChar">
    <w:name w:val="Comment Subject Char"/>
    <w:basedOn w:val="CommentTextChar"/>
    <w:link w:val="CommentSubject"/>
    <w:uiPriority w:val="99"/>
    <w:semiHidden/>
    <w:rsid w:val="00316FD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319" TargetMode="External"/><Relationship Id="rId3" Type="http://schemas.openxmlformats.org/officeDocument/2006/relationships/settings" Target="settings.xml"/><Relationship Id="rId7" Type="http://schemas.openxmlformats.org/officeDocument/2006/relationships/hyperlink" Target="https://manas.tiesas.lv/eTiesasMvc/nolemumi/pdf/53198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2024-07-05T10:52:00Z</dcterms:created>
  <dcterms:modified xsi:type="dcterms:W3CDTF">2024-07-05T10:52:00Z</dcterms:modified>
</cp:coreProperties>
</file>