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876E8" w14:textId="77777777" w:rsidR="00F016B4" w:rsidRPr="00F016B4" w:rsidRDefault="00F016B4" w:rsidP="00F016B4">
      <w:pPr>
        <w:spacing w:line="276" w:lineRule="auto"/>
        <w:jc w:val="both"/>
        <w:rPr>
          <w:b/>
          <w:bCs/>
        </w:rPr>
      </w:pPr>
      <w:r w:rsidRPr="00F016B4">
        <w:rPr>
          <w:b/>
          <w:bCs/>
        </w:rPr>
        <w:t>Izkrāpto finanšu līdzekļu legalizēšana</w:t>
      </w:r>
    </w:p>
    <w:p w14:paraId="34765429" w14:textId="33AB6D76" w:rsidR="00F85533" w:rsidRPr="00F016B4" w:rsidRDefault="00F016B4" w:rsidP="00F016B4">
      <w:pPr>
        <w:spacing w:line="276" w:lineRule="auto"/>
        <w:jc w:val="both"/>
        <w:rPr>
          <w:rFonts w:asciiTheme="majorBidi" w:hAnsiTheme="majorBidi" w:cstheme="majorBidi"/>
        </w:rPr>
      </w:pPr>
      <w:r w:rsidRPr="00F016B4">
        <w:t>Izkrāpto finanšu līdzekļu tālāka pārskaitīšana neietilpst krāpšanas sastāva objektīvās puses pazīmju kopumā, tā veido Krimināllikuma 195. pantā paredzētā noziedzīgā nodarījuma sastāva objektīvo pusi.</w:t>
      </w:r>
    </w:p>
    <w:p w14:paraId="0A9B272F" w14:textId="7E3091B6" w:rsidR="000A5509" w:rsidRPr="00466FDE" w:rsidRDefault="000A5509" w:rsidP="00F016B4">
      <w:pPr>
        <w:pStyle w:val="BodyText2"/>
        <w:spacing w:after="0" w:line="276" w:lineRule="auto"/>
        <w:rPr>
          <w:rFonts w:asciiTheme="majorBidi" w:hAnsiTheme="majorBidi" w:cstheme="majorBidi"/>
          <w:lang w:val="lv-LV"/>
        </w:rPr>
      </w:pPr>
    </w:p>
    <w:p w14:paraId="4F49EE7E" w14:textId="77777777" w:rsidR="00F016B4" w:rsidRPr="00F016B4" w:rsidRDefault="000A5509" w:rsidP="00466FDE">
      <w:pPr>
        <w:spacing w:line="276" w:lineRule="auto"/>
        <w:jc w:val="center"/>
        <w:rPr>
          <w:rFonts w:asciiTheme="majorBidi" w:hAnsiTheme="majorBidi" w:cstheme="majorBidi"/>
          <w:b/>
        </w:rPr>
      </w:pPr>
      <w:r w:rsidRPr="00F016B4">
        <w:rPr>
          <w:rFonts w:asciiTheme="majorBidi" w:hAnsiTheme="majorBidi" w:cstheme="majorBidi"/>
          <w:b/>
        </w:rPr>
        <w:t>Latvijas Republikas Senāt</w:t>
      </w:r>
      <w:r w:rsidR="00F016B4" w:rsidRPr="00F016B4">
        <w:rPr>
          <w:rFonts w:asciiTheme="majorBidi" w:hAnsiTheme="majorBidi" w:cstheme="majorBidi"/>
          <w:b/>
        </w:rPr>
        <w:t xml:space="preserve">a </w:t>
      </w:r>
    </w:p>
    <w:p w14:paraId="4F88FBAA" w14:textId="77777777" w:rsidR="00F016B4" w:rsidRPr="00F016B4" w:rsidRDefault="00F016B4" w:rsidP="00466FDE">
      <w:pPr>
        <w:spacing w:line="276" w:lineRule="auto"/>
        <w:jc w:val="center"/>
        <w:rPr>
          <w:rFonts w:asciiTheme="majorBidi" w:hAnsiTheme="majorBidi" w:cstheme="majorBidi"/>
          <w:b/>
        </w:rPr>
      </w:pPr>
      <w:r w:rsidRPr="00F016B4">
        <w:rPr>
          <w:rFonts w:asciiTheme="majorBidi" w:hAnsiTheme="majorBidi" w:cstheme="majorBidi"/>
          <w:b/>
        </w:rPr>
        <w:t>Krimināllietu departamenta</w:t>
      </w:r>
    </w:p>
    <w:p w14:paraId="7D3AE93F" w14:textId="6CC7FEDB" w:rsidR="000A5509" w:rsidRPr="00F016B4" w:rsidRDefault="00F016B4" w:rsidP="00466FDE">
      <w:pPr>
        <w:spacing w:line="276" w:lineRule="auto"/>
        <w:jc w:val="center"/>
        <w:rPr>
          <w:rFonts w:asciiTheme="majorBidi" w:hAnsiTheme="majorBidi" w:cstheme="majorBidi"/>
          <w:b/>
        </w:rPr>
      </w:pPr>
      <w:r w:rsidRPr="00F016B4">
        <w:rPr>
          <w:rFonts w:asciiTheme="majorBidi" w:hAnsiTheme="majorBidi" w:cstheme="majorBidi"/>
          <w:b/>
          <w:color w:val="000000" w:themeColor="text1"/>
        </w:rPr>
        <w:t>2024. gada 9. aprīļa</w:t>
      </w:r>
    </w:p>
    <w:p w14:paraId="58131869" w14:textId="77777777" w:rsidR="000A5509" w:rsidRPr="00F016B4" w:rsidRDefault="000A5509" w:rsidP="00466FDE">
      <w:pPr>
        <w:spacing w:line="276" w:lineRule="auto"/>
        <w:jc w:val="center"/>
        <w:rPr>
          <w:rFonts w:asciiTheme="majorBidi" w:hAnsiTheme="majorBidi" w:cstheme="majorBidi"/>
          <w:b/>
        </w:rPr>
      </w:pPr>
      <w:r w:rsidRPr="00F016B4">
        <w:rPr>
          <w:rFonts w:asciiTheme="majorBidi" w:hAnsiTheme="majorBidi" w:cstheme="majorBidi"/>
          <w:b/>
        </w:rPr>
        <w:t>LĒMUMS</w:t>
      </w:r>
    </w:p>
    <w:p w14:paraId="6F9C5E2A" w14:textId="0F782824" w:rsidR="000A5509" w:rsidRPr="00F016B4" w:rsidRDefault="00F016B4" w:rsidP="00466FDE">
      <w:pPr>
        <w:spacing w:line="276" w:lineRule="auto"/>
        <w:jc w:val="center"/>
        <w:rPr>
          <w:rFonts w:asciiTheme="majorBidi" w:hAnsiTheme="majorBidi" w:cstheme="majorBidi"/>
          <w:b/>
        </w:rPr>
      </w:pPr>
      <w:r w:rsidRPr="00F016B4">
        <w:rPr>
          <w:rFonts w:asciiTheme="majorBidi" w:hAnsiTheme="majorBidi" w:cstheme="majorBidi"/>
          <w:b/>
        </w:rPr>
        <w:t>Lieta Nr. </w:t>
      </w:r>
      <w:r w:rsidRPr="00F016B4">
        <w:rPr>
          <w:rFonts w:asciiTheme="majorBidi" w:hAnsiTheme="majorBidi" w:cstheme="majorBidi"/>
          <w:b/>
          <w:iCs/>
        </w:rPr>
        <w:t>15840015519</w:t>
      </w:r>
      <w:r w:rsidRPr="00F016B4">
        <w:rPr>
          <w:rFonts w:asciiTheme="majorBidi" w:hAnsiTheme="majorBidi" w:cstheme="majorBidi"/>
          <w:b/>
        </w:rPr>
        <w:t>, SKK</w:t>
      </w:r>
      <w:r w:rsidRPr="00F016B4">
        <w:rPr>
          <w:rFonts w:asciiTheme="majorBidi" w:hAnsiTheme="majorBidi" w:cstheme="majorBidi"/>
          <w:b/>
        </w:rPr>
        <w:noBreakHyphen/>
        <w:t>22/2024</w:t>
      </w:r>
    </w:p>
    <w:p w14:paraId="5471AA41" w14:textId="6263D9CD" w:rsidR="00F016B4" w:rsidRPr="00F016B4" w:rsidRDefault="00F016B4" w:rsidP="00466FDE">
      <w:pPr>
        <w:spacing w:line="276" w:lineRule="auto"/>
        <w:jc w:val="center"/>
        <w:rPr>
          <w:rFonts w:asciiTheme="majorBidi" w:hAnsiTheme="majorBidi" w:cstheme="majorBidi"/>
          <w:b/>
          <w:color w:val="000000" w:themeColor="text1"/>
        </w:rPr>
      </w:pPr>
      <w:hyperlink r:id="rId8" w:history="1">
        <w:r w:rsidRPr="00F016B4">
          <w:rPr>
            <w:rStyle w:val="Hyperlink"/>
            <w:rFonts w:asciiTheme="majorBidi" w:hAnsiTheme="majorBidi" w:cstheme="majorBidi"/>
            <w:shd w:val="clear" w:color="auto" w:fill="FFFFFF"/>
          </w:rPr>
          <w:t>ECLI:LV:AT:2024:0409.1584</w:t>
        </w:r>
        <w:r w:rsidRPr="00F016B4">
          <w:rPr>
            <w:rStyle w:val="Hyperlink"/>
            <w:rFonts w:asciiTheme="majorBidi" w:hAnsiTheme="majorBidi" w:cstheme="majorBidi"/>
            <w:shd w:val="clear" w:color="auto" w:fill="FFFFFF"/>
          </w:rPr>
          <w:t>0</w:t>
        </w:r>
        <w:r w:rsidRPr="00F016B4">
          <w:rPr>
            <w:rStyle w:val="Hyperlink"/>
            <w:rFonts w:asciiTheme="majorBidi" w:hAnsiTheme="majorBidi" w:cstheme="majorBidi"/>
            <w:shd w:val="clear" w:color="auto" w:fill="FFFFFF"/>
          </w:rPr>
          <w:t>015519.5.L</w:t>
        </w:r>
      </w:hyperlink>
    </w:p>
    <w:p w14:paraId="5CD57248" w14:textId="77777777" w:rsidR="000A5509" w:rsidRPr="00466FDE" w:rsidRDefault="000A5509" w:rsidP="00466FDE">
      <w:pPr>
        <w:spacing w:line="276" w:lineRule="auto"/>
        <w:ind w:firstLine="720"/>
        <w:jc w:val="both"/>
        <w:rPr>
          <w:rFonts w:asciiTheme="majorBidi" w:hAnsiTheme="majorBidi" w:cstheme="majorBidi"/>
        </w:rPr>
      </w:pPr>
    </w:p>
    <w:p w14:paraId="038E2C45" w14:textId="7921D319" w:rsidR="000A5509" w:rsidRPr="00466FDE" w:rsidRDefault="000A5509" w:rsidP="00466FDE">
      <w:pPr>
        <w:spacing w:line="276" w:lineRule="auto"/>
        <w:ind w:firstLine="720"/>
        <w:jc w:val="both"/>
        <w:rPr>
          <w:rFonts w:asciiTheme="majorBidi" w:hAnsiTheme="majorBidi" w:cstheme="majorBidi"/>
        </w:rPr>
      </w:pPr>
      <w:r w:rsidRPr="00466FDE">
        <w:rPr>
          <w:rFonts w:asciiTheme="majorBidi" w:hAnsiTheme="majorBidi" w:cstheme="majorBidi"/>
        </w:rPr>
        <w:t>Senāts šādā sastāvā: senatore referente Sandra Kaija, senator</w:t>
      </w:r>
      <w:r w:rsidR="00CA13F5" w:rsidRPr="00466FDE">
        <w:rPr>
          <w:rFonts w:asciiTheme="majorBidi" w:hAnsiTheme="majorBidi" w:cstheme="majorBidi"/>
        </w:rPr>
        <w:t>es</w:t>
      </w:r>
      <w:r w:rsidRPr="00466FDE">
        <w:rPr>
          <w:rFonts w:asciiTheme="majorBidi" w:hAnsiTheme="majorBidi" w:cstheme="majorBidi"/>
        </w:rPr>
        <w:t xml:space="preserve"> </w:t>
      </w:r>
      <w:r w:rsidR="005B5DDA" w:rsidRPr="00466FDE">
        <w:rPr>
          <w:rFonts w:asciiTheme="majorBidi" w:hAnsiTheme="majorBidi" w:cstheme="majorBidi"/>
        </w:rPr>
        <w:t xml:space="preserve">Anita Poļakova un </w:t>
      </w:r>
      <w:r w:rsidR="00CA13F5" w:rsidRPr="00466FDE">
        <w:rPr>
          <w:rFonts w:asciiTheme="majorBidi" w:hAnsiTheme="majorBidi" w:cstheme="majorBidi"/>
        </w:rPr>
        <w:t>Inguna Radzeviča</w:t>
      </w:r>
    </w:p>
    <w:p w14:paraId="00450D11" w14:textId="77777777" w:rsidR="000A5509" w:rsidRPr="00466FDE" w:rsidRDefault="000A5509" w:rsidP="00466FDE">
      <w:pPr>
        <w:spacing w:line="276" w:lineRule="auto"/>
        <w:ind w:firstLine="720"/>
        <w:jc w:val="both"/>
        <w:rPr>
          <w:rFonts w:asciiTheme="majorBidi" w:hAnsiTheme="majorBidi" w:cstheme="majorBidi"/>
        </w:rPr>
      </w:pPr>
    </w:p>
    <w:p w14:paraId="5C1C97F4" w14:textId="43A460A4" w:rsidR="009821DA" w:rsidRPr="00466FDE" w:rsidRDefault="000A5509" w:rsidP="00F016B4">
      <w:pPr>
        <w:spacing w:line="276" w:lineRule="auto"/>
        <w:ind w:firstLine="720"/>
        <w:jc w:val="both"/>
        <w:rPr>
          <w:rFonts w:asciiTheme="majorBidi" w:hAnsiTheme="majorBidi" w:cstheme="majorBidi"/>
        </w:rPr>
      </w:pPr>
      <w:r w:rsidRPr="00466FDE">
        <w:rPr>
          <w:rFonts w:asciiTheme="majorBidi" w:hAnsiTheme="majorBidi" w:cstheme="majorBidi"/>
        </w:rPr>
        <w:t xml:space="preserve">rakstveida procesā </w:t>
      </w:r>
      <w:r w:rsidR="00F85533" w:rsidRPr="00466FDE">
        <w:rPr>
          <w:rFonts w:asciiTheme="majorBidi" w:hAnsiTheme="majorBidi" w:cstheme="majorBidi"/>
        </w:rPr>
        <w:t xml:space="preserve">izskatīja </w:t>
      </w:r>
      <w:r w:rsidRPr="00466FDE">
        <w:rPr>
          <w:rFonts w:asciiTheme="majorBidi" w:hAnsiTheme="majorBidi" w:cstheme="majorBidi"/>
        </w:rPr>
        <w:t xml:space="preserve">krimināllietu sakarā ar </w:t>
      </w:r>
      <w:bookmarkStart w:id="0" w:name="_Hlk143091203"/>
      <w:r w:rsidR="004C0757" w:rsidRPr="00466FDE">
        <w:rPr>
          <w:rFonts w:asciiTheme="majorBidi" w:hAnsiTheme="majorBidi" w:cstheme="majorBidi"/>
        </w:rPr>
        <w:t xml:space="preserve">Rīgas tiesas apgabala prokuratūras prokurora </w:t>
      </w:r>
      <w:r w:rsidR="00404175" w:rsidRPr="00466FDE">
        <w:rPr>
          <w:rFonts w:asciiTheme="majorBidi" w:hAnsiTheme="majorBidi" w:cstheme="majorBidi"/>
        </w:rPr>
        <w:t xml:space="preserve">Jura </w:t>
      </w:r>
      <w:proofErr w:type="spellStart"/>
      <w:r w:rsidR="00404175" w:rsidRPr="00466FDE">
        <w:rPr>
          <w:rFonts w:asciiTheme="majorBidi" w:hAnsiTheme="majorBidi" w:cstheme="majorBidi"/>
        </w:rPr>
        <w:t>Galeja</w:t>
      </w:r>
      <w:proofErr w:type="spellEnd"/>
      <w:r w:rsidR="00404175" w:rsidRPr="00466FDE">
        <w:rPr>
          <w:rFonts w:asciiTheme="majorBidi" w:hAnsiTheme="majorBidi" w:cstheme="majorBidi"/>
        </w:rPr>
        <w:t xml:space="preserve"> kasācijas protestu</w:t>
      </w:r>
      <w:bookmarkEnd w:id="0"/>
      <w:r w:rsidR="00404175" w:rsidRPr="00466FDE">
        <w:rPr>
          <w:rFonts w:asciiTheme="majorBidi" w:hAnsiTheme="majorBidi" w:cstheme="majorBidi"/>
        </w:rPr>
        <w:t xml:space="preserve"> un apsūdzētā </w:t>
      </w:r>
      <w:r w:rsidR="00F016B4">
        <w:rPr>
          <w:rFonts w:asciiTheme="majorBidi" w:hAnsiTheme="majorBidi" w:cstheme="majorBidi"/>
        </w:rPr>
        <w:t>[pers. </w:t>
      </w:r>
      <w:r w:rsidR="00F016B4">
        <w:t>A]</w:t>
      </w:r>
      <w:r w:rsidR="00404175" w:rsidRPr="00466FDE">
        <w:rPr>
          <w:rFonts w:asciiTheme="majorBidi" w:hAnsiTheme="majorBidi" w:cstheme="majorBidi"/>
        </w:rPr>
        <w:t xml:space="preserve"> </w:t>
      </w:r>
      <w:r w:rsidRPr="00466FDE">
        <w:rPr>
          <w:rFonts w:asciiTheme="majorBidi" w:hAnsiTheme="majorBidi" w:cstheme="majorBidi"/>
        </w:rPr>
        <w:t xml:space="preserve">kasācijas sūdzību par </w:t>
      </w:r>
      <w:r w:rsidR="00404175" w:rsidRPr="00466FDE">
        <w:rPr>
          <w:rFonts w:asciiTheme="majorBidi" w:hAnsiTheme="majorBidi" w:cstheme="majorBidi"/>
          <w:iCs/>
        </w:rPr>
        <w:t xml:space="preserve">Rīgas </w:t>
      </w:r>
      <w:r w:rsidR="009821DA" w:rsidRPr="00466FDE">
        <w:rPr>
          <w:rFonts w:asciiTheme="majorBidi" w:hAnsiTheme="majorBidi" w:cstheme="majorBidi"/>
          <w:iCs/>
        </w:rPr>
        <w:t>apgabaltiesas 202</w:t>
      </w:r>
      <w:r w:rsidR="00404175" w:rsidRPr="00466FDE">
        <w:rPr>
          <w:rFonts w:asciiTheme="majorBidi" w:hAnsiTheme="majorBidi" w:cstheme="majorBidi"/>
          <w:iCs/>
        </w:rPr>
        <w:t>3</w:t>
      </w:r>
      <w:r w:rsidR="009821DA" w:rsidRPr="00466FDE">
        <w:rPr>
          <w:rFonts w:asciiTheme="majorBidi" w:hAnsiTheme="majorBidi" w:cstheme="majorBidi"/>
          <w:iCs/>
        </w:rPr>
        <w:t xml:space="preserve">. gada </w:t>
      </w:r>
      <w:r w:rsidR="00404175" w:rsidRPr="00466FDE">
        <w:rPr>
          <w:rFonts w:asciiTheme="majorBidi" w:hAnsiTheme="majorBidi" w:cstheme="majorBidi"/>
          <w:iCs/>
        </w:rPr>
        <w:t>14</w:t>
      </w:r>
      <w:r w:rsidR="009821DA" w:rsidRPr="00466FDE">
        <w:rPr>
          <w:rFonts w:asciiTheme="majorBidi" w:hAnsiTheme="majorBidi" w:cstheme="majorBidi"/>
          <w:iCs/>
        </w:rPr>
        <w:t>. </w:t>
      </w:r>
      <w:r w:rsidR="00404175" w:rsidRPr="00466FDE">
        <w:rPr>
          <w:rFonts w:asciiTheme="majorBidi" w:hAnsiTheme="majorBidi" w:cstheme="majorBidi"/>
          <w:iCs/>
        </w:rPr>
        <w:t>februāra</w:t>
      </w:r>
      <w:r w:rsidR="009821DA" w:rsidRPr="00466FDE">
        <w:rPr>
          <w:rFonts w:asciiTheme="majorBidi" w:hAnsiTheme="majorBidi" w:cstheme="majorBidi"/>
          <w:iCs/>
        </w:rPr>
        <w:t xml:space="preserve"> spriedumu.</w:t>
      </w:r>
    </w:p>
    <w:p w14:paraId="147E4B81" w14:textId="77777777" w:rsidR="000A5509" w:rsidRPr="00466FDE" w:rsidRDefault="000A5509" w:rsidP="00466FDE">
      <w:pPr>
        <w:spacing w:line="276" w:lineRule="auto"/>
        <w:ind w:firstLine="720"/>
        <w:jc w:val="both"/>
        <w:rPr>
          <w:rFonts w:asciiTheme="majorBidi" w:hAnsiTheme="majorBidi" w:cstheme="majorBidi"/>
        </w:rPr>
      </w:pPr>
    </w:p>
    <w:p w14:paraId="4C234457" w14:textId="77777777" w:rsidR="000A5509" w:rsidRPr="00466FDE" w:rsidRDefault="000A5509" w:rsidP="00466FDE">
      <w:pPr>
        <w:spacing w:line="276" w:lineRule="auto"/>
        <w:jc w:val="center"/>
        <w:rPr>
          <w:rFonts w:asciiTheme="majorBidi" w:hAnsiTheme="majorBidi" w:cstheme="majorBidi"/>
          <w:b/>
        </w:rPr>
      </w:pPr>
      <w:r w:rsidRPr="00466FDE">
        <w:rPr>
          <w:rFonts w:asciiTheme="majorBidi" w:hAnsiTheme="majorBidi" w:cstheme="majorBidi"/>
          <w:b/>
        </w:rPr>
        <w:t>Aprakstošā daļa</w:t>
      </w:r>
    </w:p>
    <w:p w14:paraId="0001AB74" w14:textId="77777777" w:rsidR="000A5509" w:rsidRPr="00466FDE" w:rsidRDefault="000A5509" w:rsidP="00466FDE">
      <w:pPr>
        <w:spacing w:line="276" w:lineRule="auto"/>
        <w:ind w:firstLine="720"/>
        <w:jc w:val="both"/>
        <w:rPr>
          <w:rFonts w:asciiTheme="majorBidi" w:hAnsiTheme="majorBidi" w:cstheme="majorBidi"/>
        </w:rPr>
      </w:pPr>
    </w:p>
    <w:p w14:paraId="5B1B3F8E" w14:textId="1E0D46D9" w:rsidR="000A5509" w:rsidRPr="00466FDE" w:rsidRDefault="000A5509" w:rsidP="00466FDE">
      <w:pPr>
        <w:spacing w:line="276" w:lineRule="auto"/>
        <w:ind w:firstLine="720"/>
        <w:jc w:val="both"/>
        <w:rPr>
          <w:rFonts w:asciiTheme="majorBidi" w:hAnsiTheme="majorBidi" w:cstheme="majorBidi"/>
        </w:rPr>
      </w:pPr>
      <w:r w:rsidRPr="00466FDE">
        <w:rPr>
          <w:rFonts w:asciiTheme="majorBidi" w:hAnsiTheme="majorBidi" w:cstheme="majorBidi"/>
        </w:rPr>
        <w:t>[1]</w:t>
      </w:r>
      <w:r w:rsidR="0093656A" w:rsidRPr="00466FDE">
        <w:rPr>
          <w:rFonts w:asciiTheme="majorBidi" w:hAnsiTheme="majorBidi" w:cstheme="majorBidi"/>
        </w:rPr>
        <w:t> </w:t>
      </w:r>
      <w:r w:rsidRPr="00466FDE">
        <w:rPr>
          <w:rFonts w:asciiTheme="majorBidi" w:hAnsiTheme="majorBidi" w:cstheme="majorBidi"/>
        </w:rPr>
        <w:t xml:space="preserve">Ar </w:t>
      </w:r>
      <w:bookmarkStart w:id="1" w:name="_Hlk122506980"/>
      <w:bookmarkStart w:id="2" w:name="_Hlk143159686"/>
      <w:r w:rsidR="00404175" w:rsidRPr="00466FDE">
        <w:rPr>
          <w:rFonts w:asciiTheme="majorBidi" w:hAnsiTheme="majorBidi" w:cstheme="majorBidi"/>
        </w:rPr>
        <w:t>Ekonomis</w:t>
      </w:r>
      <w:r w:rsidR="00DE07B1" w:rsidRPr="00466FDE">
        <w:rPr>
          <w:rFonts w:asciiTheme="majorBidi" w:hAnsiTheme="majorBidi" w:cstheme="majorBidi"/>
        </w:rPr>
        <w:t xml:space="preserve">ko lietu tiesas </w:t>
      </w:r>
      <w:r w:rsidRPr="00466FDE">
        <w:rPr>
          <w:rFonts w:asciiTheme="majorBidi" w:hAnsiTheme="majorBidi" w:cstheme="majorBidi"/>
        </w:rPr>
        <w:t>20</w:t>
      </w:r>
      <w:r w:rsidR="00DE07B1" w:rsidRPr="00466FDE">
        <w:rPr>
          <w:rFonts w:asciiTheme="majorBidi" w:hAnsiTheme="majorBidi" w:cstheme="majorBidi"/>
        </w:rPr>
        <w:t>22</w:t>
      </w:r>
      <w:r w:rsidRPr="00466FDE">
        <w:rPr>
          <w:rFonts w:asciiTheme="majorBidi" w:hAnsiTheme="majorBidi" w:cstheme="majorBidi"/>
        </w:rPr>
        <w:t xml:space="preserve">. gada </w:t>
      </w:r>
      <w:r w:rsidR="00DE07B1" w:rsidRPr="00466FDE">
        <w:rPr>
          <w:rFonts w:asciiTheme="majorBidi" w:hAnsiTheme="majorBidi" w:cstheme="majorBidi"/>
        </w:rPr>
        <w:t>11</w:t>
      </w:r>
      <w:r w:rsidRPr="00466FDE">
        <w:rPr>
          <w:rFonts w:asciiTheme="majorBidi" w:hAnsiTheme="majorBidi" w:cstheme="majorBidi"/>
        </w:rPr>
        <w:t>. </w:t>
      </w:r>
      <w:r w:rsidR="00DE07B1" w:rsidRPr="00466FDE">
        <w:rPr>
          <w:rFonts w:asciiTheme="majorBidi" w:hAnsiTheme="majorBidi" w:cstheme="majorBidi"/>
        </w:rPr>
        <w:t>aprīļa</w:t>
      </w:r>
      <w:r w:rsidRPr="00466FDE">
        <w:rPr>
          <w:rFonts w:asciiTheme="majorBidi" w:hAnsiTheme="majorBidi" w:cstheme="majorBidi"/>
        </w:rPr>
        <w:t xml:space="preserve"> </w:t>
      </w:r>
      <w:bookmarkEnd w:id="1"/>
      <w:r w:rsidRPr="00466FDE">
        <w:rPr>
          <w:rFonts w:asciiTheme="majorBidi" w:hAnsiTheme="majorBidi" w:cstheme="majorBidi"/>
        </w:rPr>
        <w:t>spriedumu</w:t>
      </w:r>
      <w:bookmarkEnd w:id="2"/>
    </w:p>
    <w:p w14:paraId="3F621031" w14:textId="2024AA73" w:rsidR="000A5509" w:rsidRPr="00466FDE" w:rsidRDefault="00F016B4" w:rsidP="00F016B4">
      <w:pPr>
        <w:spacing w:line="276" w:lineRule="auto"/>
        <w:ind w:firstLine="720"/>
        <w:jc w:val="both"/>
        <w:rPr>
          <w:rFonts w:asciiTheme="majorBidi" w:hAnsiTheme="majorBidi" w:cstheme="majorBidi"/>
        </w:rPr>
      </w:pPr>
      <w:r>
        <w:rPr>
          <w:rFonts w:asciiTheme="majorBidi" w:hAnsiTheme="majorBidi" w:cstheme="majorBidi"/>
        </w:rPr>
        <w:t>[pers. </w:t>
      </w:r>
      <w:r>
        <w:t>A]</w:t>
      </w:r>
      <w:r w:rsidR="000A5509" w:rsidRPr="00466FDE">
        <w:rPr>
          <w:rFonts w:asciiTheme="majorBidi" w:hAnsiTheme="majorBidi" w:cstheme="majorBidi"/>
        </w:rPr>
        <w:t xml:space="preserve">, </w:t>
      </w:r>
      <w:bookmarkStart w:id="3" w:name="_Hlk122505110"/>
      <w:r w:rsidR="000A5509" w:rsidRPr="00466FDE">
        <w:rPr>
          <w:rFonts w:asciiTheme="majorBidi" w:hAnsiTheme="majorBidi" w:cstheme="majorBidi"/>
        </w:rPr>
        <w:t xml:space="preserve">personas kods </w:t>
      </w:r>
      <w:r>
        <w:rPr>
          <w:rFonts w:asciiTheme="majorBidi" w:hAnsiTheme="majorBidi" w:cstheme="majorBidi"/>
        </w:rPr>
        <w:t>[..]</w:t>
      </w:r>
      <w:r w:rsidR="000A5509" w:rsidRPr="00466FDE">
        <w:rPr>
          <w:rFonts w:asciiTheme="majorBidi" w:hAnsiTheme="majorBidi" w:cstheme="majorBidi"/>
        </w:rPr>
        <w:t>,</w:t>
      </w:r>
    </w:p>
    <w:p w14:paraId="2D5599E1" w14:textId="77777777" w:rsidR="00382073" w:rsidRPr="00466FDE" w:rsidRDefault="00382073" w:rsidP="00466FDE">
      <w:pPr>
        <w:spacing w:line="276" w:lineRule="auto"/>
        <w:ind w:firstLine="720"/>
        <w:jc w:val="both"/>
        <w:rPr>
          <w:rFonts w:asciiTheme="majorBidi" w:hAnsiTheme="majorBidi" w:cstheme="majorBidi"/>
        </w:rPr>
      </w:pPr>
      <w:r w:rsidRPr="00466FDE">
        <w:rPr>
          <w:rFonts w:asciiTheme="majorBidi" w:hAnsiTheme="majorBidi" w:cstheme="majorBidi"/>
        </w:rPr>
        <w:t xml:space="preserve">atzīts par vainīgu </w:t>
      </w:r>
      <w:bookmarkStart w:id="4" w:name="_Hlk121319357"/>
      <w:r w:rsidRPr="00466FDE">
        <w:rPr>
          <w:rFonts w:asciiTheme="majorBidi" w:hAnsiTheme="majorBidi" w:cstheme="majorBidi"/>
        </w:rPr>
        <w:t>Krimināllikuma 177. panta trešajā daļā paredzētajā noziedzīgajā nodarījumā</w:t>
      </w:r>
      <w:bookmarkEnd w:id="4"/>
      <w:r w:rsidRPr="00466FDE">
        <w:rPr>
          <w:rFonts w:asciiTheme="majorBidi" w:hAnsiTheme="majorBidi" w:cstheme="majorBidi"/>
        </w:rPr>
        <w:t xml:space="preserve"> un sodīts ar brīvības atņemšanu uz 3 gadiem;</w:t>
      </w:r>
    </w:p>
    <w:p w14:paraId="3013F4D4" w14:textId="30C78C62" w:rsidR="000A5509" w:rsidRPr="00466FDE" w:rsidRDefault="00DE07B1" w:rsidP="00466FDE">
      <w:pPr>
        <w:spacing w:line="276" w:lineRule="auto"/>
        <w:ind w:firstLine="720"/>
        <w:jc w:val="both"/>
        <w:rPr>
          <w:rFonts w:asciiTheme="majorBidi" w:hAnsiTheme="majorBidi" w:cstheme="majorBidi"/>
        </w:rPr>
      </w:pPr>
      <w:r w:rsidRPr="00466FDE">
        <w:rPr>
          <w:rFonts w:asciiTheme="majorBidi" w:hAnsiTheme="majorBidi" w:cstheme="majorBidi"/>
        </w:rPr>
        <w:t xml:space="preserve">atzīts par nevainīgu </w:t>
      </w:r>
      <w:r w:rsidR="002C3A49" w:rsidRPr="00466FDE">
        <w:rPr>
          <w:rFonts w:asciiTheme="majorBidi" w:hAnsiTheme="majorBidi" w:cstheme="majorBidi"/>
        </w:rPr>
        <w:t>pret viņu celtajā apsūdzībā p</w:t>
      </w:r>
      <w:r w:rsidR="0067372D" w:rsidRPr="00466FDE">
        <w:rPr>
          <w:rFonts w:asciiTheme="majorBidi" w:hAnsiTheme="majorBidi" w:cstheme="majorBidi"/>
        </w:rPr>
        <w:t>ēc</w:t>
      </w:r>
      <w:r w:rsidR="002C3A49" w:rsidRPr="00466FDE">
        <w:rPr>
          <w:rFonts w:asciiTheme="majorBidi" w:hAnsiTheme="majorBidi" w:cstheme="majorBidi"/>
        </w:rPr>
        <w:t xml:space="preserve"> </w:t>
      </w:r>
      <w:r w:rsidRPr="00466FDE">
        <w:rPr>
          <w:rFonts w:asciiTheme="majorBidi" w:hAnsiTheme="majorBidi" w:cstheme="majorBidi"/>
        </w:rPr>
        <w:t>Krimināllikuma 195</w:t>
      </w:r>
      <w:r w:rsidR="002C3A49" w:rsidRPr="00466FDE">
        <w:rPr>
          <w:rFonts w:asciiTheme="majorBidi" w:hAnsiTheme="majorBidi" w:cstheme="majorBidi"/>
        </w:rPr>
        <w:t>. panta treš</w:t>
      </w:r>
      <w:r w:rsidR="0067372D" w:rsidRPr="00466FDE">
        <w:rPr>
          <w:rFonts w:asciiTheme="majorBidi" w:hAnsiTheme="majorBidi" w:cstheme="majorBidi"/>
        </w:rPr>
        <w:t>ās</w:t>
      </w:r>
      <w:r w:rsidR="002C3A49" w:rsidRPr="00466FDE">
        <w:rPr>
          <w:rFonts w:asciiTheme="majorBidi" w:hAnsiTheme="majorBidi" w:cstheme="majorBidi"/>
        </w:rPr>
        <w:t xml:space="preserve"> daļ</w:t>
      </w:r>
      <w:r w:rsidR="0067372D" w:rsidRPr="00466FDE">
        <w:rPr>
          <w:rFonts w:asciiTheme="majorBidi" w:hAnsiTheme="majorBidi" w:cstheme="majorBidi"/>
        </w:rPr>
        <w:t>as</w:t>
      </w:r>
      <w:r w:rsidR="002C3A49" w:rsidRPr="00466FDE">
        <w:rPr>
          <w:rFonts w:asciiTheme="majorBidi" w:hAnsiTheme="majorBidi" w:cstheme="majorBidi"/>
        </w:rPr>
        <w:t xml:space="preserve"> </w:t>
      </w:r>
      <w:r w:rsidRPr="00466FDE">
        <w:rPr>
          <w:rFonts w:asciiTheme="majorBidi" w:hAnsiTheme="majorBidi" w:cstheme="majorBidi"/>
        </w:rPr>
        <w:t>un attaisnots</w:t>
      </w:r>
      <w:bookmarkStart w:id="5" w:name="_Hlk143091039"/>
      <w:bookmarkStart w:id="6" w:name="_Hlk122505146"/>
      <w:bookmarkEnd w:id="3"/>
      <w:r w:rsidRPr="00466FDE">
        <w:rPr>
          <w:rFonts w:asciiTheme="majorBidi" w:hAnsiTheme="majorBidi" w:cstheme="majorBidi"/>
        </w:rPr>
        <w:t>.</w:t>
      </w:r>
    </w:p>
    <w:bookmarkEnd w:id="5"/>
    <w:bookmarkEnd w:id="6"/>
    <w:p w14:paraId="2DB81C45" w14:textId="36F96B01" w:rsidR="00382073" w:rsidRPr="00466FDE" w:rsidRDefault="005B020E" w:rsidP="00466FDE">
      <w:pPr>
        <w:spacing w:line="276" w:lineRule="auto"/>
        <w:ind w:firstLine="720"/>
        <w:jc w:val="both"/>
        <w:rPr>
          <w:rFonts w:asciiTheme="majorBidi" w:hAnsiTheme="majorBidi" w:cstheme="majorBidi"/>
        </w:rPr>
      </w:pPr>
      <w:r w:rsidRPr="00466FDE">
        <w:rPr>
          <w:rFonts w:asciiTheme="majorBidi" w:hAnsiTheme="majorBidi" w:cstheme="majorBidi"/>
        </w:rPr>
        <w:t>SIA ,,</w:t>
      </w:r>
      <w:r w:rsidR="00F016B4">
        <w:rPr>
          <w:rFonts w:asciiTheme="majorBidi" w:hAnsiTheme="majorBidi" w:cstheme="majorBidi"/>
        </w:rPr>
        <w:t>[Nosaukums A]</w:t>
      </w:r>
      <w:r w:rsidRPr="00466FDE">
        <w:rPr>
          <w:rFonts w:asciiTheme="majorBidi" w:hAnsiTheme="majorBidi" w:cstheme="majorBidi"/>
        </w:rPr>
        <w:t>”</w:t>
      </w:r>
      <w:r w:rsidR="000D7166" w:rsidRPr="00466FDE">
        <w:rPr>
          <w:rFonts w:asciiTheme="majorBidi" w:hAnsiTheme="majorBidi" w:cstheme="majorBidi"/>
        </w:rPr>
        <w:t xml:space="preserve"> piemērots piespiedu ietekmēšanas līdzeklis</w:t>
      </w:r>
      <w:r w:rsidR="00382073" w:rsidRPr="00466FDE">
        <w:rPr>
          <w:rFonts w:asciiTheme="majorBidi" w:hAnsiTheme="majorBidi" w:cstheme="majorBidi"/>
        </w:rPr>
        <w:t xml:space="preserve"> – likvidācija –</w:t>
      </w:r>
      <w:r w:rsidR="002C3A49" w:rsidRPr="00466FDE">
        <w:rPr>
          <w:rFonts w:asciiTheme="majorBidi" w:hAnsiTheme="majorBidi" w:cstheme="majorBidi"/>
        </w:rPr>
        <w:t xml:space="preserve"> </w:t>
      </w:r>
      <w:r w:rsidR="00382073" w:rsidRPr="00466FDE">
        <w:rPr>
          <w:rFonts w:asciiTheme="majorBidi" w:hAnsiTheme="majorBidi" w:cstheme="majorBidi"/>
        </w:rPr>
        <w:t>par tās interesēs izdarīto Krimināllikuma 177. panta trešajā daļā paredzēto noziedzīgo nodarījumu.</w:t>
      </w:r>
    </w:p>
    <w:p w14:paraId="08D08E59" w14:textId="30FCD0D7" w:rsidR="002C3A49" w:rsidRPr="00466FDE" w:rsidRDefault="00CA0E90" w:rsidP="00F016B4">
      <w:pPr>
        <w:spacing w:line="276" w:lineRule="auto"/>
        <w:ind w:firstLine="720"/>
        <w:jc w:val="both"/>
        <w:rPr>
          <w:rFonts w:asciiTheme="majorBidi" w:hAnsiTheme="majorBidi" w:cstheme="majorBidi"/>
        </w:rPr>
      </w:pPr>
      <w:r w:rsidRPr="00466FDE">
        <w:rPr>
          <w:rFonts w:asciiTheme="majorBidi" w:hAnsiTheme="majorBidi" w:cstheme="majorBidi"/>
        </w:rPr>
        <w:t>Izbeigts kriminālprocess daļā par piespiedu ietekmēšan</w:t>
      </w:r>
      <w:r w:rsidR="00382073" w:rsidRPr="00466FDE">
        <w:rPr>
          <w:rFonts w:asciiTheme="majorBidi" w:hAnsiTheme="majorBidi" w:cstheme="majorBidi"/>
        </w:rPr>
        <w:t>as līdzekļa piemērošanu SIA </w:t>
      </w:r>
      <w:r w:rsidR="002C3A49" w:rsidRPr="00466FDE">
        <w:rPr>
          <w:rFonts w:asciiTheme="majorBidi" w:hAnsiTheme="majorBidi" w:cstheme="majorBidi"/>
        </w:rPr>
        <w:t>,,</w:t>
      </w:r>
      <w:r w:rsidR="00F016B4">
        <w:rPr>
          <w:rFonts w:asciiTheme="majorBidi" w:hAnsiTheme="majorBidi" w:cstheme="majorBidi"/>
        </w:rPr>
        <w:t>[Nosaukums </w:t>
      </w:r>
      <w:r w:rsidR="00F016B4">
        <w:t>A]</w:t>
      </w:r>
      <w:r w:rsidRPr="00466FDE">
        <w:rPr>
          <w:rFonts w:asciiTheme="majorBidi" w:hAnsiTheme="majorBidi" w:cstheme="majorBidi"/>
        </w:rPr>
        <w:t xml:space="preserve">” </w:t>
      </w:r>
      <w:r w:rsidR="00382073" w:rsidRPr="00466FDE">
        <w:rPr>
          <w:rFonts w:asciiTheme="majorBidi" w:hAnsiTheme="majorBidi" w:cstheme="majorBidi"/>
        </w:rPr>
        <w:t>par</w:t>
      </w:r>
      <w:r w:rsidRPr="00466FDE">
        <w:rPr>
          <w:rFonts w:asciiTheme="majorBidi" w:hAnsiTheme="majorBidi" w:cstheme="majorBidi"/>
        </w:rPr>
        <w:t xml:space="preserve"> </w:t>
      </w:r>
      <w:r w:rsidR="00382073" w:rsidRPr="00466FDE">
        <w:rPr>
          <w:rFonts w:asciiTheme="majorBidi" w:hAnsiTheme="majorBidi" w:cstheme="majorBidi"/>
        </w:rPr>
        <w:t>Krimināllikuma 195</w:t>
      </w:r>
      <w:r w:rsidRPr="00466FDE">
        <w:rPr>
          <w:rFonts w:asciiTheme="majorBidi" w:hAnsiTheme="majorBidi" w:cstheme="majorBidi"/>
        </w:rPr>
        <w:t>.</w:t>
      </w:r>
      <w:r w:rsidR="00064B4F" w:rsidRPr="00466FDE">
        <w:rPr>
          <w:rFonts w:asciiTheme="majorBidi" w:hAnsiTheme="majorBidi" w:cstheme="majorBidi"/>
        </w:rPr>
        <w:t> </w:t>
      </w:r>
      <w:r w:rsidRPr="00466FDE">
        <w:rPr>
          <w:rFonts w:asciiTheme="majorBidi" w:hAnsiTheme="majorBidi" w:cstheme="majorBidi"/>
        </w:rPr>
        <w:t xml:space="preserve">panta trešajā daļā paredzēto noziedzīgo nodarījumu. </w:t>
      </w:r>
    </w:p>
    <w:p w14:paraId="3DE4C727" w14:textId="78ACE187" w:rsidR="00D35802" w:rsidRPr="00466FDE" w:rsidRDefault="00EA47E5" w:rsidP="00F016B4">
      <w:pPr>
        <w:spacing w:line="276" w:lineRule="auto"/>
        <w:ind w:firstLine="720"/>
        <w:jc w:val="both"/>
        <w:rPr>
          <w:rFonts w:asciiTheme="majorBidi" w:hAnsiTheme="majorBidi" w:cstheme="majorBidi"/>
        </w:rPr>
      </w:pPr>
      <w:r w:rsidRPr="00466FDE">
        <w:rPr>
          <w:rFonts w:asciiTheme="majorBidi" w:hAnsiTheme="majorBidi" w:cstheme="majorBidi"/>
        </w:rPr>
        <w:t>N</w:t>
      </w:r>
      <w:r w:rsidR="00CA0E90" w:rsidRPr="00466FDE">
        <w:rPr>
          <w:rFonts w:asciiTheme="majorBidi" w:hAnsiTheme="majorBidi" w:cstheme="majorBidi"/>
        </w:rPr>
        <w:t xml:space="preserve">o </w:t>
      </w:r>
      <w:r w:rsidR="00F016B4">
        <w:rPr>
          <w:rFonts w:asciiTheme="majorBidi" w:hAnsiTheme="majorBidi" w:cstheme="majorBidi"/>
        </w:rPr>
        <w:t>[pers. A]</w:t>
      </w:r>
      <w:r w:rsidR="00CA0E90" w:rsidRPr="00466FDE">
        <w:rPr>
          <w:rFonts w:asciiTheme="majorBidi" w:hAnsiTheme="majorBidi" w:cstheme="majorBidi"/>
        </w:rPr>
        <w:t xml:space="preserve"> </w:t>
      </w:r>
      <w:r w:rsidR="0000564E" w:rsidRPr="00466FDE">
        <w:rPr>
          <w:rFonts w:asciiTheme="majorBidi" w:hAnsiTheme="majorBidi" w:cstheme="majorBidi"/>
        </w:rPr>
        <w:t>solidāri ar</w:t>
      </w:r>
      <w:r w:rsidR="00CA0E90" w:rsidRPr="00466FDE">
        <w:rPr>
          <w:rFonts w:asciiTheme="majorBidi" w:hAnsiTheme="majorBidi" w:cstheme="majorBidi"/>
        </w:rPr>
        <w:t xml:space="preserve"> SIA</w:t>
      </w:r>
      <w:r w:rsidR="00064B4F" w:rsidRPr="00466FDE">
        <w:rPr>
          <w:rFonts w:asciiTheme="majorBidi" w:hAnsiTheme="majorBidi" w:cstheme="majorBidi"/>
        </w:rPr>
        <w:t> </w:t>
      </w:r>
      <w:r w:rsidR="00382073" w:rsidRPr="00466FDE">
        <w:rPr>
          <w:rFonts w:asciiTheme="majorBidi" w:hAnsiTheme="majorBidi" w:cstheme="majorBidi"/>
        </w:rPr>
        <w:t>,,</w:t>
      </w:r>
      <w:r w:rsidR="00F016B4">
        <w:rPr>
          <w:rFonts w:asciiTheme="majorBidi" w:hAnsiTheme="majorBidi" w:cstheme="majorBidi"/>
        </w:rPr>
        <w:t>[Nosaukums</w:t>
      </w:r>
      <w:r w:rsidR="00F016B4">
        <w:t> A]</w:t>
      </w:r>
      <w:r w:rsidR="00CA0E90" w:rsidRPr="00466FDE">
        <w:rPr>
          <w:rFonts w:asciiTheme="majorBidi" w:hAnsiTheme="majorBidi" w:cstheme="majorBidi"/>
        </w:rPr>
        <w:t xml:space="preserve">” </w:t>
      </w:r>
      <w:r w:rsidRPr="00466FDE">
        <w:rPr>
          <w:rFonts w:asciiTheme="majorBidi" w:hAnsiTheme="majorBidi" w:cstheme="majorBidi"/>
        </w:rPr>
        <w:t xml:space="preserve">valsts labā piedzīta </w:t>
      </w:r>
      <w:r w:rsidR="00E77F60" w:rsidRPr="00466FDE">
        <w:rPr>
          <w:rFonts w:asciiTheme="majorBidi" w:hAnsiTheme="majorBidi" w:cstheme="majorBidi"/>
        </w:rPr>
        <w:t>kaitējuma kompensācija 47 817 </w:t>
      </w:r>
      <w:proofErr w:type="spellStart"/>
      <w:r w:rsidR="00E77F60" w:rsidRPr="00466FDE">
        <w:rPr>
          <w:rFonts w:asciiTheme="majorBidi" w:hAnsiTheme="majorBidi" w:cstheme="majorBidi"/>
          <w:i/>
          <w:iCs/>
        </w:rPr>
        <w:t>euro</w:t>
      </w:r>
      <w:proofErr w:type="spellEnd"/>
      <w:r w:rsidR="00CA0E90" w:rsidRPr="00466FDE">
        <w:rPr>
          <w:rFonts w:asciiTheme="majorBidi" w:hAnsiTheme="majorBidi" w:cstheme="majorBidi"/>
        </w:rPr>
        <w:t>.</w:t>
      </w:r>
    </w:p>
    <w:p w14:paraId="36F92699" w14:textId="77777777" w:rsidR="005B020E" w:rsidRPr="00466FDE" w:rsidRDefault="005B020E" w:rsidP="00466FDE">
      <w:pPr>
        <w:spacing w:line="276" w:lineRule="auto"/>
        <w:ind w:firstLine="720"/>
        <w:jc w:val="both"/>
        <w:rPr>
          <w:rFonts w:asciiTheme="majorBidi" w:hAnsiTheme="majorBidi" w:cstheme="majorBidi"/>
          <w:highlight w:val="yellow"/>
        </w:rPr>
      </w:pPr>
    </w:p>
    <w:p w14:paraId="0EFF28F8" w14:textId="2656050F" w:rsidR="00D35802" w:rsidRPr="00466FDE" w:rsidRDefault="000A5509" w:rsidP="00F016B4">
      <w:pPr>
        <w:spacing w:line="276" w:lineRule="auto"/>
        <w:ind w:firstLine="720"/>
        <w:jc w:val="both"/>
        <w:rPr>
          <w:rFonts w:asciiTheme="majorBidi" w:hAnsiTheme="majorBidi" w:cstheme="majorBidi"/>
        </w:rPr>
      </w:pPr>
      <w:r w:rsidRPr="00466FDE">
        <w:rPr>
          <w:rFonts w:asciiTheme="majorBidi" w:hAnsiTheme="majorBidi" w:cstheme="majorBidi"/>
        </w:rPr>
        <w:t>[</w:t>
      </w:r>
      <w:r w:rsidR="00DE07B1" w:rsidRPr="00466FDE">
        <w:rPr>
          <w:rFonts w:asciiTheme="majorBidi" w:hAnsiTheme="majorBidi" w:cstheme="majorBidi"/>
        </w:rPr>
        <w:t>2</w:t>
      </w:r>
      <w:r w:rsidRPr="00466FDE">
        <w:rPr>
          <w:rFonts w:asciiTheme="majorBidi" w:hAnsiTheme="majorBidi" w:cstheme="majorBidi"/>
        </w:rPr>
        <w:t>]</w:t>
      </w:r>
      <w:r w:rsidR="0093656A" w:rsidRPr="00466FDE">
        <w:rPr>
          <w:rFonts w:asciiTheme="majorBidi" w:hAnsiTheme="majorBidi" w:cstheme="majorBidi"/>
        </w:rPr>
        <w:t> </w:t>
      </w:r>
      <w:r w:rsidRPr="00466FDE">
        <w:rPr>
          <w:rFonts w:asciiTheme="majorBidi" w:hAnsiTheme="majorBidi" w:cstheme="majorBidi"/>
        </w:rPr>
        <w:t xml:space="preserve">Ar </w:t>
      </w:r>
      <w:bookmarkStart w:id="7" w:name="_Hlk125100365"/>
      <w:bookmarkStart w:id="8" w:name="_Hlk125109740"/>
      <w:r w:rsidR="00DE07B1" w:rsidRPr="00466FDE">
        <w:rPr>
          <w:rFonts w:asciiTheme="majorBidi" w:hAnsiTheme="majorBidi" w:cstheme="majorBidi"/>
        </w:rPr>
        <w:t>Rīgas</w:t>
      </w:r>
      <w:r w:rsidR="001D1D04" w:rsidRPr="00466FDE">
        <w:rPr>
          <w:rFonts w:asciiTheme="majorBidi" w:hAnsiTheme="majorBidi" w:cstheme="majorBidi"/>
        </w:rPr>
        <w:t xml:space="preserve"> </w:t>
      </w:r>
      <w:r w:rsidRPr="00466FDE">
        <w:rPr>
          <w:rFonts w:asciiTheme="majorBidi" w:hAnsiTheme="majorBidi" w:cstheme="majorBidi"/>
        </w:rPr>
        <w:t>apgabaltiesas 202</w:t>
      </w:r>
      <w:r w:rsidR="00DE07B1" w:rsidRPr="00466FDE">
        <w:rPr>
          <w:rFonts w:asciiTheme="majorBidi" w:hAnsiTheme="majorBidi" w:cstheme="majorBidi"/>
        </w:rPr>
        <w:t>3</w:t>
      </w:r>
      <w:r w:rsidRPr="00466FDE">
        <w:rPr>
          <w:rFonts w:asciiTheme="majorBidi" w:hAnsiTheme="majorBidi" w:cstheme="majorBidi"/>
        </w:rPr>
        <w:t xml:space="preserve">. gada </w:t>
      </w:r>
      <w:r w:rsidR="00DE07B1" w:rsidRPr="00466FDE">
        <w:rPr>
          <w:rFonts w:asciiTheme="majorBidi" w:hAnsiTheme="majorBidi" w:cstheme="majorBidi"/>
        </w:rPr>
        <w:t>14</w:t>
      </w:r>
      <w:r w:rsidRPr="00466FDE">
        <w:rPr>
          <w:rFonts w:asciiTheme="majorBidi" w:hAnsiTheme="majorBidi" w:cstheme="majorBidi"/>
        </w:rPr>
        <w:t>. </w:t>
      </w:r>
      <w:r w:rsidR="00DE07B1" w:rsidRPr="00466FDE">
        <w:rPr>
          <w:rFonts w:asciiTheme="majorBidi" w:hAnsiTheme="majorBidi" w:cstheme="majorBidi"/>
        </w:rPr>
        <w:t>februāra</w:t>
      </w:r>
      <w:r w:rsidRPr="00466FDE">
        <w:rPr>
          <w:rFonts w:asciiTheme="majorBidi" w:hAnsiTheme="majorBidi" w:cstheme="majorBidi"/>
        </w:rPr>
        <w:t xml:space="preserve"> </w:t>
      </w:r>
      <w:bookmarkEnd w:id="7"/>
      <w:bookmarkEnd w:id="8"/>
      <w:r w:rsidR="001D1D04" w:rsidRPr="00466FDE">
        <w:rPr>
          <w:rFonts w:asciiTheme="majorBidi" w:hAnsiTheme="majorBidi" w:cstheme="majorBidi"/>
        </w:rPr>
        <w:t>spriedumu</w:t>
      </w:r>
      <w:r w:rsidRPr="00466FDE">
        <w:rPr>
          <w:rFonts w:asciiTheme="majorBidi" w:hAnsiTheme="majorBidi" w:cstheme="majorBidi"/>
        </w:rPr>
        <w:t xml:space="preserve">, iztiesājot lietu sakarā ar </w:t>
      </w:r>
      <w:r w:rsidR="00DE07B1" w:rsidRPr="00466FDE">
        <w:rPr>
          <w:rFonts w:asciiTheme="majorBidi" w:hAnsiTheme="majorBidi" w:cstheme="majorBidi"/>
        </w:rPr>
        <w:t>Rīgas tiesas apgabala prokuratūras prokurora J</w:t>
      </w:r>
      <w:r w:rsidR="002E05AF" w:rsidRPr="00466FDE">
        <w:rPr>
          <w:rFonts w:asciiTheme="majorBidi" w:hAnsiTheme="majorBidi" w:cstheme="majorBidi"/>
        </w:rPr>
        <w:t>. </w:t>
      </w:r>
      <w:proofErr w:type="spellStart"/>
      <w:r w:rsidR="00DE07B1" w:rsidRPr="00466FDE">
        <w:rPr>
          <w:rFonts w:asciiTheme="majorBidi" w:hAnsiTheme="majorBidi" w:cstheme="majorBidi"/>
        </w:rPr>
        <w:t>Galeja</w:t>
      </w:r>
      <w:proofErr w:type="spellEnd"/>
      <w:r w:rsidR="00DE07B1" w:rsidRPr="00466FDE">
        <w:rPr>
          <w:rFonts w:asciiTheme="majorBidi" w:hAnsiTheme="majorBidi" w:cstheme="majorBidi"/>
        </w:rPr>
        <w:t xml:space="preserve"> </w:t>
      </w:r>
      <w:r w:rsidR="006F2F1C" w:rsidRPr="00466FDE">
        <w:rPr>
          <w:rFonts w:asciiTheme="majorBidi" w:hAnsiTheme="majorBidi" w:cstheme="majorBidi"/>
        </w:rPr>
        <w:t>apelācijas</w:t>
      </w:r>
      <w:r w:rsidR="00DE07B1" w:rsidRPr="00466FDE">
        <w:rPr>
          <w:rFonts w:asciiTheme="majorBidi" w:hAnsiTheme="majorBidi" w:cstheme="majorBidi"/>
        </w:rPr>
        <w:t xml:space="preserve"> protestu, apsūdzētā </w:t>
      </w:r>
      <w:r w:rsidR="00F016B4">
        <w:rPr>
          <w:rFonts w:asciiTheme="majorBidi" w:hAnsiTheme="majorBidi" w:cstheme="majorBidi"/>
        </w:rPr>
        <w:t>[pers. </w:t>
      </w:r>
      <w:r w:rsidR="00F016B4">
        <w:t>A]</w:t>
      </w:r>
      <w:r w:rsidR="00DE07B1" w:rsidRPr="00466FDE">
        <w:rPr>
          <w:rFonts w:asciiTheme="majorBidi" w:hAnsiTheme="majorBidi" w:cstheme="majorBidi"/>
        </w:rPr>
        <w:t xml:space="preserve"> aizstāves zvērinātas advokātes Ineses </w:t>
      </w:r>
      <w:proofErr w:type="spellStart"/>
      <w:r w:rsidR="00DE07B1" w:rsidRPr="00466FDE">
        <w:rPr>
          <w:rFonts w:asciiTheme="majorBidi" w:hAnsiTheme="majorBidi" w:cstheme="majorBidi"/>
        </w:rPr>
        <w:t>Šultes</w:t>
      </w:r>
      <w:proofErr w:type="spellEnd"/>
      <w:r w:rsidR="00DE07B1" w:rsidRPr="00466FDE">
        <w:rPr>
          <w:rFonts w:asciiTheme="majorBidi" w:hAnsiTheme="majorBidi" w:cstheme="majorBidi"/>
        </w:rPr>
        <w:t xml:space="preserve"> un SIA</w:t>
      </w:r>
      <w:r w:rsidR="00064B4F" w:rsidRPr="00466FDE">
        <w:rPr>
          <w:rFonts w:asciiTheme="majorBidi" w:hAnsiTheme="majorBidi" w:cstheme="majorBidi"/>
        </w:rPr>
        <w:t> </w:t>
      </w:r>
      <w:r w:rsidR="00112886" w:rsidRPr="00466FDE">
        <w:rPr>
          <w:rFonts w:asciiTheme="majorBidi" w:hAnsiTheme="majorBidi" w:cstheme="majorBidi"/>
        </w:rPr>
        <w:t>,,</w:t>
      </w:r>
      <w:r w:rsidR="00F016B4">
        <w:rPr>
          <w:rFonts w:asciiTheme="majorBidi" w:hAnsiTheme="majorBidi" w:cstheme="majorBidi"/>
        </w:rPr>
        <w:t>[Nosaukums A]</w:t>
      </w:r>
      <w:r w:rsidR="00DE07B1" w:rsidRPr="00466FDE">
        <w:rPr>
          <w:rFonts w:asciiTheme="majorBidi" w:hAnsiTheme="majorBidi" w:cstheme="majorBidi"/>
        </w:rPr>
        <w:t xml:space="preserve">” maksātnespējas procesa administratores </w:t>
      </w:r>
      <w:r w:rsidR="00F016B4">
        <w:rPr>
          <w:rFonts w:asciiTheme="majorBidi" w:hAnsiTheme="majorBidi" w:cstheme="majorBidi"/>
        </w:rPr>
        <w:t>[pers. B]</w:t>
      </w:r>
      <w:r w:rsidR="00DE07B1" w:rsidRPr="00466FDE">
        <w:rPr>
          <w:rFonts w:asciiTheme="majorBidi" w:hAnsiTheme="majorBidi" w:cstheme="majorBidi"/>
        </w:rPr>
        <w:t xml:space="preserve"> </w:t>
      </w:r>
      <w:r w:rsidR="005B5DDA" w:rsidRPr="00466FDE">
        <w:rPr>
          <w:rFonts w:asciiTheme="majorBidi" w:hAnsiTheme="majorBidi" w:cstheme="majorBidi"/>
        </w:rPr>
        <w:t>apelācijas</w:t>
      </w:r>
      <w:r w:rsidR="00DE07B1" w:rsidRPr="00466FDE">
        <w:rPr>
          <w:rFonts w:asciiTheme="majorBidi" w:hAnsiTheme="majorBidi" w:cstheme="majorBidi"/>
        </w:rPr>
        <w:t xml:space="preserve"> sūdzībām, </w:t>
      </w:r>
      <w:r w:rsidR="00DE07B1" w:rsidRPr="00466FDE">
        <w:rPr>
          <w:rFonts w:asciiTheme="majorBidi" w:eastAsiaTheme="minorEastAsia" w:hAnsiTheme="majorBidi" w:cstheme="majorBidi"/>
          <w:lang w:eastAsia="lv-LV"/>
          <w14:ligatures w14:val="standardContextual"/>
        </w:rPr>
        <w:t>Ekonomisko lietu tiesas 2022.</w:t>
      </w:r>
      <w:r w:rsidR="00064B4F" w:rsidRPr="00466FDE">
        <w:rPr>
          <w:rFonts w:asciiTheme="majorBidi" w:eastAsiaTheme="minorEastAsia" w:hAnsiTheme="majorBidi" w:cstheme="majorBidi"/>
          <w:lang w:eastAsia="lv-LV"/>
          <w14:ligatures w14:val="standardContextual"/>
        </w:rPr>
        <w:t> </w:t>
      </w:r>
      <w:r w:rsidR="00DE07B1" w:rsidRPr="00466FDE">
        <w:rPr>
          <w:rFonts w:asciiTheme="majorBidi" w:eastAsiaTheme="minorEastAsia" w:hAnsiTheme="majorBidi" w:cstheme="majorBidi"/>
          <w:lang w:eastAsia="lv-LV"/>
          <w14:ligatures w14:val="standardContextual"/>
        </w:rPr>
        <w:t>gada 11.</w:t>
      </w:r>
      <w:r w:rsidR="00064B4F" w:rsidRPr="00466FDE">
        <w:rPr>
          <w:rFonts w:asciiTheme="majorBidi" w:eastAsiaTheme="minorEastAsia" w:hAnsiTheme="majorBidi" w:cstheme="majorBidi"/>
          <w:lang w:eastAsia="lv-LV"/>
          <w14:ligatures w14:val="standardContextual"/>
        </w:rPr>
        <w:t> </w:t>
      </w:r>
      <w:r w:rsidR="00DE07B1" w:rsidRPr="00466FDE">
        <w:rPr>
          <w:rFonts w:asciiTheme="majorBidi" w:eastAsiaTheme="minorEastAsia" w:hAnsiTheme="majorBidi" w:cstheme="majorBidi"/>
          <w:lang w:eastAsia="lv-LV"/>
          <w14:ligatures w14:val="standardContextual"/>
        </w:rPr>
        <w:t>apr</w:t>
      </w:r>
      <w:r w:rsidR="00DE07B1" w:rsidRPr="00466FDE">
        <w:rPr>
          <w:rFonts w:asciiTheme="majorBidi" w:hAnsiTheme="majorBidi" w:cstheme="majorBidi"/>
          <w:lang w:eastAsia="lv-LV"/>
          <w14:ligatures w14:val="standardContextual"/>
        </w:rPr>
        <w:t>īļa spriedum</w:t>
      </w:r>
      <w:r w:rsidR="00017332" w:rsidRPr="00466FDE">
        <w:rPr>
          <w:rFonts w:asciiTheme="majorBidi" w:hAnsiTheme="majorBidi" w:cstheme="majorBidi"/>
          <w:lang w:eastAsia="lv-LV"/>
          <w14:ligatures w14:val="standardContextual"/>
        </w:rPr>
        <w:t>s</w:t>
      </w:r>
      <w:r w:rsidR="00DE07B1" w:rsidRPr="00466FDE">
        <w:rPr>
          <w:rFonts w:asciiTheme="majorBidi" w:hAnsiTheme="majorBidi" w:cstheme="majorBidi"/>
          <w:lang w:eastAsia="lv-LV"/>
          <w14:ligatures w14:val="standardContextual"/>
        </w:rPr>
        <w:t xml:space="preserve"> atcelt</w:t>
      </w:r>
      <w:r w:rsidR="00017332" w:rsidRPr="00466FDE">
        <w:rPr>
          <w:rFonts w:asciiTheme="majorBidi" w:hAnsiTheme="majorBidi" w:cstheme="majorBidi"/>
          <w:lang w:eastAsia="lv-LV"/>
          <w14:ligatures w14:val="standardContextual"/>
        </w:rPr>
        <w:t>s</w:t>
      </w:r>
      <w:r w:rsidR="00DE07B1" w:rsidRPr="00466FDE">
        <w:rPr>
          <w:rFonts w:asciiTheme="majorBidi" w:hAnsiTheme="majorBidi" w:cstheme="majorBidi"/>
          <w:lang w:eastAsia="lv-LV"/>
          <w14:ligatures w14:val="standardContextual"/>
        </w:rPr>
        <w:t xml:space="preserve"> daļā par SIA</w:t>
      </w:r>
      <w:r w:rsidR="00064B4F" w:rsidRPr="00466FDE">
        <w:rPr>
          <w:rFonts w:asciiTheme="majorBidi" w:hAnsiTheme="majorBidi" w:cstheme="majorBidi"/>
          <w:lang w:eastAsia="lv-LV"/>
          <w14:ligatures w14:val="standardContextual"/>
        </w:rPr>
        <w:t> </w:t>
      </w:r>
      <w:r w:rsidR="00DE07B1" w:rsidRPr="00466FDE">
        <w:rPr>
          <w:rFonts w:asciiTheme="majorBidi" w:hAnsiTheme="majorBidi" w:cstheme="majorBidi"/>
          <w:lang w:eastAsia="lv-LV"/>
          <w14:ligatures w14:val="standardContextual"/>
        </w:rPr>
        <w:t>„</w:t>
      </w:r>
      <w:r w:rsidR="00F016B4">
        <w:rPr>
          <w:rFonts w:asciiTheme="majorBidi" w:hAnsiTheme="majorBidi" w:cstheme="majorBidi"/>
          <w:lang w:eastAsia="lv-LV"/>
          <w14:ligatures w14:val="standardContextual"/>
        </w:rPr>
        <w:t>[Nosaukums A]</w:t>
      </w:r>
      <w:r w:rsidR="00050514" w:rsidRPr="00466FDE">
        <w:rPr>
          <w:rFonts w:asciiTheme="majorBidi" w:hAnsiTheme="majorBidi" w:cstheme="majorBidi"/>
        </w:rPr>
        <w:t>”</w:t>
      </w:r>
      <w:r w:rsidR="00DE07B1" w:rsidRPr="00466FDE">
        <w:rPr>
          <w:rFonts w:asciiTheme="majorBidi" w:hAnsiTheme="majorBidi" w:cstheme="majorBidi"/>
          <w:lang w:eastAsia="lv-LV"/>
          <w14:ligatures w14:val="standardContextual"/>
        </w:rPr>
        <w:t xml:space="preserve"> piemēroto piespiedu ietekmēšanas līdzekli </w:t>
      </w:r>
      <w:r w:rsidR="00017332" w:rsidRPr="00466FDE">
        <w:rPr>
          <w:rFonts w:asciiTheme="majorBidi" w:hAnsiTheme="majorBidi" w:cstheme="majorBidi"/>
          <w:lang w:eastAsia="lv-LV"/>
          <w14:ligatures w14:val="standardContextual"/>
        </w:rPr>
        <w:t>–</w:t>
      </w:r>
      <w:r w:rsidR="00DE07B1" w:rsidRPr="00466FDE">
        <w:rPr>
          <w:rFonts w:asciiTheme="majorBidi" w:hAnsiTheme="majorBidi" w:cstheme="majorBidi"/>
          <w:lang w:eastAsia="lv-LV"/>
          <w14:ligatures w14:val="standardContextual"/>
        </w:rPr>
        <w:t xml:space="preserve"> likvidāciju </w:t>
      </w:r>
      <w:r w:rsidR="00112886" w:rsidRPr="00466FDE">
        <w:rPr>
          <w:rFonts w:asciiTheme="majorBidi" w:hAnsiTheme="majorBidi" w:cstheme="majorBidi"/>
          <w:lang w:eastAsia="lv-LV"/>
          <w14:ligatures w14:val="standardContextual"/>
        </w:rPr>
        <w:t xml:space="preserve">– </w:t>
      </w:r>
      <w:r w:rsidR="00DE07B1" w:rsidRPr="00466FDE">
        <w:rPr>
          <w:rFonts w:asciiTheme="majorBidi" w:hAnsiTheme="majorBidi" w:cstheme="majorBidi"/>
          <w:lang w:eastAsia="lv-LV"/>
          <w14:ligatures w14:val="standardContextual"/>
        </w:rPr>
        <w:t xml:space="preserve">par </w:t>
      </w:r>
      <w:r w:rsidR="002C3A49" w:rsidRPr="00466FDE">
        <w:rPr>
          <w:rFonts w:asciiTheme="majorBidi" w:hAnsiTheme="majorBidi" w:cstheme="majorBidi"/>
          <w:lang w:eastAsia="lv-LV"/>
          <w14:ligatures w14:val="standardContextual"/>
        </w:rPr>
        <w:t>tās</w:t>
      </w:r>
      <w:r w:rsidR="00DE07B1" w:rsidRPr="00466FDE">
        <w:rPr>
          <w:rFonts w:asciiTheme="majorBidi" w:hAnsiTheme="majorBidi" w:cstheme="majorBidi"/>
          <w:lang w:eastAsia="lv-LV"/>
          <w14:ligatures w14:val="standardContextual"/>
        </w:rPr>
        <w:t xml:space="preserve"> interesēs izdarīto </w:t>
      </w:r>
      <w:r w:rsidR="00112886" w:rsidRPr="00466FDE">
        <w:rPr>
          <w:rFonts w:asciiTheme="majorBidi" w:hAnsiTheme="majorBidi" w:cstheme="majorBidi"/>
          <w:lang w:eastAsia="lv-LV"/>
          <w14:ligatures w14:val="standardContextual"/>
        </w:rPr>
        <w:t xml:space="preserve">Krimināllikuma 177. panta trešajā daļā paredzēto </w:t>
      </w:r>
      <w:r w:rsidR="00DE07B1" w:rsidRPr="00466FDE">
        <w:rPr>
          <w:rFonts w:asciiTheme="majorBidi" w:hAnsiTheme="majorBidi" w:cstheme="majorBidi"/>
          <w:lang w:eastAsia="lv-LV"/>
          <w14:ligatures w14:val="standardContextual"/>
        </w:rPr>
        <w:t>noziedzīgo nodarījumu</w:t>
      </w:r>
      <w:r w:rsidR="00892893" w:rsidRPr="00466FDE">
        <w:rPr>
          <w:rFonts w:asciiTheme="majorBidi" w:hAnsiTheme="majorBidi" w:cstheme="majorBidi"/>
          <w:lang w:eastAsia="lv-LV"/>
          <w14:ligatures w14:val="standardContextual"/>
        </w:rPr>
        <w:t xml:space="preserve"> un</w:t>
      </w:r>
      <w:r w:rsidR="00DE07B1" w:rsidRPr="00466FDE">
        <w:rPr>
          <w:rFonts w:asciiTheme="majorBidi" w:hAnsiTheme="majorBidi" w:cstheme="majorBidi"/>
          <w:lang w:eastAsia="lv-LV"/>
          <w14:ligatures w14:val="standardContextual"/>
        </w:rPr>
        <w:t xml:space="preserve"> kaitējuma kompensācijas 47</w:t>
      </w:r>
      <w:r w:rsidR="00112886" w:rsidRPr="00466FDE">
        <w:rPr>
          <w:rFonts w:asciiTheme="majorBidi" w:hAnsiTheme="majorBidi" w:cstheme="majorBidi"/>
          <w:lang w:eastAsia="lv-LV"/>
          <w14:ligatures w14:val="standardContextual"/>
        </w:rPr>
        <w:t> 817 </w:t>
      </w:r>
      <w:r w:rsidR="00DE07B1" w:rsidRPr="00466FDE">
        <w:rPr>
          <w:rFonts w:asciiTheme="majorBidi" w:hAnsiTheme="majorBidi" w:cstheme="majorBidi"/>
          <w:i/>
          <w:iCs/>
          <w:lang w:eastAsia="lv-LV"/>
          <w14:ligatures w14:val="standardContextual"/>
        </w:rPr>
        <w:t xml:space="preserve">euro </w:t>
      </w:r>
      <w:r w:rsidR="00DE07B1" w:rsidRPr="00466FDE">
        <w:rPr>
          <w:rFonts w:asciiTheme="majorBidi" w:hAnsiTheme="majorBidi" w:cstheme="majorBidi"/>
          <w:lang w:eastAsia="lv-LV"/>
          <w14:ligatures w14:val="standardContextual"/>
        </w:rPr>
        <w:t xml:space="preserve">solidāru piedziņu no </w:t>
      </w:r>
      <w:r w:rsidR="00F016B4">
        <w:rPr>
          <w:rFonts w:asciiTheme="majorBidi" w:hAnsiTheme="majorBidi" w:cstheme="majorBidi"/>
          <w:lang w:eastAsia="lv-LV"/>
          <w14:ligatures w14:val="standardContextual"/>
        </w:rPr>
        <w:t>[pers. </w:t>
      </w:r>
      <w:r w:rsidR="00F016B4">
        <w:t>A]</w:t>
      </w:r>
      <w:r w:rsidR="00DE07B1" w:rsidRPr="00466FDE">
        <w:rPr>
          <w:rFonts w:asciiTheme="majorBidi" w:hAnsiTheme="majorBidi" w:cstheme="majorBidi"/>
          <w:lang w:eastAsia="lv-LV"/>
          <w14:ligatures w14:val="standardContextual"/>
        </w:rPr>
        <w:t xml:space="preserve"> un SIA</w:t>
      </w:r>
      <w:r w:rsidR="00064B4F" w:rsidRPr="00466FDE">
        <w:rPr>
          <w:rFonts w:asciiTheme="majorBidi" w:hAnsiTheme="majorBidi" w:cstheme="majorBidi"/>
          <w:lang w:eastAsia="lv-LV"/>
          <w14:ligatures w14:val="standardContextual"/>
        </w:rPr>
        <w:t> </w:t>
      </w:r>
      <w:r w:rsidR="00DE07B1" w:rsidRPr="00466FDE">
        <w:rPr>
          <w:rFonts w:asciiTheme="majorBidi" w:hAnsiTheme="majorBidi" w:cstheme="majorBidi"/>
          <w:lang w:eastAsia="lv-LV"/>
          <w14:ligatures w14:val="standardContextual"/>
        </w:rPr>
        <w:t>„</w:t>
      </w:r>
      <w:r w:rsidR="00F016B4">
        <w:rPr>
          <w:rFonts w:asciiTheme="majorBidi" w:hAnsiTheme="majorBidi" w:cstheme="majorBidi"/>
          <w:lang w:eastAsia="lv-LV"/>
          <w14:ligatures w14:val="standardContextual"/>
        </w:rPr>
        <w:t>[Nosaukums A]</w:t>
      </w:r>
      <w:r w:rsidR="00050514" w:rsidRPr="00466FDE">
        <w:rPr>
          <w:rFonts w:asciiTheme="majorBidi" w:hAnsiTheme="majorBidi" w:cstheme="majorBidi"/>
        </w:rPr>
        <w:t xml:space="preserve">” </w:t>
      </w:r>
      <w:r w:rsidR="009926A1" w:rsidRPr="00466FDE">
        <w:rPr>
          <w:rFonts w:asciiTheme="majorBidi" w:hAnsiTheme="majorBidi" w:cstheme="majorBidi"/>
          <w:lang w:eastAsia="lv-LV"/>
          <w14:ligatures w14:val="standardContextual"/>
        </w:rPr>
        <w:t>valsts</w:t>
      </w:r>
      <w:r w:rsidR="00112886" w:rsidRPr="00466FDE">
        <w:rPr>
          <w:rFonts w:asciiTheme="majorBidi" w:hAnsiTheme="majorBidi" w:cstheme="majorBidi"/>
        </w:rPr>
        <w:t xml:space="preserve"> labā</w:t>
      </w:r>
      <w:r w:rsidR="00DE07B1" w:rsidRPr="00466FDE">
        <w:rPr>
          <w:rFonts w:asciiTheme="majorBidi" w:hAnsiTheme="majorBidi" w:cstheme="majorBidi"/>
          <w:lang w:eastAsia="lv-LV"/>
          <w14:ligatures w14:val="standardContextual"/>
        </w:rPr>
        <w:t>.</w:t>
      </w:r>
    </w:p>
    <w:p w14:paraId="61FC221B" w14:textId="0DF4AD24" w:rsidR="00D35802" w:rsidRPr="00466FDE" w:rsidRDefault="00DE07B1" w:rsidP="00466FDE">
      <w:pPr>
        <w:spacing w:line="276" w:lineRule="auto"/>
        <w:ind w:firstLine="720"/>
        <w:jc w:val="both"/>
        <w:rPr>
          <w:rFonts w:asciiTheme="majorBidi" w:hAnsiTheme="majorBidi" w:cstheme="majorBidi"/>
        </w:rPr>
      </w:pPr>
      <w:r w:rsidRPr="00466FDE">
        <w:rPr>
          <w:rFonts w:asciiTheme="majorBidi" w:eastAsiaTheme="minorEastAsia" w:hAnsiTheme="majorBidi" w:cstheme="majorBidi"/>
          <w:spacing w:val="-1"/>
          <w:lang w:eastAsia="lv-LV"/>
          <w14:ligatures w14:val="standardContextual"/>
        </w:rPr>
        <w:lastRenderedPageBreak/>
        <w:t>Izbeigt</w:t>
      </w:r>
      <w:r w:rsidR="00017332" w:rsidRPr="00466FDE">
        <w:rPr>
          <w:rFonts w:asciiTheme="majorBidi" w:eastAsiaTheme="minorEastAsia" w:hAnsiTheme="majorBidi" w:cstheme="majorBidi"/>
          <w:spacing w:val="-1"/>
          <w:lang w:eastAsia="lv-LV"/>
          <w14:ligatures w14:val="standardContextual"/>
        </w:rPr>
        <w:t>s</w:t>
      </w:r>
      <w:r w:rsidRPr="00466FDE">
        <w:rPr>
          <w:rFonts w:asciiTheme="majorBidi" w:eastAsiaTheme="minorEastAsia" w:hAnsiTheme="majorBidi" w:cstheme="majorBidi"/>
          <w:spacing w:val="-1"/>
          <w:lang w:eastAsia="lv-LV"/>
          <w14:ligatures w14:val="standardContextual"/>
        </w:rPr>
        <w:t xml:space="preserve"> krimin</w:t>
      </w:r>
      <w:r w:rsidRPr="00466FDE">
        <w:rPr>
          <w:rFonts w:asciiTheme="majorBidi" w:hAnsiTheme="majorBidi" w:cstheme="majorBidi"/>
          <w:spacing w:val="-1"/>
          <w:lang w:eastAsia="lv-LV"/>
          <w14:ligatures w14:val="standardContextual"/>
        </w:rPr>
        <w:t>ālproces</w:t>
      </w:r>
      <w:r w:rsidR="00017332" w:rsidRPr="00466FDE">
        <w:rPr>
          <w:rFonts w:asciiTheme="majorBidi" w:hAnsiTheme="majorBidi" w:cstheme="majorBidi"/>
          <w:spacing w:val="-1"/>
          <w:lang w:eastAsia="lv-LV"/>
          <w14:ligatures w14:val="standardContextual"/>
        </w:rPr>
        <w:t>s</w:t>
      </w:r>
      <w:r w:rsidRPr="00466FDE">
        <w:rPr>
          <w:rFonts w:asciiTheme="majorBidi" w:hAnsiTheme="majorBidi" w:cstheme="majorBidi"/>
          <w:spacing w:val="-1"/>
          <w:lang w:eastAsia="lv-LV"/>
          <w14:ligatures w14:val="standardContextual"/>
        </w:rPr>
        <w:t xml:space="preserve"> daļā par</w:t>
      </w:r>
      <w:r w:rsidR="00112886" w:rsidRPr="00466FDE">
        <w:rPr>
          <w:rFonts w:asciiTheme="majorBidi" w:hAnsiTheme="majorBidi" w:cstheme="majorBidi"/>
          <w:spacing w:val="-1"/>
          <w:lang w:eastAsia="lv-LV"/>
          <w14:ligatures w14:val="standardContextual"/>
        </w:rPr>
        <w:t xml:space="preserve"> piespiedu ietekmēšanas līdzekļa</w:t>
      </w:r>
      <w:r w:rsidRPr="00466FDE">
        <w:rPr>
          <w:rFonts w:asciiTheme="majorBidi" w:hAnsiTheme="majorBidi" w:cstheme="majorBidi"/>
          <w:spacing w:val="-1"/>
          <w:lang w:eastAsia="lv-LV"/>
          <w14:ligatures w14:val="standardContextual"/>
        </w:rPr>
        <w:t xml:space="preserve"> piemērošanu SIA</w:t>
      </w:r>
      <w:r w:rsidR="00064B4F" w:rsidRPr="00466FDE">
        <w:rPr>
          <w:rFonts w:asciiTheme="majorBidi" w:hAnsiTheme="majorBidi" w:cstheme="majorBidi"/>
          <w:spacing w:val="-1"/>
          <w:lang w:eastAsia="lv-LV"/>
          <w14:ligatures w14:val="standardContextual"/>
        </w:rPr>
        <w:t> </w:t>
      </w:r>
      <w:r w:rsidRPr="00466FDE">
        <w:rPr>
          <w:rFonts w:asciiTheme="majorBidi" w:hAnsiTheme="majorBidi" w:cstheme="majorBidi"/>
          <w:lang w:eastAsia="lv-LV"/>
          <w14:ligatures w14:val="standardContextual"/>
        </w:rPr>
        <w:t>„</w:t>
      </w:r>
      <w:r w:rsidR="00F016B4">
        <w:rPr>
          <w:rFonts w:asciiTheme="majorBidi" w:hAnsiTheme="majorBidi" w:cstheme="majorBidi"/>
          <w:lang w:eastAsia="lv-LV"/>
          <w14:ligatures w14:val="standardContextual"/>
        </w:rPr>
        <w:t>[Nosaukums A]</w:t>
      </w:r>
      <w:r w:rsidR="00064B4F" w:rsidRPr="00466FDE">
        <w:rPr>
          <w:rFonts w:asciiTheme="majorBidi" w:hAnsiTheme="majorBidi" w:cstheme="majorBidi"/>
          <w:lang w:eastAsia="lv-LV"/>
          <w14:ligatures w14:val="standardContextual"/>
        </w:rPr>
        <w:t>”</w:t>
      </w:r>
      <w:r w:rsidRPr="00466FDE">
        <w:rPr>
          <w:rFonts w:asciiTheme="majorBidi" w:hAnsiTheme="majorBidi" w:cstheme="majorBidi"/>
          <w:lang w:eastAsia="lv-LV"/>
          <w14:ligatures w14:val="standardContextual"/>
        </w:rPr>
        <w:t xml:space="preserve"> </w:t>
      </w:r>
      <w:r w:rsidR="002C3A49" w:rsidRPr="00466FDE">
        <w:rPr>
          <w:rFonts w:asciiTheme="majorBidi" w:hAnsiTheme="majorBidi" w:cstheme="majorBidi"/>
          <w:lang w:eastAsia="lv-LV"/>
          <w14:ligatures w14:val="standardContextual"/>
        </w:rPr>
        <w:t>par</w:t>
      </w:r>
      <w:r w:rsidRPr="00466FDE">
        <w:rPr>
          <w:rFonts w:asciiTheme="majorBidi" w:hAnsiTheme="majorBidi" w:cstheme="majorBidi"/>
          <w:lang w:eastAsia="lv-LV"/>
          <w14:ligatures w14:val="standardContextual"/>
        </w:rPr>
        <w:t xml:space="preserve"> </w:t>
      </w:r>
      <w:r w:rsidR="00112886" w:rsidRPr="00466FDE">
        <w:rPr>
          <w:rFonts w:asciiTheme="majorBidi" w:hAnsiTheme="majorBidi" w:cstheme="majorBidi"/>
          <w:lang w:eastAsia="lv-LV"/>
          <w14:ligatures w14:val="standardContextual"/>
        </w:rPr>
        <w:t xml:space="preserve">Krimināllikuma 177. panta trešajā daļā paredzēto </w:t>
      </w:r>
      <w:r w:rsidRPr="00466FDE">
        <w:rPr>
          <w:rFonts w:asciiTheme="majorBidi" w:hAnsiTheme="majorBidi" w:cstheme="majorBidi"/>
          <w:lang w:eastAsia="lv-LV"/>
          <w14:ligatures w14:val="standardContextual"/>
        </w:rPr>
        <w:t>nozi</w:t>
      </w:r>
      <w:r w:rsidR="00112886" w:rsidRPr="00466FDE">
        <w:rPr>
          <w:rFonts w:asciiTheme="majorBidi" w:hAnsiTheme="majorBidi" w:cstheme="majorBidi"/>
          <w:lang w:eastAsia="lv-LV"/>
          <w14:ligatures w14:val="standardContextual"/>
        </w:rPr>
        <w:t>edzīgo nodarījumu</w:t>
      </w:r>
      <w:r w:rsidRPr="00466FDE">
        <w:rPr>
          <w:rFonts w:asciiTheme="majorBidi" w:hAnsiTheme="majorBidi" w:cstheme="majorBidi"/>
          <w:lang w:eastAsia="lv-LV"/>
          <w14:ligatures w14:val="standardContextual"/>
        </w:rPr>
        <w:t>.</w:t>
      </w:r>
    </w:p>
    <w:p w14:paraId="4FCF6922" w14:textId="44D83E54" w:rsidR="00D35802" w:rsidRPr="00466FDE" w:rsidRDefault="009926A1" w:rsidP="00F016B4">
      <w:pPr>
        <w:spacing w:line="276" w:lineRule="auto"/>
        <w:ind w:firstLine="720"/>
        <w:jc w:val="both"/>
        <w:rPr>
          <w:rFonts w:asciiTheme="majorBidi" w:hAnsiTheme="majorBidi" w:cstheme="majorBidi"/>
        </w:rPr>
      </w:pPr>
      <w:r w:rsidRPr="00466FDE">
        <w:rPr>
          <w:rFonts w:asciiTheme="majorBidi" w:hAnsiTheme="majorBidi" w:cstheme="majorBidi"/>
          <w:lang w:eastAsia="lv-LV"/>
          <w14:ligatures w14:val="standardContextual"/>
        </w:rPr>
        <w:t>N</w:t>
      </w:r>
      <w:r w:rsidR="00DE07B1" w:rsidRPr="00466FDE">
        <w:rPr>
          <w:rFonts w:asciiTheme="majorBidi" w:hAnsiTheme="majorBidi" w:cstheme="majorBidi"/>
          <w:lang w:eastAsia="lv-LV"/>
          <w14:ligatures w14:val="standardContextual"/>
        </w:rPr>
        <w:t xml:space="preserve">o </w:t>
      </w:r>
      <w:r w:rsidR="00F016B4">
        <w:rPr>
          <w:rFonts w:asciiTheme="majorBidi" w:hAnsiTheme="majorBidi" w:cstheme="majorBidi"/>
          <w:lang w:eastAsia="lv-LV"/>
          <w14:ligatures w14:val="standardContextual"/>
        </w:rPr>
        <w:t>[pers.</w:t>
      </w:r>
      <w:r w:rsidR="00F26B5E">
        <w:rPr>
          <w:rFonts w:asciiTheme="majorBidi" w:hAnsiTheme="majorBidi" w:cstheme="majorBidi"/>
          <w:lang w:eastAsia="lv-LV"/>
          <w14:ligatures w14:val="standardContextual"/>
        </w:rPr>
        <w:t> </w:t>
      </w:r>
      <w:r w:rsidR="00F016B4">
        <w:t>A]</w:t>
      </w:r>
      <w:r w:rsidR="00DE07B1" w:rsidRPr="00466FDE">
        <w:rPr>
          <w:rFonts w:asciiTheme="majorBidi" w:hAnsiTheme="majorBidi" w:cstheme="majorBidi"/>
          <w:lang w:eastAsia="lv-LV"/>
          <w14:ligatures w14:val="standardContextual"/>
        </w:rPr>
        <w:t xml:space="preserve"> </w:t>
      </w:r>
      <w:r w:rsidRPr="00466FDE">
        <w:rPr>
          <w:rFonts w:asciiTheme="majorBidi" w:hAnsiTheme="majorBidi" w:cstheme="majorBidi"/>
          <w:lang w:eastAsia="lv-LV"/>
          <w14:ligatures w14:val="standardContextual"/>
        </w:rPr>
        <w:t xml:space="preserve">piedzīta </w:t>
      </w:r>
      <w:r w:rsidR="00E77F60" w:rsidRPr="00466FDE">
        <w:rPr>
          <w:rFonts w:asciiTheme="majorBidi" w:hAnsiTheme="majorBidi" w:cstheme="majorBidi"/>
          <w:lang w:eastAsia="lv-LV"/>
          <w14:ligatures w14:val="standardContextual"/>
        </w:rPr>
        <w:t>kaitējuma kompensācija 47 817 </w:t>
      </w:r>
      <w:r w:rsidR="00E77F60" w:rsidRPr="00466FDE">
        <w:rPr>
          <w:rFonts w:asciiTheme="majorBidi" w:hAnsiTheme="majorBidi" w:cstheme="majorBidi"/>
          <w:i/>
          <w:iCs/>
          <w:lang w:eastAsia="lv-LV"/>
          <w14:ligatures w14:val="standardContextual"/>
        </w:rPr>
        <w:t>euro</w:t>
      </w:r>
      <w:r w:rsidR="00E77F60" w:rsidRPr="00466FDE">
        <w:rPr>
          <w:rFonts w:asciiTheme="majorBidi" w:hAnsiTheme="majorBidi" w:cstheme="majorBidi"/>
          <w:lang w:eastAsia="lv-LV"/>
          <w14:ligatures w14:val="standardContextual"/>
        </w:rPr>
        <w:t xml:space="preserve"> </w:t>
      </w:r>
      <w:r w:rsidRPr="00466FDE">
        <w:rPr>
          <w:rFonts w:asciiTheme="majorBidi" w:hAnsiTheme="majorBidi" w:cstheme="majorBidi"/>
          <w:lang w:eastAsia="lv-LV"/>
          <w14:ligatures w14:val="standardContextual"/>
        </w:rPr>
        <w:t>valsts</w:t>
      </w:r>
      <w:r w:rsidR="002C3A49" w:rsidRPr="00466FDE">
        <w:rPr>
          <w:rFonts w:asciiTheme="majorBidi" w:hAnsiTheme="majorBidi" w:cstheme="majorBidi"/>
          <w:lang w:eastAsia="lv-LV"/>
          <w14:ligatures w14:val="standardContextual"/>
        </w:rPr>
        <w:t xml:space="preserve"> labā</w:t>
      </w:r>
      <w:r w:rsidR="00017332" w:rsidRPr="00466FDE">
        <w:rPr>
          <w:rFonts w:asciiTheme="majorBidi" w:hAnsiTheme="majorBidi" w:cstheme="majorBidi"/>
          <w:lang w:eastAsia="lv-LV"/>
          <w14:ligatures w14:val="standardContextual"/>
        </w:rPr>
        <w:t>.</w:t>
      </w:r>
    </w:p>
    <w:p w14:paraId="21E17AEC" w14:textId="77777777" w:rsidR="00D35802" w:rsidRPr="00466FDE" w:rsidRDefault="001D1D04" w:rsidP="00466FDE">
      <w:pPr>
        <w:spacing w:line="276" w:lineRule="auto"/>
        <w:ind w:firstLine="720"/>
        <w:jc w:val="both"/>
        <w:rPr>
          <w:rFonts w:asciiTheme="majorBidi" w:hAnsiTheme="majorBidi" w:cstheme="majorBidi"/>
        </w:rPr>
      </w:pPr>
      <w:r w:rsidRPr="00466FDE">
        <w:rPr>
          <w:rFonts w:asciiTheme="majorBidi" w:hAnsiTheme="majorBidi" w:cstheme="majorBidi"/>
        </w:rPr>
        <w:t>Pārējā daļā pirmās instances tiesas spriedums atstāts negrozīts.</w:t>
      </w:r>
    </w:p>
    <w:p w14:paraId="3687B0A4" w14:textId="77777777" w:rsidR="00D35802" w:rsidRPr="00466FDE" w:rsidRDefault="00D35802" w:rsidP="00466FDE">
      <w:pPr>
        <w:spacing w:line="276" w:lineRule="auto"/>
        <w:ind w:firstLine="720"/>
        <w:jc w:val="both"/>
        <w:rPr>
          <w:rFonts w:asciiTheme="majorBidi" w:hAnsiTheme="majorBidi" w:cstheme="majorBidi"/>
        </w:rPr>
      </w:pPr>
    </w:p>
    <w:p w14:paraId="4AD8D531" w14:textId="33CE223E" w:rsidR="00D35802" w:rsidRPr="00466FDE" w:rsidRDefault="0093656A" w:rsidP="00466FDE">
      <w:pPr>
        <w:spacing w:line="276" w:lineRule="auto"/>
        <w:ind w:firstLine="720"/>
        <w:jc w:val="both"/>
        <w:rPr>
          <w:rFonts w:asciiTheme="majorBidi" w:hAnsiTheme="majorBidi" w:cstheme="majorBidi"/>
        </w:rPr>
      </w:pPr>
      <w:r w:rsidRPr="00466FDE">
        <w:rPr>
          <w:rFonts w:asciiTheme="majorBidi" w:hAnsiTheme="majorBidi" w:cstheme="majorBidi"/>
        </w:rPr>
        <w:t>[3] </w:t>
      </w:r>
      <w:r w:rsidR="009352F0" w:rsidRPr="00466FDE">
        <w:rPr>
          <w:rFonts w:asciiTheme="majorBidi" w:hAnsiTheme="majorBidi" w:cstheme="majorBidi"/>
        </w:rPr>
        <w:t xml:space="preserve">Ar Rīgas apgabaltiesas 2023. gada 14. februāra spriedumu </w:t>
      </w:r>
      <w:r w:rsidR="00F016B4">
        <w:rPr>
          <w:rFonts w:asciiTheme="majorBidi" w:hAnsiTheme="majorBidi" w:cstheme="majorBidi"/>
        </w:rPr>
        <w:t>[pers. A]</w:t>
      </w:r>
      <w:r w:rsidR="009352F0" w:rsidRPr="00466FDE">
        <w:rPr>
          <w:rFonts w:asciiTheme="majorBidi" w:hAnsiTheme="majorBidi" w:cstheme="majorBidi"/>
        </w:rPr>
        <w:t xml:space="preserve"> atzīts par vainīgu un sodīts pēc Krimināllikuma 177.</w:t>
      </w:r>
      <w:r w:rsidR="00064B4F" w:rsidRPr="00466FDE">
        <w:rPr>
          <w:rFonts w:asciiTheme="majorBidi" w:hAnsiTheme="majorBidi" w:cstheme="majorBidi"/>
        </w:rPr>
        <w:t> </w:t>
      </w:r>
      <w:r w:rsidR="009352F0" w:rsidRPr="00466FDE">
        <w:rPr>
          <w:rFonts w:asciiTheme="majorBidi" w:hAnsiTheme="majorBidi" w:cstheme="majorBidi"/>
        </w:rPr>
        <w:t xml:space="preserve">panta trešās daļas par svešas mantas iegūšanu lielā apmērā, ļaunprātīgi </w:t>
      </w:r>
      <w:r w:rsidR="00064B4F" w:rsidRPr="00466FDE">
        <w:rPr>
          <w:rFonts w:asciiTheme="majorBidi" w:hAnsiTheme="majorBidi" w:cstheme="majorBidi"/>
        </w:rPr>
        <w:t>izmantojot uztic</w:t>
      </w:r>
      <w:r w:rsidR="00B500EB" w:rsidRPr="00466FDE">
        <w:rPr>
          <w:rFonts w:asciiTheme="majorBidi" w:hAnsiTheme="majorBidi" w:cstheme="majorBidi"/>
        </w:rPr>
        <w:t>ēšanos</w:t>
      </w:r>
      <w:r w:rsidR="00064B4F" w:rsidRPr="00466FDE">
        <w:rPr>
          <w:rFonts w:asciiTheme="majorBidi" w:hAnsiTheme="majorBidi" w:cstheme="majorBidi"/>
        </w:rPr>
        <w:t xml:space="preserve"> un ar viltu (krāpšan</w:t>
      </w:r>
      <w:r w:rsidR="00BC6F1E" w:rsidRPr="00466FDE">
        <w:rPr>
          <w:rFonts w:asciiTheme="majorBidi" w:hAnsiTheme="majorBidi" w:cstheme="majorBidi"/>
        </w:rPr>
        <w:t>u</w:t>
      </w:r>
      <w:r w:rsidR="00064B4F" w:rsidRPr="00466FDE">
        <w:rPr>
          <w:rFonts w:asciiTheme="majorBidi" w:hAnsiTheme="majorBidi" w:cstheme="majorBidi"/>
        </w:rPr>
        <w:t>).</w:t>
      </w:r>
      <w:bookmarkStart w:id="9" w:name="_Hlk124927615"/>
      <w:bookmarkStart w:id="10" w:name="_Hlk130464055"/>
    </w:p>
    <w:p w14:paraId="374F7796" w14:textId="77777777" w:rsidR="00D35802" w:rsidRPr="00466FDE" w:rsidRDefault="00D35802" w:rsidP="00466FDE">
      <w:pPr>
        <w:spacing w:line="276" w:lineRule="auto"/>
        <w:ind w:firstLine="720"/>
        <w:jc w:val="both"/>
        <w:rPr>
          <w:rFonts w:asciiTheme="majorBidi" w:hAnsiTheme="majorBidi" w:cstheme="majorBidi"/>
        </w:rPr>
      </w:pPr>
    </w:p>
    <w:p w14:paraId="434FCDE5" w14:textId="46E5C5D3" w:rsidR="00D35802" w:rsidRPr="00466FDE" w:rsidRDefault="0093656A" w:rsidP="00F016B4">
      <w:pPr>
        <w:spacing w:line="276" w:lineRule="auto"/>
        <w:ind w:firstLine="720"/>
        <w:jc w:val="both"/>
        <w:rPr>
          <w:rFonts w:asciiTheme="majorBidi" w:hAnsiTheme="majorBidi" w:cstheme="majorBidi"/>
        </w:rPr>
      </w:pPr>
      <w:r w:rsidRPr="00466FDE">
        <w:rPr>
          <w:rFonts w:asciiTheme="majorBidi" w:hAnsiTheme="majorBidi" w:cstheme="majorBidi"/>
        </w:rPr>
        <w:t>[4] </w:t>
      </w:r>
      <w:r w:rsidR="00A03BC0" w:rsidRPr="00466FDE">
        <w:rPr>
          <w:rFonts w:asciiTheme="majorBidi" w:hAnsiTheme="majorBidi" w:cstheme="majorBidi"/>
        </w:rPr>
        <w:t xml:space="preserve">Par </w:t>
      </w:r>
      <w:r w:rsidR="006F2F1C" w:rsidRPr="00466FDE">
        <w:rPr>
          <w:rFonts w:asciiTheme="majorBidi" w:hAnsiTheme="majorBidi" w:cstheme="majorBidi"/>
        </w:rPr>
        <w:t>Rīgas</w:t>
      </w:r>
      <w:r w:rsidR="00A03BC0" w:rsidRPr="00466FDE">
        <w:rPr>
          <w:rFonts w:asciiTheme="majorBidi" w:hAnsiTheme="majorBidi" w:cstheme="majorBidi"/>
        </w:rPr>
        <w:t xml:space="preserve"> apgabaltiesas 202</w:t>
      </w:r>
      <w:r w:rsidR="006F2F1C" w:rsidRPr="00466FDE">
        <w:rPr>
          <w:rFonts w:asciiTheme="majorBidi" w:hAnsiTheme="majorBidi" w:cstheme="majorBidi"/>
        </w:rPr>
        <w:t>3</w:t>
      </w:r>
      <w:r w:rsidR="00A03BC0" w:rsidRPr="00466FDE">
        <w:rPr>
          <w:rFonts w:asciiTheme="majorBidi" w:hAnsiTheme="majorBidi" w:cstheme="majorBidi"/>
        </w:rPr>
        <w:t xml:space="preserve">. gada </w:t>
      </w:r>
      <w:r w:rsidR="006F2F1C" w:rsidRPr="00466FDE">
        <w:rPr>
          <w:rFonts w:asciiTheme="majorBidi" w:hAnsiTheme="majorBidi" w:cstheme="majorBidi"/>
        </w:rPr>
        <w:t>14</w:t>
      </w:r>
      <w:r w:rsidR="00A03BC0" w:rsidRPr="00466FDE">
        <w:rPr>
          <w:rFonts w:asciiTheme="majorBidi" w:hAnsiTheme="majorBidi" w:cstheme="majorBidi"/>
        </w:rPr>
        <w:t>. </w:t>
      </w:r>
      <w:r w:rsidR="006F2F1C" w:rsidRPr="00466FDE">
        <w:rPr>
          <w:rFonts w:asciiTheme="majorBidi" w:hAnsiTheme="majorBidi" w:cstheme="majorBidi"/>
        </w:rPr>
        <w:t>februāra</w:t>
      </w:r>
      <w:r w:rsidR="00A03BC0" w:rsidRPr="00466FDE">
        <w:rPr>
          <w:rFonts w:asciiTheme="majorBidi" w:hAnsiTheme="majorBidi" w:cstheme="majorBidi"/>
        </w:rPr>
        <w:t xml:space="preserve"> spriedumu </w:t>
      </w:r>
      <w:bookmarkStart w:id="11" w:name="_Hlk143159601"/>
      <w:r w:rsidR="002028E3" w:rsidRPr="00466FDE">
        <w:rPr>
          <w:rFonts w:asciiTheme="majorBidi" w:hAnsiTheme="majorBidi" w:cstheme="majorBidi"/>
        </w:rPr>
        <w:t>Rīgas tiesas apgabala prokuratūras prokurors J. </w:t>
      </w:r>
      <w:proofErr w:type="spellStart"/>
      <w:r w:rsidR="002028E3" w:rsidRPr="00466FDE">
        <w:rPr>
          <w:rFonts w:asciiTheme="majorBidi" w:hAnsiTheme="majorBidi" w:cstheme="majorBidi"/>
        </w:rPr>
        <w:t>Galejs</w:t>
      </w:r>
      <w:proofErr w:type="spellEnd"/>
      <w:r w:rsidR="002028E3" w:rsidRPr="00466FDE">
        <w:rPr>
          <w:rFonts w:asciiTheme="majorBidi" w:hAnsiTheme="majorBidi" w:cstheme="majorBidi"/>
        </w:rPr>
        <w:t xml:space="preserve"> </w:t>
      </w:r>
      <w:bookmarkEnd w:id="11"/>
      <w:r w:rsidR="002028E3" w:rsidRPr="00466FDE">
        <w:rPr>
          <w:rFonts w:asciiTheme="majorBidi" w:hAnsiTheme="majorBidi" w:cstheme="majorBidi"/>
        </w:rPr>
        <w:t>iesniedzis kasācijas protestu</w:t>
      </w:r>
      <w:r w:rsidR="00B500EB" w:rsidRPr="00466FDE">
        <w:rPr>
          <w:rFonts w:asciiTheme="majorBidi" w:hAnsiTheme="majorBidi" w:cstheme="majorBidi"/>
        </w:rPr>
        <w:t xml:space="preserve">, bet </w:t>
      </w:r>
      <w:r w:rsidR="00112886" w:rsidRPr="00466FDE">
        <w:rPr>
          <w:rFonts w:asciiTheme="majorBidi" w:hAnsiTheme="majorBidi" w:cstheme="majorBidi"/>
        </w:rPr>
        <w:t xml:space="preserve">apsūdzētais </w:t>
      </w:r>
      <w:r w:rsidR="00F016B4">
        <w:rPr>
          <w:rFonts w:asciiTheme="majorBidi" w:hAnsiTheme="majorBidi" w:cstheme="majorBidi"/>
        </w:rPr>
        <w:t>[pers. A]</w:t>
      </w:r>
      <w:r w:rsidR="00112886" w:rsidRPr="00466FDE">
        <w:rPr>
          <w:rFonts w:asciiTheme="majorBidi" w:hAnsiTheme="majorBidi" w:cstheme="majorBidi"/>
        </w:rPr>
        <w:t xml:space="preserve"> </w:t>
      </w:r>
      <w:r w:rsidR="00B500EB" w:rsidRPr="00466FDE">
        <w:rPr>
          <w:rFonts w:asciiTheme="majorBidi" w:hAnsiTheme="majorBidi" w:cstheme="majorBidi"/>
        </w:rPr>
        <w:t>–</w:t>
      </w:r>
      <w:r w:rsidR="00C17802" w:rsidRPr="00466FDE">
        <w:rPr>
          <w:rFonts w:asciiTheme="majorBidi" w:hAnsiTheme="majorBidi" w:cstheme="majorBidi"/>
        </w:rPr>
        <w:t xml:space="preserve"> </w:t>
      </w:r>
      <w:r w:rsidR="00A03BC0" w:rsidRPr="00466FDE">
        <w:rPr>
          <w:rFonts w:asciiTheme="majorBidi" w:hAnsiTheme="majorBidi" w:cstheme="majorBidi"/>
        </w:rPr>
        <w:t>kasācijas sūdzību</w:t>
      </w:r>
      <w:bookmarkStart w:id="12" w:name="_Hlk143167364"/>
      <w:r w:rsidR="006F2F1C" w:rsidRPr="00466FDE">
        <w:rPr>
          <w:rFonts w:asciiTheme="majorBidi" w:hAnsiTheme="majorBidi" w:cstheme="majorBidi"/>
        </w:rPr>
        <w:t>.</w:t>
      </w:r>
      <w:bookmarkEnd w:id="12"/>
    </w:p>
    <w:p w14:paraId="480E6721" w14:textId="726ACDCE" w:rsidR="00D35802" w:rsidRPr="00466FDE" w:rsidRDefault="006F2F1C" w:rsidP="00F016B4">
      <w:pPr>
        <w:spacing w:line="276" w:lineRule="auto"/>
        <w:ind w:firstLine="720"/>
        <w:jc w:val="both"/>
        <w:rPr>
          <w:rFonts w:asciiTheme="majorBidi" w:hAnsiTheme="majorBidi" w:cstheme="majorBidi"/>
        </w:rPr>
      </w:pPr>
      <w:r w:rsidRPr="00466FDE">
        <w:rPr>
          <w:rFonts w:asciiTheme="majorBidi" w:hAnsiTheme="majorBidi" w:cstheme="majorBidi"/>
        </w:rPr>
        <w:t>[</w:t>
      </w:r>
      <w:r w:rsidR="00FD5450" w:rsidRPr="00466FDE">
        <w:rPr>
          <w:rFonts w:asciiTheme="majorBidi" w:hAnsiTheme="majorBidi" w:cstheme="majorBidi"/>
        </w:rPr>
        <w:t>4.1</w:t>
      </w:r>
      <w:r w:rsidRPr="00466FDE">
        <w:rPr>
          <w:rFonts w:asciiTheme="majorBidi" w:hAnsiTheme="majorBidi" w:cstheme="majorBidi"/>
        </w:rPr>
        <w:t>]</w:t>
      </w:r>
      <w:bookmarkEnd w:id="9"/>
      <w:bookmarkEnd w:id="10"/>
      <w:r w:rsidR="0093656A" w:rsidRPr="00466FDE">
        <w:rPr>
          <w:rFonts w:asciiTheme="majorBidi" w:hAnsiTheme="majorBidi" w:cstheme="majorBidi"/>
        </w:rPr>
        <w:t> </w:t>
      </w:r>
      <w:r w:rsidR="002028E3" w:rsidRPr="0031019F">
        <w:rPr>
          <w:rFonts w:asciiTheme="majorBidi" w:hAnsiTheme="majorBidi" w:cstheme="majorBidi"/>
        </w:rPr>
        <w:t>Rīgas tiesas apgabala prokuratūras prokurors J. </w:t>
      </w:r>
      <w:proofErr w:type="spellStart"/>
      <w:r w:rsidR="002028E3" w:rsidRPr="0031019F">
        <w:rPr>
          <w:rFonts w:asciiTheme="majorBidi" w:hAnsiTheme="majorBidi" w:cstheme="majorBidi"/>
        </w:rPr>
        <w:t>Galejs</w:t>
      </w:r>
      <w:proofErr w:type="spellEnd"/>
      <w:r w:rsidR="002028E3" w:rsidRPr="0031019F">
        <w:rPr>
          <w:rFonts w:asciiTheme="majorBidi" w:hAnsiTheme="majorBidi" w:cstheme="majorBidi"/>
        </w:rPr>
        <w:t xml:space="preserve"> kasācijas protestā lūdz atcelt Rīgas apgabaltiesas 2023. gada 14. februāra spriedumu daļā par </w:t>
      </w:r>
      <w:r w:rsidR="00F016B4">
        <w:rPr>
          <w:rFonts w:asciiTheme="majorBidi" w:hAnsiTheme="majorBidi" w:cstheme="majorBidi"/>
        </w:rPr>
        <w:t>[pers. </w:t>
      </w:r>
      <w:r w:rsidR="00F016B4">
        <w:t>A]</w:t>
      </w:r>
      <w:r w:rsidR="002028E3" w:rsidRPr="0031019F">
        <w:rPr>
          <w:rFonts w:asciiTheme="majorBidi" w:hAnsiTheme="majorBidi" w:cstheme="majorBidi"/>
        </w:rPr>
        <w:t xml:space="preserve"> atzīšanu par nevainīgu </w:t>
      </w:r>
      <w:r w:rsidR="00FD5450" w:rsidRPr="0031019F">
        <w:rPr>
          <w:rFonts w:asciiTheme="majorBidi" w:hAnsiTheme="majorBidi" w:cstheme="majorBidi"/>
        </w:rPr>
        <w:t xml:space="preserve">apsūdzībā pēc Krimināllikuma 195. panta trešās daļas </w:t>
      </w:r>
      <w:r w:rsidR="002028E3" w:rsidRPr="0031019F">
        <w:rPr>
          <w:rFonts w:asciiTheme="majorBidi" w:hAnsiTheme="majorBidi" w:cstheme="majorBidi"/>
        </w:rPr>
        <w:t xml:space="preserve">un attaisnošanu un </w:t>
      </w:r>
      <w:bookmarkStart w:id="13" w:name="_Hlk143167428"/>
      <w:r w:rsidR="002028E3" w:rsidRPr="0031019F">
        <w:rPr>
          <w:rFonts w:asciiTheme="majorBidi" w:hAnsiTheme="majorBidi" w:cstheme="majorBidi"/>
        </w:rPr>
        <w:t xml:space="preserve">lietu </w:t>
      </w:r>
      <w:r w:rsidR="00901EF1" w:rsidRPr="0031019F">
        <w:rPr>
          <w:rFonts w:asciiTheme="majorBidi" w:hAnsiTheme="majorBidi" w:cstheme="majorBidi"/>
        </w:rPr>
        <w:t xml:space="preserve">šajā daļā </w:t>
      </w:r>
      <w:r w:rsidR="002028E3" w:rsidRPr="0031019F">
        <w:rPr>
          <w:rFonts w:asciiTheme="majorBidi" w:hAnsiTheme="majorBidi" w:cstheme="majorBidi"/>
        </w:rPr>
        <w:t>nosūtīt jaunai izskatīšanai apelācijas instances tiesā.</w:t>
      </w:r>
      <w:bookmarkEnd w:id="13"/>
    </w:p>
    <w:p w14:paraId="1C7728EE" w14:textId="0176D795" w:rsidR="00D35802" w:rsidRPr="00466FDE" w:rsidRDefault="00EF03BF" w:rsidP="00466FDE">
      <w:pPr>
        <w:spacing w:line="276" w:lineRule="auto"/>
        <w:ind w:firstLine="720"/>
        <w:jc w:val="both"/>
        <w:rPr>
          <w:rFonts w:asciiTheme="majorBidi" w:hAnsiTheme="majorBidi" w:cstheme="majorBidi"/>
        </w:rPr>
      </w:pPr>
      <w:r w:rsidRPr="00466FDE">
        <w:rPr>
          <w:rFonts w:asciiTheme="majorBidi" w:hAnsiTheme="majorBidi" w:cstheme="majorBidi"/>
        </w:rPr>
        <w:t xml:space="preserve">Kasācijas protests pamatots ar </w:t>
      </w:r>
      <w:r w:rsidR="00426729" w:rsidRPr="00466FDE">
        <w:rPr>
          <w:rFonts w:asciiTheme="majorBidi" w:hAnsiTheme="majorBidi" w:cstheme="majorBidi"/>
        </w:rPr>
        <w:t xml:space="preserve">turpmāk norādītajiem </w:t>
      </w:r>
      <w:r w:rsidRPr="00466FDE">
        <w:rPr>
          <w:rFonts w:asciiTheme="majorBidi" w:hAnsiTheme="majorBidi" w:cstheme="majorBidi"/>
        </w:rPr>
        <w:t>argumentiem.</w:t>
      </w:r>
    </w:p>
    <w:p w14:paraId="668E29AA" w14:textId="56C5F330" w:rsidR="008831F5" w:rsidRPr="00466FDE" w:rsidRDefault="001E1F57" w:rsidP="00F016B4">
      <w:pPr>
        <w:spacing w:line="276" w:lineRule="auto"/>
        <w:ind w:firstLine="720"/>
        <w:jc w:val="both"/>
        <w:rPr>
          <w:rFonts w:asciiTheme="majorBidi" w:hAnsiTheme="majorBidi" w:cstheme="majorBidi"/>
        </w:rPr>
      </w:pPr>
      <w:r w:rsidRPr="00466FDE">
        <w:rPr>
          <w:rFonts w:asciiTheme="majorBidi" w:hAnsiTheme="majorBidi" w:cstheme="majorBidi"/>
        </w:rPr>
        <w:t xml:space="preserve">Apelācijas instances tiesa </w:t>
      </w:r>
      <w:r w:rsidR="00664079" w:rsidRPr="00466FDE">
        <w:rPr>
          <w:rFonts w:asciiTheme="majorBidi" w:hAnsiTheme="majorBidi" w:cstheme="majorBidi"/>
        </w:rPr>
        <w:t xml:space="preserve">ir pieļāvusi Kriminālprocesa likuma 574. panta 2. punktā norādīto </w:t>
      </w:r>
      <w:r w:rsidR="003B695B" w:rsidRPr="00466FDE">
        <w:rPr>
          <w:rFonts w:asciiTheme="majorBidi" w:hAnsiTheme="majorBidi" w:cstheme="majorBidi"/>
        </w:rPr>
        <w:t xml:space="preserve">Krimināllikuma </w:t>
      </w:r>
      <w:r w:rsidR="00664079" w:rsidRPr="00466FDE">
        <w:rPr>
          <w:rFonts w:asciiTheme="majorBidi" w:hAnsiTheme="majorBidi" w:cstheme="majorBidi"/>
        </w:rPr>
        <w:t xml:space="preserve">pārkāpumu, </w:t>
      </w:r>
      <w:r w:rsidR="005D0722" w:rsidRPr="00466FDE">
        <w:rPr>
          <w:rFonts w:asciiTheme="majorBidi" w:hAnsiTheme="majorBidi" w:cstheme="majorBidi"/>
        </w:rPr>
        <w:t>izdar</w:t>
      </w:r>
      <w:r w:rsidR="00F64D59" w:rsidRPr="00466FDE">
        <w:rPr>
          <w:rFonts w:asciiTheme="majorBidi" w:hAnsiTheme="majorBidi" w:cstheme="majorBidi"/>
        </w:rPr>
        <w:t>ot</w:t>
      </w:r>
      <w:r w:rsidR="005D0722" w:rsidRPr="00466FDE">
        <w:rPr>
          <w:rFonts w:asciiTheme="majorBidi" w:hAnsiTheme="majorBidi" w:cstheme="majorBidi"/>
        </w:rPr>
        <w:t xml:space="preserve"> kļūdainu secinājumu, ka apsūdzētā </w:t>
      </w:r>
      <w:r w:rsidR="00F016B4">
        <w:rPr>
          <w:rFonts w:asciiTheme="majorBidi" w:hAnsiTheme="majorBidi" w:cstheme="majorBidi"/>
        </w:rPr>
        <w:t>[pers. </w:t>
      </w:r>
      <w:r w:rsidR="00F016B4">
        <w:t>A]</w:t>
      </w:r>
      <w:r w:rsidR="005D0722" w:rsidRPr="00466FDE">
        <w:rPr>
          <w:rFonts w:asciiTheme="majorBidi" w:hAnsiTheme="majorBidi" w:cstheme="majorBidi"/>
        </w:rPr>
        <w:t xml:space="preserve"> darbībās nav Krimināllikuma 195. panta trešajā daļā paredzētā noziedzīgā nodarījuma </w:t>
      </w:r>
      <w:r w:rsidR="0057699B" w:rsidRPr="00466FDE">
        <w:rPr>
          <w:rFonts w:asciiTheme="majorBidi" w:hAnsiTheme="majorBidi" w:cstheme="majorBidi"/>
        </w:rPr>
        <w:t>sastāva.</w:t>
      </w:r>
    </w:p>
    <w:p w14:paraId="119A5F22" w14:textId="5757CE2E" w:rsidR="005D0722" w:rsidRPr="00466FDE" w:rsidRDefault="0057699B" w:rsidP="00F016B4">
      <w:pPr>
        <w:spacing w:line="276" w:lineRule="auto"/>
        <w:ind w:firstLine="720"/>
        <w:jc w:val="both"/>
        <w:rPr>
          <w:rFonts w:asciiTheme="majorBidi" w:hAnsiTheme="majorBidi" w:cstheme="majorBidi"/>
        </w:rPr>
      </w:pPr>
      <w:r w:rsidRPr="00466FDE">
        <w:rPr>
          <w:rFonts w:asciiTheme="majorBidi" w:hAnsiTheme="majorBidi" w:cstheme="majorBidi"/>
        </w:rPr>
        <w:t>Tiesa</w:t>
      </w:r>
      <w:r w:rsidR="005D0722" w:rsidRPr="00466FDE">
        <w:rPr>
          <w:rFonts w:asciiTheme="majorBidi" w:hAnsiTheme="majorBidi" w:cstheme="majorBidi"/>
        </w:rPr>
        <w:t xml:space="preserve"> </w:t>
      </w:r>
      <w:r w:rsidR="00B03D96" w:rsidRPr="00466FDE">
        <w:rPr>
          <w:rFonts w:asciiTheme="majorBidi" w:hAnsiTheme="majorBidi" w:cstheme="majorBidi"/>
        </w:rPr>
        <w:t xml:space="preserve">kļūdaini </w:t>
      </w:r>
      <w:r w:rsidR="005D0722" w:rsidRPr="00466FDE">
        <w:rPr>
          <w:rFonts w:asciiTheme="majorBidi" w:hAnsiTheme="majorBidi" w:cstheme="majorBidi"/>
        </w:rPr>
        <w:t>at</w:t>
      </w:r>
      <w:r w:rsidR="00050514" w:rsidRPr="00466FDE">
        <w:rPr>
          <w:rFonts w:asciiTheme="majorBidi" w:hAnsiTheme="majorBidi" w:cstheme="majorBidi"/>
        </w:rPr>
        <w:t>zinusi, ka apsūdzībā norādītās darbīb</w:t>
      </w:r>
      <w:r w:rsidR="00F64D59" w:rsidRPr="00466FDE">
        <w:rPr>
          <w:rFonts w:asciiTheme="majorBidi" w:hAnsiTheme="majorBidi" w:cstheme="majorBidi"/>
        </w:rPr>
        <w:t>a</w:t>
      </w:r>
      <w:r w:rsidR="00050514" w:rsidRPr="00466FDE">
        <w:rPr>
          <w:rFonts w:asciiTheme="majorBidi" w:hAnsiTheme="majorBidi" w:cstheme="majorBidi"/>
        </w:rPr>
        <w:t>s</w:t>
      </w:r>
      <w:r w:rsidR="005D0722" w:rsidRPr="00466FDE">
        <w:rPr>
          <w:rFonts w:asciiTheme="majorBidi" w:hAnsiTheme="majorBidi" w:cstheme="majorBidi"/>
        </w:rPr>
        <w:t xml:space="preserve">, </w:t>
      </w:r>
      <w:r w:rsidR="00050514" w:rsidRPr="00466FDE">
        <w:rPr>
          <w:rFonts w:asciiTheme="majorBidi" w:hAnsiTheme="majorBidi" w:cstheme="majorBidi"/>
        </w:rPr>
        <w:t>tas ir</w:t>
      </w:r>
      <w:r w:rsidR="005D0722" w:rsidRPr="00466FDE">
        <w:rPr>
          <w:rFonts w:asciiTheme="majorBidi" w:hAnsiTheme="majorBidi" w:cstheme="majorBidi"/>
        </w:rPr>
        <w:t>, no valsts</w:t>
      </w:r>
      <w:r w:rsidR="00050514" w:rsidRPr="00466FDE">
        <w:rPr>
          <w:rFonts w:asciiTheme="majorBidi" w:hAnsiTheme="majorBidi" w:cstheme="majorBidi"/>
        </w:rPr>
        <w:t xml:space="preserve"> izkrāptās naudas pārskaitīšan</w:t>
      </w:r>
      <w:r w:rsidR="00F64D59" w:rsidRPr="00466FDE">
        <w:rPr>
          <w:rFonts w:asciiTheme="majorBidi" w:hAnsiTheme="majorBidi" w:cstheme="majorBidi"/>
        </w:rPr>
        <w:t>a</w:t>
      </w:r>
      <w:r w:rsidR="005D0722" w:rsidRPr="00466FDE">
        <w:rPr>
          <w:rFonts w:asciiTheme="majorBidi" w:hAnsiTheme="majorBidi" w:cstheme="majorBidi"/>
        </w:rPr>
        <w:t xml:space="preserve"> no </w:t>
      </w:r>
      <w:r w:rsidR="005D0722" w:rsidRPr="00466FDE">
        <w:rPr>
          <w:rFonts w:asciiTheme="majorBidi" w:hAnsiTheme="majorBidi" w:cstheme="majorBidi"/>
          <w:spacing w:val="-1"/>
          <w:lang w:eastAsia="lv-LV"/>
          <w14:ligatures w14:val="standardContextual"/>
        </w:rPr>
        <w:t>SIA </w:t>
      </w:r>
      <w:r w:rsidR="005D0722" w:rsidRPr="00466FDE">
        <w:rPr>
          <w:rFonts w:asciiTheme="majorBidi" w:hAnsiTheme="majorBidi" w:cstheme="majorBidi"/>
          <w:lang w:eastAsia="lv-LV"/>
          <w14:ligatures w14:val="standardContextual"/>
        </w:rPr>
        <w:t>„</w:t>
      </w:r>
      <w:r w:rsidR="00F016B4">
        <w:rPr>
          <w:rFonts w:asciiTheme="majorBidi" w:hAnsiTheme="majorBidi" w:cstheme="majorBidi"/>
          <w:lang w:eastAsia="lv-LV"/>
          <w14:ligatures w14:val="standardContextual"/>
        </w:rPr>
        <w:t>[Nosaukums A]</w:t>
      </w:r>
      <w:r w:rsidR="005D0722" w:rsidRPr="00466FDE">
        <w:rPr>
          <w:rFonts w:asciiTheme="majorBidi" w:hAnsiTheme="majorBidi" w:cstheme="majorBidi"/>
          <w:lang w:eastAsia="lv-LV"/>
          <w14:ligatures w14:val="standardContextual"/>
        </w:rPr>
        <w:t>”</w:t>
      </w:r>
      <w:r w:rsidR="009F7206" w:rsidRPr="00466FDE">
        <w:rPr>
          <w:rFonts w:asciiTheme="majorBidi" w:hAnsiTheme="majorBidi" w:cstheme="majorBidi"/>
          <w:lang w:eastAsia="lv-LV"/>
          <w14:ligatures w14:val="standardContextual"/>
        </w:rPr>
        <w:t xml:space="preserve"> konta</w:t>
      </w:r>
      <w:r w:rsidR="005D0722" w:rsidRPr="00466FDE">
        <w:rPr>
          <w:rFonts w:asciiTheme="majorBidi" w:hAnsiTheme="majorBidi" w:cstheme="majorBidi"/>
          <w:lang w:eastAsia="lv-LV"/>
          <w14:ligatures w14:val="standardContextual"/>
        </w:rPr>
        <w:t xml:space="preserve"> </w:t>
      </w:r>
      <w:r w:rsidR="005D0722" w:rsidRPr="00466FDE">
        <w:rPr>
          <w:rFonts w:asciiTheme="majorBidi" w:hAnsiTheme="majorBidi" w:cstheme="majorBidi"/>
        </w:rPr>
        <w:t>uz SIA</w:t>
      </w:r>
      <w:r w:rsidR="005D0722" w:rsidRPr="00466FDE">
        <w:rPr>
          <w:rFonts w:asciiTheme="majorBidi" w:hAnsiTheme="majorBidi" w:cstheme="majorBidi"/>
          <w:lang w:eastAsia="lv-LV"/>
          <w14:ligatures w14:val="standardContextual"/>
        </w:rPr>
        <w:t> „</w:t>
      </w:r>
      <w:r w:rsidR="00F016B4">
        <w:rPr>
          <w:rFonts w:asciiTheme="majorBidi" w:hAnsiTheme="majorBidi" w:cstheme="majorBidi"/>
        </w:rPr>
        <w:t>[Nosaukums B]</w:t>
      </w:r>
      <w:r w:rsidR="005D0722" w:rsidRPr="00466FDE">
        <w:rPr>
          <w:rFonts w:asciiTheme="majorBidi" w:hAnsiTheme="majorBidi" w:cstheme="majorBidi"/>
        </w:rPr>
        <w:t>”</w:t>
      </w:r>
      <w:r w:rsidR="009F7206" w:rsidRPr="00466FDE">
        <w:rPr>
          <w:rFonts w:asciiTheme="majorBidi" w:hAnsiTheme="majorBidi" w:cstheme="majorBidi"/>
        </w:rPr>
        <w:t xml:space="preserve"> kontu</w:t>
      </w:r>
      <w:r w:rsidR="005D0722" w:rsidRPr="00466FDE">
        <w:rPr>
          <w:rFonts w:asciiTheme="majorBidi" w:hAnsiTheme="majorBidi" w:cstheme="majorBidi"/>
        </w:rPr>
        <w:t xml:space="preserve">, maksājuma mērķī norādot fiktīvus darījumus, nav </w:t>
      </w:r>
      <w:r w:rsidR="00F64D59" w:rsidRPr="00466FDE">
        <w:rPr>
          <w:rFonts w:asciiTheme="majorBidi" w:hAnsiTheme="majorBidi" w:cstheme="majorBidi"/>
        </w:rPr>
        <w:t xml:space="preserve">veiktas </w:t>
      </w:r>
      <w:r w:rsidR="005D0722" w:rsidRPr="00466FDE">
        <w:rPr>
          <w:rFonts w:asciiTheme="majorBidi" w:hAnsiTheme="majorBidi" w:cstheme="majorBidi"/>
        </w:rPr>
        <w:t>nolūk</w:t>
      </w:r>
      <w:r w:rsidR="00F64D59" w:rsidRPr="00466FDE">
        <w:rPr>
          <w:rFonts w:asciiTheme="majorBidi" w:hAnsiTheme="majorBidi" w:cstheme="majorBidi"/>
        </w:rPr>
        <w:t>ā</w:t>
      </w:r>
      <w:r w:rsidR="005D0722" w:rsidRPr="00466FDE">
        <w:rPr>
          <w:rFonts w:asciiTheme="majorBidi" w:hAnsiTheme="majorBidi" w:cstheme="majorBidi"/>
        </w:rPr>
        <w:t xml:space="preserve"> slēpt vai maskēt līdzekļu noziedzīgo izcelsmi. Tiesa nepamatoti atzinusi, ka minētās </w:t>
      </w:r>
      <w:r w:rsidR="00F016B4">
        <w:rPr>
          <w:rFonts w:asciiTheme="majorBidi" w:hAnsiTheme="majorBidi" w:cstheme="majorBidi"/>
        </w:rPr>
        <w:t>[pers. </w:t>
      </w:r>
      <w:r w:rsidR="00F016B4">
        <w:t>A]</w:t>
      </w:r>
      <w:r w:rsidR="005D0722" w:rsidRPr="00466FDE">
        <w:rPr>
          <w:rFonts w:asciiTheme="majorBidi" w:hAnsiTheme="majorBidi" w:cstheme="majorBidi"/>
        </w:rPr>
        <w:t xml:space="preserve"> darbības ir veiktas</w:t>
      </w:r>
      <w:r w:rsidR="004529C9" w:rsidRPr="00466FDE">
        <w:rPr>
          <w:rFonts w:asciiTheme="majorBidi" w:hAnsiTheme="majorBidi" w:cstheme="majorBidi"/>
        </w:rPr>
        <w:t xml:space="preserve"> nolūkā slēpt</w:t>
      </w:r>
      <w:r w:rsidR="005D0722" w:rsidRPr="00466FDE">
        <w:rPr>
          <w:rFonts w:asciiTheme="majorBidi" w:hAnsiTheme="majorBidi" w:cstheme="majorBidi"/>
        </w:rPr>
        <w:t xml:space="preserve"> krāpšanu vai </w:t>
      </w:r>
      <w:r w:rsidR="002377D6" w:rsidRPr="00466FDE">
        <w:rPr>
          <w:rFonts w:asciiTheme="majorBidi" w:hAnsiTheme="majorBidi" w:cstheme="majorBidi"/>
        </w:rPr>
        <w:t xml:space="preserve">rīkoties ar </w:t>
      </w:r>
      <w:r w:rsidR="007C75F5" w:rsidRPr="00466FDE">
        <w:rPr>
          <w:rFonts w:asciiTheme="majorBidi" w:hAnsiTheme="majorBidi" w:cstheme="majorBidi"/>
        </w:rPr>
        <w:t>iz</w:t>
      </w:r>
      <w:r w:rsidR="005D0722" w:rsidRPr="00466FDE">
        <w:rPr>
          <w:rFonts w:asciiTheme="majorBidi" w:hAnsiTheme="majorBidi" w:cstheme="majorBidi"/>
        </w:rPr>
        <w:t>krāp</w:t>
      </w:r>
      <w:r w:rsidR="007C75F5" w:rsidRPr="00466FDE">
        <w:rPr>
          <w:rFonts w:asciiTheme="majorBidi" w:hAnsiTheme="majorBidi" w:cstheme="majorBidi"/>
        </w:rPr>
        <w:t>t</w:t>
      </w:r>
      <w:r w:rsidR="002377D6" w:rsidRPr="00466FDE">
        <w:rPr>
          <w:rFonts w:asciiTheme="majorBidi" w:hAnsiTheme="majorBidi" w:cstheme="majorBidi"/>
        </w:rPr>
        <w:t>ajiem</w:t>
      </w:r>
      <w:r w:rsidR="005D0722" w:rsidRPr="00466FDE">
        <w:rPr>
          <w:rFonts w:asciiTheme="majorBidi" w:hAnsiTheme="majorBidi" w:cstheme="majorBidi"/>
        </w:rPr>
        <w:t xml:space="preserve"> līdzekļ</w:t>
      </w:r>
      <w:r w:rsidR="002377D6" w:rsidRPr="00466FDE">
        <w:rPr>
          <w:rFonts w:asciiTheme="majorBidi" w:hAnsiTheme="majorBidi" w:cstheme="majorBidi"/>
        </w:rPr>
        <w:t>iem</w:t>
      </w:r>
      <w:r w:rsidR="005D0722" w:rsidRPr="00466FDE">
        <w:rPr>
          <w:rFonts w:asciiTheme="majorBidi" w:hAnsiTheme="majorBidi" w:cstheme="majorBidi"/>
        </w:rPr>
        <w:t>.</w:t>
      </w:r>
      <w:r w:rsidR="00F64D59" w:rsidRPr="00466FDE">
        <w:rPr>
          <w:rFonts w:asciiTheme="majorBidi" w:hAnsiTheme="majorBidi" w:cstheme="majorBidi"/>
        </w:rPr>
        <w:t xml:space="preserve"> Tiesa</w:t>
      </w:r>
      <w:r w:rsidR="00B03D96" w:rsidRPr="00466FDE">
        <w:rPr>
          <w:rFonts w:asciiTheme="majorBidi" w:hAnsiTheme="majorBidi" w:cstheme="majorBidi"/>
        </w:rPr>
        <w:t>s</w:t>
      </w:r>
      <w:r w:rsidR="00F64D59" w:rsidRPr="00466FDE">
        <w:rPr>
          <w:rFonts w:asciiTheme="majorBidi" w:hAnsiTheme="majorBidi" w:cstheme="majorBidi"/>
        </w:rPr>
        <w:t xml:space="preserve"> atzinumi ir pretēji </w:t>
      </w:r>
      <w:r w:rsidR="005D0722" w:rsidRPr="00466FDE">
        <w:rPr>
          <w:rFonts w:asciiTheme="majorBidi" w:hAnsiTheme="majorBidi" w:cstheme="majorBidi"/>
        </w:rPr>
        <w:t>Senāt</w:t>
      </w:r>
      <w:r w:rsidR="00F64D59" w:rsidRPr="00466FDE">
        <w:rPr>
          <w:rFonts w:asciiTheme="majorBidi" w:hAnsiTheme="majorBidi" w:cstheme="majorBidi"/>
        </w:rPr>
        <w:t>a</w:t>
      </w:r>
      <w:r w:rsidR="005D0722" w:rsidRPr="00466FDE">
        <w:rPr>
          <w:rFonts w:asciiTheme="majorBidi" w:hAnsiTheme="majorBidi" w:cstheme="majorBidi"/>
        </w:rPr>
        <w:t xml:space="preserve"> 2023. gada 1. februāra lēmumā lietā Nr. SKK</w:t>
      </w:r>
      <w:r w:rsidR="00B03D96" w:rsidRPr="00466FDE">
        <w:rPr>
          <w:rFonts w:asciiTheme="majorBidi" w:hAnsiTheme="majorBidi" w:cstheme="majorBidi"/>
        </w:rPr>
        <w:noBreakHyphen/>
      </w:r>
      <w:r w:rsidR="005D0722" w:rsidRPr="00466FDE">
        <w:rPr>
          <w:rFonts w:asciiTheme="majorBidi" w:hAnsiTheme="majorBidi" w:cstheme="majorBidi"/>
        </w:rPr>
        <w:t xml:space="preserve">1/2023 </w:t>
      </w:r>
      <w:r w:rsidR="00F64D59" w:rsidRPr="00466FDE">
        <w:rPr>
          <w:rFonts w:asciiTheme="majorBidi" w:hAnsiTheme="majorBidi" w:cstheme="majorBidi"/>
        </w:rPr>
        <w:t>paustajam</w:t>
      </w:r>
      <w:r w:rsidR="005D0722" w:rsidRPr="00466FDE">
        <w:rPr>
          <w:rFonts w:asciiTheme="majorBidi" w:hAnsiTheme="majorBidi" w:cstheme="majorBidi"/>
        </w:rPr>
        <w:t>, ka uz deklarēto fiktīvo darījumu pamata veiktie pārskaitījumi veido Krimināllikuma 195. pantā paredzētā noziedzīgā nodarījuma sastāva objektīvo pusi.</w:t>
      </w:r>
      <w:r w:rsidR="00F64D59" w:rsidRPr="00466FDE">
        <w:rPr>
          <w:rFonts w:asciiTheme="majorBidi" w:hAnsiTheme="majorBidi" w:cstheme="majorBidi"/>
        </w:rPr>
        <w:t xml:space="preserve"> Turklāt</w:t>
      </w:r>
      <w:r w:rsidRPr="00466FDE">
        <w:rPr>
          <w:rFonts w:asciiTheme="majorBidi" w:hAnsiTheme="majorBidi" w:cstheme="majorBidi"/>
        </w:rPr>
        <w:t xml:space="preserve"> </w:t>
      </w:r>
      <w:r w:rsidR="005D0722" w:rsidRPr="00466FDE">
        <w:rPr>
          <w:rFonts w:asciiTheme="majorBidi" w:hAnsiTheme="majorBidi" w:cstheme="majorBidi"/>
        </w:rPr>
        <w:t>Senāts 2021. gada 15. decembra lēmumā lietā Nr. SKK</w:t>
      </w:r>
      <w:r w:rsidR="00B03D96" w:rsidRPr="00466FDE">
        <w:rPr>
          <w:rFonts w:asciiTheme="majorBidi" w:hAnsiTheme="majorBidi" w:cstheme="majorBidi"/>
        </w:rPr>
        <w:noBreakHyphen/>
      </w:r>
      <w:r w:rsidR="005D0722" w:rsidRPr="00466FDE">
        <w:rPr>
          <w:rFonts w:asciiTheme="majorBidi" w:hAnsiTheme="majorBidi" w:cstheme="majorBidi"/>
        </w:rPr>
        <w:t>153/2021 ir norādījis, ka Krimināllikuma 195. panta trešajā daļā paredzētā noziedzīgā nodarījuma subjektīvā puse ir konstatējama, ja pārskaitījumu mērķis bijis radīt noziedzīgā nodarījumā neiesaistītām personām, tai skaitā Valsts ieņēmumu dienestam un bankām, maldīgu priekšstatu, ka šie darījumi ir faktiski notikuši un ka legalizējamie naudas līdzekļi iegūti tiesiski.</w:t>
      </w:r>
    </w:p>
    <w:p w14:paraId="41ED6653" w14:textId="61A55486" w:rsidR="00D35802" w:rsidRPr="00466FDE" w:rsidRDefault="005D0722" w:rsidP="00F016B4">
      <w:pPr>
        <w:spacing w:line="276" w:lineRule="auto"/>
        <w:ind w:firstLine="720"/>
        <w:jc w:val="both"/>
        <w:rPr>
          <w:rFonts w:asciiTheme="majorBidi" w:hAnsiTheme="majorBidi" w:cstheme="majorBidi"/>
        </w:rPr>
      </w:pPr>
      <w:r w:rsidRPr="00466FDE">
        <w:rPr>
          <w:rFonts w:asciiTheme="majorBidi" w:hAnsiTheme="majorBidi" w:cstheme="majorBidi"/>
        </w:rPr>
        <w:t>Pretēji apelācijas instances tiesas konstatētajam no valsts</w:t>
      </w:r>
      <w:r w:rsidR="00843CE7" w:rsidRPr="00466FDE">
        <w:rPr>
          <w:rFonts w:asciiTheme="majorBidi" w:hAnsiTheme="majorBidi" w:cstheme="majorBidi"/>
        </w:rPr>
        <w:t xml:space="preserve"> izkrāptās naudas pārskaitīšana </w:t>
      </w:r>
      <w:r w:rsidRPr="00466FDE">
        <w:rPr>
          <w:rFonts w:asciiTheme="majorBidi" w:hAnsiTheme="majorBidi" w:cstheme="majorBidi"/>
        </w:rPr>
        <w:t xml:space="preserve">par fiktīviem darījumiem rada maldīgu priekšstatu, ka nauda ir iegūta likumīgi, tiesisku darījumu rezultātā. </w:t>
      </w:r>
      <w:r w:rsidR="00F016B4">
        <w:rPr>
          <w:rFonts w:asciiTheme="majorBidi" w:hAnsiTheme="majorBidi" w:cstheme="majorBidi"/>
        </w:rPr>
        <w:t>[Pers. </w:t>
      </w:r>
      <w:r w:rsidR="00F016B4">
        <w:t>A]</w:t>
      </w:r>
      <w:r w:rsidRPr="00466FDE">
        <w:rPr>
          <w:rFonts w:asciiTheme="majorBidi" w:hAnsiTheme="majorBidi" w:cstheme="majorBidi"/>
        </w:rPr>
        <w:t xml:space="preserve"> darbības atbilst Noziedzīgi iegūtu līdzekļu </w:t>
      </w:r>
      <w:r w:rsidR="00A51EDB" w:rsidRPr="00466FDE">
        <w:rPr>
          <w:rFonts w:asciiTheme="majorBidi" w:hAnsiTheme="majorBidi" w:cstheme="majorBidi"/>
        </w:rPr>
        <w:t xml:space="preserve">legalizācijas </w:t>
      </w:r>
      <w:r w:rsidRPr="00466FDE">
        <w:rPr>
          <w:rFonts w:asciiTheme="majorBidi" w:hAnsiTheme="majorBidi" w:cstheme="majorBidi"/>
        </w:rPr>
        <w:t>un terorisma un proliferācijas finansēšanas novēršanas likuma 5. panta pirmās daļas 1. punktā noteiktajam. Šādas darbības nav Krimināllikuma 177. panta trešajā daļā paredzētā noziedzīgā nodarījuma sastāva pazīme, par tām atbildība</w:t>
      </w:r>
      <w:r w:rsidR="00F64D59" w:rsidRPr="00466FDE">
        <w:rPr>
          <w:rFonts w:asciiTheme="majorBidi" w:hAnsiTheme="majorBidi" w:cstheme="majorBidi"/>
        </w:rPr>
        <w:t xml:space="preserve"> paredzēta</w:t>
      </w:r>
      <w:r w:rsidRPr="00466FDE">
        <w:rPr>
          <w:rFonts w:asciiTheme="majorBidi" w:hAnsiTheme="majorBidi" w:cstheme="majorBidi"/>
        </w:rPr>
        <w:t xml:space="preserve"> Krimināllikuma 195. panta trešajā daļā.</w:t>
      </w:r>
    </w:p>
    <w:p w14:paraId="5330FC5F" w14:textId="49CD3BEA" w:rsidR="00D35802" w:rsidRPr="00466FDE" w:rsidRDefault="0093656A" w:rsidP="00F016B4">
      <w:pPr>
        <w:spacing w:line="276" w:lineRule="auto"/>
        <w:ind w:firstLine="720"/>
        <w:jc w:val="both"/>
        <w:rPr>
          <w:rFonts w:asciiTheme="majorBidi" w:hAnsiTheme="majorBidi" w:cstheme="majorBidi"/>
        </w:rPr>
      </w:pPr>
      <w:r w:rsidRPr="00466FDE">
        <w:rPr>
          <w:rFonts w:asciiTheme="majorBidi" w:hAnsiTheme="majorBidi" w:cstheme="majorBidi"/>
        </w:rPr>
        <w:t>[</w:t>
      </w:r>
      <w:r w:rsidR="00FD5450" w:rsidRPr="00466FDE">
        <w:rPr>
          <w:rFonts w:asciiTheme="majorBidi" w:hAnsiTheme="majorBidi" w:cstheme="majorBidi"/>
        </w:rPr>
        <w:t>4.2</w:t>
      </w:r>
      <w:r w:rsidRPr="00466FDE">
        <w:rPr>
          <w:rFonts w:asciiTheme="majorBidi" w:hAnsiTheme="majorBidi" w:cstheme="majorBidi"/>
        </w:rPr>
        <w:t>] </w:t>
      </w:r>
      <w:r w:rsidR="00EF03BF" w:rsidRPr="00466FDE">
        <w:rPr>
          <w:rFonts w:asciiTheme="majorBidi" w:hAnsiTheme="majorBidi" w:cstheme="majorBidi"/>
        </w:rPr>
        <w:t>Apsūdzētai</w:t>
      </w:r>
      <w:r w:rsidR="00704F4F" w:rsidRPr="00466FDE">
        <w:rPr>
          <w:rFonts w:asciiTheme="majorBidi" w:hAnsiTheme="majorBidi" w:cstheme="majorBidi"/>
        </w:rPr>
        <w:t>s</w:t>
      </w:r>
      <w:r w:rsidR="00EF03BF" w:rsidRPr="00466FDE">
        <w:rPr>
          <w:rFonts w:asciiTheme="majorBidi" w:hAnsiTheme="majorBidi" w:cstheme="majorBidi"/>
        </w:rPr>
        <w:t xml:space="preserve"> </w:t>
      </w:r>
      <w:r w:rsidR="00F016B4">
        <w:rPr>
          <w:rFonts w:asciiTheme="majorBidi" w:hAnsiTheme="majorBidi" w:cstheme="majorBidi"/>
        </w:rPr>
        <w:t>[pers. </w:t>
      </w:r>
      <w:r w:rsidR="00F016B4">
        <w:t>A]</w:t>
      </w:r>
      <w:r w:rsidR="00EF03BF" w:rsidRPr="00466FDE">
        <w:rPr>
          <w:rFonts w:asciiTheme="majorBidi" w:hAnsiTheme="majorBidi" w:cstheme="majorBidi"/>
        </w:rPr>
        <w:t xml:space="preserve"> kasācijas sūdzībā lūdz atcelt Rīgas apgabaltiesas 2023. gada 14. februāra spriedumu un lietu nosūtīt jaunai izskatīšanai.</w:t>
      </w:r>
    </w:p>
    <w:p w14:paraId="0F160CE0" w14:textId="3B93D159" w:rsidR="009808E7" w:rsidRPr="00466FDE" w:rsidRDefault="009712CC" w:rsidP="00466FDE">
      <w:pPr>
        <w:spacing w:line="276" w:lineRule="auto"/>
        <w:ind w:firstLine="720"/>
        <w:jc w:val="both"/>
        <w:rPr>
          <w:rFonts w:asciiTheme="majorBidi" w:hAnsiTheme="majorBidi" w:cstheme="majorBidi"/>
        </w:rPr>
      </w:pPr>
      <w:r w:rsidRPr="00466FDE">
        <w:rPr>
          <w:rFonts w:asciiTheme="majorBidi" w:hAnsiTheme="majorBidi" w:cstheme="majorBidi"/>
        </w:rPr>
        <w:t>Apsūdzētais norādījis, ka s</w:t>
      </w:r>
      <w:r w:rsidR="009167B3" w:rsidRPr="00466FDE">
        <w:rPr>
          <w:rFonts w:asciiTheme="majorBidi" w:hAnsiTheme="majorBidi" w:cstheme="majorBidi"/>
        </w:rPr>
        <w:t xml:space="preserve">priedums nav tiesisks un pamatots, lietā nav iegūti pierādījumi </w:t>
      </w:r>
      <w:r w:rsidR="00F016B4">
        <w:rPr>
          <w:rFonts w:asciiTheme="majorBidi" w:hAnsiTheme="majorBidi" w:cstheme="majorBidi"/>
        </w:rPr>
        <w:t>[pers. A]</w:t>
      </w:r>
      <w:r w:rsidR="009167B3" w:rsidRPr="00466FDE">
        <w:rPr>
          <w:rFonts w:asciiTheme="majorBidi" w:hAnsiTheme="majorBidi" w:cstheme="majorBidi"/>
        </w:rPr>
        <w:t xml:space="preserve"> atzī</w:t>
      </w:r>
      <w:r w:rsidR="0096509D" w:rsidRPr="00466FDE">
        <w:rPr>
          <w:rFonts w:asciiTheme="majorBidi" w:hAnsiTheme="majorBidi" w:cstheme="majorBidi"/>
        </w:rPr>
        <w:t>šanai</w:t>
      </w:r>
      <w:r w:rsidR="009167B3" w:rsidRPr="00466FDE">
        <w:rPr>
          <w:rFonts w:asciiTheme="majorBidi" w:hAnsiTheme="majorBidi" w:cstheme="majorBidi"/>
        </w:rPr>
        <w:t xml:space="preserve"> par vainīgu sevišķi smaga nozieguma izdarīšanā. </w:t>
      </w:r>
      <w:r w:rsidR="00EF03BF" w:rsidRPr="00466FDE">
        <w:rPr>
          <w:rFonts w:asciiTheme="majorBidi" w:hAnsiTheme="majorBidi" w:cstheme="majorBidi"/>
        </w:rPr>
        <w:lastRenderedPageBreak/>
        <w:t xml:space="preserve">Apelācijas instances tiesa </w:t>
      </w:r>
      <w:r w:rsidR="00457726" w:rsidRPr="00466FDE">
        <w:rPr>
          <w:rFonts w:asciiTheme="majorBidi" w:hAnsiTheme="majorBidi" w:cstheme="majorBidi"/>
        </w:rPr>
        <w:t xml:space="preserve">nav ievērojusi Kriminālprocesa likuma 15. pantu, </w:t>
      </w:r>
      <w:r w:rsidR="0016163D" w:rsidRPr="00466FDE">
        <w:rPr>
          <w:rFonts w:asciiTheme="majorBidi" w:hAnsiTheme="majorBidi" w:cstheme="majorBidi"/>
        </w:rPr>
        <w:t xml:space="preserve">19. panta trešo daļu, 126. panta otro daļu. 127. panta otro daļu, 128. panta pirmo, otro un trešo daļu, 511. panta otro daļu. Turklāt apelācijas instances tiesa pārkāpusi </w:t>
      </w:r>
      <w:bookmarkStart w:id="14" w:name="_Hlk162969424"/>
      <w:r w:rsidR="0016163D" w:rsidRPr="00466FDE">
        <w:rPr>
          <w:rFonts w:asciiTheme="majorBidi" w:hAnsiTheme="majorBidi" w:cstheme="majorBidi"/>
        </w:rPr>
        <w:t xml:space="preserve">Krimināllikuma </w:t>
      </w:r>
      <w:bookmarkEnd w:id="14"/>
      <w:r w:rsidR="0016163D" w:rsidRPr="00466FDE">
        <w:rPr>
          <w:rFonts w:asciiTheme="majorBidi" w:hAnsiTheme="majorBidi" w:cstheme="majorBidi"/>
        </w:rPr>
        <w:t xml:space="preserve">1. pantu, kā arī Krimināllikuma 46. pantu, nosakot </w:t>
      </w:r>
      <w:r w:rsidR="007B55A3">
        <w:rPr>
          <w:rFonts w:asciiTheme="majorBidi" w:hAnsiTheme="majorBidi" w:cstheme="majorBidi"/>
        </w:rPr>
        <w:t>[pers. A]</w:t>
      </w:r>
      <w:r w:rsidR="0016163D" w:rsidRPr="00466FDE">
        <w:rPr>
          <w:rFonts w:asciiTheme="majorBidi" w:hAnsiTheme="majorBidi" w:cstheme="majorBidi"/>
        </w:rPr>
        <w:t xml:space="preserve"> pārāk bargu brīvības atņemšanas sodu.</w:t>
      </w:r>
    </w:p>
    <w:p w14:paraId="692288A6" w14:textId="77777777" w:rsidR="003E6A2D" w:rsidRPr="00466FDE" w:rsidRDefault="003E6A2D" w:rsidP="00466FDE">
      <w:pPr>
        <w:spacing w:line="276" w:lineRule="auto"/>
        <w:ind w:firstLine="720"/>
        <w:jc w:val="both"/>
        <w:rPr>
          <w:rFonts w:asciiTheme="majorBidi" w:hAnsiTheme="majorBidi" w:cstheme="majorBidi"/>
        </w:rPr>
      </w:pPr>
    </w:p>
    <w:p w14:paraId="1028B308" w14:textId="77777777" w:rsidR="00B14970" w:rsidRPr="00466FDE" w:rsidRDefault="00B14970" w:rsidP="00466FDE">
      <w:pPr>
        <w:spacing w:line="276" w:lineRule="auto"/>
        <w:jc w:val="center"/>
        <w:rPr>
          <w:rFonts w:asciiTheme="majorBidi" w:hAnsiTheme="majorBidi" w:cstheme="majorBidi"/>
          <w:b/>
        </w:rPr>
      </w:pPr>
      <w:r w:rsidRPr="00466FDE">
        <w:rPr>
          <w:rFonts w:asciiTheme="majorBidi" w:hAnsiTheme="majorBidi" w:cstheme="majorBidi"/>
          <w:b/>
        </w:rPr>
        <w:t>Motīvu daļa</w:t>
      </w:r>
    </w:p>
    <w:p w14:paraId="0468E5AB" w14:textId="77777777" w:rsidR="00B14970" w:rsidRPr="00466FDE" w:rsidRDefault="00B14970" w:rsidP="00466FDE">
      <w:pPr>
        <w:spacing w:line="276" w:lineRule="auto"/>
        <w:ind w:firstLine="720"/>
        <w:rPr>
          <w:rFonts w:asciiTheme="majorBidi" w:hAnsiTheme="majorBidi" w:cstheme="majorBidi"/>
        </w:rPr>
      </w:pPr>
    </w:p>
    <w:p w14:paraId="473F8798" w14:textId="62A1EBBE"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w:t>
      </w:r>
      <w:r w:rsidR="002377D6" w:rsidRPr="00466FDE">
        <w:rPr>
          <w:rFonts w:asciiTheme="majorBidi" w:hAnsiTheme="majorBidi" w:cstheme="majorBidi"/>
        </w:rPr>
        <w:t>5</w:t>
      </w:r>
      <w:r w:rsidRPr="00466FDE">
        <w:rPr>
          <w:rFonts w:asciiTheme="majorBidi" w:hAnsiTheme="majorBidi" w:cstheme="majorBidi"/>
        </w:rPr>
        <w:t>] Senāt</w:t>
      </w:r>
      <w:r w:rsidR="00AB1EBC" w:rsidRPr="00466FDE">
        <w:rPr>
          <w:rFonts w:asciiTheme="majorBidi" w:hAnsiTheme="majorBidi" w:cstheme="majorBidi"/>
        </w:rPr>
        <w:t>am vispirms ir jāsniedz atbilde uz jautājumu</w:t>
      </w:r>
      <w:r w:rsidRPr="00466FDE">
        <w:rPr>
          <w:rFonts w:asciiTheme="majorBidi" w:hAnsiTheme="majorBidi" w:cstheme="majorBidi"/>
        </w:rPr>
        <w:t>, vai apelācijas instances tiesa</w:t>
      </w:r>
      <w:r w:rsidR="002377D6" w:rsidRPr="00466FDE">
        <w:rPr>
          <w:rFonts w:asciiTheme="majorBidi" w:hAnsiTheme="majorBidi" w:cstheme="majorBidi"/>
        </w:rPr>
        <w:t>, kvalificējot noziedzīgo nodarījumu, pareizi piemērojusi</w:t>
      </w:r>
      <w:r w:rsidR="00FD5450" w:rsidRPr="00466FDE">
        <w:rPr>
          <w:rFonts w:asciiTheme="majorBidi" w:hAnsiTheme="majorBidi" w:cstheme="majorBidi"/>
        </w:rPr>
        <w:t xml:space="preserve"> Krimināllikuma 195. panta treš</w:t>
      </w:r>
      <w:r w:rsidR="002377D6" w:rsidRPr="00466FDE">
        <w:rPr>
          <w:rFonts w:asciiTheme="majorBidi" w:hAnsiTheme="majorBidi" w:cstheme="majorBidi"/>
        </w:rPr>
        <w:t>o</w:t>
      </w:r>
      <w:r w:rsidR="00FD5450" w:rsidRPr="00466FDE">
        <w:rPr>
          <w:rFonts w:asciiTheme="majorBidi" w:hAnsiTheme="majorBidi" w:cstheme="majorBidi"/>
        </w:rPr>
        <w:t xml:space="preserve"> daļ</w:t>
      </w:r>
      <w:r w:rsidR="002377D6" w:rsidRPr="00466FDE">
        <w:rPr>
          <w:rFonts w:asciiTheme="majorBidi" w:hAnsiTheme="majorBidi" w:cstheme="majorBidi"/>
        </w:rPr>
        <w:t>u.</w:t>
      </w:r>
    </w:p>
    <w:p w14:paraId="6B41AE14" w14:textId="2948F82B" w:rsidR="00B14970" w:rsidRPr="00466FDE" w:rsidRDefault="00B14970" w:rsidP="00466FDE">
      <w:pPr>
        <w:spacing w:line="276" w:lineRule="auto"/>
        <w:ind w:firstLine="720"/>
        <w:jc w:val="both"/>
        <w:rPr>
          <w:rStyle w:val="Hyperlink"/>
          <w:rFonts w:asciiTheme="majorBidi" w:hAnsiTheme="majorBidi" w:cstheme="majorBidi"/>
          <w:color w:val="auto"/>
          <w:u w:val="none"/>
        </w:rPr>
      </w:pPr>
      <w:r w:rsidRPr="00466FDE">
        <w:rPr>
          <w:rFonts w:asciiTheme="majorBidi" w:hAnsiTheme="majorBidi" w:cstheme="majorBidi"/>
        </w:rPr>
        <w:t>[</w:t>
      </w:r>
      <w:r w:rsidR="002377D6" w:rsidRPr="00466FDE">
        <w:rPr>
          <w:rFonts w:asciiTheme="majorBidi" w:hAnsiTheme="majorBidi" w:cstheme="majorBidi"/>
        </w:rPr>
        <w:t>5</w:t>
      </w:r>
      <w:r w:rsidRPr="00466FDE">
        <w:rPr>
          <w:rFonts w:asciiTheme="majorBidi" w:hAnsiTheme="majorBidi" w:cstheme="majorBidi"/>
        </w:rPr>
        <w:t>.1]</w:t>
      </w:r>
      <w:r w:rsidR="00B32158" w:rsidRPr="00466FDE">
        <w:rPr>
          <w:rFonts w:asciiTheme="majorBidi" w:hAnsiTheme="majorBidi" w:cstheme="majorBidi"/>
        </w:rPr>
        <w:t> </w:t>
      </w:r>
      <w:bookmarkStart w:id="15" w:name="_Hlk162969601"/>
      <w:r w:rsidR="0016163D" w:rsidRPr="00466FDE">
        <w:rPr>
          <w:rStyle w:val="Hyperlink"/>
          <w:rFonts w:asciiTheme="majorBidi" w:hAnsiTheme="majorBidi" w:cstheme="majorBidi"/>
          <w:color w:val="auto"/>
          <w:u w:val="none"/>
          <w:shd w:val="clear" w:color="auto" w:fill="FFFFFF"/>
        </w:rPr>
        <w:t>Krimināllikuma 195. panta trešajā daļā paredzēta kriminālatbildība par noziedzīgi iegūtu finanšu līdzekļu vai citas mantas legalizēšanu lielā apmērā.</w:t>
      </w:r>
      <w:bookmarkEnd w:id="15"/>
    </w:p>
    <w:p w14:paraId="51C029A1" w14:textId="62D1B41C" w:rsidR="00B14970" w:rsidRPr="00466FDE" w:rsidRDefault="00B14970" w:rsidP="00466FDE">
      <w:pPr>
        <w:spacing w:line="276" w:lineRule="auto"/>
        <w:ind w:firstLine="720"/>
        <w:jc w:val="both"/>
        <w:rPr>
          <w:rStyle w:val="Hyperlink"/>
          <w:rFonts w:asciiTheme="majorBidi" w:hAnsiTheme="majorBidi" w:cstheme="majorBidi"/>
          <w:color w:val="auto"/>
          <w:u w:val="none"/>
        </w:rPr>
      </w:pPr>
      <w:r w:rsidRPr="00466FDE">
        <w:rPr>
          <w:rStyle w:val="Hyperlink"/>
          <w:rFonts w:asciiTheme="majorBidi" w:hAnsiTheme="majorBidi" w:cstheme="majorBidi"/>
          <w:color w:val="auto"/>
          <w:u w:val="none"/>
          <w:shd w:val="clear" w:color="auto" w:fill="FFFFFF"/>
        </w:rPr>
        <w:t>Noziedzīgā nodarījuma objekts ir tautsaimniecības intereses finanšu-kredīta jomā, bet priekšmets – noziedzīgi iegūti finanšu līdzekļi vai cita manta. Noziedzīgā nodarījuma objektīvā puse izpaužas darbībās – noziedzīgi iegūtu finanšu līdzekļu vai citas mantas legalizēšanā.</w:t>
      </w:r>
    </w:p>
    <w:p w14:paraId="5409E2C6" w14:textId="3661CE25" w:rsidR="00B14970" w:rsidRPr="00466FDE" w:rsidRDefault="00B14970" w:rsidP="00466FDE">
      <w:pPr>
        <w:spacing w:line="276" w:lineRule="auto"/>
        <w:ind w:firstLine="720"/>
        <w:jc w:val="both"/>
        <w:rPr>
          <w:rFonts w:asciiTheme="majorBidi" w:hAnsiTheme="majorBidi" w:cstheme="majorBidi"/>
          <w:shd w:val="clear" w:color="auto" w:fill="FFFFFF"/>
        </w:rPr>
      </w:pPr>
      <w:bookmarkStart w:id="16" w:name="_Hlk163542890"/>
      <w:r w:rsidRPr="00466FDE">
        <w:rPr>
          <w:rStyle w:val="Hyperlink"/>
          <w:rFonts w:asciiTheme="majorBidi" w:hAnsiTheme="majorBidi" w:cstheme="majorBidi"/>
          <w:color w:val="auto"/>
          <w:u w:val="none"/>
          <w:shd w:val="clear" w:color="auto" w:fill="FFFFFF"/>
        </w:rPr>
        <w:t xml:space="preserve">Atbilstoši </w:t>
      </w:r>
      <w:r w:rsidRPr="00466FDE">
        <w:rPr>
          <w:rFonts w:asciiTheme="majorBidi" w:hAnsiTheme="majorBidi" w:cstheme="majorBidi"/>
        </w:rPr>
        <w:t xml:space="preserve">Noziedzīgi iegūtu līdzekļu </w:t>
      </w:r>
      <w:r w:rsidR="00C1404D" w:rsidRPr="00466FDE">
        <w:rPr>
          <w:rFonts w:asciiTheme="majorBidi" w:hAnsiTheme="majorBidi" w:cstheme="majorBidi"/>
        </w:rPr>
        <w:t xml:space="preserve">legalizācijas </w:t>
      </w:r>
      <w:r w:rsidRPr="00466FDE">
        <w:rPr>
          <w:rFonts w:asciiTheme="majorBidi" w:hAnsiTheme="majorBidi" w:cstheme="majorBidi"/>
        </w:rPr>
        <w:t>un terorisma un proliferācijas finansēšanas novēršanas likuma</w:t>
      </w:r>
      <w:r w:rsidRPr="00466FDE">
        <w:rPr>
          <w:rStyle w:val="Hyperlink"/>
          <w:rFonts w:asciiTheme="majorBidi" w:hAnsiTheme="majorBidi" w:cstheme="majorBidi"/>
          <w:color w:val="auto"/>
          <w:u w:val="none"/>
          <w:shd w:val="clear" w:color="auto" w:fill="FFFFFF"/>
        </w:rPr>
        <w:t xml:space="preserve"> 5. panta pirmās daļas 1. punktam legalizācijas objektīvā puse var izpausties</w:t>
      </w:r>
      <w:r w:rsidRPr="00466FDE">
        <w:rPr>
          <w:rStyle w:val="Hyperlink"/>
          <w:rFonts w:asciiTheme="majorBidi" w:hAnsiTheme="majorBidi" w:cstheme="majorBidi"/>
          <w:color w:val="auto"/>
          <w:u w:val="none"/>
        </w:rPr>
        <w:t xml:space="preserve"> noziedzīgi iegūtu līdzekļu pārvēršanā citās vērtībās, to atrašanās vietas vai piederības mainīšanā, </w:t>
      </w:r>
      <w:r w:rsidR="00C1404D" w:rsidRPr="00466FDE">
        <w:rPr>
          <w:rStyle w:val="Hyperlink"/>
          <w:rFonts w:asciiTheme="majorBidi" w:hAnsiTheme="majorBidi" w:cstheme="majorBidi"/>
          <w:color w:val="auto"/>
          <w:u w:val="none"/>
        </w:rPr>
        <w:t>apzinoties, ka šie līdzekļi ir noziedzīgi iegūti</w:t>
      </w:r>
      <w:r w:rsidR="00517932">
        <w:rPr>
          <w:rStyle w:val="Hyperlink"/>
          <w:rFonts w:asciiTheme="majorBidi" w:hAnsiTheme="majorBidi" w:cstheme="majorBidi"/>
          <w:color w:val="auto"/>
          <w:u w:val="none"/>
        </w:rPr>
        <w:t>,</w:t>
      </w:r>
      <w:r w:rsidR="00C1404D" w:rsidRPr="00466FDE">
        <w:rPr>
          <w:rStyle w:val="Hyperlink"/>
          <w:rFonts w:asciiTheme="majorBidi" w:hAnsiTheme="majorBidi" w:cstheme="majorBidi"/>
          <w:color w:val="auto"/>
          <w:u w:val="none"/>
        </w:rPr>
        <w:t xml:space="preserve"> un </w:t>
      </w:r>
      <w:r w:rsidRPr="00466FDE">
        <w:rPr>
          <w:rFonts w:asciiTheme="majorBidi" w:hAnsiTheme="majorBidi" w:cstheme="majorBidi"/>
          <w:shd w:val="clear" w:color="auto" w:fill="FFFFFF"/>
        </w:rPr>
        <w:t>ja šīs darbības veiktas nolūkā slēpt vai maskēt līdzekļu noziedzīgo izcelsmi vai palīdzēt citai personai, kura iesaistīta noziedzīga nodarījuma izdarīšanā, izvairīties no juridiskās atbildības.</w:t>
      </w:r>
    </w:p>
    <w:bookmarkEnd w:id="16"/>
    <w:p w14:paraId="0D986D4E" w14:textId="612E271F" w:rsidR="00926C9A" w:rsidRPr="00466FDE" w:rsidRDefault="00926C9A" w:rsidP="00466FDE">
      <w:pPr>
        <w:spacing w:line="276" w:lineRule="auto"/>
        <w:ind w:firstLine="720"/>
        <w:jc w:val="both"/>
        <w:rPr>
          <w:rFonts w:asciiTheme="majorBidi" w:hAnsiTheme="majorBidi" w:cstheme="majorBidi"/>
          <w:shd w:val="clear" w:color="auto" w:fill="FFFFFF"/>
        </w:rPr>
      </w:pPr>
      <w:r w:rsidRPr="0031019F">
        <w:rPr>
          <w:rFonts w:asciiTheme="majorBidi" w:hAnsiTheme="majorBidi" w:cstheme="majorBidi"/>
          <w:shd w:val="clear" w:color="auto" w:fill="FFFFFF"/>
        </w:rPr>
        <w:t xml:space="preserve">Nozieguma subjektīvo pusi veido tiešs nodoms, kā arī konkrēts nolūks gadījumos, kad </w:t>
      </w:r>
      <w:r w:rsidRPr="0031019F">
        <w:rPr>
          <w:rStyle w:val="Hyperlink"/>
          <w:rFonts w:asciiTheme="majorBidi" w:hAnsiTheme="majorBidi" w:cstheme="majorBidi"/>
          <w:color w:val="auto"/>
          <w:u w:val="none"/>
          <w:shd w:val="clear" w:color="auto" w:fill="FFFFFF"/>
        </w:rPr>
        <w:t xml:space="preserve">noziedzīgi iegūtu līdzekļu </w:t>
      </w:r>
      <w:r w:rsidR="0031019F" w:rsidRPr="0031019F">
        <w:rPr>
          <w:rStyle w:val="Hyperlink"/>
          <w:rFonts w:asciiTheme="majorBidi" w:hAnsiTheme="majorBidi" w:cstheme="majorBidi"/>
          <w:color w:val="auto"/>
          <w:u w:val="none"/>
          <w:shd w:val="clear" w:color="auto" w:fill="FFFFFF"/>
        </w:rPr>
        <w:t xml:space="preserve">legalizāciju </w:t>
      </w:r>
      <w:r w:rsidRPr="0031019F">
        <w:rPr>
          <w:rStyle w:val="Hyperlink"/>
          <w:rFonts w:asciiTheme="majorBidi" w:hAnsiTheme="majorBidi" w:cstheme="majorBidi"/>
          <w:color w:val="auto"/>
          <w:u w:val="none"/>
          <w:shd w:val="clear" w:color="auto" w:fill="FFFFFF"/>
        </w:rPr>
        <w:t xml:space="preserve">izdarījusi persona, kura iepriekš pati izdarīja predikatīvo noziedzīgo nodarījumu </w:t>
      </w:r>
      <w:r w:rsidRPr="0031019F">
        <w:rPr>
          <w:rFonts w:asciiTheme="majorBidi" w:hAnsiTheme="majorBidi" w:cstheme="majorBidi"/>
        </w:rPr>
        <w:t>(</w:t>
      </w:r>
      <w:proofErr w:type="spellStart"/>
      <w:r w:rsidRPr="00466FDE">
        <w:rPr>
          <w:rFonts w:asciiTheme="majorBidi" w:hAnsiTheme="majorBidi" w:cstheme="majorBidi"/>
          <w:i/>
          <w:iCs/>
        </w:rPr>
        <w:t>Hamkova</w:t>
      </w:r>
      <w:proofErr w:type="spellEnd"/>
      <w:r w:rsidRPr="00466FDE">
        <w:rPr>
          <w:rFonts w:asciiTheme="majorBidi" w:hAnsiTheme="majorBidi" w:cstheme="majorBidi"/>
          <w:i/>
          <w:iCs/>
        </w:rPr>
        <w:t xml:space="preserve"> D. 195. panta komentārs. </w:t>
      </w:r>
      <w:proofErr w:type="spellStart"/>
      <w:r w:rsidRPr="00466FDE">
        <w:rPr>
          <w:rFonts w:asciiTheme="majorBidi" w:hAnsiTheme="majorBidi" w:cstheme="majorBidi"/>
          <w:i/>
          <w:iCs/>
        </w:rPr>
        <w:t>Grām</w:t>
      </w:r>
      <w:proofErr w:type="spellEnd"/>
      <w:r w:rsidRPr="00466FDE">
        <w:rPr>
          <w:rFonts w:asciiTheme="majorBidi" w:hAnsiTheme="majorBidi" w:cstheme="majorBidi"/>
          <w:i/>
          <w:iCs/>
        </w:rPr>
        <w:t>.: Krimināllikuma komentāri. Trešā daļa (XVIII</w:t>
      </w:r>
      <w:r w:rsidRPr="00466FDE">
        <w:rPr>
          <w:rFonts w:asciiTheme="majorBidi" w:hAnsiTheme="majorBidi" w:cstheme="majorBidi"/>
          <w:i/>
          <w:iCs/>
        </w:rPr>
        <w:noBreakHyphen/>
        <w:t>XXV nodaļa). Otrais papildinātais izdevums.</w:t>
      </w:r>
      <w:r w:rsidRPr="00466FDE">
        <w:rPr>
          <w:rFonts w:asciiTheme="majorBidi" w:eastAsiaTheme="minorHAnsi" w:hAnsiTheme="majorBidi" w:cstheme="majorBidi"/>
          <w:lang w:eastAsia="en-US"/>
        </w:rPr>
        <w:t xml:space="preserve"> </w:t>
      </w:r>
      <w:r w:rsidRPr="00466FDE">
        <w:rPr>
          <w:rFonts w:asciiTheme="majorBidi" w:hAnsiTheme="majorBidi" w:cstheme="majorBidi"/>
          <w:i/>
          <w:iCs/>
        </w:rPr>
        <w:t xml:space="preserve">Krastiņš U., </w:t>
      </w:r>
      <w:proofErr w:type="spellStart"/>
      <w:r w:rsidRPr="00466FDE">
        <w:rPr>
          <w:rFonts w:asciiTheme="majorBidi" w:hAnsiTheme="majorBidi" w:cstheme="majorBidi"/>
          <w:i/>
          <w:iCs/>
        </w:rPr>
        <w:t>Liholaja</w:t>
      </w:r>
      <w:proofErr w:type="spellEnd"/>
      <w:r w:rsidR="0031019F">
        <w:rPr>
          <w:rFonts w:asciiTheme="majorBidi" w:hAnsiTheme="majorBidi" w:cstheme="majorBidi"/>
          <w:i/>
          <w:iCs/>
        </w:rPr>
        <w:t> </w:t>
      </w:r>
      <w:r w:rsidRPr="00466FDE">
        <w:rPr>
          <w:rFonts w:asciiTheme="majorBidi" w:hAnsiTheme="majorBidi" w:cstheme="majorBidi"/>
          <w:i/>
          <w:iCs/>
        </w:rPr>
        <w:t xml:space="preserve">V., </w:t>
      </w:r>
      <w:proofErr w:type="spellStart"/>
      <w:r w:rsidRPr="00466FDE">
        <w:rPr>
          <w:rFonts w:asciiTheme="majorBidi" w:hAnsiTheme="majorBidi" w:cstheme="majorBidi"/>
          <w:i/>
          <w:iCs/>
        </w:rPr>
        <w:t>Hamkova</w:t>
      </w:r>
      <w:proofErr w:type="spellEnd"/>
      <w:r w:rsidRPr="00466FDE">
        <w:rPr>
          <w:rFonts w:asciiTheme="majorBidi" w:hAnsiTheme="majorBidi" w:cstheme="majorBidi"/>
          <w:i/>
          <w:iCs/>
        </w:rPr>
        <w:t xml:space="preserve"> D. Rīga: Tiesu namu aģentūra, 2019, </w:t>
      </w:r>
      <w:r w:rsidRPr="0031019F">
        <w:rPr>
          <w:rFonts w:asciiTheme="majorBidi" w:hAnsiTheme="majorBidi" w:cstheme="majorBidi"/>
          <w:i/>
          <w:iCs/>
        </w:rPr>
        <w:t>128. lpp</w:t>
      </w:r>
      <w:r w:rsidR="0031019F">
        <w:rPr>
          <w:rFonts w:asciiTheme="majorBidi" w:hAnsiTheme="majorBidi" w:cstheme="majorBidi"/>
          <w:i/>
          <w:iCs/>
        </w:rPr>
        <w:t>.</w:t>
      </w:r>
      <w:r w:rsidRPr="00466FDE">
        <w:rPr>
          <w:rFonts w:asciiTheme="majorBidi" w:hAnsiTheme="majorBidi" w:cstheme="majorBidi"/>
          <w:i/>
          <w:iCs/>
        </w:rPr>
        <w:t>).</w:t>
      </w:r>
    </w:p>
    <w:p w14:paraId="1A4DA53E" w14:textId="6F654509" w:rsidR="00B14970" w:rsidRPr="00466FDE" w:rsidRDefault="00B14970" w:rsidP="00466FDE">
      <w:pPr>
        <w:spacing w:line="276" w:lineRule="auto"/>
        <w:ind w:firstLine="720"/>
        <w:jc w:val="both"/>
        <w:rPr>
          <w:rStyle w:val="Hyperlink"/>
          <w:rFonts w:asciiTheme="majorBidi" w:hAnsiTheme="majorBidi" w:cstheme="majorBidi"/>
          <w:color w:val="000000" w:themeColor="text1"/>
          <w:u w:val="none"/>
        </w:rPr>
      </w:pPr>
      <w:r w:rsidRPr="00466FDE">
        <w:rPr>
          <w:rFonts w:asciiTheme="majorBidi" w:hAnsiTheme="majorBidi" w:cstheme="majorBidi"/>
          <w:color w:val="000000" w:themeColor="text1"/>
        </w:rPr>
        <w:t>[</w:t>
      </w:r>
      <w:r w:rsidR="002377D6" w:rsidRPr="00466FDE">
        <w:rPr>
          <w:rFonts w:asciiTheme="majorBidi" w:hAnsiTheme="majorBidi" w:cstheme="majorBidi"/>
          <w:color w:val="000000" w:themeColor="text1"/>
        </w:rPr>
        <w:t>5</w:t>
      </w:r>
      <w:r w:rsidRPr="00466FDE">
        <w:rPr>
          <w:rFonts w:asciiTheme="majorBidi" w:hAnsiTheme="majorBidi" w:cstheme="majorBidi"/>
          <w:color w:val="000000" w:themeColor="text1"/>
        </w:rPr>
        <w:t>.2] Senāts atzīst, ka apelācijas instances tiesa nepareizi piemērojusi Krimināllikuma 195. panta trešo daļu.</w:t>
      </w:r>
    </w:p>
    <w:p w14:paraId="2FC8F0CC" w14:textId="79526135"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w:t>
      </w:r>
      <w:r w:rsidR="002377D6" w:rsidRPr="00466FDE">
        <w:rPr>
          <w:rFonts w:asciiTheme="majorBidi" w:hAnsiTheme="majorBidi" w:cstheme="majorBidi"/>
        </w:rPr>
        <w:t>5</w:t>
      </w:r>
      <w:r w:rsidRPr="00466FDE">
        <w:rPr>
          <w:rFonts w:asciiTheme="majorBidi" w:hAnsiTheme="majorBidi" w:cstheme="majorBidi"/>
        </w:rPr>
        <w:t>.2.1]</w:t>
      </w:r>
      <w:r w:rsidR="00B32158" w:rsidRPr="00466FDE">
        <w:rPr>
          <w:rFonts w:asciiTheme="majorBidi" w:hAnsiTheme="majorBidi" w:cstheme="majorBidi"/>
        </w:rPr>
        <w:t> </w:t>
      </w:r>
      <w:r w:rsidRPr="00466FDE">
        <w:rPr>
          <w:rFonts w:asciiTheme="majorBidi" w:hAnsiTheme="majorBidi" w:cstheme="majorBidi"/>
        </w:rPr>
        <w:t xml:space="preserve">Apelācijas instances tiesa piekritusi pirmās instances tiesas atzinumam, ka atbilstoši Kriminālprocesa likuma 519. panta 1. punktam apsūdzētā </w:t>
      </w:r>
      <w:r w:rsidR="007B55A3">
        <w:rPr>
          <w:rFonts w:asciiTheme="majorBidi" w:hAnsiTheme="majorBidi" w:cstheme="majorBidi"/>
        </w:rPr>
        <w:t>[pers. A]</w:t>
      </w:r>
      <w:r w:rsidRPr="00466FDE">
        <w:rPr>
          <w:rFonts w:asciiTheme="majorBidi" w:hAnsiTheme="majorBidi" w:cstheme="majorBidi"/>
        </w:rPr>
        <w:t xml:space="preserve"> darbībās nav konstatējams Krimināllikuma 195. panta trešajā daļā paredzētā noziedzīgā nodarījuma sastāvs.</w:t>
      </w:r>
    </w:p>
    <w:p w14:paraId="4ACAA191" w14:textId="28119B7F"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Apelācijas instances tiesa atzinusi par pareiziem un pamatotiem pirmās instances tiesas secinājumus</w:t>
      </w:r>
      <w:r w:rsidRPr="00466FDE">
        <w:rPr>
          <w:rStyle w:val="Hyperlink"/>
          <w:rFonts w:asciiTheme="majorBidi" w:hAnsiTheme="majorBidi" w:cstheme="majorBidi"/>
          <w:color w:val="auto"/>
          <w:u w:val="none"/>
        </w:rPr>
        <w:t xml:space="preserve">, ka apsūdzētais ir apzinājies līdzekļu noziedzīgo izcelsmi, jo pats veicis krāpšanas darbības, kā arī </w:t>
      </w:r>
      <w:r w:rsidR="00926C9A" w:rsidRPr="00466FDE">
        <w:rPr>
          <w:rStyle w:val="Hyperlink"/>
          <w:rFonts w:asciiTheme="majorBidi" w:hAnsiTheme="majorBidi" w:cstheme="majorBidi"/>
          <w:color w:val="auto"/>
          <w:u w:val="none"/>
        </w:rPr>
        <w:t xml:space="preserve">mainījis </w:t>
      </w:r>
      <w:r w:rsidRPr="00466FDE">
        <w:rPr>
          <w:rStyle w:val="Hyperlink"/>
          <w:rFonts w:asciiTheme="majorBidi" w:hAnsiTheme="majorBidi" w:cstheme="majorBidi"/>
          <w:color w:val="auto"/>
          <w:u w:val="none"/>
        </w:rPr>
        <w:t>līdzekļu atrašanās viet</w:t>
      </w:r>
      <w:r w:rsidR="00926C9A" w:rsidRPr="00466FDE">
        <w:rPr>
          <w:rStyle w:val="Hyperlink"/>
          <w:rFonts w:asciiTheme="majorBidi" w:hAnsiTheme="majorBidi" w:cstheme="majorBidi"/>
          <w:color w:val="auto"/>
          <w:u w:val="none"/>
        </w:rPr>
        <w:t>u</w:t>
      </w:r>
      <w:r w:rsidRPr="00466FDE">
        <w:rPr>
          <w:rStyle w:val="Hyperlink"/>
          <w:rFonts w:asciiTheme="majorBidi" w:hAnsiTheme="majorBidi" w:cstheme="majorBidi"/>
          <w:color w:val="auto"/>
          <w:u w:val="none"/>
        </w:rPr>
        <w:t xml:space="preserve"> un piederīb</w:t>
      </w:r>
      <w:r w:rsidR="00926C9A" w:rsidRPr="00466FDE">
        <w:rPr>
          <w:rStyle w:val="Hyperlink"/>
          <w:rFonts w:asciiTheme="majorBidi" w:hAnsiTheme="majorBidi" w:cstheme="majorBidi"/>
          <w:color w:val="auto"/>
          <w:u w:val="none"/>
        </w:rPr>
        <w:t>u</w:t>
      </w:r>
      <w:r w:rsidRPr="00466FDE">
        <w:rPr>
          <w:rStyle w:val="Hyperlink"/>
          <w:rFonts w:asciiTheme="majorBidi" w:hAnsiTheme="majorBidi" w:cstheme="majorBidi"/>
          <w:color w:val="auto"/>
          <w:u w:val="none"/>
        </w:rPr>
        <w:t>,</w:t>
      </w:r>
      <w:r w:rsidR="00926C9A" w:rsidRPr="00466FDE">
        <w:rPr>
          <w:rStyle w:val="Hyperlink"/>
          <w:rFonts w:asciiTheme="majorBidi" w:hAnsiTheme="majorBidi" w:cstheme="majorBidi"/>
          <w:color w:val="auto"/>
          <w:u w:val="none"/>
        </w:rPr>
        <w:t xml:space="preserve"> </w:t>
      </w:r>
      <w:r w:rsidRPr="00466FDE">
        <w:rPr>
          <w:rStyle w:val="Hyperlink"/>
          <w:rFonts w:asciiTheme="majorBidi" w:hAnsiTheme="majorBidi" w:cstheme="majorBidi"/>
          <w:color w:val="auto"/>
          <w:u w:val="none"/>
        </w:rPr>
        <w:t xml:space="preserve">tas ir, </w:t>
      </w:r>
      <w:r w:rsidR="00E96370" w:rsidRPr="00466FDE">
        <w:rPr>
          <w:rStyle w:val="Hyperlink"/>
          <w:rFonts w:asciiTheme="majorBidi" w:hAnsiTheme="majorBidi" w:cstheme="majorBidi"/>
          <w:color w:val="auto"/>
          <w:u w:val="none"/>
        </w:rPr>
        <w:t>to</w:t>
      </w:r>
      <w:r w:rsidR="00926C9A" w:rsidRPr="00466FDE">
        <w:rPr>
          <w:rStyle w:val="Hyperlink"/>
          <w:rFonts w:asciiTheme="majorBidi" w:hAnsiTheme="majorBidi" w:cstheme="majorBidi"/>
          <w:color w:val="auto"/>
          <w:u w:val="none"/>
        </w:rPr>
        <w:t>s</w:t>
      </w:r>
      <w:r w:rsidR="00E96370" w:rsidRPr="00466FDE">
        <w:rPr>
          <w:rStyle w:val="Hyperlink"/>
          <w:rFonts w:asciiTheme="majorBidi" w:hAnsiTheme="majorBidi" w:cstheme="majorBidi"/>
          <w:color w:val="auto"/>
          <w:u w:val="none"/>
        </w:rPr>
        <w:t xml:space="preserve"> </w:t>
      </w:r>
      <w:r w:rsidRPr="00466FDE">
        <w:rPr>
          <w:rStyle w:val="Hyperlink"/>
          <w:rFonts w:asciiTheme="majorBidi" w:hAnsiTheme="majorBidi" w:cstheme="majorBidi"/>
          <w:color w:val="auto"/>
          <w:u w:val="none"/>
        </w:rPr>
        <w:t>pārskaitī</w:t>
      </w:r>
      <w:r w:rsidR="00926C9A" w:rsidRPr="00466FDE">
        <w:rPr>
          <w:rStyle w:val="Hyperlink"/>
          <w:rFonts w:asciiTheme="majorBidi" w:hAnsiTheme="majorBidi" w:cstheme="majorBidi"/>
          <w:color w:val="auto"/>
          <w:u w:val="none"/>
        </w:rPr>
        <w:t>jis</w:t>
      </w:r>
      <w:r w:rsidRPr="00466FDE">
        <w:rPr>
          <w:rStyle w:val="Hyperlink"/>
          <w:rFonts w:asciiTheme="majorBidi" w:hAnsiTheme="majorBidi" w:cstheme="majorBidi"/>
          <w:color w:val="auto"/>
          <w:u w:val="none"/>
        </w:rPr>
        <w:t xml:space="preserve"> no </w:t>
      </w:r>
      <w:r w:rsidRPr="00466FDE">
        <w:rPr>
          <w:rFonts w:asciiTheme="majorBidi" w:hAnsiTheme="majorBidi" w:cstheme="majorBidi"/>
        </w:rPr>
        <w:t>SIA</w:t>
      </w:r>
      <w:r w:rsidRPr="00466FDE">
        <w:rPr>
          <w:rFonts w:asciiTheme="majorBidi" w:hAnsiTheme="majorBidi" w:cstheme="majorBidi"/>
          <w:lang w:eastAsia="lv-LV"/>
          <w14:ligatures w14:val="standardContextual"/>
        </w:rPr>
        <w:t> „</w:t>
      </w:r>
      <w:r w:rsidR="007B55A3">
        <w:rPr>
          <w:rFonts w:asciiTheme="majorBidi" w:hAnsiTheme="majorBidi" w:cstheme="majorBidi"/>
        </w:rPr>
        <w:t>[Nosaukums A]</w:t>
      </w:r>
      <w:r w:rsidRPr="00466FDE">
        <w:rPr>
          <w:rFonts w:asciiTheme="majorBidi" w:hAnsiTheme="majorBidi" w:cstheme="majorBidi"/>
        </w:rPr>
        <w:t>”</w:t>
      </w:r>
      <w:r w:rsidR="009A59B6" w:rsidRPr="00466FDE">
        <w:rPr>
          <w:rFonts w:asciiTheme="majorBidi" w:hAnsiTheme="majorBidi" w:cstheme="majorBidi"/>
        </w:rPr>
        <w:t xml:space="preserve"> konta</w:t>
      </w:r>
      <w:r w:rsidRPr="00466FDE">
        <w:rPr>
          <w:rStyle w:val="Hyperlink"/>
          <w:rFonts w:asciiTheme="majorBidi" w:hAnsiTheme="majorBidi" w:cstheme="majorBidi"/>
          <w:color w:val="auto"/>
          <w:u w:val="none"/>
        </w:rPr>
        <w:t xml:space="preserve"> uz </w:t>
      </w:r>
      <w:r w:rsidRPr="00466FDE">
        <w:rPr>
          <w:rFonts w:asciiTheme="majorBidi" w:hAnsiTheme="majorBidi" w:cstheme="majorBidi"/>
        </w:rPr>
        <w:t>SIA</w:t>
      </w:r>
      <w:r w:rsidRPr="00466FDE">
        <w:rPr>
          <w:rFonts w:asciiTheme="majorBidi" w:hAnsiTheme="majorBidi" w:cstheme="majorBidi"/>
          <w:lang w:eastAsia="lv-LV"/>
          <w14:ligatures w14:val="standardContextual"/>
        </w:rPr>
        <w:t> „</w:t>
      </w:r>
      <w:r w:rsidR="007B55A3">
        <w:rPr>
          <w:rFonts w:asciiTheme="majorBidi" w:hAnsiTheme="majorBidi" w:cstheme="majorBidi"/>
        </w:rPr>
        <w:t>[Nosaukums B]</w:t>
      </w:r>
      <w:r w:rsidRPr="00466FDE">
        <w:rPr>
          <w:rFonts w:asciiTheme="majorBidi" w:hAnsiTheme="majorBidi" w:cstheme="majorBidi"/>
        </w:rPr>
        <w:t>”</w:t>
      </w:r>
      <w:r w:rsidR="00AB4326" w:rsidRPr="00466FDE">
        <w:rPr>
          <w:rFonts w:asciiTheme="majorBidi" w:hAnsiTheme="majorBidi" w:cstheme="majorBidi"/>
        </w:rPr>
        <w:t xml:space="preserve"> kontu</w:t>
      </w:r>
      <w:r w:rsidRPr="00466FDE">
        <w:rPr>
          <w:rFonts w:asciiTheme="majorBidi" w:hAnsiTheme="majorBidi" w:cstheme="majorBidi"/>
        </w:rPr>
        <w:t>.</w:t>
      </w:r>
    </w:p>
    <w:p w14:paraId="5AA52140" w14:textId="3E629004" w:rsidR="00B14970" w:rsidRPr="00466FDE" w:rsidRDefault="00B14970" w:rsidP="007B55A3">
      <w:pPr>
        <w:spacing w:line="276" w:lineRule="auto"/>
        <w:ind w:firstLine="720"/>
        <w:jc w:val="both"/>
        <w:rPr>
          <w:rFonts w:asciiTheme="majorBidi" w:hAnsiTheme="majorBidi" w:cstheme="majorBidi"/>
        </w:rPr>
      </w:pPr>
      <w:r w:rsidRPr="00466FDE">
        <w:rPr>
          <w:rFonts w:asciiTheme="majorBidi" w:hAnsiTheme="majorBidi" w:cstheme="majorBidi"/>
        </w:rPr>
        <w:t xml:space="preserve">Apsūdzētā </w:t>
      </w:r>
      <w:r w:rsidR="007B55A3">
        <w:rPr>
          <w:rFonts w:asciiTheme="majorBidi" w:hAnsiTheme="majorBidi" w:cstheme="majorBidi"/>
        </w:rPr>
        <w:t>[pers. </w:t>
      </w:r>
      <w:r w:rsidR="007B55A3">
        <w:t>A]</w:t>
      </w:r>
      <w:r w:rsidRPr="00466FDE">
        <w:rPr>
          <w:rFonts w:asciiTheme="majorBidi" w:hAnsiTheme="majorBidi" w:cstheme="majorBidi"/>
        </w:rPr>
        <w:t xml:space="preserve"> rīcībā, pārskaitot noziedzīgi iegūt</w:t>
      </w:r>
      <w:r w:rsidR="00D17FDB" w:rsidRPr="00466FDE">
        <w:rPr>
          <w:rFonts w:asciiTheme="majorBidi" w:hAnsiTheme="majorBidi" w:cstheme="majorBidi"/>
        </w:rPr>
        <w:t>o</w:t>
      </w:r>
      <w:r w:rsidRPr="00466FDE">
        <w:rPr>
          <w:rFonts w:asciiTheme="majorBidi" w:hAnsiTheme="majorBidi" w:cstheme="majorBidi"/>
        </w:rPr>
        <w:t xml:space="preserve">s </w:t>
      </w:r>
      <w:r w:rsidR="00D17FDB" w:rsidRPr="00466FDE">
        <w:rPr>
          <w:rFonts w:asciiTheme="majorBidi" w:hAnsiTheme="majorBidi" w:cstheme="majorBidi"/>
        </w:rPr>
        <w:t xml:space="preserve">finanšu </w:t>
      </w:r>
      <w:r w:rsidRPr="00466FDE">
        <w:rPr>
          <w:rFonts w:asciiTheme="majorBidi" w:hAnsiTheme="majorBidi" w:cstheme="majorBidi"/>
        </w:rPr>
        <w:t xml:space="preserve">līdzekļus no </w:t>
      </w:r>
      <w:r w:rsidRPr="00466FDE">
        <w:rPr>
          <w:rFonts w:asciiTheme="majorBidi" w:hAnsiTheme="majorBidi" w:cstheme="majorBidi"/>
          <w:spacing w:val="-1"/>
          <w:lang w:eastAsia="lv-LV"/>
          <w14:ligatures w14:val="standardContextual"/>
        </w:rPr>
        <w:t>SIA </w:t>
      </w:r>
      <w:r w:rsidRPr="00466FDE">
        <w:rPr>
          <w:rFonts w:asciiTheme="majorBidi" w:hAnsiTheme="majorBidi" w:cstheme="majorBidi"/>
          <w:lang w:eastAsia="lv-LV"/>
          <w14:ligatures w14:val="standardContextual"/>
        </w:rPr>
        <w:t>„</w:t>
      </w:r>
      <w:r w:rsidR="007B55A3">
        <w:rPr>
          <w:rFonts w:asciiTheme="majorBidi" w:hAnsiTheme="majorBidi" w:cstheme="majorBidi"/>
          <w:lang w:eastAsia="lv-LV"/>
          <w14:ligatures w14:val="standardContextual"/>
        </w:rPr>
        <w:t>[Nosaukums</w:t>
      </w:r>
      <w:r w:rsidR="00E9311D">
        <w:rPr>
          <w:rFonts w:asciiTheme="majorBidi" w:hAnsiTheme="majorBidi" w:cstheme="majorBidi"/>
          <w:lang w:eastAsia="lv-LV"/>
          <w14:ligatures w14:val="standardContextual"/>
        </w:rPr>
        <w:t> A</w:t>
      </w:r>
      <w:r w:rsidR="007B55A3">
        <w:rPr>
          <w:rFonts w:asciiTheme="majorBidi" w:hAnsiTheme="majorBidi" w:cstheme="majorBidi"/>
          <w:lang w:eastAsia="lv-LV"/>
          <w14:ligatures w14:val="standardContextual"/>
        </w:rPr>
        <w:t>]</w:t>
      </w:r>
      <w:r w:rsidRPr="00466FDE">
        <w:rPr>
          <w:rFonts w:asciiTheme="majorBidi" w:hAnsiTheme="majorBidi" w:cstheme="majorBidi"/>
          <w:lang w:eastAsia="lv-LV"/>
          <w14:ligatures w14:val="standardContextual"/>
        </w:rPr>
        <w:t>”</w:t>
      </w:r>
      <w:r w:rsidRPr="00466FDE">
        <w:rPr>
          <w:rFonts w:asciiTheme="majorBidi" w:hAnsiTheme="majorBidi" w:cstheme="majorBidi"/>
        </w:rPr>
        <w:t xml:space="preserve"> </w:t>
      </w:r>
      <w:r w:rsidR="009A59B6" w:rsidRPr="00466FDE">
        <w:rPr>
          <w:rFonts w:asciiTheme="majorBidi" w:hAnsiTheme="majorBidi" w:cstheme="majorBidi"/>
        </w:rPr>
        <w:t xml:space="preserve">konta </w:t>
      </w:r>
      <w:r w:rsidRPr="00466FDE">
        <w:rPr>
          <w:rFonts w:asciiTheme="majorBidi" w:hAnsiTheme="majorBidi" w:cstheme="majorBidi"/>
        </w:rPr>
        <w:t>uz SIA</w:t>
      </w:r>
      <w:r w:rsidRPr="00466FDE">
        <w:rPr>
          <w:rFonts w:asciiTheme="majorBidi" w:hAnsiTheme="majorBidi" w:cstheme="majorBidi"/>
          <w:lang w:eastAsia="lv-LV"/>
          <w14:ligatures w14:val="standardContextual"/>
        </w:rPr>
        <w:t> „</w:t>
      </w:r>
      <w:r w:rsidR="007B55A3">
        <w:rPr>
          <w:rFonts w:asciiTheme="majorBidi" w:hAnsiTheme="majorBidi" w:cstheme="majorBidi"/>
        </w:rPr>
        <w:t>[Nosaukums B]</w:t>
      </w:r>
      <w:r w:rsidRPr="00466FDE">
        <w:rPr>
          <w:rFonts w:asciiTheme="majorBidi" w:hAnsiTheme="majorBidi" w:cstheme="majorBidi"/>
        </w:rPr>
        <w:t xml:space="preserve">” kontu, tiesa nav konstatējusi nolūku </w:t>
      </w:r>
      <w:r w:rsidR="00D17FDB" w:rsidRPr="00466FDE">
        <w:rPr>
          <w:rFonts w:asciiTheme="majorBidi" w:hAnsiTheme="majorBidi" w:cstheme="majorBidi"/>
        </w:rPr>
        <w:t xml:space="preserve">tos </w:t>
      </w:r>
      <w:r w:rsidRPr="00466FDE">
        <w:rPr>
          <w:rFonts w:asciiTheme="majorBidi" w:hAnsiTheme="majorBidi" w:cstheme="majorBidi"/>
        </w:rPr>
        <w:t xml:space="preserve">slēpt vai maskēt. Tiesa atzinusi, ka veiktie finanšu līdzekļu pārskaitījumi, norādot pamatojumā tos pašus rēķinus, kas izmantoti, lai izkrāptu pievienotās vērtības nodokļa pārmaksu, varētu liecināt nevis par līdzekļu maskēšanu vai slēpšanu, bet gan par sākotnējā noziedzīgā nodarījuma slēpšanu, proti, ka </w:t>
      </w:r>
      <w:r w:rsidRPr="00466FDE">
        <w:rPr>
          <w:rFonts w:asciiTheme="majorBidi" w:hAnsiTheme="majorBidi" w:cstheme="majorBidi"/>
          <w:spacing w:val="-1"/>
          <w:lang w:eastAsia="lv-LV"/>
          <w14:ligatures w14:val="standardContextual"/>
        </w:rPr>
        <w:t>SIA </w:t>
      </w:r>
      <w:r w:rsidRPr="00466FDE">
        <w:rPr>
          <w:rFonts w:asciiTheme="majorBidi" w:hAnsiTheme="majorBidi" w:cstheme="majorBidi"/>
          <w:lang w:eastAsia="lv-LV"/>
          <w14:ligatures w14:val="standardContextual"/>
        </w:rPr>
        <w:t>„</w:t>
      </w:r>
      <w:r w:rsidR="007B55A3">
        <w:rPr>
          <w:rFonts w:asciiTheme="majorBidi" w:hAnsiTheme="majorBidi" w:cstheme="majorBidi"/>
          <w:lang w:eastAsia="lv-LV"/>
          <w14:ligatures w14:val="standardContextual"/>
        </w:rPr>
        <w:t>[Nosaukums A]</w:t>
      </w:r>
      <w:r w:rsidRPr="00466FDE">
        <w:rPr>
          <w:rFonts w:asciiTheme="majorBidi" w:hAnsiTheme="majorBidi" w:cstheme="majorBidi"/>
          <w:lang w:eastAsia="lv-LV"/>
          <w14:ligatures w14:val="standardContextual"/>
        </w:rPr>
        <w:t>”</w:t>
      </w:r>
      <w:r w:rsidRPr="00466FDE">
        <w:rPr>
          <w:rFonts w:asciiTheme="majorBidi" w:hAnsiTheme="majorBidi" w:cstheme="majorBidi"/>
        </w:rPr>
        <w:t xml:space="preserve"> darījumi ar SIA </w:t>
      </w:r>
      <w:r w:rsidRPr="00466FDE">
        <w:rPr>
          <w:rFonts w:asciiTheme="majorBidi" w:hAnsiTheme="majorBidi" w:cstheme="majorBidi"/>
          <w:lang w:eastAsia="lv-LV"/>
          <w14:ligatures w14:val="standardContextual"/>
        </w:rPr>
        <w:t>„</w:t>
      </w:r>
      <w:r w:rsidR="007B55A3">
        <w:rPr>
          <w:rFonts w:asciiTheme="majorBidi" w:hAnsiTheme="majorBidi" w:cstheme="majorBidi"/>
        </w:rPr>
        <w:t>[Nosaukums B]</w:t>
      </w:r>
      <w:r w:rsidRPr="00466FDE">
        <w:rPr>
          <w:rFonts w:asciiTheme="majorBidi" w:hAnsiTheme="majorBidi" w:cstheme="majorBidi"/>
        </w:rPr>
        <w:t xml:space="preserve">” bija reāli, nevis fiktīvi. Tāpat apelācijas instances tiesa atzinusi </w:t>
      </w:r>
      <w:r w:rsidRPr="00466FDE">
        <w:rPr>
          <w:rFonts w:asciiTheme="majorBidi" w:hAnsiTheme="majorBidi" w:cstheme="majorBidi"/>
        </w:rPr>
        <w:lastRenderedPageBreak/>
        <w:t xml:space="preserve">par pareiziem un pamatotiem pirmās instances tiesas secinājumus, ka apsūdzībā nav norādīts un lietas materiālos nav pierādījumu, ka apsūdzētais būtu veicis kādas papildu darbības, kas </w:t>
      </w:r>
      <w:r w:rsidR="00E96370" w:rsidRPr="00466FDE">
        <w:rPr>
          <w:rFonts w:asciiTheme="majorBidi" w:hAnsiTheme="majorBidi" w:cstheme="majorBidi"/>
        </w:rPr>
        <w:t>liecinātu par</w:t>
      </w:r>
      <w:r w:rsidRPr="00466FDE">
        <w:rPr>
          <w:rFonts w:asciiTheme="majorBidi" w:hAnsiTheme="majorBidi" w:cstheme="majorBidi"/>
        </w:rPr>
        <w:t xml:space="preserve"> viņa nolūku slēpt vai maskēt līdzekļu noziedzīgo izcelsmi, un ka apsūdzētais būtu iesaistīts turpmākā rīcībā ar SIA </w:t>
      </w:r>
      <w:r w:rsidRPr="00466FDE">
        <w:rPr>
          <w:rFonts w:asciiTheme="majorBidi" w:hAnsiTheme="majorBidi" w:cstheme="majorBidi"/>
          <w:lang w:eastAsia="lv-LV"/>
          <w14:ligatures w14:val="standardContextual"/>
        </w:rPr>
        <w:t>„</w:t>
      </w:r>
      <w:r w:rsidR="007B55A3">
        <w:rPr>
          <w:rFonts w:asciiTheme="majorBidi" w:hAnsiTheme="majorBidi" w:cstheme="majorBidi"/>
        </w:rPr>
        <w:t>[Nosaukums B]</w:t>
      </w:r>
      <w:r w:rsidRPr="00466FDE">
        <w:rPr>
          <w:rFonts w:asciiTheme="majorBidi" w:hAnsiTheme="majorBidi" w:cstheme="majorBidi"/>
        </w:rPr>
        <w:t>” pārskaitītajiem līdzekļiem.</w:t>
      </w:r>
    </w:p>
    <w:p w14:paraId="0BF96B78" w14:textId="0FCD50BC" w:rsidR="00B14970" w:rsidRPr="00466FDE" w:rsidRDefault="00B14970" w:rsidP="00466FDE">
      <w:pPr>
        <w:widowControl w:val="0"/>
        <w:tabs>
          <w:tab w:val="left" w:pos="709"/>
        </w:tabs>
        <w:spacing w:line="276" w:lineRule="auto"/>
        <w:ind w:firstLine="720"/>
        <w:jc w:val="both"/>
        <w:rPr>
          <w:rFonts w:asciiTheme="majorBidi" w:hAnsiTheme="majorBidi" w:cstheme="majorBidi"/>
        </w:rPr>
      </w:pPr>
      <w:r w:rsidRPr="00466FDE">
        <w:rPr>
          <w:rStyle w:val="Hyperlink"/>
          <w:rFonts w:asciiTheme="majorBidi" w:hAnsiTheme="majorBidi" w:cstheme="majorBidi"/>
          <w:color w:val="auto"/>
          <w:u w:val="none"/>
          <w:shd w:val="clear" w:color="auto" w:fill="FFFFFF"/>
        </w:rPr>
        <w:t>[</w:t>
      </w:r>
      <w:r w:rsidR="002377D6" w:rsidRPr="00466FDE">
        <w:rPr>
          <w:rStyle w:val="Hyperlink"/>
          <w:rFonts w:asciiTheme="majorBidi" w:hAnsiTheme="majorBidi" w:cstheme="majorBidi"/>
          <w:color w:val="auto"/>
          <w:u w:val="none"/>
          <w:shd w:val="clear" w:color="auto" w:fill="FFFFFF"/>
        </w:rPr>
        <w:t>5</w:t>
      </w:r>
      <w:r w:rsidRPr="00466FDE">
        <w:rPr>
          <w:rStyle w:val="Hyperlink"/>
          <w:rFonts w:asciiTheme="majorBidi" w:hAnsiTheme="majorBidi" w:cstheme="majorBidi"/>
          <w:color w:val="auto"/>
          <w:u w:val="none"/>
          <w:shd w:val="clear" w:color="auto" w:fill="FFFFFF"/>
        </w:rPr>
        <w:t>.2.2]</w:t>
      </w:r>
      <w:r w:rsidR="00B32158" w:rsidRPr="00466FDE">
        <w:rPr>
          <w:rStyle w:val="Hyperlink"/>
          <w:rFonts w:asciiTheme="majorBidi" w:hAnsiTheme="majorBidi" w:cstheme="majorBidi"/>
          <w:color w:val="auto"/>
          <w:u w:val="none"/>
          <w:shd w:val="clear" w:color="auto" w:fill="FFFFFF"/>
        </w:rPr>
        <w:t> </w:t>
      </w:r>
      <w:r w:rsidRPr="00466FDE">
        <w:rPr>
          <w:rFonts w:asciiTheme="majorBidi" w:hAnsiTheme="majorBidi" w:cstheme="majorBidi"/>
        </w:rPr>
        <w:t xml:space="preserve">Juridiskajā literatūrā atzīts, ka </w:t>
      </w:r>
      <w:r w:rsidR="00AB1EBC" w:rsidRPr="00466FDE">
        <w:rPr>
          <w:rFonts w:asciiTheme="majorBidi" w:hAnsiTheme="majorBidi" w:cstheme="majorBidi"/>
        </w:rPr>
        <w:t xml:space="preserve">objektīvi </w:t>
      </w:r>
      <w:r w:rsidRPr="00466FDE">
        <w:rPr>
          <w:rFonts w:asciiTheme="majorBidi" w:hAnsiTheme="majorBidi" w:cstheme="majorBidi"/>
        </w:rPr>
        <w:t>krāpšana</w:t>
      </w:r>
      <w:r w:rsidR="00AB1EBC" w:rsidRPr="00466FDE">
        <w:rPr>
          <w:rFonts w:asciiTheme="majorBidi" w:hAnsiTheme="majorBidi" w:cstheme="majorBidi"/>
        </w:rPr>
        <w:t xml:space="preserve"> izpaužas </w:t>
      </w:r>
      <w:r w:rsidR="003136ED" w:rsidRPr="00466FDE">
        <w:rPr>
          <w:rFonts w:asciiTheme="majorBidi" w:hAnsiTheme="majorBidi" w:cstheme="majorBidi"/>
        </w:rPr>
        <w:t>kā</w:t>
      </w:r>
      <w:r w:rsidRPr="00466FDE">
        <w:rPr>
          <w:rFonts w:asciiTheme="majorBidi" w:hAnsiTheme="majorBidi" w:cstheme="majorBidi"/>
        </w:rPr>
        <w:t xml:space="preserve"> </w:t>
      </w:r>
      <w:r w:rsidR="00AB1EBC" w:rsidRPr="00466FDE">
        <w:rPr>
          <w:rFonts w:asciiTheme="majorBidi" w:hAnsiTheme="majorBidi" w:cstheme="majorBidi"/>
        </w:rPr>
        <w:t xml:space="preserve">svešas mantas vai tiesību uz šādu mantu </w:t>
      </w:r>
      <w:r w:rsidRPr="00466FDE">
        <w:rPr>
          <w:rFonts w:asciiTheme="majorBidi" w:hAnsiTheme="majorBidi" w:cstheme="majorBidi"/>
        </w:rPr>
        <w:t>iegūšan</w:t>
      </w:r>
      <w:r w:rsidR="00AB1EBC" w:rsidRPr="00466FDE">
        <w:rPr>
          <w:rFonts w:asciiTheme="majorBidi" w:hAnsiTheme="majorBidi" w:cstheme="majorBidi"/>
        </w:rPr>
        <w:t xml:space="preserve">a, ļaunprātīgi izmantojot uzticēšanos vai </w:t>
      </w:r>
      <w:r w:rsidR="00C57544">
        <w:rPr>
          <w:rFonts w:asciiTheme="majorBidi" w:hAnsiTheme="majorBidi" w:cstheme="majorBidi"/>
        </w:rPr>
        <w:t xml:space="preserve">ar </w:t>
      </w:r>
      <w:r w:rsidR="00AB1EBC" w:rsidRPr="00466FDE">
        <w:rPr>
          <w:rFonts w:asciiTheme="majorBidi" w:hAnsiTheme="majorBidi" w:cstheme="majorBidi"/>
        </w:rPr>
        <w:t>viltu</w:t>
      </w:r>
      <w:r w:rsidRPr="00466FDE">
        <w:rPr>
          <w:rFonts w:asciiTheme="majorBidi" w:hAnsiTheme="majorBidi" w:cstheme="majorBidi"/>
        </w:rPr>
        <w:t xml:space="preserve"> (</w:t>
      </w:r>
      <w:r w:rsidRPr="00466FDE">
        <w:rPr>
          <w:rFonts w:asciiTheme="majorBidi" w:hAnsiTheme="majorBidi" w:cstheme="majorBidi"/>
          <w:i/>
          <w:iCs/>
        </w:rPr>
        <w:t>Krastiņš</w:t>
      </w:r>
      <w:r w:rsidR="00AD6D77" w:rsidRPr="00466FDE">
        <w:rPr>
          <w:rFonts w:asciiTheme="majorBidi" w:hAnsiTheme="majorBidi" w:cstheme="majorBidi"/>
          <w:i/>
          <w:iCs/>
        </w:rPr>
        <w:t> </w:t>
      </w:r>
      <w:r w:rsidRPr="00466FDE">
        <w:rPr>
          <w:rFonts w:asciiTheme="majorBidi" w:hAnsiTheme="majorBidi" w:cstheme="majorBidi"/>
          <w:i/>
          <w:iCs/>
        </w:rPr>
        <w:t xml:space="preserve">U. 177. panta komentārs. </w:t>
      </w:r>
      <w:proofErr w:type="spellStart"/>
      <w:r w:rsidRPr="00466FDE">
        <w:rPr>
          <w:rFonts w:asciiTheme="majorBidi" w:hAnsiTheme="majorBidi" w:cstheme="majorBidi"/>
          <w:i/>
          <w:iCs/>
        </w:rPr>
        <w:t>Grām</w:t>
      </w:r>
      <w:proofErr w:type="spellEnd"/>
      <w:r w:rsidRPr="00466FDE">
        <w:rPr>
          <w:rFonts w:asciiTheme="majorBidi" w:hAnsiTheme="majorBidi" w:cstheme="majorBidi"/>
          <w:i/>
          <w:iCs/>
        </w:rPr>
        <w:t>.: Krimināllikuma komentāri. Trešā daļa (XVIII</w:t>
      </w:r>
      <w:r w:rsidR="00311320" w:rsidRPr="00466FDE">
        <w:rPr>
          <w:rFonts w:asciiTheme="majorBidi" w:hAnsiTheme="majorBidi" w:cstheme="majorBidi"/>
          <w:i/>
          <w:iCs/>
        </w:rPr>
        <w:noBreakHyphen/>
      </w:r>
      <w:r w:rsidRPr="00466FDE">
        <w:rPr>
          <w:rFonts w:asciiTheme="majorBidi" w:hAnsiTheme="majorBidi" w:cstheme="majorBidi"/>
          <w:i/>
          <w:iCs/>
        </w:rPr>
        <w:t>XXV</w:t>
      </w:r>
      <w:r w:rsidR="00311320" w:rsidRPr="00466FDE">
        <w:rPr>
          <w:rFonts w:asciiTheme="majorBidi" w:hAnsiTheme="majorBidi" w:cstheme="majorBidi"/>
          <w:i/>
          <w:iCs/>
        </w:rPr>
        <w:t> </w:t>
      </w:r>
      <w:r w:rsidRPr="00466FDE">
        <w:rPr>
          <w:rFonts w:asciiTheme="majorBidi" w:hAnsiTheme="majorBidi" w:cstheme="majorBidi"/>
          <w:i/>
          <w:iCs/>
        </w:rPr>
        <w:t xml:space="preserve">nodaļa). </w:t>
      </w:r>
      <w:r w:rsidR="005A0B31" w:rsidRPr="00466FDE">
        <w:rPr>
          <w:rFonts w:asciiTheme="majorBidi" w:hAnsiTheme="majorBidi" w:cstheme="majorBidi"/>
          <w:i/>
          <w:iCs/>
        </w:rPr>
        <w:t>T</w:t>
      </w:r>
      <w:r w:rsidRPr="00466FDE">
        <w:rPr>
          <w:rFonts w:asciiTheme="majorBidi" w:hAnsiTheme="majorBidi" w:cstheme="majorBidi"/>
          <w:i/>
          <w:iCs/>
        </w:rPr>
        <w:t>r</w:t>
      </w:r>
      <w:r w:rsidR="005A0B31" w:rsidRPr="00466FDE">
        <w:rPr>
          <w:rFonts w:asciiTheme="majorBidi" w:hAnsiTheme="majorBidi" w:cstheme="majorBidi"/>
          <w:i/>
          <w:iCs/>
        </w:rPr>
        <w:t>eš</w:t>
      </w:r>
      <w:r w:rsidRPr="00466FDE">
        <w:rPr>
          <w:rFonts w:asciiTheme="majorBidi" w:hAnsiTheme="majorBidi" w:cstheme="majorBidi"/>
          <w:i/>
          <w:iCs/>
        </w:rPr>
        <w:t>ais papildinātais izdevums.</w:t>
      </w:r>
      <w:r w:rsidRPr="00466FDE">
        <w:rPr>
          <w:rFonts w:asciiTheme="majorBidi" w:eastAsiaTheme="minorHAnsi" w:hAnsiTheme="majorBidi" w:cstheme="majorBidi"/>
          <w:lang w:eastAsia="en-US"/>
        </w:rPr>
        <w:t xml:space="preserve"> </w:t>
      </w:r>
      <w:r w:rsidRPr="00466FDE">
        <w:rPr>
          <w:rFonts w:asciiTheme="majorBidi" w:hAnsiTheme="majorBidi" w:cstheme="majorBidi"/>
          <w:i/>
          <w:iCs/>
        </w:rPr>
        <w:t>Krastiņš</w:t>
      </w:r>
      <w:r w:rsidR="00AD6D77" w:rsidRPr="00466FDE">
        <w:rPr>
          <w:rFonts w:asciiTheme="majorBidi" w:hAnsiTheme="majorBidi" w:cstheme="majorBidi"/>
          <w:i/>
          <w:iCs/>
        </w:rPr>
        <w:t> </w:t>
      </w:r>
      <w:r w:rsidRPr="00466FDE">
        <w:rPr>
          <w:rFonts w:asciiTheme="majorBidi" w:hAnsiTheme="majorBidi" w:cstheme="majorBidi"/>
          <w:i/>
          <w:iCs/>
        </w:rPr>
        <w:t xml:space="preserve">U., </w:t>
      </w:r>
      <w:proofErr w:type="spellStart"/>
      <w:r w:rsidRPr="00466FDE">
        <w:rPr>
          <w:rFonts w:asciiTheme="majorBidi" w:hAnsiTheme="majorBidi" w:cstheme="majorBidi"/>
          <w:i/>
          <w:iCs/>
        </w:rPr>
        <w:t>Liholaja</w:t>
      </w:r>
      <w:proofErr w:type="spellEnd"/>
      <w:r w:rsidR="00C57544">
        <w:rPr>
          <w:rFonts w:asciiTheme="majorBidi" w:hAnsiTheme="majorBidi" w:cstheme="majorBidi"/>
          <w:i/>
          <w:iCs/>
        </w:rPr>
        <w:t> </w:t>
      </w:r>
      <w:r w:rsidRPr="00466FDE">
        <w:rPr>
          <w:rFonts w:asciiTheme="majorBidi" w:hAnsiTheme="majorBidi" w:cstheme="majorBidi"/>
          <w:i/>
          <w:iCs/>
        </w:rPr>
        <w:t xml:space="preserve">V., </w:t>
      </w:r>
      <w:proofErr w:type="spellStart"/>
      <w:r w:rsidRPr="00466FDE">
        <w:rPr>
          <w:rFonts w:asciiTheme="majorBidi" w:hAnsiTheme="majorBidi" w:cstheme="majorBidi"/>
          <w:i/>
          <w:iCs/>
        </w:rPr>
        <w:t>Hamkova</w:t>
      </w:r>
      <w:proofErr w:type="spellEnd"/>
      <w:r w:rsidR="00AD6D77" w:rsidRPr="00466FDE">
        <w:rPr>
          <w:rFonts w:asciiTheme="majorBidi" w:hAnsiTheme="majorBidi" w:cstheme="majorBidi"/>
          <w:i/>
          <w:iCs/>
        </w:rPr>
        <w:t> </w:t>
      </w:r>
      <w:r w:rsidRPr="00466FDE">
        <w:rPr>
          <w:rFonts w:asciiTheme="majorBidi" w:hAnsiTheme="majorBidi" w:cstheme="majorBidi"/>
          <w:i/>
          <w:iCs/>
        </w:rPr>
        <w:t>D. Rīga: Tiesu namu aģentūra, 20</w:t>
      </w:r>
      <w:r w:rsidR="005A0B31" w:rsidRPr="00466FDE">
        <w:rPr>
          <w:rFonts w:asciiTheme="majorBidi" w:hAnsiTheme="majorBidi" w:cstheme="majorBidi"/>
          <w:i/>
          <w:iCs/>
        </w:rPr>
        <w:t>23</w:t>
      </w:r>
      <w:r w:rsidRPr="00466FDE">
        <w:rPr>
          <w:rFonts w:asciiTheme="majorBidi" w:hAnsiTheme="majorBidi" w:cstheme="majorBidi"/>
          <w:i/>
          <w:iCs/>
        </w:rPr>
        <w:t xml:space="preserve">, </w:t>
      </w:r>
      <w:r w:rsidR="00AB1EBC" w:rsidRPr="00466FDE">
        <w:rPr>
          <w:rFonts w:asciiTheme="majorBidi" w:hAnsiTheme="majorBidi" w:cstheme="majorBidi"/>
          <w:i/>
          <w:iCs/>
        </w:rPr>
        <w:t>47</w:t>
      </w:r>
      <w:r w:rsidRPr="00466FDE">
        <w:rPr>
          <w:rFonts w:asciiTheme="majorBidi" w:hAnsiTheme="majorBidi" w:cstheme="majorBidi"/>
          <w:i/>
          <w:iCs/>
        </w:rPr>
        <w:t>. lpp</w:t>
      </w:r>
      <w:r w:rsidR="0031019F">
        <w:rPr>
          <w:rFonts w:asciiTheme="majorBidi" w:hAnsiTheme="majorBidi" w:cstheme="majorBidi"/>
          <w:i/>
          <w:iCs/>
        </w:rPr>
        <w:t>.</w:t>
      </w:r>
      <w:r w:rsidRPr="00466FDE">
        <w:rPr>
          <w:rFonts w:asciiTheme="majorBidi" w:hAnsiTheme="majorBidi" w:cstheme="majorBidi"/>
          <w:i/>
          <w:iCs/>
        </w:rPr>
        <w:t xml:space="preserve">). </w:t>
      </w:r>
      <w:r w:rsidRPr="00466FDE">
        <w:rPr>
          <w:rFonts w:asciiTheme="majorBidi" w:hAnsiTheme="majorBidi" w:cstheme="majorBidi"/>
        </w:rPr>
        <w:t>Ievērojot minēto, Senāts norāda, ka no valsts budžeta izkrāpto finanšu līdzekļu tālāka pārskaitīšana neietilpst krāpšanas sastāva objektīvās puses pazīmju kopumā.</w:t>
      </w:r>
    </w:p>
    <w:p w14:paraId="7A9C9E8D" w14:textId="5D54F6B0" w:rsidR="00B14970" w:rsidRPr="00466FDE" w:rsidRDefault="00AB1EBC" w:rsidP="00466FDE">
      <w:pPr>
        <w:spacing w:line="276" w:lineRule="auto"/>
        <w:ind w:firstLine="720"/>
        <w:jc w:val="both"/>
        <w:rPr>
          <w:rStyle w:val="Hyperlink"/>
          <w:rFonts w:asciiTheme="majorBidi" w:hAnsiTheme="majorBidi" w:cstheme="majorBidi"/>
          <w:color w:val="auto"/>
          <w:u w:val="none"/>
          <w:shd w:val="clear" w:color="auto" w:fill="FFFFFF"/>
        </w:rPr>
      </w:pPr>
      <w:r w:rsidRPr="00466FDE">
        <w:rPr>
          <w:rFonts w:asciiTheme="majorBidi" w:eastAsiaTheme="minorHAnsi" w:hAnsiTheme="majorBidi" w:cstheme="majorBidi"/>
          <w:lang w:eastAsia="en-US"/>
        </w:rPr>
        <w:t>Senāts jau agrāk ir norādījis</w:t>
      </w:r>
      <w:r w:rsidRPr="00466FDE">
        <w:rPr>
          <w:rStyle w:val="Hyperlink"/>
          <w:rFonts w:asciiTheme="majorBidi" w:hAnsiTheme="majorBidi" w:cstheme="majorBidi"/>
          <w:color w:val="auto"/>
          <w:u w:val="none"/>
          <w:shd w:val="clear" w:color="auto" w:fill="FFFFFF"/>
        </w:rPr>
        <w:t>, ka u</w:t>
      </w:r>
      <w:r w:rsidR="00B14970" w:rsidRPr="00466FDE">
        <w:rPr>
          <w:rStyle w:val="Hyperlink"/>
          <w:rFonts w:asciiTheme="majorBidi" w:hAnsiTheme="majorBidi" w:cstheme="majorBidi"/>
          <w:color w:val="auto"/>
          <w:u w:val="none"/>
          <w:shd w:val="clear" w:color="auto" w:fill="FFFFFF"/>
        </w:rPr>
        <w:t>z deklarēto fiktīvo darījumu pamata veiktie naudas pārskaitījumi veido Krimināllikuma 195. pantā paredzētā noziedzīgā nodarījuma sastāva objektīvo pusi (</w:t>
      </w:r>
      <w:r w:rsidR="00B14970" w:rsidRPr="00466FDE">
        <w:rPr>
          <w:rFonts w:asciiTheme="majorBidi" w:hAnsiTheme="majorBidi" w:cstheme="majorBidi"/>
          <w:i/>
        </w:rPr>
        <w:t>Senāta 2023. gada 1. februāra lēmum</w:t>
      </w:r>
      <w:r w:rsidR="007955BD" w:rsidRPr="00466FDE">
        <w:rPr>
          <w:rFonts w:asciiTheme="majorBidi" w:hAnsiTheme="majorBidi" w:cstheme="majorBidi"/>
          <w:i/>
        </w:rPr>
        <w:t>a</w:t>
      </w:r>
      <w:r w:rsidR="00B14970" w:rsidRPr="00466FDE">
        <w:rPr>
          <w:rFonts w:asciiTheme="majorBidi" w:hAnsiTheme="majorBidi" w:cstheme="majorBidi"/>
          <w:i/>
        </w:rPr>
        <w:t xml:space="preserve"> lietā Nr. </w:t>
      </w:r>
      <w:hyperlink r:id="rId9" w:history="1">
        <w:r w:rsidR="00B14970" w:rsidRPr="00466FDE">
          <w:rPr>
            <w:rStyle w:val="Hyperlink"/>
            <w:rFonts w:asciiTheme="majorBidi" w:hAnsiTheme="majorBidi" w:cstheme="majorBidi"/>
            <w:i/>
            <w:color w:val="auto"/>
            <w:u w:val="none"/>
          </w:rPr>
          <w:t>SKK</w:t>
        </w:r>
        <w:r w:rsidR="007955BD" w:rsidRPr="00466FDE">
          <w:rPr>
            <w:rStyle w:val="Hyperlink"/>
            <w:rFonts w:asciiTheme="majorBidi" w:hAnsiTheme="majorBidi" w:cstheme="majorBidi"/>
            <w:i/>
            <w:color w:val="auto"/>
            <w:u w:val="none"/>
          </w:rPr>
          <w:noBreakHyphen/>
        </w:r>
        <w:r w:rsidR="00B14970" w:rsidRPr="00466FDE">
          <w:rPr>
            <w:rStyle w:val="Hyperlink"/>
            <w:rFonts w:asciiTheme="majorBidi" w:hAnsiTheme="majorBidi" w:cstheme="majorBidi"/>
            <w:i/>
            <w:color w:val="auto"/>
            <w:u w:val="none"/>
          </w:rPr>
          <w:t>1/2023</w:t>
        </w:r>
      </w:hyperlink>
      <w:r w:rsidR="00B14970" w:rsidRPr="00466FDE">
        <w:rPr>
          <w:rFonts w:asciiTheme="majorBidi" w:hAnsiTheme="majorBidi" w:cstheme="majorBidi"/>
          <w:i/>
        </w:rPr>
        <w:t xml:space="preserve">, </w:t>
      </w:r>
      <w:hyperlink r:id="rId10" w:history="1">
        <w:r w:rsidR="007955BD" w:rsidRPr="00466FDE">
          <w:rPr>
            <w:rStyle w:val="Hyperlink"/>
            <w:rFonts w:asciiTheme="majorBidi" w:hAnsiTheme="majorBidi" w:cstheme="majorBidi"/>
            <w:i/>
            <w:shd w:val="clear" w:color="auto" w:fill="FFFFFF"/>
          </w:rPr>
          <w:t>ECLI:LV:AT:2023:0201.12507000710.8.L</w:t>
        </w:r>
      </w:hyperlink>
      <w:r w:rsidR="007955BD" w:rsidRPr="00466FDE">
        <w:rPr>
          <w:rFonts w:asciiTheme="majorBidi" w:hAnsiTheme="majorBidi" w:cstheme="majorBidi"/>
          <w:i/>
          <w:shd w:val="clear" w:color="auto" w:fill="FFFFFF"/>
        </w:rPr>
        <w:t>, 9.5. punkts</w:t>
      </w:r>
      <w:r w:rsidR="00B14970" w:rsidRPr="00466FDE">
        <w:rPr>
          <w:rStyle w:val="Hyperlink"/>
          <w:rFonts w:asciiTheme="majorBidi" w:hAnsiTheme="majorBidi" w:cstheme="majorBidi"/>
          <w:color w:val="auto"/>
          <w:u w:val="none"/>
          <w:shd w:val="clear" w:color="auto" w:fill="FFFFFF"/>
        </w:rPr>
        <w:t>).</w:t>
      </w:r>
    </w:p>
    <w:p w14:paraId="657B7DC2" w14:textId="4CB79895" w:rsidR="00B14970" w:rsidRPr="00466FDE" w:rsidRDefault="00B14970" w:rsidP="00466FDE">
      <w:pPr>
        <w:widowControl w:val="0"/>
        <w:tabs>
          <w:tab w:val="left" w:pos="709"/>
        </w:tabs>
        <w:spacing w:line="276" w:lineRule="auto"/>
        <w:ind w:firstLine="720"/>
        <w:jc w:val="both"/>
        <w:rPr>
          <w:rFonts w:asciiTheme="majorBidi" w:hAnsiTheme="majorBidi" w:cstheme="majorBidi"/>
        </w:rPr>
      </w:pPr>
      <w:r w:rsidRPr="00417026">
        <w:rPr>
          <w:rFonts w:asciiTheme="majorBidi" w:hAnsiTheme="majorBidi" w:cstheme="majorBidi"/>
        </w:rPr>
        <w:t>[</w:t>
      </w:r>
      <w:r w:rsidR="002377D6" w:rsidRPr="00417026">
        <w:rPr>
          <w:rFonts w:asciiTheme="majorBidi" w:hAnsiTheme="majorBidi" w:cstheme="majorBidi"/>
        </w:rPr>
        <w:t>5</w:t>
      </w:r>
      <w:r w:rsidRPr="00417026">
        <w:rPr>
          <w:rFonts w:asciiTheme="majorBidi" w:hAnsiTheme="majorBidi" w:cstheme="majorBidi"/>
        </w:rPr>
        <w:t>.2.3]</w:t>
      </w:r>
      <w:r w:rsidR="00B27241" w:rsidRPr="00417026">
        <w:rPr>
          <w:rFonts w:asciiTheme="majorBidi" w:hAnsiTheme="majorBidi" w:cstheme="majorBidi"/>
        </w:rPr>
        <w:t> </w:t>
      </w:r>
      <w:r w:rsidRPr="00417026">
        <w:rPr>
          <w:rFonts w:asciiTheme="majorBidi" w:hAnsiTheme="majorBidi" w:cstheme="majorBidi"/>
        </w:rPr>
        <w:t>Tiesību doktrīnā pausta atziņa, ka noziedzīga nodarījuma subjektīvā puse ir noziedzīgu nodarījumu izdarījušās personas (nodarījuma subjekta) psihiskā darbība, kas tieši saistīta ar viņa</w:t>
      </w:r>
      <w:r w:rsidR="00926C9A" w:rsidRPr="00417026">
        <w:rPr>
          <w:rFonts w:asciiTheme="majorBidi" w:hAnsiTheme="majorBidi" w:cstheme="majorBidi"/>
        </w:rPr>
        <w:t>s</w:t>
      </w:r>
      <w:r w:rsidRPr="00417026">
        <w:rPr>
          <w:rFonts w:asciiTheme="majorBidi" w:hAnsiTheme="majorBidi" w:cstheme="majorBidi"/>
        </w:rPr>
        <w:t xml:space="preserve"> izdarīto (nodarījuma objektīvajām pazīmēm), un tā apvieno vienotā veselā personas psihiskās darbības intelektuālos un gribas procesus (</w:t>
      </w:r>
      <w:r w:rsidRPr="00417026">
        <w:rPr>
          <w:rFonts w:asciiTheme="majorBidi" w:hAnsiTheme="majorBidi" w:cstheme="majorBidi"/>
          <w:i/>
        </w:rPr>
        <w:t>Krastiņš</w:t>
      </w:r>
      <w:r w:rsidR="00D63E36" w:rsidRPr="00417026">
        <w:rPr>
          <w:rFonts w:asciiTheme="majorBidi" w:hAnsiTheme="majorBidi" w:cstheme="majorBidi"/>
          <w:i/>
        </w:rPr>
        <w:t> </w:t>
      </w:r>
      <w:r w:rsidRPr="00417026">
        <w:rPr>
          <w:rFonts w:asciiTheme="majorBidi" w:hAnsiTheme="majorBidi" w:cstheme="majorBidi"/>
          <w:i/>
        </w:rPr>
        <w:t>U. Noziedzīga nodarījuma sastāvs un nodarījuma kvalifikācija. Teorētiskie aspekti. Rīga: Tiesu namu aģentūra, 2014, 127. lpp.</w:t>
      </w:r>
      <w:r w:rsidRPr="00417026">
        <w:rPr>
          <w:rFonts w:asciiTheme="majorBidi" w:hAnsiTheme="majorBidi" w:cstheme="majorBidi"/>
        </w:rPr>
        <w:t>).</w:t>
      </w:r>
    </w:p>
    <w:p w14:paraId="4D94631A" w14:textId="617F8EAD" w:rsidR="00B14970" w:rsidRPr="00466FDE" w:rsidRDefault="00B14970" w:rsidP="00466FDE">
      <w:pPr>
        <w:spacing w:line="276" w:lineRule="auto"/>
        <w:ind w:firstLine="720"/>
        <w:jc w:val="both"/>
        <w:rPr>
          <w:rStyle w:val="Hyperlink"/>
          <w:rFonts w:asciiTheme="majorBidi" w:hAnsiTheme="majorBidi" w:cstheme="majorBidi"/>
          <w:color w:val="auto"/>
          <w:u w:val="none"/>
          <w:shd w:val="clear" w:color="auto" w:fill="FFFFFF"/>
        </w:rPr>
      </w:pPr>
      <w:r w:rsidRPr="00466FDE">
        <w:rPr>
          <w:rFonts w:asciiTheme="majorBidi" w:eastAsiaTheme="minorHAnsi" w:hAnsiTheme="majorBidi" w:cstheme="majorBidi"/>
          <w:lang w:eastAsia="en-US"/>
        </w:rPr>
        <w:t xml:space="preserve">Senāts </w:t>
      </w:r>
      <w:r w:rsidR="004B0DF8" w:rsidRPr="00466FDE">
        <w:rPr>
          <w:rFonts w:asciiTheme="majorBidi" w:eastAsiaTheme="minorHAnsi" w:hAnsiTheme="majorBidi" w:cstheme="majorBidi"/>
          <w:lang w:eastAsia="en-US"/>
        </w:rPr>
        <w:t>ir norādījis</w:t>
      </w:r>
      <w:r w:rsidRPr="00466FDE">
        <w:rPr>
          <w:rFonts w:asciiTheme="majorBidi" w:eastAsiaTheme="minorHAnsi" w:hAnsiTheme="majorBidi" w:cstheme="majorBidi"/>
          <w:lang w:eastAsia="en-US"/>
        </w:rPr>
        <w:t>, ka apsūdzētās personas nodoma patieso saturu atklāj arī viņa faktiskās darbības (</w:t>
      </w:r>
      <w:r w:rsidRPr="00466FDE">
        <w:rPr>
          <w:rFonts w:asciiTheme="majorBidi" w:eastAsiaTheme="minorHAnsi" w:hAnsiTheme="majorBidi" w:cstheme="majorBidi"/>
          <w:i/>
          <w:iCs/>
          <w:lang w:eastAsia="en-US"/>
        </w:rPr>
        <w:t>Senāta 2006. gada 28. decembra lēmums lietā Nr. </w:t>
      </w:r>
      <w:hyperlink r:id="rId11" w:history="1">
        <w:r w:rsidR="000F3856" w:rsidRPr="00466FDE">
          <w:rPr>
            <w:rStyle w:val="Hyperlink"/>
            <w:rFonts w:asciiTheme="majorBidi" w:eastAsiaTheme="minorHAnsi" w:hAnsiTheme="majorBidi" w:cstheme="majorBidi"/>
            <w:i/>
            <w:iCs/>
            <w:lang w:eastAsia="en-US"/>
          </w:rPr>
          <w:t>SKK</w:t>
        </w:r>
        <w:r w:rsidR="000F3856" w:rsidRPr="00466FDE">
          <w:rPr>
            <w:rStyle w:val="Hyperlink"/>
            <w:rFonts w:asciiTheme="majorBidi" w:eastAsiaTheme="minorHAnsi" w:hAnsiTheme="majorBidi" w:cstheme="majorBidi"/>
            <w:i/>
            <w:iCs/>
            <w:lang w:eastAsia="en-US"/>
          </w:rPr>
          <w:noBreakHyphen/>
          <w:t>770/2006</w:t>
        </w:r>
      </w:hyperlink>
      <w:r w:rsidRPr="00466FDE">
        <w:rPr>
          <w:rFonts w:asciiTheme="majorBidi" w:eastAsiaTheme="minorHAnsi" w:hAnsiTheme="majorBidi" w:cstheme="majorBidi"/>
          <w:i/>
          <w:iCs/>
          <w:lang w:eastAsia="en-US"/>
        </w:rPr>
        <w:t>, 1130025500</w:t>
      </w:r>
      <w:r w:rsidRPr="00466FDE">
        <w:rPr>
          <w:rFonts w:asciiTheme="majorBidi" w:eastAsiaTheme="minorHAnsi" w:hAnsiTheme="majorBidi" w:cstheme="majorBidi"/>
          <w:lang w:eastAsia="en-US"/>
        </w:rPr>
        <w:t>).</w:t>
      </w:r>
    </w:p>
    <w:p w14:paraId="52FFCCDE" w14:textId="4533DA79" w:rsidR="009C0E52" w:rsidRPr="00466FDE" w:rsidRDefault="00B14970" w:rsidP="00466FDE">
      <w:pPr>
        <w:spacing w:line="276" w:lineRule="auto"/>
        <w:ind w:firstLine="720"/>
        <w:jc w:val="both"/>
        <w:rPr>
          <w:rStyle w:val="Hyperlink"/>
          <w:rFonts w:asciiTheme="majorBidi" w:hAnsiTheme="majorBidi" w:cstheme="majorBidi"/>
          <w:color w:val="auto"/>
          <w:u w:val="none"/>
          <w:shd w:val="clear" w:color="auto" w:fill="FFFFFF"/>
        </w:rPr>
      </w:pPr>
      <w:r w:rsidRPr="00466FDE">
        <w:rPr>
          <w:rStyle w:val="Hyperlink"/>
          <w:rFonts w:asciiTheme="majorBidi" w:hAnsiTheme="majorBidi" w:cstheme="majorBidi"/>
          <w:color w:val="auto"/>
          <w:u w:val="none"/>
          <w:shd w:val="clear" w:color="auto" w:fill="FFFFFF"/>
        </w:rPr>
        <w:t>Senāts arī atzinis, ka  </w:t>
      </w:r>
      <w:r w:rsidRPr="00466FDE">
        <w:rPr>
          <w:rFonts w:asciiTheme="majorBidi" w:hAnsiTheme="majorBidi" w:cstheme="majorBidi"/>
        </w:rPr>
        <w:t>Krimināllikuma 195. panta trešajā daļā paredzētā noziedzīgā nodarījuma subjektīvā puse ir konstatējama, ja pārskaitījuma mērķis ir bijis radīt noziedzīgajā nodarījumā neiesaistītām trešajām personām, tajā skaitā bankām un Valsts ieņēmumu dienestam, maldīgu priekšstatu, ka darījums, uz kura pamata naudas līdzekļi pārskaitīti, faktiski ir noticis un ka naudas līdzekļi iegūti tiesiski (</w:t>
      </w:r>
      <w:r w:rsidR="00281615" w:rsidRPr="00466FDE">
        <w:rPr>
          <w:rStyle w:val="Hyperlink"/>
          <w:rFonts w:asciiTheme="majorBidi" w:hAnsiTheme="majorBidi" w:cstheme="majorBidi"/>
          <w:i/>
          <w:color w:val="auto"/>
          <w:u w:val="none"/>
          <w:shd w:val="clear" w:color="auto" w:fill="FFFFFF"/>
        </w:rPr>
        <w:t>Senāta 2021. gada 15. decembra lēmuma lietā Nr. </w:t>
      </w:r>
      <w:hyperlink r:id="rId12" w:history="1">
        <w:r w:rsidR="00281615" w:rsidRPr="00466FDE">
          <w:rPr>
            <w:rStyle w:val="Hyperlink"/>
            <w:rFonts w:asciiTheme="majorBidi" w:hAnsiTheme="majorBidi" w:cstheme="majorBidi"/>
            <w:i/>
            <w:color w:val="auto"/>
            <w:u w:val="none"/>
            <w:shd w:val="clear" w:color="auto" w:fill="FFFFFF"/>
          </w:rPr>
          <w:t>SKK</w:t>
        </w:r>
        <w:r w:rsidR="00281615" w:rsidRPr="00466FDE">
          <w:rPr>
            <w:rStyle w:val="Hyperlink"/>
            <w:rFonts w:asciiTheme="majorBidi" w:hAnsiTheme="majorBidi" w:cstheme="majorBidi"/>
            <w:i/>
            <w:color w:val="auto"/>
            <w:u w:val="none"/>
            <w:shd w:val="clear" w:color="auto" w:fill="FFFFFF"/>
          </w:rPr>
          <w:noBreakHyphen/>
          <w:t>153/2021</w:t>
        </w:r>
      </w:hyperlink>
      <w:r w:rsidR="00281615" w:rsidRPr="00466FDE">
        <w:rPr>
          <w:rStyle w:val="Hyperlink"/>
          <w:rFonts w:asciiTheme="majorBidi" w:hAnsiTheme="majorBidi" w:cstheme="majorBidi"/>
          <w:i/>
          <w:color w:val="auto"/>
          <w:u w:val="none"/>
          <w:shd w:val="clear" w:color="auto" w:fill="FFFFFF"/>
        </w:rPr>
        <w:t xml:space="preserve">, </w:t>
      </w:r>
      <w:hyperlink r:id="rId13" w:history="1">
        <w:r w:rsidR="00281615" w:rsidRPr="00466FDE">
          <w:rPr>
            <w:rStyle w:val="Hyperlink"/>
            <w:rFonts w:asciiTheme="majorBidi" w:hAnsiTheme="majorBidi" w:cstheme="majorBidi"/>
            <w:i/>
            <w:shd w:val="clear" w:color="auto" w:fill="FFFFFF"/>
          </w:rPr>
          <w:t>ECLI:LV:AT:2021:1215.15830110509.3.L</w:t>
        </w:r>
      </w:hyperlink>
      <w:r w:rsidR="00281615" w:rsidRPr="00466FDE">
        <w:rPr>
          <w:rStyle w:val="Hyperlink"/>
          <w:rFonts w:asciiTheme="majorBidi" w:hAnsiTheme="majorBidi" w:cstheme="majorBidi"/>
          <w:color w:val="auto"/>
          <w:u w:val="none"/>
          <w:shd w:val="clear" w:color="auto" w:fill="FFFFFF"/>
        </w:rPr>
        <w:t xml:space="preserve">, </w:t>
      </w:r>
      <w:r w:rsidR="00281615" w:rsidRPr="00466FDE">
        <w:rPr>
          <w:rStyle w:val="Hyperlink"/>
          <w:rFonts w:asciiTheme="majorBidi" w:hAnsiTheme="majorBidi" w:cstheme="majorBidi"/>
          <w:i/>
          <w:color w:val="auto"/>
          <w:u w:val="none"/>
          <w:shd w:val="clear" w:color="auto" w:fill="FFFFFF"/>
        </w:rPr>
        <w:t>13.3. punkts</w:t>
      </w:r>
      <w:r w:rsidR="00281615">
        <w:rPr>
          <w:rStyle w:val="Hyperlink"/>
          <w:rFonts w:asciiTheme="majorBidi" w:hAnsiTheme="majorBidi" w:cstheme="majorBidi"/>
          <w:i/>
          <w:color w:val="auto"/>
          <w:u w:val="none"/>
          <w:shd w:val="clear" w:color="auto" w:fill="FFFFFF"/>
        </w:rPr>
        <w:t xml:space="preserve">, </w:t>
      </w:r>
      <w:r w:rsidRPr="00466FDE">
        <w:rPr>
          <w:rFonts w:asciiTheme="majorBidi" w:hAnsiTheme="majorBidi" w:cstheme="majorBidi"/>
          <w:i/>
        </w:rPr>
        <w:t>2023. gada 1. februāra lēmum</w:t>
      </w:r>
      <w:r w:rsidR="00D1168D" w:rsidRPr="00466FDE">
        <w:rPr>
          <w:rFonts w:asciiTheme="majorBidi" w:hAnsiTheme="majorBidi" w:cstheme="majorBidi"/>
          <w:i/>
        </w:rPr>
        <w:t>a</w:t>
      </w:r>
      <w:r w:rsidRPr="00466FDE">
        <w:rPr>
          <w:rFonts w:asciiTheme="majorBidi" w:hAnsiTheme="majorBidi" w:cstheme="majorBidi"/>
          <w:i/>
        </w:rPr>
        <w:t xml:space="preserve"> lietā Nr. </w:t>
      </w:r>
      <w:hyperlink r:id="rId14" w:history="1">
        <w:r w:rsidRPr="00466FDE">
          <w:rPr>
            <w:rStyle w:val="Hyperlink"/>
            <w:rFonts w:asciiTheme="majorBidi" w:hAnsiTheme="majorBidi" w:cstheme="majorBidi"/>
            <w:i/>
            <w:color w:val="auto"/>
            <w:u w:val="none"/>
          </w:rPr>
          <w:t>SKK</w:t>
        </w:r>
        <w:r w:rsidR="00D1168D" w:rsidRPr="00466FDE">
          <w:rPr>
            <w:rStyle w:val="Hyperlink"/>
            <w:rFonts w:asciiTheme="majorBidi" w:hAnsiTheme="majorBidi" w:cstheme="majorBidi"/>
            <w:i/>
            <w:color w:val="auto"/>
            <w:u w:val="none"/>
          </w:rPr>
          <w:noBreakHyphen/>
        </w:r>
        <w:r w:rsidRPr="00466FDE">
          <w:rPr>
            <w:rStyle w:val="Hyperlink"/>
            <w:rFonts w:asciiTheme="majorBidi" w:hAnsiTheme="majorBidi" w:cstheme="majorBidi"/>
            <w:i/>
            <w:color w:val="auto"/>
            <w:u w:val="none"/>
          </w:rPr>
          <w:t>1/2023</w:t>
        </w:r>
      </w:hyperlink>
      <w:r w:rsidRPr="00466FDE">
        <w:rPr>
          <w:rFonts w:asciiTheme="majorBidi" w:hAnsiTheme="majorBidi" w:cstheme="majorBidi"/>
          <w:i/>
        </w:rPr>
        <w:t xml:space="preserve">, </w:t>
      </w:r>
      <w:hyperlink r:id="rId15" w:history="1">
        <w:r w:rsidR="00D1168D" w:rsidRPr="00466FDE">
          <w:rPr>
            <w:rStyle w:val="Hyperlink"/>
            <w:rFonts w:asciiTheme="majorBidi" w:hAnsiTheme="majorBidi" w:cstheme="majorBidi"/>
            <w:i/>
            <w:shd w:val="clear" w:color="auto" w:fill="FFFFFF"/>
          </w:rPr>
          <w:t>ECLI:LV:AT:2023:0201.12507000710.8.L</w:t>
        </w:r>
      </w:hyperlink>
      <w:r w:rsidRPr="00466FDE">
        <w:rPr>
          <w:rStyle w:val="Hyperlink"/>
          <w:rFonts w:asciiTheme="majorBidi" w:hAnsiTheme="majorBidi" w:cstheme="majorBidi"/>
          <w:color w:val="auto"/>
          <w:u w:val="none"/>
          <w:shd w:val="clear" w:color="auto" w:fill="FFFFFF"/>
        </w:rPr>
        <w:t xml:space="preserve">, </w:t>
      </w:r>
      <w:r w:rsidRPr="00466FDE">
        <w:rPr>
          <w:rStyle w:val="Hyperlink"/>
          <w:rFonts w:asciiTheme="majorBidi" w:hAnsiTheme="majorBidi" w:cstheme="majorBidi"/>
          <w:i/>
          <w:color w:val="auto"/>
          <w:u w:val="none"/>
          <w:shd w:val="clear" w:color="auto" w:fill="FFFFFF"/>
        </w:rPr>
        <w:t>10.3. punkts</w:t>
      </w:r>
      <w:r w:rsidRPr="00466FDE">
        <w:rPr>
          <w:rStyle w:val="Hyperlink"/>
          <w:rFonts w:asciiTheme="majorBidi" w:hAnsiTheme="majorBidi" w:cstheme="majorBidi"/>
          <w:color w:val="auto"/>
          <w:u w:val="none"/>
          <w:shd w:val="clear" w:color="auto" w:fill="FFFFFF"/>
        </w:rPr>
        <w:t>).</w:t>
      </w:r>
    </w:p>
    <w:p w14:paraId="4153725B" w14:textId="5E0090A3" w:rsidR="00B14970" w:rsidRPr="00466FDE" w:rsidRDefault="009C0E52" w:rsidP="00466FDE">
      <w:pPr>
        <w:spacing w:line="276" w:lineRule="auto"/>
        <w:ind w:firstLine="720"/>
        <w:jc w:val="both"/>
        <w:rPr>
          <w:rFonts w:asciiTheme="majorBidi" w:hAnsiTheme="majorBidi" w:cstheme="majorBidi"/>
          <w:shd w:val="clear" w:color="auto" w:fill="FFFFFF"/>
        </w:rPr>
      </w:pPr>
      <w:bookmarkStart w:id="17" w:name="_Hlk162968926"/>
      <w:r w:rsidRPr="00466FDE">
        <w:rPr>
          <w:rStyle w:val="Hyperlink"/>
          <w:rFonts w:asciiTheme="majorBidi" w:hAnsiTheme="majorBidi" w:cstheme="majorBidi"/>
          <w:color w:val="auto"/>
          <w:u w:val="none"/>
          <w:shd w:val="clear" w:color="auto" w:fill="FFFFFF"/>
        </w:rPr>
        <w:t>Senāts norāda, ka, lai arī a</w:t>
      </w:r>
      <w:r w:rsidR="00B14970" w:rsidRPr="00466FDE">
        <w:rPr>
          <w:rStyle w:val="Hyperlink"/>
          <w:rFonts w:asciiTheme="majorBidi" w:hAnsiTheme="majorBidi" w:cstheme="majorBidi"/>
          <w:color w:val="auto"/>
          <w:u w:val="none"/>
          <w:shd w:val="clear" w:color="auto" w:fill="FFFFFF"/>
        </w:rPr>
        <w:t>pelācijas instances tiesa</w:t>
      </w:r>
      <w:r w:rsidRPr="00466FDE">
        <w:rPr>
          <w:rStyle w:val="Hyperlink"/>
          <w:rFonts w:asciiTheme="majorBidi" w:hAnsiTheme="majorBidi" w:cstheme="majorBidi"/>
          <w:color w:val="auto"/>
          <w:u w:val="none"/>
          <w:shd w:val="clear" w:color="auto" w:fill="FFFFFF"/>
        </w:rPr>
        <w:t xml:space="preserve"> pamatoti atzinusi, ka </w:t>
      </w:r>
      <w:r w:rsidRPr="00466FDE">
        <w:rPr>
          <w:rFonts w:asciiTheme="majorBidi" w:hAnsiTheme="majorBidi" w:cstheme="majorBidi"/>
        </w:rPr>
        <w:t xml:space="preserve">nodarījums saskaņā ar Krimināllikuma 195. pantu kvalificējams tikai tad, ja konstatēts, ka persona šīs darbības izdarījusi nolūkā slēpt vai maskēt šo līdzekļu noziedzīgo izcelsmi, tomēr tiesa </w:t>
      </w:r>
      <w:r w:rsidR="00B14970" w:rsidRPr="00466FDE">
        <w:rPr>
          <w:rStyle w:val="Hyperlink"/>
          <w:rFonts w:asciiTheme="majorBidi" w:hAnsiTheme="majorBidi" w:cstheme="majorBidi"/>
          <w:color w:val="auto"/>
          <w:u w:val="none"/>
          <w:shd w:val="clear" w:color="auto" w:fill="FFFFFF"/>
        </w:rPr>
        <w:t>nav ņēmusi vērā, ka š</w:t>
      </w:r>
      <w:r w:rsidR="00B14970" w:rsidRPr="00466FDE">
        <w:rPr>
          <w:rFonts w:asciiTheme="majorBidi" w:hAnsiTheme="majorBidi" w:cstheme="majorBidi"/>
        </w:rPr>
        <w:t xml:space="preserve">ādu personas rīcību var determinēt gan vēlme izvairīties no atbildības par izdarīto </w:t>
      </w:r>
      <w:r w:rsidR="00B14970" w:rsidRPr="00466FDE">
        <w:rPr>
          <w:rFonts w:asciiTheme="majorBidi" w:hAnsiTheme="majorBidi" w:cstheme="majorBidi"/>
          <w:color w:val="000000" w:themeColor="text1"/>
        </w:rPr>
        <w:t>predikatīvo noziedzīgo nodarījumu, gan labuma gūšana no noziedzīgi iegūtā nākotnē sev vai citām personām (</w:t>
      </w:r>
      <w:r w:rsidR="00482BDD" w:rsidRPr="00466FDE">
        <w:rPr>
          <w:rFonts w:asciiTheme="majorBidi" w:hAnsiTheme="majorBidi" w:cstheme="majorBidi"/>
          <w:color w:val="000000" w:themeColor="text1"/>
        </w:rPr>
        <w:t xml:space="preserve">sk. </w:t>
      </w:r>
      <w:r w:rsidR="00EB7120" w:rsidRPr="00466FDE">
        <w:rPr>
          <w:rFonts w:asciiTheme="majorBidi" w:hAnsiTheme="majorBidi" w:cstheme="majorBidi"/>
          <w:i/>
          <w:iCs/>
          <w:color w:val="000000" w:themeColor="text1"/>
        </w:rPr>
        <w:t>tiesu prakses apkopojums „</w:t>
      </w:r>
      <w:hyperlink r:id="rId16" w:history="1">
        <w:r w:rsidR="00EB7120" w:rsidRPr="00466FDE">
          <w:rPr>
            <w:rStyle w:val="Hyperlink"/>
            <w:rFonts w:asciiTheme="majorBidi" w:hAnsiTheme="majorBidi" w:cstheme="majorBidi"/>
            <w:i/>
            <w:iCs/>
            <w:bdr w:val="none" w:sz="0" w:space="0" w:color="auto" w:frame="1"/>
          </w:rPr>
          <w:t>Tiesu prakse lietās par noziedzīgi iegūtu līdzekļu legalizēšanu un par izvairīšanos no nodokļu maksāšanas</w:t>
        </w:r>
      </w:hyperlink>
      <w:r w:rsidR="00EB7120" w:rsidRPr="00466FDE">
        <w:rPr>
          <w:rFonts w:asciiTheme="majorBidi" w:hAnsiTheme="majorBidi" w:cstheme="majorBidi"/>
          <w:bdr w:val="none" w:sz="0" w:space="0" w:color="auto" w:frame="1"/>
        </w:rPr>
        <w:t>”</w:t>
      </w:r>
      <w:r w:rsidR="00482BDD" w:rsidRPr="00466FDE">
        <w:rPr>
          <w:rFonts w:asciiTheme="majorBidi" w:hAnsiTheme="majorBidi" w:cstheme="majorBidi"/>
          <w:color w:val="000000" w:themeColor="text1"/>
        </w:rPr>
        <w:t xml:space="preserve">, </w:t>
      </w:r>
      <w:r w:rsidR="00B14970" w:rsidRPr="00466FDE">
        <w:rPr>
          <w:rFonts w:asciiTheme="majorBidi" w:hAnsiTheme="majorBidi" w:cstheme="majorBidi"/>
          <w:color w:val="000000" w:themeColor="text1"/>
        </w:rPr>
        <w:t xml:space="preserve">2013, </w:t>
      </w:r>
      <w:r w:rsidRPr="00466FDE">
        <w:rPr>
          <w:rFonts w:asciiTheme="majorBidi" w:hAnsiTheme="majorBidi" w:cstheme="majorBidi"/>
          <w:color w:val="000000" w:themeColor="text1"/>
        </w:rPr>
        <w:t xml:space="preserve">24. punkts, </w:t>
      </w:r>
      <w:r w:rsidR="00B14970" w:rsidRPr="00466FDE">
        <w:rPr>
          <w:rFonts w:asciiTheme="majorBidi" w:hAnsiTheme="majorBidi" w:cstheme="majorBidi"/>
          <w:color w:val="000000" w:themeColor="text1"/>
        </w:rPr>
        <w:t>98.</w:t>
      </w:r>
      <w:r w:rsidR="00EB7120" w:rsidRPr="00466FDE">
        <w:rPr>
          <w:rFonts w:asciiTheme="majorBidi" w:hAnsiTheme="majorBidi" w:cstheme="majorBidi"/>
          <w:color w:val="000000" w:themeColor="text1"/>
        </w:rPr>
        <w:t> </w:t>
      </w:r>
      <w:r w:rsidR="00B14970" w:rsidRPr="00466FDE">
        <w:rPr>
          <w:rFonts w:asciiTheme="majorBidi" w:hAnsiTheme="majorBidi" w:cstheme="majorBidi"/>
          <w:color w:val="000000" w:themeColor="text1"/>
        </w:rPr>
        <w:t>lpp.).</w:t>
      </w:r>
    </w:p>
    <w:bookmarkEnd w:id="17"/>
    <w:p w14:paraId="3956D37E" w14:textId="0360E038" w:rsidR="00B14970" w:rsidRPr="00466FDE" w:rsidRDefault="00B14970" w:rsidP="00466FDE">
      <w:pPr>
        <w:spacing w:line="276" w:lineRule="auto"/>
        <w:ind w:firstLine="720"/>
        <w:jc w:val="both"/>
        <w:rPr>
          <w:rFonts w:asciiTheme="majorBidi" w:hAnsiTheme="majorBidi" w:cstheme="majorBidi"/>
        </w:rPr>
      </w:pPr>
      <w:r w:rsidRPr="00466FDE">
        <w:rPr>
          <w:rStyle w:val="Hyperlink"/>
          <w:rFonts w:asciiTheme="majorBidi" w:hAnsiTheme="majorBidi" w:cstheme="majorBidi"/>
          <w:color w:val="000000" w:themeColor="text1"/>
          <w:u w:val="none"/>
          <w:shd w:val="clear" w:color="auto" w:fill="FFFFFF"/>
        </w:rPr>
        <w:t>[</w:t>
      </w:r>
      <w:r w:rsidR="002377D6" w:rsidRPr="00466FDE">
        <w:rPr>
          <w:rStyle w:val="Hyperlink"/>
          <w:rFonts w:asciiTheme="majorBidi" w:hAnsiTheme="majorBidi" w:cstheme="majorBidi"/>
          <w:color w:val="000000" w:themeColor="text1"/>
          <w:u w:val="none"/>
          <w:shd w:val="clear" w:color="auto" w:fill="FFFFFF"/>
        </w:rPr>
        <w:t>5</w:t>
      </w:r>
      <w:r w:rsidRPr="00466FDE">
        <w:rPr>
          <w:rStyle w:val="Hyperlink"/>
          <w:rFonts w:asciiTheme="majorBidi" w:hAnsiTheme="majorBidi" w:cstheme="majorBidi"/>
          <w:color w:val="000000" w:themeColor="text1"/>
          <w:u w:val="none"/>
          <w:shd w:val="clear" w:color="auto" w:fill="FFFFFF"/>
        </w:rPr>
        <w:t>.</w:t>
      </w:r>
      <w:r w:rsidR="00E52B56" w:rsidRPr="00466FDE">
        <w:rPr>
          <w:rStyle w:val="Hyperlink"/>
          <w:rFonts w:asciiTheme="majorBidi" w:hAnsiTheme="majorBidi" w:cstheme="majorBidi"/>
          <w:color w:val="000000" w:themeColor="text1"/>
          <w:u w:val="none"/>
          <w:shd w:val="clear" w:color="auto" w:fill="FFFFFF"/>
        </w:rPr>
        <w:t>3</w:t>
      </w:r>
      <w:r w:rsidRPr="00466FDE">
        <w:rPr>
          <w:rStyle w:val="Hyperlink"/>
          <w:rFonts w:asciiTheme="majorBidi" w:hAnsiTheme="majorBidi" w:cstheme="majorBidi"/>
          <w:color w:val="000000" w:themeColor="text1"/>
          <w:u w:val="none"/>
          <w:shd w:val="clear" w:color="auto" w:fill="FFFFFF"/>
        </w:rPr>
        <w:t>]</w:t>
      </w:r>
      <w:r w:rsidR="00D1168D" w:rsidRPr="00466FDE">
        <w:rPr>
          <w:rStyle w:val="Hyperlink"/>
          <w:rFonts w:asciiTheme="majorBidi" w:hAnsiTheme="majorBidi" w:cstheme="majorBidi"/>
          <w:color w:val="000000" w:themeColor="text1"/>
          <w:u w:val="none"/>
          <w:shd w:val="clear" w:color="auto" w:fill="FFFFFF"/>
        </w:rPr>
        <w:t> </w:t>
      </w:r>
      <w:r w:rsidRPr="00466FDE">
        <w:rPr>
          <w:rStyle w:val="Hyperlink"/>
          <w:rFonts w:asciiTheme="majorBidi" w:hAnsiTheme="majorBidi" w:cstheme="majorBidi"/>
          <w:color w:val="000000" w:themeColor="text1"/>
          <w:u w:val="none"/>
          <w:shd w:val="clear" w:color="auto" w:fill="FFFFFF"/>
        </w:rPr>
        <w:t xml:space="preserve">Ievērojot minēto, </w:t>
      </w:r>
      <w:r w:rsidRPr="00466FDE">
        <w:rPr>
          <w:rFonts w:asciiTheme="majorBidi" w:hAnsiTheme="majorBidi" w:cstheme="majorBidi"/>
          <w:color w:val="000000" w:themeColor="text1"/>
        </w:rPr>
        <w:t xml:space="preserve">Senāts atzīst, ka apelācijas </w:t>
      </w:r>
      <w:r w:rsidRPr="00466FDE">
        <w:rPr>
          <w:rFonts w:asciiTheme="majorBidi" w:hAnsiTheme="majorBidi" w:cstheme="majorBidi"/>
        </w:rPr>
        <w:t xml:space="preserve">instances tiesa, atstājot negrozītu pirmās instances tiesas spriedumu daļā par apsūdzētā </w:t>
      </w:r>
      <w:r w:rsidR="007B55A3">
        <w:rPr>
          <w:rFonts w:asciiTheme="majorBidi" w:hAnsiTheme="majorBidi" w:cstheme="majorBidi"/>
        </w:rPr>
        <w:t>[pers. A]</w:t>
      </w:r>
      <w:r w:rsidRPr="00466FDE">
        <w:rPr>
          <w:rFonts w:asciiTheme="majorBidi" w:hAnsiTheme="majorBidi" w:cstheme="majorBidi"/>
        </w:rPr>
        <w:t xml:space="preserve"> atzīšanu par nevainīgu pret viņu celtajā apsūdzībā</w:t>
      </w:r>
      <w:r w:rsidR="00FD5450" w:rsidRPr="00466FDE">
        <w:rPr>
          <w:rFonts w:asciiTheme="majorBidi" w:hAnsiTheme="majorBidi" w:cstheme="majorBidi"/>
        </w:rPr>
        <w:t xml:space="preserve"> pēc Krimināllikuma 195. panta trešās daļas </w:t>
      </w:r>
      <w:r w:rsidRPr="00466FDE">
        <w:rPr>
          <w:rFonts w:asciiTheme="majorBidi" w:hAnsiTheme="majorBidi" w:cstheme="majorBidi"/>
        </w:rPr>
        <w:t xml:space="preserve">un attaisnošanu, pieļāvusi Kriminālprocesa likuma 574. panta 2. punktā noteikto </w:t>
      </w:r>
      <w:r w:rsidRPr="00466FDE">
        <w:rPr>
          <w:rFonts w:asciiTheme="majorBidi" w:hAnsiTheme="majorBidi" w:cstheme="majorBidi"/>
        </w:rPr>
        <w:lastRenderedPageBreak/>
        <w:t xml:space="preserve">Krimināllikuma pārkāpumu, tas ir, </w:t>
      </w:r>
      <w:r w:rsidR="00BA7D7E" w:rsidRPr="00466FDE">
        <w:rPr>
          <w:rFonts w:asciiTheme="majorBidi" w:hAnsiTheme="majorBidi" w:cstheme="majorBidi"/>
        </w:rPr>
        <w:t xml:space="preserve">kvalificējot noziedzīgo nodarījumu, </w:t>
      </w:r>
      <w:r w:rsidRPr="00466FDE">
        <w:rPr>
          <w:rFonts w:asciiTheme="majorBidi" w:hAnsiTheme="majorBidi" w:cstheme="majorBidi"/>
        </w:rPr>
        <w:t>nepareizi piemērojusi Krimināllikuma 195. panta trešo daļu.</w:t>
      </w:r>
    </w:p>
    <w:p w14:paraId="52FC58B9" w14:textId="48C9531A" w:rsidR="00B14970" w:rsidRPr="00466FDE" w:rsidRDefault="00B14970" w:rsidP="007B55A3">
      <w:pPr>
        <w:spacing w:line="276" w:lineRule="auto"/>
        <w:ind w:firstLine="720"/>
        <w:jc w:val="both"/>
        <w:rPr>
          <w:rFonts w:asciiTheme="majorBidi" w:hAnsiTheme="majorBidi" w:cstheme="majorBidi"/>
        </w:rPr>
      </w:pPr>
      <w:r w:rsidRPr="00466FDE">
        <w:rPr>
          <w:rFonts w:asciiTheme="majorBidi" w:hAnsiTheme="majorBidi" w:cstheme="majorBidi"/>
        </w:rPr>
        <w:t xml:space="preserve">Apelācijas instances tiesas spriedums daļā </w:t>
      </w:r>
      <w:r w:rsidR="008C6ADC" w:rsidRPr="00466FDE">
        <w:rPr>
          <w:rFonts w:asciiTheme="majorBidi" w:hAnsiTheme="majorBidi" w:cstheme="majorBidi"/>
        </w:rPr>
        <w:t>p</w:t>
      </w:r>
      <w:r w:rsidRPr="00466FDE">
        <w:rPr>
          <w:rFonts w:asciiTheme="majorBidi" w:hAnsiTheme="majorBidi" w:cstheme="majorBidi"/>
        </w:rPr>
        <w:t xml:space="preserve">ar </w:t>
      </w:r>
      <w:r w:rsidR="007B55A3">
        <w:rPr>
          <w:rFonts w:asciiTheme="majorBidi" w:hAnsiTheme="majorBidi" w:cstheme="majorBidi"/>
        </w:rPr>
        <w:t>[pers. </w:t>
      </w:r>
      <w:r w:rsidR="007B55A3">
        <w:t>A]</w:t>
      </w:r>
      <w:r w:rsidRPr="00466FDE">
        <w:rPr>
          <w:rFonts w:asciiTheme="majorBidi" w:hAnsiTheme="majorBidi" w:cstheme="majorBidi"/>
        </w:rPr>
        <w:t xml:space="preserve"> atzīšanu par nevainīgu pret viņu celtajā apsūdzībā p</w:t>
      </w:r>
      <w:r w:rsidR="009726DE">
        <w:rPr>
          <w:rFonts w:asciiTheme="majorBidi" w:hAnsiTheme="majorBidi" w:cstheme="majorBidi"/>
        </w:rPr>
        <w:t>ēc</w:t>
      </w:r>
      <w:r w:rsidRPr="00466FDE">
        <w:rPr>
          <w:rFonts w:asciiTheme="majorBidi" w:hAnsiTheme="majorBidi" w:cstheme="majorBidi"/>
        </w:rPr>
        <w:t xml:space="preserve"> Krimināllikuma 195. panta treš</w:t>
      </w:r>
      <w:r w:rsidR="009726DE">
        <w:rPr>
          <w:rFonts w:asciiTheme="majorBidi" w:hAnsiTheme="majorBidi" w:cstheme="majorBidi"/>
        </w:rPr>
        <w:t>ās</w:t>
      </w:r>
      <w:r w:rsidRPr="00466FDE">
        <w:rPr>
          <w:rFonts w:asciiTheme="majorBidi" w:hAnsiTheme="majorBidi" w:cstheme="majorBidi"/>
        </w:rPr>
        <w:t xml:space="preserve"> daļ</w:t>
      </w:r>
      <w:r w:rsidR="009726DE">
        <w:rPr>
          <w:rFonts w:asciiTheme="majorBidi" w:hAnsiTheme="majorBidi" w:cstheme="majorBidi"/>
        </w:rPr>
        <w:t>as</w:t>
      </w:r>
      <w:r w:rsidRPr="00466FDE">
        <w:rPr>
          <w:rFonts w:asciiTheme="majorBidi" w:hAnsiTheme="majorBidi" w:cstheme="majorBidi"/>
        </w:rPr>
        <w:t xml:space="preserve"> un attaisnošanu ir atceļams un lieta šajā daļā nosūtāma jaunai izskatīšanai apelācijas instances tiesā.</w:t>
      </w:r>
    </w:p>
    <w:p w14:paraId="35E483C7" w14:textId="77777777" w:rsidR="00B14970" w:rsidRPr="00466FDE" w:rsidRDefault="00B14970" w:rsidP="00466FDE">
      <w:pPr>
        <w:spacing w:line="276" w:lineRule="auto"/>
        <w:ind w:firstLine="720"/>
        <w:jc w:val="both"/>
        <w:rPr>
          <w:rFonts w:asciiTheme="majorBidi" w:hAnsiTheme="majorBidi" w:cstheme="majorBidi"/>
        </w:rPr>
      </w:pPr>
    </w:p>
    <w:p w14:paraId="1AA04994" w14:textId="06168730" w:rsidR="00B14970" w:rsidRPr="00466FDE" w:rsidRDefault="00B14970" w:rsidP="007B55A3">
      <w:pPr>
        <w:autoSpaceDE w:val="0"/>
        <w:autoSpaceDN w:val="0"/>
        <w:adjustRightInd w:val="0"/>
        <w:spacing w:line="276" w:lineRule="auto"/>
        <w:ind w:firstLine="720"/>
        <w:jc w:val="both"/>
        <w:rPr>
          <w:rFonts w:asciiTheme="majorBidi" w:hAnsiTheme="majorBidi" w:cstheme="majorBidi"/>
        </w:rPr>
      </w:pPr>
      <w:r w:rsidRPr="00466FDE">
        <w:rPr>
          <w:rFonts w:asciiTheme="majorBidi" w:hAnsiTheme="majorBidi" w:cstheme="majorBidi"/>
        </w:rPr>
        <w:t>[</w:t>
      </w:r>
      <w:r w:rsidR="002377D6" w:rsidRPr="00466FDE">
        <w:rPr>
          <w:rFonts w:asciiTheme="majorBidi" w:hAnsiTheme="majorBidi" w:cstheme="majorBidi"/>
        </w:rPr>
        <w:t>6</w:t>
      </w:r>
      <w:r w:rsidRPr="00466FDE">
        <w:rPr>
          <w:rFonts w:asciiTheme="majorBidi" w:hAnsiTheme="majorBidi" w:cstheme="majorBidi"/>
        </w:rPr>
        <w:t xml:space="preserve">] Senāts atzīst, ka izskatāmajā lietā kasācijas instances tiesas kompetencē ir arī pārbaudīt, vai apsūdzētā </w:t>
      </w:r>
      <w:r w:rsidR="007B55A3">
        <w:rPr>
          <w:rFonts w:asciiTheme="majorBidi" w:hAnsiTheme="majorBidi" w:cstheme="majorBidi"/>
        </w:rPr>
        <w:t>[pers. </w:t>
      </w:r>
      <w:r w:rsidR="007B55A3">
        <w:t>A]</w:t>
      </w:r>
      <w:r w:rsidRPr="00466FDE">
        <w:rPr>
          <w:rFonts w:asciiTheme="majorBidi" w:hAnsiTheme="majorBidi" w:cstheme="majorBidi"/>
        </w:rPr>
        <w:t xml:space="preserve"> kasācijas sūdzība satur tādus argumentus, kas var būt par pamatu apelācijas instances tiesas</w:t>
      </w:r>
      <w:r w:rsidR="009C0E52" w:rsidRPr="00466FDE">
        <w:rPr>
          <w:rFonts w:asciiTheme="majorBidi" w:hAnsiTheme="majorBidi" w:cstheme="majorBidi"/>
        </w:rPr>
        <w:t xml:space="preserve"> sprieduma </w:t>
      </w:r>
      <w:r w:rsidRPr="00466FDE">
        <w:rPr>
          <w:rFonts w:asciiTheme="majorBidi" w:hAnsiTheme="majorBidi" w:cstheme="majorBidi"/>
        </w:rPr>
        <w:t>atcelšanai.</w:t>
      </w:r>
    </w:p>
    <w:p w14:paraId="5626F15C" w14:textId="054E01BB"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Senāts konstatē, ka kasācijas sūdzības autors ir aprobežojies ar tiesību normās ietverto nosacījumu izklāstu un neargumentētu apgalvojumu, ka apelācijas instances tiesa šos nosacījumus pierādījumu vērtēšanā, arī soda noteikšanā, nav ievērojusi.</w:t>
      </w:r>
    </w:p>
    <w:p w14:paraId="123375E8" w14:textId="54FDF8F8" w:rsidR="00B14970" w:rsidRPr="00466FDE" w:rsidRDefault="00B14970" w:rsidP="00466FDE">
      <w:pPr>
        <w:spacing w:line="276" w:lineRule="auto"/>
        <w:ind w:firstLine="720"/>
        <w:jc w:val="both"/>
        <w:rPr>
          <w:rFonts w:asciiTheme="majorBidi" w:hAnsiTheme="majorBidi" w:cstheme="majorBidi"/>
        </w:rPr>
      </w:pPr>
      <w:r w:rsidRPr="00466FDE">
        <w:rPr>
          <w:rFonts w:asciiTheme="majorBidi" w:eastAsiaTheme="minorHAnsi" w:hAnsiTheme="majorBidi" w:cstheme="majorBidi"/>
          <w:lang w:eastAsia="en-US"/>
          <w14:ligatures w14:val="standardContextual"/>
        </w:rPr>
        <w:t xml:space="preserve">Ievērojot minēto, Senāts atzīst, ka apsūdzētā </w:t>
      </w:r>
      <w:r w:rsidR="007B55A3">
        <w:rPr>
          <w:rFonts w:asciiTheme="majorBidi" w:eastAsiaTheme="minorHAnsi" w:hAnsiTheme="majorBidi" w:cstheme="majorBidi"/>
          <w:lang w:eastAsia="en-US"/>
          <w14:ligatures w14:val="standardContextual"/>
        </w:rPr>
        <w:t>[pers. A]</w:t>
      </w:r>
      <w:r w:rsidRPr="00466FDE">
        <w:rPr>
          <w:rFonts w:asciiTheme="majorBidi" w:eastAsiaTheme="minorHAnsi" w:hAnsiTheme="majorBidi" w:cstheme="majorBidi"/>
          <w:lang w:eastAsia="en-US"/>
          <w14:ligatures w14:val="standardContextual"/>
        </w:rPr>
        <w:t xml:space="preserve"> kasācijas sūdzība neatbilst Kriminālprocesa likuma 573. panta pirmajai daļai, kas noteic, ka nolēmumu tiesiskumu kasācijas kārtībā pārbauda tikai tādā gadījumā, ja kasācijas sūdzībā vai protestā izteiktā prasība pamatota ar Krimināllikuma pārkāpumu vai Kriminālprocesa likuma būtisku </w:t>
      </w:r>
      <w:r w:rsidR="009C0E52" w:rsidRPr="00466FDE">
        <w:rPr>
          <w:rFonts w:asciiTheme="majorBidi" w:eastAsiaTheme="minorHAnsi" w:hAnsiTheme="majorBidi" w:cstheme="majorBidi"/>
          <w:lang w:eastAsia="en-US"/>
          <w14:ligatures w14:val="standardContextual"/>
        </w:rPr>
        <w:t>pārkāpumu.</w:t>
      </w:r>
    </w:p>
    <w:p w14:paraId="5B3EEF2A" w14:textId="77777777" w:rsidR="00B14970" w:rsidRPr="00466FDE" w:rsidRDefault="00B14970" w:rsidP="00466FDE">
      <w:pPr>
        <w:spacing w:line="276" w:lineRule="auto"/>
        <w:ind w:firstLine="720"/>
        <w:jc w:val="both"/>
        <w:rPr>
          <w:rFonts w:asciiTheme="majorBidi" w:hAnsiTheme="majorBidi" w:cstheme="majorBidi"/>
        </w:rPr>
      </w:pPr>
    </w:p>
    <w:p w14:paraId="186A0CB4" w14:textId="1E66EE93"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w:t>
      </w:r>
      <w:r w:rsidR="002377D6" w:rsidRPr="00466FDE">
        <w:rPr>
          <w:rFonts w:asciiTheme="majorBidi" w:hAnsiTheme="majorBidi" w:cstheme="majorBidi"/>
        </w:rPr>
        <w:t>7</w:t>
      </w:r>
      <w:r w:rsidRPr="00466FDE">
        <w:rPr>
          <w:rFonts w:asciiTheme="majorBidi" w:hAnsiTheme="majorBidi" w:cstheme="majorBidi"/>
        </w:rPr>
        <w:t xml:space="preserve">] Apelācijas instances tiesa apsūdzētajam </w:t>
      </w:r>
      <w:r w:rsidR="007B55A3">
        <w:rPr>
          <w:rFonts w:asciiTheme="majorBidi" w:hAnsiTheme="majorBidi" w:cstheme="majorBidi"/>
        </w:rPr>
        <w:t>[pers. A]</w:t>
      </w:r>
      <w:r w:rsidRPr="00466FDE">
        <w:rPr>
          <w:rFonts w:asciiTheme="majorBidi" w:hAnsiTheme="majorBidi" w:cstheme="majorBidi"/>
        </w:rPr>
        <w:t xml:space="preserve"> drošības līdzekli nav piemērojusi.</w:t>
      </w:r>
    </w:p>
    <w:p w14:paraId="37762531" w14:textId="77777777"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Senāts atzīst, ka drošības līdzekļa piemērošanai apsūdzētajam šajā kriminālprocesa stadijā nav tiesiska pamata.</w:t>
      </w:r>
    </w:p>
    <w:p w14:paraId="4A7D8D6F" w14:textId="77777777" w:rsidR="00B14970" w:rsidRPr="00466FDE" w:rsidRDefault="00B14970" w:rsidP="00466FDE">
      <w:pPr>
        <w:spacing w:line="276" w:lineRule="auto"/>
        <w:ind w:firstLine="720"/>
        <w:jc w:val="both"/>
        <w:rPr>
          <w:rFonts w:asciiTheme="majorBidi" w:hAnsiTheme="majorBidi" w:cstheme="majorBidi"/>
        </w:rPr>
      </w:pPr>
    </w:p>
    <w:p w14:paraId="4DA7C3D9" w14:textId="77777777" w:rsidR="00B14970" w:rsidRPr="00466FDE" w:rsidRDefault="00B14970" w:rsidP="00466FDE">
      <w:pPr>
        <w:spacing w:line="276" w:lineRule="auto"/>
        <w:jc w:val="center"/>
        <w:rPr>
          <w:rFonts w:asciiTheme="majorBidi" w:hAnsiTheme="majorBidi" w:cstheme="majorBidi"/>
          <w:b/>
          <w:color w:val="000000" w:themeColor="text1"/>
        </w:rPr>
      </w:pPr>
      <w:r w:rsidRPr="00466FDE">
        <w:rPr>
          <w:rFonts w:asciiTheme="majorBidi" w:hAnsiTheme="majorBidi" w:cstheme="majorBidi"/>
          <w:b/>
          <w:color w:val="000000" w:themeColor="text1"/>
        </w:rPr>
        <w:t>Rezolutīvā daļa</w:t>
      </w:r>
    </w:p>
    <w:p w14:paraId="38114495" w14:textId="77777777" w:rsidR="00B14970" w:rsidRPr="00466FDE" w:rsidRDefault="00B14970" w:rsidP="00466FDE">
      <w:pPr>
        <w:spacing w:line="276" w:lineRule="auto"/>
        <w:ind w:firstLine="720"/>
        <w:jc w:val="center"/>
        <w:rPr>
          <w:rFonts w:asciiTheme="majorBidi" w:hAnsiTheme="majorBidi" w:cstheme="majorBidi"/>
          <w:bCs/>
          <w:color w:val="000000" w:themeColor="text1"/>
        </w:rPr>
      </w:pPr>
    </w:p>
    <w:p w14:paraId="0980DF6D" w14:textId="77777777" w:rsidR="00B14970" w:rsidRPr="00466FDE" w:rsidRDefault="00B14970" w:rsidP="00466FDE">
      <w:pPr>
        <w:spacing w:line="276" w:lineRule="auto"/>
        <w:ind w:firstLine="720"/>
        <w:jc w:val="both"/>
        <w:rPr>
          <w:rFonts w:asciiTheme="majorBidi" w:hAnsiTheme="majorBidi" w:cstheme="majorBidi"/>
          <w:color w:val="000000" w:themeColor="text1"/>
        </w:rPr>
      </w:pPr>
      <w:r w:rsidRPr="00466FDE">
        <w:rPr>
          <w:rFonts w:asciiTheme="majorBidi" w:hAnsiTheme="majorBidi" w:cstheme="majorBidi"/>
          <w:color w:val="000000" w:themeColor="text1"/>
        </w:rPr>
        <w:t>Pamatojoties uz Kriminālprocesa likuma 585. un 587. panta pirmās daļas 2. punktu, Senāts</w:t>
      </w:r>
    </w:p>
    <w:p w14:paraId="3007FD2A" w14:textId="77777777" w:rsidR="00B14970" w:rsidRPr="00466FDE" w:rsidRDefault="00B14970" w:rsidP="00466FDE">
      <w:pPr>
        <w:spacing w:line="276" w:lineRule="auto"/>
        <w:ind w:firstLine="720"/>
        <w:jc w:val="both"/>
        <w:rPr>
          <w:rFonts w:asciiTheme="majorBidi" w:hAnsiTheme="majorBidi" w:cstheme="majorBidi"/>
          <w:color w:val="000000" w:themeColor="text1"/>
        </w:rPr>
      </w:pPr>
    </w:p>
    <w:p w14:paraId="3D88004F" w14:textId="77777777" w:rsidR="00B14970" w:rsidRPr="00466FDE" w:rsidRDefault="00B14970" w:rsidP="00466FDE">
      <w:pPr>
        <w:spacing w:line="276" w:lineRule="auto"/>
        <w:jc w:val="center"/>
        <w:rPr>
          <w:rFonts w:asciiTheme="majorBidi" w:hAnsiTheme="majorBidi" w:cstheme="majorBidi"/>
          <w:b/>
          <w:color w:val="000000" w:themeColor="text1"/>
        </w:rPr>
      </w:pPr>
      <w:r w:rsidRPr="00466FDE">
        <w:rPr>
          <w:rFonts w:asciiTheme="majorBidi" w:hAnsiTheme="majorBidi" w:cstheme="majorBidi"/>
          <w:b/>
          <w:color w:val="000000" w:themeColor="text1"/>
        </w:rPr>
        <w:t>nolēma</w:t>
      </w:r>
    </w:p>
    <w:p w14:paraId="2580BE8D" w14:textId="77777777" w:rsidR="00B14970" w:rsidRPr="00466FDE" w:rsidRDefault="00B14970" w:rsidP="00466FDE">
      <w:pPr>
        <w:spacing w:line="276" w:lineRule="auto"/>
        <w:ind w:firstLine="720"/>
        <w:jc w:val="center"/>
        <w:rPr>
          <w:rFonts w:asciiTheme="majorBidi" w:hAnsiTheme="majorBidi" w:cstheme="majorBidi"/>
          <w:bCs/>
          <w:color w:val="000000" w:themeColor="text1"/>
        </w:rPr>
      </w:pPr>
    </w:p>
    <w:p w14:paraId="571AF79F" w14:textId="3DA0C222"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 xml:space="preserve">atcelt Rīgas apgabaltiesas 2023. gada 14. februāra spriedumu daļā par </w:t>
      </w:r>
      <w:r w:rsidR="007B55A3">
        <w:rPr>
          <w:rFonts w:asciiTheme="majorBidi" w:hAnsiTheme="majorBidi" w:cstheme="majorBidi"/>
        </w:rPr>
        <w:t>[pers. A]</w:t>
      </w:r>
      <w:r w:rsidRPr="00466FDE">
        <w:rPr>
          <w:rFonts w:asciiTheme="majorBidi" w:hAnsiTheme="majorBidi" w:cstheme="majorBidi"/>
        </w:rPr>
        <w:t xml:space="preserve"> atzīšanu par nevainīgu pret viņu celtajā apsūdzībā p</w:t>
      </w:r>
      <w:r w:rsidR="006022F2">
        <w:rPr>
          <w:rFonts w:asciiTheme="majorBidi" w:hAnsiTheme="majorBidi" w:cstheme="majorBidi"/>
        </w:rPr>
        <w:t>ēc</w:t>
      </w:r>
      <w:r w:rsidRPr="00466FDE">
        <w:rPr>
          <w:rFonts w:asciiTheme="majorBidi" w:hAnsiTheme="majorBidi" w:cstheme="majorBidi"/>
        </w:rPr>
        <w:t xml:space="preserve"> Krimināllikuma 195. panta trešā</w:t>
      </w:r>
      <w:r w:rsidR="006022F2">
        <w:rPr>
          <w:rFonts w:asciiTheme="majorBidi" w:hAnsiTheme="majorBidi" w:cstheme="majorBidi"/>
        </w:rPr>
        <w:t>s</w:t>
      </w:r>
      <w:r w:rsidRPr="00466FDE">
        <w:rPr>
          <w:rFonts w:asciiTheme="majorBidi" w:hAnsiTheme="majorBidi" w:cstheme="majorBidi"/>
        </w:rPr>
        <w:t xml:space="preserve"> daļ</w:t>
      </w:r>
      <w:r w:rsidR="006022F2">
        <w:rPr>
          <w:rFonts w:asciiTheme="majorBidi" w:hAnsiTheme="majorBidi" w:cstheme="majorBidi"/>
        </w:rPr>
        <w:t>as</w:t>
      </w:r>
      <w:r w:rsidRPr="00466FDE">
        <w:rPr>
          <w:rFonts w:asciiTheme="majorBidi" w:hAnsiTheme="majorBidi" w:cstheme="majorBidi"/>
        </w:rPr>
        <w:t xml:space="preserve"> un attaisnošanu;</w:t>
      </w:r>
    </w:p>
    <w:p w14:paraId="409A64C8" w14:textId="77777777"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atceltajā daļā nosūtīt lietu jaunai izskatīšanai Rīgas apgabaltiesā;</w:t>
      </w:r>
    </w:p>
    <w:p w14:paraId="7E191436" w14:textId="7DBBAE37"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 xml:space="preserve">pārējā daļā Rīgas apgabaltiesas 2023. gada 14. februāra spriedumu atstāt negrozītu, bet apsūdzētā </w:t>
      </w:r>
      <w:r w:rsidR="007B55A3">
        <w:rPr>
          <w:rFonts w:asciiTheme="majorBidi" w:hAnsiTheme="majorBidi" w:cstheme="majorBidi"/>
        </w:rPr>
        <w:t>[pers. A]</w:t>
      </w:r>
      <w:r w:rsidRPr="00466FDE">
        <w:rPr>
          <w:rFonts w:asciiTheme="majorBidi" w:hAnsiTheme="majorBidi" w:cstheme="majorBidi"/>
        </w:rPr>
        <w:t xml:space="preserve"> kasācijas sūdzību noraidīt.</w:t>
      </w:r>
    </w:p>
    <w:p w14:paraId="2329475E" w14:textId="77777777" w:rsidR="00B14970" w:rsidRPr="00466FDE" w:rsidRDefault="00B14970" w:rsidP="00466FDE">
      <w:pPr>
        <w:spacing w:line="276" w:lineRule="auto"/>
        <w:ind w:firstLine="720"/>
        <w:jc w:val="both"/>
        <w:rPr>
          <w:rFonts w:asciiTheme="majorBidi" w:hAnsiTheme="majorBidi" w:cstheme="majorBidi"/>
        </w:rPr>
      </w:pPr>
    </w:p>
    <w:p w14:paraId="28069C8A" w14:textId="20B015B4" w:rsidR="00B14970" w:rsidRPr="00466FDE" w:rsidRDefault="00B14970" w:rsidP="00466FDE">
      <w:pPr>
        <w:spacing w:line="276" w:lineRule="auto"/>
        <w:ind w:firstLine="720"/>
        <w:jc w:val="both"/>
        <w:rPr>
          <w:rFonts w:asciiTheme="majorBidi" w:hAnsiTheme="majorBidi" w:cstheme="majorBidi"/>
        </w:rPr>
      </w:pPr>
      <w:r w:rsidRPr="00466FDE">
        <w:rPr>
          <w:rFonts w:asciiTheme="majorBidi" w:hAnsiTheme="majorBidi" w:cstheme="majorBidi"/>
        </w:rPr>
        <w:t>Lēmums nav pārsūdzams.</w:t>
      </w:r>
    </w:p>
    <w:sectPr w:rsidR="00B14970" w:rsidRPr="00466FDE" w:rsidSect="00FB6C50">
      <w:footerReference w:type="defaul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8474D" w14:textId="77777777" w:rsidR="00FB6C50" w:rsidRDefault="00FB6C50">
      <w:r>
        <w:separator/>
      </w:r>
    </w:p>
  </w:endnote>
  <w:endnote w:type="continuationSeparator" w:id="0">
    <w:p w14:paraId="0DC638EE" w14:textId="77777777" w:rsidR="00FB6C50" w:rsidRDefault="00FB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611B4081" w14:textId="679F133F" w:rsidR="009C2D26" w:rsidRDefault="009C2D26" w:rsidP="000A2364">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0033795C">
              <w:rPr>
                <w:bCs/>
                <w:noProof/>
                <w:sz w:val="20"/>
                <w:szCs w:val="20"/>
              </w:rPr>
              <w:t>2</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0033795C">
              <w:rPr>
                <w:bCs/>
                <w:noProof/>
                <w:sz w:val="20"/>
                <w:szCs w:val="20"/>
              </w:rPr>
              <w:t>6</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80F8A" w14:textId="77777777" w:rsidR="00FB6C50" w:rsidRDefault="00FB6C50">
      <w:r>
        <w:separator/>
      </w:r>
    </w:p>
  </w:footnote>
  <w:footnote w:type="continuationSeparator" w:id="0">
    <w:p w14:paraId="1EB73C8E" w14:textId="77777777" w:rsidR="00FB6C50" w:rsidRDefault="00FB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C0EA9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6469B3"/>
    <w:multiLevelType w:val="hybridMultilevel"/>
    <w:tmpl w:val="73D8A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60241121">
    <w:abstractNumId w:val="0"/>
  </w:num>
  <w:num w:numId="2" w16cid:durableId="48652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509"/>
    <w:rsid w:val="0000564E"/>
    <w:rsid w:val="0000567E"/>
    <w:rsid w:val="00014EC1"/>
    <w:rsid w:val="00017332"/>
    <w:rsid w:val="00036BAA"/>
    <w:rsid w:val="00040D53"/>
    <w:rsid w:val="00050514"/>
    <w:rsid w:val="000508A9"/>
    <w:rsid w:val="0005101D"/>
    <w:rsid w:val="00054F6B"/>
    <w:rsid w:val="000562D0"/>
    <w:rsid w:val="00060F4C"/>
    <w:rsid w:val="00064B4F"/>
    <w:rsid w:val="00064FCE"/>
    <w:rsid w:val="000677B7"/>
    <w:rsid w:val="0007187A"/>
    <w:rsid w:val="00075D60"/>
    <w:rsid w:val="00090E5B"/>
    <w:rsid w:val="000971B1"/>
    <w:rsid w:val="000A0660"/>
    <w:rsid w:val="000A1C89"/>
    <w:rsid w:val="000A2364"/>
    <w:rsid w:val="000A25F4"/>
    <w:rsid w:val="000A5509"/>
    <w:rsid w:val="000C16F8"/>
    <w:rsid w:val="000D0868"/>
    <w:rsid w:val="000D6BC4"/>
    <w:rsid w:val="000D7166"/>
    <w:rsid w:val="000E1096"/>
    <w:rsid w:val="000E206D"/>
    <w:rsid w:val="000E5F08"/>
    <w:rsid w:val="000F3856"/>
    <w:rsid w:val="000F6245"/>
    <w:rsid w:val="00100600"/>
    <w:rsid w:val="00100D43"/>
    <w:rsid w:val="00103516"/>
    <w:rsid w:val="001049F2"/>
    <w:rsid w:val="001067E7"/>
    <w:rsid w:val="00112886"/>
    <w:rsid w:val="00121ABA"/>
    <w:rsid w:val="001223CE"/>
    <w:rsid w:val="00122830"/>
    <w:rsid w:val="001237C5"/>
    <w:rsid w:val="00130675"/>
    <w:rsid w:val="001336F7"/>
    <w:rsid w:val="001462DA"/>
    <w:rsid w:val="0014737D"/>
    <w:rsid w:val="0016163D"/>
    <w:rsid w:val="0017016C"/>
    <w:rsid w:val="0017162F"/>
    <w:rsid w:val="00175372"/>
    <w:rsid w:val="00176712"/>
    <w:rsid w:val="001813DF"/>
    <w:rsid w:val="00181E71"/>
    <w:rsid w:val="001848AA"/>
    <w:rsid w:val="001865DA"/>
    <w:rsid w:val="00191366"/>
    <w:rsid w:val="00191C87"/>
    <w:rsid w:val="00192732"/>
    <w:rsid w:val="00192AEC"/>
    <w:rsid w:val="001A07AE"/>
    <w:rsid w:val="001A14DF"/>
    <w:rsid w:val="001A161A"/>
    <w:rsid w:val="001A358A"/>
    <w:rsid w:val="001A6623"/>
    <w:rsid w:val="001B406B"/>
    <w:rsid w:val="001D1D04"/>
    <w:rsid w:val="001D226C"/>
    <w:rsid w:val="001D3F76"/>
    <w:rsid w:val="001D62B2"/>
    <w:rsid w:val="001E1D29"/>
    <w:rsid w:val="001E1F57"/>
    <w:rsid w:val="001E3C3C"/>
    <w:rsid w:val="001E7379"/>
    <w:rsid w:val="001E7B28"/>
    <w:rsid w:val="001E7EF6"/>
    <w:rsid w:val="002028E3"/>
    <w:rsid w:val="00212956"/>
    <w:rsid w:val="0021495F"/>
    <w:rsid w:val="00222418"/>
    <w:rsid w:val="002374DB"/>
    <w:rsid w:val="002377D6"/>
    <w:rsid w:val="002547E8"/>
    <w:rsid w:val="002560AD"/>
    <w:rsid w:val="0025687F"/>
    <w:rsid w:val="00256F07"/>
    <w:rsid w:val="0025760F"/>
    <w:rsid w:val="00261914"/>
    <w:rsid w:val="00262451"/>
    <w:rsid w:val="00265347"/>
    <w:rsid w:val="0027026C"/>
    <w:rsid w:val="002707DA"/>
    <w:rsid w:val="002717F3"/>
    <w:rsid w:val="002751D3"/>
    <w:rsid w:val="00281615"/>
    <w:rsid w:val="00292D2A"/>
    <w:rsid w:val="00297110"/>
    <w:rsid w:val="002A1EE2"/>
    <w:rsid w:val="002A427B"/>
    <w:rsid w:val="002A6031"/>
    <w:rsid w:val="002B1CD0"/>
    <w:rsid w:val="002B6865"/>
    <w:rsid w:val="002B7781"/>
    <w:rsid w:val="002C3A49"/>
    <w:rsid w:val="002C4772"/>
    <w:rsid w:val="002C68B7"/>
    <w:rsid w:val="002D0450"/>
    <w:rsid w:val="002E05AF"/>
    <w:rsid w:val="002E2A40"/>
    <w:rsid w:val="002F7787"/>
    <w:rsid w:val="0031019F"/>
    <w:rsid w:val="00311320"/>
    <w:rsid w:val="003128C3"/>
    <w:rsid w:val="003136ED"/>
    <w:rsid w:val="003221E9"/>
    <w:rsid w:val="00324595"/>
    <w:rsid w:val="00325BE5"/>
    <w:rsid w:val="00325FCF"/>
    <w:rsid w:val="0033795C"/>
    <w:rsid w:val="00352B43"/>
    <w:rsid w:val="00360059"/>
    <w:rsid w:val="003649E7"/>
    <w:rsid w:val="003735A9"/>
    <w:rsid w:val="003750E3"/>
    <w:rsid w:val="00380F6C"/>
    <w:rsid w:val="003818D8"/>
    <w:rsid w:val="00382073"/>
    <w:rsid w:val="003A65C1"/>
    <w:rsid w:val="003B695B"/>
    <w:rsid w:val="003C101A"/>
    <w:rsid w:val="003C37D9"/>
    <w:rsid w:val="003C4FF6"/>
    <w:rsid w:val="003D1389"/>
    <w:rsid w:val="003D1DC9"/>
    <w:rsid w:val="003D223A"/>
    <w:rsid w:val="003D4BEC"/>
    <w:rsid w:val="003D549E"/>
    <w:rsid w:val="003E6A2D"/>
    <w:rsid w:val="003F50DD"/>
    <w:rsid w:val="00401CF2"/>
    <w:rsid w:val="00404175"/>
    <w:rsid w:val="004078FA"/>
    <w:rsid w:val="00407B47"/>
    <w:rsid w:val="00415CDD"/>
    <w:rsid w:val="00417026"/>
    <w:rsid w:val="00417A22"/>
    <w:rsid w:val="00426729"/>
    <w:rsid w:val="004300C6"/>
    <w:rsid w:val="004400CE"/>
    <w:rsid w:val="004422B5"/>
    <w:rsid w:val="00450ADF"/>
    <w:rsid w:val="004529C9"/>
    <w:rsid w:val="00453292"/>
    <w:rsid w:val="00454EBC"/>
    <w:rsid w:val="00457726"/>
    <w:rsid w:val="00466FDE"/>
    <w:rsid w:val="0047053B"/>
    <w:rsid w:val="00482BDD"/>
    <w:rsid w:val="00487CD3"/>
    <w:rsid w:val="004A054E"/>
    <w:rsid w:val="004A784F"/>
    <w:rsid w:val="004A7A72"/>
    <w:rsid w:val="004B0DF8"/>
    <w:rsid w:val="004B6A57"/>
    <w:rsid w:val="004C0757"/>
    <w:rsid w:val="004C0A71"/>
    <w:rsid w:val="004C0C41"/>
    <w:rsid w:val="004C4682"/>
    <w:rsid w:val="004D0CA8"/>
    <w:rsid w:val="004D3EAB"/>
    <w:rsid w:val="004D64B2"/>
    <w:rsid w:val="004E30F7"/>
    <w:rsid w:val="004E4D1D"/>
    <w:rsid w:val="004E5A00"/>
    <w:rsid w:val="00517932"/>
    <w:rsid w:val="005364C4"/>
    <w:rsid w:val="00542CC1"/>
    <w:rsid w:val="00543C06"/>
    <w:rsid w:val="005459FD"/>
    <w:rsid w:val="005530B5"/>
    <w:rsid w:val="00554305"/>
    <w:rsid w:val="005545FA"/>
    <w:rsid w:val="0055489B"/>
    <w:rsid w:val="0055519A"/>
    <w:rsid w:val="00561EB5"/>
    <w:rsid w:val="00563B06"/>
    <w:rsid w:val="005655F8"/>
    <w:rsid w:val="00571C2B"/>
    <w:rsid w:val="00574359"/>
    <w:rsid w:val="00575810"/>
    <w:rsid w:val="0057699B"/>
    <w:rsid w:val="00581762"/>
    <w:rsid w:val="005817FF"/>
    <w:rsid w:val="00596271"/>
    <w:rsid w:val="005A0B31"/>
    <w:rsid w:val="005A4510"/>
    <w:rsid w:val="005A480C"/>
    <w:rsid w:val="005A6970"/>
    <w:rsid w:val="005A7433"/>
    <w:rsid w:val="005B020E"/>
    <w:rsid w:val="005B40F7"/>
    <w:rsid w:val="005B5009"/>
    <w:rsid w:val="005B5DDA"/>
    <w:rsid w:val="005C71FE"/>
    <w:rsid w:val="005D0722"/>
    <w:rsid w:val="005E26A8"/>
    <w:rsid w:val="005E7AD3"/>
    <w:rsid w:val="005F094A"/>
    <w:rsid w:val="006022F2"/>
    <w:rsid w:val="00607389"/>
    <w:rsid w:val="00615A04"/>
    <w:rsid w:val="00625CFD"/>
    <w:rsid w:val="00625D17"/>
    <w:rsid w:val="00630185"/>
    <w:rsid w:val="00630DE7"/>
    <w:rsid w:val="00631968"/>
    <w:rsid w:val="0063464B"/>
    <w:rsid w:val="006419CE"/>
    <w:rsid w:val="00652767"/>
    <w:rsid w:val="006566C4"/>
    <w:rsid w:val="006572E9"/>
    <w:rsid w:val="00664079"/>
    <w:rsid w:val="00670360"/>
    <w:rsid w:val="0067372D"/>
    <w:rsid w:val="006843EC"/>
    <w:rsid w:val="00691347"/>
    <w:rsid w:val="00691695"/>
    <w:rsid w:val="00693B60"/>
    <w:rsid w:val="006A28B0"/>
    <w:rsid w:val="006A2F09"/>
    <w:rsid w:val="006A2FDA"/>
    <w:rsid w:val="006A5D03"/>
    <w:rsid w:val="006B3F4C"/>
    <w:rsid w:val="006C662B"/>
    <w:rsid w:val="006C77F4"/>
    <w:rsid w:val="006E52BC"/>
    <w:rsid w:val="006F2F1C"/>
    <w:rsid w:val="006F4700"/>
    <w:rsid w:val="006F4EDB"/>
    <w:rsid w:val="00700BC4"/>
    <w:rsid w:val="00704F4F"/>
    <w:rsid w:val="00705C18"/>
    <w:rsid w:val="007119DC"/>
    <w:rsid w:val="00716BA5"/>
    <w:rsid w:val="00721B85"/>
    <w:rsid w:val="00722748"/>
    <w:rsid w:val="0072377B"/>
    <w:rsid w:val="00724CF8"/>
    <w:rsid w:val="00735E2A"/>
    <w:rsid w:val="00742A04"/>
    <w:rsid w:val="00744F8C"/>
    <w:rsid w:val="007453AF"/>
    <w:rsid w:val="00750B6C"/>
    <w:rsid w:val="00771D55"/>
    <w:rsid w:val="0077247B"/>
    <w:rsid w:val="0078109E"/>
    <w:rsid w:val="0078730D"/>
    <w:rsid w:val="00792B2B"/>
    <w:rsid w:val="007955BD"/>
    <w:rsid w:val="007A59D6"/>
    <w:rsid w:val="007A7FB9"/>
    <w:rsid w:val="007B1E9A"/>
    <w:rsid w:val="007B55A3"/>
    <w:rsid w:val="007B7ADD"/>
    <w:rsid w:val="007C0224"/>
    <w:rsid w:val="007C75F5"/>
    <w:rsid w:val="007D0259"/>
    <w:rsid w:val="007D33EA"/>
    <w:rsid w:val="007E3568"/>
    <w:rsid w:val="007E7CB6"/>
    <w:rsid w:val="007F2512"/>
    <w:rsid w:val="007F3A81"/>
    <w:rsid w:val="00800132"/>
    <w:rsid w:val="008038AA"/>
    <w:rsid w:val="0081323D"/>
    <w:rsid w:val="00824B8A"/>
    <w:rsid w:val="008258B9"/>
    <w:rsid w:val="008361D3"/>
    <w:rsid w:val="008368DF"/>
    <w:rsid w:val="00840263"/>
    <w:rsid w:val="00843CE7"/>
    <w:rsid w:val="008550D4"/>
    <w:rsid w:val="0085764B"/>
    <w:rsid w:val="00857DE3"/>
    <w:rsid w:val="008622C7"/>
    <w:rsid w:val="00863322"/>
    <w:rsid w:val="00866E11"/>
    <w:rsid w:val="008831F5"/>
    <w:rsid w:val="00884022"/>
    <w:rsid w:val="00892893"/>
    <w:rsid w:val="008947AA"/>
    <w:rsid w:val="008A2785"/>
    <w:rsid w:val="008A4444"/>
    <w:rsid w:val="008B58AC"/>
    <w:rsid w:val="008B69CA"/>
    <w:rsid w:val="008B7FAC"/>
    <w:rsid w:val="008C1B65"/>
    <w:rsid w:val="008C587A"/>
    <w:rsid w:val="008C5D50"/>
    <w:rsid w:val="008C6ADC"/>
    <w:rsid w:val="008C70D8"/>
    <w:rsid w:val="008D11D8"/>
    <w:rsid w:val="008D39C2"/>
    <w:rsid w:val="008E18C5"/>
    <w:rsid w:val="008F311C"/>
    <w:rsid w:val="008F6E91"/>
    <w:rsid w:val="008F7727"/>
    <w:rsid w:val="00900573"/>
    <w:rsid w:val="00901EF1"/>
    <w:rsid w:val="00902A82"/>
    <w:rsid w:val="00913B62"/>
    <w:rsid w:val="00913C22"/>
    <w:rsid w:val="009159D0"/>
    <w:rsid w:val="009167B3"/>
    <w:rsid w:val="00921CEA"/>
    <w:rsid w:val="0092430E"/>
    <w:rsid w:val="00926C9A"/>
    <w:rsid w:val="00932FF8"/>
    <w:rsid w:val="00933846"/>
    <w:rsid w:val="009352F0"/>
    <w:rsid w:val="0093656A"/>
    <w:rsid w:val="00937485"/>
    <w:rsid w:val="00952B50"/>
    <w:rsid w:val="00957C89"/>
    <w:rsid w:val="00957D8C"/>
    <w:rsid w:val="0096509D"/>
    <w:rsid w:val="009712CC"/>
    <w:rsid w:val="009726DE"/>
    <w:rsid w:val="00973F3B"/>
    <w:rsid w:val="009759AD"/>
    <w:rsid w:val="009808E7"/>
    <w:rsid w:val="009821DA"/>
    <w:rsid w:val="00990D6A"/>
    <w:rsid w:val="009921CC"/>
    <w:rsid w:val="009926A1"/>
    <w:rsid w:val="009A0CB4"/>
    <w:rsid w:val="009A15CD"/>
    <w:rsid w:val="009A59B6"/>
    <w:rsid w:val="009B1228"/>
    <w:rsid w:val="009B14F6"/>
    <w:rsid w:val="009B2A0A"/>
    <w:rsid w:val="009B3CFD"/>
    <w:rsid w:val="009C0E52"/>
    <w:rsid w:val="009C2D26"/>
    <w:rsid w:val="009C4B23"/>
    <w:rsid w:val="009C4F2B"/>
    <w:rsid w:val="009F6E08"/>
    <w:rsid w:val="009F7206"/>
    <w:rsid w:val="00A03BC0"/>
    <w:rsid w:val="00A26B3B"/>
    <w:rsid w:val="00A43DFD"/>
    <w:rsid w:val="00A51EDB"/>
    <w:rsid w:val="00A5295E"/>
    <w:rsid w:val="00A532C9"/>
    <w:rsid w:val="00A64F9C"/>
    <w:rsid w:val="00A7094B"/>
    <w:rsid w:val="00A7133D"/>
    <w:rsid w:val="00A75EFF"/>
    <w:rsid w:val="00A77CD7"/>
    <w:rsid w:val="00A85C8B"/>
    <w:rsid w:val="00A90139"/>
    <w:rsid w:val="00AB0CB1"/>
    <w:rsid w:val="00AB1EBC"/>
    <w:rsid w:val="00AB4326"/>
    <w:rsid w:val="00AB5C11"/>
    <w:rsid w:val="00AC4A5C"/>
    <w:rsid w:val="00AC4CCB"/>
    <w:rsid w:val="00AD27BA"/>
    <w:rsid w:val="00AD6D77"/>
    <w:rsid w:val="00AF4272"/>
    <w:rsid w:val="00B02B7C"/>
    <w:rsid w:val="00B02BF3"/>
    <w:rsid w:val="00B03D96"/>
    <w:rsid w:val="00B11176"/>
    <w:rsid w:val="00B14970"/>
    <w:rsid w:val="00B25FDE"/>
    <w:rsid w:val="00B27241"/>
    <w:rsid w:val="00B32158"/>
    <w:rsid w:val="00B36172"/>
    <w:rsid w:val="00B45B8C"/>
    <w:rsid w:val="00B500EB"/>
    <w:rsid w:val="00B6057A"/>
    <w:rsid w:val="00B67485"/>
    <w:rsid w:val="00B814FF"/>
    <w:rsid w:val="00B83C6C"/>
    <w:rsid w:val="00B83F46"/>
    <w:rsid w:val="00BA784E"/>
    <w:rsid w:val="00BA7D7E"/>
    <w:rsid w:val="00BB264F"/>
    <w:rsid w:val="00BB2AEA"/>
    <w:rsid w:val="00BB6A93"/>
    <w:rsid w:val="00BC118F"/>
    <w:rsid w:val="00BC141A"/>
    <w:rsid w:val="00BC6F1E"/>
    <w:rsid w:val="00BE2660"/>
    <w:rsid w:val="00BE7399"/>
    <w:rsid w:val="00BF7B49"/>
    <w:rsid w:val="00C0065D"/>
    <w:rsid w:val="00C055BC"/>
    <w:rsid w:val="00C1404D"/>
    <w:rsid w:val="00C17802"/>
    <w:rsid w:val="00C3240C"/>
    <w:rsid w:val="00C32667"/>
    <w:rsid w:val="00C331A6"/>
    <w:rsid w:val="00C3634A"/>
    <w:rsid w:val="00C41813"/>
    <w:rsid w:val="00C57544"/>
    <w:rsid w:val="00C57910"/>
    <w:rsid w:val="00C642F6"/>
    <w:rsid w:val="00C67A3F"/>
    <w:rsid w:val="00C81BE0"/>
    <w:rsid w:val="00C9666D"/>
    <w:rsid w:val="00CA0E90"/>
    <w:rsid w:val="00CA13F5"/>
    <w:rsid w:val="00CA7305"/>
    <w:rsid w:val="00CB3C25"/>
    <w:rsid w:val="00CC3243"/>
    <w:rsid w:val="00CC7FB2"/>
    <w:rsid w:val="00CE1709"/>
    <w:rsid w:val="00CE17C2"/>
    <w:rsid w:val="00CF3492"/>
    <w:rsid w:val="00CF5D0A"/>
    <w:rsid w:val="00D03FDE"/>
    <w:rsid w:val="00D06408"/>
    <w:rsid w:val="00D1168D"/>
    <w:rsid w:val="00D11BD2"/>
    <w:rsid w:val="00D12021"/>
    <w:rsid w:val="00D13F39"/>
    <w:rsid w:val="00D15959"/>
    <w:rsid w:val="00D176D6"/>
    <w:rsid w:val="00D17FDB"/>
    <w:rsid w:val="00D22935"/>
    <w:rsid w:val="00D271E6"/>
    <w:rsid w:val="00D34BEC"/>
    <w:rsid w:val="00D35802"/>
    <w:rsid w:val="00D40689"/>
    <w:rsid w:val="00D4723E"/>
    <w:rsid w:val="00D47481"/>
    <w:rsid w:val="00D475A0"/>
    <w:rsid w:val="00D5044C"/>
    <w:rsid w:val="00D5416D"/>
    <w:rsid w:val="00D56F62"/>
    <w:rsid w:val="00D63E36"/>
    <w:rsid w:val="00D70733"/>
    <w:rsid w:val="00D750AD"/>
    <w:rsid w:val="00D94BEE"/>
    <w:rsid w:val="00D95169"/>
    <w:rsid w:val="00D95C55"/>
    <w:rsid w:val="00D9621D"/>
    <w:rsid w:val="00DA27AA"/>
    <w:rsid w:val="00DA2E7F"/>
    <w:rsid w:val="00DB1626"/>
    <w:rsid w:val="00DB7467"/>
    <w:rsid w:val="00DC0FB2"/>
    <w:rsid w:val="00DC73B5"/>
    <w:rsid w:val="00DD078E"/>
    <w:rsid w:val="00DE07B1"/>
    <w:rsid w:val="00DE40D8"/>
    <w:rsid w:val="00E010D5"/>
    <w:rsid w:val="00E14CCE"/>
    <w:rsid w:val="00E25DA0"/>
    <w:rsid w:val="00E34CC2"/>
    <w:rsid w:val="00E36869"/>
    <w:rsid w:val="00E422AF"/>
    <w:rsid w:val="00E52B56"/>
    <w:rsid w:val="00E54396"/>
    <w:rsid w:val="00E61102"/>
    <w:rsid w:val="00E615FB"/>
    <w:rsid w:val="00E74D95"/>
    <w:rsid w:val="00E77F60"/>
    <w:rsid w:val="00E9283E"/>
    <w:rsid w:val="00E9311D"/>
    <w:rsid w:val="00E96370"/>
    <w:rsid w:val="00EA47E5"/>
    <w:rsid w:val="00EA516D"/>
    <w:rsid w:val="00EA717F"/>
    <w:rsid w:val="00EB1857"/>
    <w:rsid w:val="00EB2913"/>
    <w:rsid w:val="00EB699B"/>
    <w:rsid w:val="00EB7120"/>
    <w:rsid w:val="00EC0A80"/>
    <w:rsid w:val="00EC44D4"/>
    <w:rsid w:val="00EC5096"/>
    <w:rsid w:val="00ED0D70"/>
    <w:rsid w:val="00ED2DC4"/>
    <w:rsid w:val="00EE16B7"/>
    <w:rsid w:val="00EF03BF"/>
    <w:rsid w:val="00EF277F"/>
    <w:rsid w:val="00EF5E8B"/>
    <w:rsid w:val="00F0007A"/>
    <w:rsid w:val="00F016B4"/>
    <w:rsid w:val="00F13261"/>
    <w:rsid w:val="00F13409"/>
    <w:rsid w:val="00F20DC2"/>
    <w:rsid w:val="00F26B5E"/>
    <w:rsid w:val="00F26C4B"/>
    <w:rsid w:val="00F36C65"/>
    <w:rsid w:val="00F40099"/>
    <w:rsid w:val="00F435B3"/>
    <w:rsid w:val="00F5359A"/>
    <w:rsid w:val="00F5372F"/>
    <w:rsid w:val="00F572C5"/>
    <w:rsid w:val="00F64D59"/>
    <w:rsid w:val="00F75F59"/>
    <w:rsid w:val="00F85533"/>
    <w:rsid w:val="00F87C35"/>
    <w:rsid w:val="00F973BD"/>
    <w:rsid w:val="00FB15BD"/>
    <w:rsid w:val="00FB3CBC"/>
    <w:rsid w:val="00FB6C50"/>
    <w:rsid w:val="00FB7A69"/>
    <w:rsid w:val="00FC1F5B"/>
    <w:rsid w:val="00FC4AE6"/>
    <w:rsid w:val="00FD5450"/>
    <w:rsid w:val="00FD5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CE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09"/>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0A5509"/>
    <w:pPr>
      <w:spacing w:after="120" w:line="480" w:lineRule="auto"/>
    </w:pPr>
    <w:rPr>
      <w:lang w:val="x-none"/>
    </w:rPr>
  </w:style>
  <w:style w:type="character" w:customStyle="1" w:styleId="BodyText2Char">
    <w:name w:val="Body Text 2 Char"/>
    <w:basedOn w:val="DefaultParagraphFont"/>
    <w:link w:val="BodyText2"/>
    <w:semiHidden/>
    <w:rsid w:val="000A5509"/>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0A5509"/>
    <w:pPr>
      <w:tabs>
        <w:tab w:val="center" w:pos="4153"/>
        <w:tab w:val="right" w:pos="8306"/>
      </w:tabs>
    </w:pPr>
  </w:style>
  <w:style w:type="character" w:customStyle="1" w:styleId="FooterChar">
    <w:name w:val="Footer Char"/>
    <w:basedOn w:val="DefaultParagraphFont"/>
    <w:link w:val="Footer"/>
    <w:uiPriority w:val="99"/>
    <w:rsid w:val="000A5509"/>
    <w:rPr>
      <w:rFonts w:eastAsia="Times New Roman" w:cs="Times New Roman"/>
      <w:kern w:val="0"/>
      <w:szCs w:val="24"/>
      <w:lang w:val="lv-LV" w:eastAsia="ru-RU"/>
      <w14:ligatures w14:val="none"/>
    </w:rPr>
  </w:style>
  <w:style w:type="table" w:styleId="TableGrid">
    <w:name w:val="Table Grid"/>
    <w:basedOn w:val="TableNormal"/>
    <w:rsid w:val="000A5509"/>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509"/>
    <w:pPr>
      <w:tabs>
        <w:tab w:val="center" w:pos="4680"/>
        <w:tab w:val="right" w:pos="9360"/>
      </w:tabs>
    </w:pPr>
  </w:style>
  <w:style w:type="character" w:customStyle="1" w:styleId="HeaderChar">
    <w:name w:val="Header Char"/>
    <w:basedOn w:val="DefaultParagraphFont"/>
    <w:link w:val="Header"/>
    <w:uiPriority w:val="99"/>
    <w:rsid w:val="000A5509"/>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0A5509"/>
    <w:rPr>
      <w:color w:val="0563C1" w:themeColor="hyperlink"/>
      <w:u w:val="single"/>
    </w:rPr>
  </w:style>
  <w:style w:type="character" w:customStyle="1" w:styleId="UnresolvedMention1">
    <w:name w:val="Unresolved Mention1"/>
    <w:basedOn w:val="DefaultParagraphFont"/>
    <w:uiPriority w:val="99"/>
    <w:semiHidden/>
    <w:unhideWhenUsed/>
    <w:rsid w:val="009B1228"/>
    <w:rPr>
      <w:color w:val="605E5C"/>
      <w:shd w:val="clear" w:color="auto" w:fill="E1DFDD"/>
    </w:rPr>
  </w:style>
  <w:style w:type="paragraph" w:styleId="Revision">
    <w:name w:val="Revision"/>
    <w:hidden/>
    <w:uiPriority w:val="99"/>
    <w:semiHidden/>
    <w:rsid w:val="00130675"/>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130675"/>
    <w:rPr>
      <w:sz w:val="16"/>
      <w:szCs w:val="16"/>
    </w:rPr>
  </w:style>
  <w:style w:type="paragraph" w:styleId="CommentText">
    <w:name w:val="annotation text"/>
    <w:basedOn w:val="Normal"/>
    <w:link w:val="CommentTextChar"/>
    <w:uiPriority w:val="99"/>
    <w:unhideWhenUsed/>
    <w:rsid w:val="00130675"/>
    <w:rPr>
      <w:sz w:val="20"/>
      <w:szCs w:val="20"/>
    </w:rPr>
  </w:style>
  <w:style w:type="character" w:customStyle="1" w:styleId="CommentTextChar">
    <w:name w:val="Comment Text Char"/>
    <w:basedOn w:val="DefaultParagraphFont"/>
    <w:link w:val="CommentText"/>
    <w:uiPriority w:val="99"/>
    <w:rsid w:val="00130675"/>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130675"/>
    <w:rPr>
      <w:b/>
      <w:bCs/>
    </w:rPr>
  </w:style>
  <w:style w:type="character" w:customStyle="1" w:styleId="CommentSubjectChar">
    <w:name w:val="Comment Subject Char"/>
    <w:basedOn w:val="CommentTextChar"/>
    <w:link w:val="CommentSubject"/>
    <w:uiPriority w:val="99"/>
    <w:semiHidden/>
    <w:rsid w:val="00130675"/>
    <w:rPr>
      <w:rFonts w:eastAsia="Times New Roman" w:cs="Times New Roman"/>
      <w:b/>
      <w:bCs/>
      <w:kern w:val="0"/>
      <w:sz w:val="20"/>
      <w:szCs w:val="20"/>
      <w:lang w:val="lv-LV" w:eastAsia="ru-RU"/>
      <w14:ligatures w14:val="none"/>
    </w:rPr>
  </w:style>
  <w:style w:type="character" w:styleId="FollowedHyperlink">
    <w:name w:val="FollowedHyperlink"/>
    <w:basedOn w:val="DefaultParagraphFont"/>
    <w:uiPriority w:val="99"/>
    <w:semiHidden/>
    <w:unhideWhenUsed/>
    <w:rsid w:val="003649E7"/>
    <w:rPr>
      <w:color w:val="954F72" w:themeColor="followedHyperlink"/>
      <w:u w:val="single"/>
    </w:rPr>
  </w:style>
  <w:style w:type="paragraph" w:styleId="BalloonText">
    <w:name w:val="Balloon Text"/>
    <w:basedOn w:val="Normal"/>
    <w:link w:val="BalloonTextChar"/>
    <w:uiPriority w:val="99"/>
    <w:semiHidden/>
    <w:unhideWhenUsed/>
    <w:rsid w:val="00275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1D3"/>
    <w:rPr>
      <w:rFonts w:ascii="Segoe UI" w:eastAsia="Times New Roman" w:hAnsi="Segoe UI" w:cs="Segoe UI"/>
      <w:kern w:val="0"/>
      <w:sz w:val="18"/>
      <w:szCs w:val="18"/>
      <w:lang w:val="lv-LV" w:eastAsia="ru-RU"/>
      <w14:ligatures w14:val="none"/>
    </w:rPr>
  </w:style>
  <w:style w:type="paragraph" w:styleId="ListBullet">
    <w:name w:val="List Bullet"/>
    <w:basedOn w:val="Normal"/>
    <w:uiPriority w:val="99"/>
    <w:unhideWhenUsed/>
    <w:rsid w:val="00192AEC"/>
    <w:pPr>
      <w:numPr>
        <w:numId w:val="1"/>
      </w:numPr>
      <w:spacing w:after="200" w:line="276" w:lineRule="auto"/>
      <w:contextualSpacing/>
    </w:pPr>
    <w:rPr>
      <w:rFonts w:eastAsiaTheme="minorHAnsi" w:cstheme="minorBidi"/>
      <w:szCs w:val="22"/>
      <w:lang w:eastAsia="en-US"/>
    </w:rPr>
  </w:style>
  <w:style w:type="paragraph" w:customStyle="1" w:styleId="tv213">
    <w:name w:val="tv213"/>
    <w:basedOn w:val="Normal"/>
    <w:rsid w:val="00B11176"/>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795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69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336.pdf" TargetMode="External"/><Relationship Id="rId13" Type="http://schemas.openxmlformats.org/officeDocument/2006/relationships/hyperlink" Target="https://www.at.gov.lv/downloadlawfile/81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1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t.gov.lv/files/uploads/files/Nodokkli%20legalizacija_anonim.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215" TargetMode="External"/><Relationship Id="rId5" Type="http://schemas.openxmlformats.org/officeDocument/2006/relationships/webSettings" Target="webSettings.xml"/><Relationship Id="rId15" Type="http://schemas.openxmlformats.org/officeDocument/2006/relationships/hyperlink" Target="https://www.at.gov.lv/downloadlawfile/9079" TargetMode="External"/><Relationship Id="rId10" Type="http://schemas.openxmlformats.org/officeDocument/2006/relationships/hyperlink" Target="https://www.at.gov.lv/downloadlawfile/9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9079" TargetMode="External"/><Relationship Id="rId14" Type="http://schemas.openxmlformats.org/officeDocument/2006/relationships/hyperlink" Target="https://www.at.gov.lv/downloadlawfile/9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902C-FE23-49A6-B8F3-C49FF45C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2024-05-31T10:10:00Z</dcterms:created>
  <dcterms:modified xsi:type="dcterms:W3CDTF">2024-05-31T10:10:00Z</dcterms:modified>
</cp:coreProperties>
</file>