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B6C47" w14:textId="77777777" w:rsidR="005D77EF" w:rsidRDefault="005D77EF" w:rsidP="005D77EF">
      <w:pPr>
        <w:autoSpaceDE w:val="0"/>
        <w:autoSpaceDN w:val="0"/>
        <w:spacing w:line="276" w:lineRule="auto"/>
        <w:jc w:val="both"/>
        <w:rPr>
          <w:rFonts w:ascii="TimesNewRomanPSMT" w:hAnsi="TimesNewRomanPSMT"/>
          <w:b/>
          <w:bCs/>
          <w:lang w:eastAsia="lv-LV"/>
        </w:rPr>
      </w:pPr>
      <w:r>
        <w:rPr>
          <w:rFonts w:ascii="TimesNewRomanPSMT" w:hAnsi="TimesNewRomanPSMT"/>
          <w:b/>
          <w:bCs/>
        </w:rPr>
        <w:t xml:space="preserve">Finanšu un kapitāla tirgus komisijas aicinājums nesniegt finanšu pakalpojumus sankcijām pakļautām personām nav faktiskā rīcība </w:t>
      </w:r>
    </w:p>
    <w:p w14:paraId="6095B18A" w14:textId="77777777" w:rsidR="005D77EF" w:rsidRDefault="005D77EF" w:rsidP="005D77EF">
      <w:pPr>
        <w:autoSpaceDE w:val="0"/>
        <w:autoSpaceDN w:val="0"/>
        <w:spacing w:line="276" w:lineRule="auto"/>
        <w:jc w:val="both"/>
        <w:rPr>
          <w:rFonts w:ascii="TimesNewRomanPSMT" w:hAnsi="TimesNewRomanPSMT"/>
        </w:rPr>
      </w:pPr>
      <w:r>
        <w:rPr>
          <w:rFonts w:ascii="TimesNewRomanPSMT" w:hAnsi="TimesNewRomanPSMT"/>
        </w:rPr>
        <w:t xml:space="preserve">Ierobežojumi finanšu un kapitāla tirgus dalībniekiem sniegt pakalpojumus klientam, kas ir sankciju subjekts atbilstoši Eiropas Savienības vai Ziemeļatlantijas līguma organizācijas dalībvalsts noteiktajām sankcijām, un neizpildīt darījumus, ja tajos iesaistītā puse ir sankciju subjekts atbilstoši Eiropas Savienības vai Ziemeļatlantijas līguma organizācijas dalībvalsts noteiktajām sankcijām, ir noteikti ar ārēju normatīvu aktu. Tāpēc personai nav pieteikuma tiesību pārsūdzēt Finanšu un kapitāla tirgus komisijas </w:t>
      </w:r>
      <w:r>
        <w:rPr>
          <w:rFonts w:ascii="TimesNewRomanPSMT" w:hAnsi="TimesNewRomanPSMT"/>
          <w:color w:val="000000"/>
        </w:rPr>
        <w:t>aicinājumu nesniegt finanšu pakalpojumus sankcijām pakļautām personām, jo šāda rīcība nav atzīstama par iestādes faktisko rīcību administratīvā procesa likuma izpratnē.</w:t>
      </w:r>
    </w:p>
    <w:p w14:paraId="0E25AD2D" w14:textId="77777777" w:rsidR="00365485" w:rsidRPr="0019737E" w:rsidRDefault="00365485" w:rsidP="005D77EF">
      <w:pPr>
        <w:spacing w:line="276" w:lineRule="auto"/>
        <w:rPr>
          <w:lang w:eastAsia="lv-LV"/>
        </w:rPr>
      </w:pPr>
    </w:p>
    <w:p w14:paraId="0C7BBD43" w14:textId="5C679644" w:rsidR="00D7081D" w:rsidRDefault="00D7081D" w:rsidP="005D77EF">
      <w:pPr>
        <w:spacing w:line="276" w:lineRule="auto"/>
        <w:jc w:val="center"/>
        <w:rPr>
          <w:b/>
        </w:rPr>
      </w:pPr>
      <w:r w:rsidRPr="0019737E">
        <w:rPr>
          <w:b/>
        </w:rPr>
        <w:t>Latvijas Republikas Senāt</w:t>
      </w:r>
      <w:r w:rsidR="005D77EF">
        <w:rPr>
          <w:b/>
        </w:rPr>
        <w:t>a</w:t>
      </w:r>
      <w:r w:rsidR="005D77EF">
        <w:rPr>
          <w:b/>
        </w:rPr>
        <w:br/>
        <w:t xml:space="preserve">Administratīvo lietu departamenta </w:t>
      </w:r>
    </w:p>
    <w:p w14:paraId="745961AB" w14:textId="26A73C7C" w:rsidR="005D77EF" w:rsidRPr="0019737E" w:rsidRDefault="005D77EF" w:rsidP="005D77EF">
      <w:pPr>
        <w:spacing w:line="276" w:lineRule="auto"/>
        <w:jc w:val="center"/>
        <w:rPr>
          <w:b/>
        </w:rPr>
      </w:pPr>
      <w:r>
        <w:rPr>
          <w:b/>
        </w:rPr>
        <w:t>2023.gada 12.decembra</w:t>
      </w:r>
    </w:p>
    <w:p w14:paraId="021871AF" w14:textId="77777777" w:rsidR="00D7081D" w:rsidRDefault="00D7081D" w:rsidP="005D77EF">
      <w:pPr>
        <w:spacing w:line="276" w:lineRule="auto"/>
        <w:jc w:val="center"/>
        <w:rPr>
          <w:b/>
        </w:rPr>
      </w:pPr>
      <w:r w:rsidRPr="0019737E">
        <w:rPr>
          <w:b/>
        </w:rPr>
        <w:t>SPRIEDUMS</w:t>
      </w:r>
      <w:r w:rsidRPr="0019737E" w:rsidDel="000D5B2A">
        <w:rPr>
          <w:b/>
        </w:rPr>
        <w:t xml:space="preserve"> </w:t>
      </w:r>
    </w:p>
    <w:p w14:paraId="7CD666CE" w14:textId="04239EF3" w:rsidR="005D77EF" w:rsidRPr="005D77EF" w:rsidRDefault="005D77EF" w:rsidP="005D77EF">
      <w:pPr>
        <w:spacing w:line="276" w:lineRule="auto"/>
        <w:jc w:val="center"/>
        <w:rPr>
          <w:b/>
          <w:bCs/>
          <w:lang w:eastAsia="lv-LV"/>
        </w:rPr>
      </w:pPr>
      <w:r w:rsidRPr="005D77EF">
        <w:rPr>
          <w:b/>
          <w:bCs/>
          <w:lang w:eastAsia="lv-LV"/>
        </w:rPr>
        <w:t>Liet</w:t>
      </w:r>
      <w:r w:rsidRPr="005D77EF">
        <w:rPr>
          <w:b/>
          <w:bCs/>
          <w:lang w:eastAsia="lv-LV"/>
        </w:rPr>
        <w:t>ā</w:t>
      </w:r>
      <w:r w:rsidRPr="005D77EF">
        <w:rPr>
          <w:b/>
          <w:bCs/>
          <w:lang w:eastAsia="lv-LV"/>
        </w:rPr>
        <w:t xml:space="preserve"> Nr. A43002320, SKA</w:t>
      </w:r>
      <w:r w:rsidRPr="005D77EF">
        <w:rPr>
          <w:b/>
          <w:bCs/>
          <w:lang w:eastAsia="lv-LV"/>
        </w:rPr>
        <w:noBreakHyphen/>
        <w:t>119/2023</w:t>
      </w:r>
    </w:p>
    <w:p w14:paraId="039FB59A" w14:textId="652C5A8E" w:rsidR="005D77EF" w:rsidRPr="0019737E" w:rsidRDefault="005D77EF" w:rsidP="005D77EF">
      <w:pPr>
        <w:spacing w:line="276" w:lineRule="auto"/>
        <w:jc w:val="center"/>
      </w:pPr>
      <w:hyperlink r:id="rId8" w:history="1">
        <w:r w:rsidRPr="005D77EF">
          <w:rPr>
            <w:rStyle w:val="Hyperlink"/>
            <w:rFonts w:ascii="TimesNewRomanPSMT" w:eastAsiaTheme="minorHAnsi" w:hAnsi="TimesNewRomanPSMT" w:cs="TimesNewRomanPSMT"/>
            <w:lang w:eastAsia="en-US"/>
          </w:rPr>
          <w:t>ECLI:LV:AT:2023:1212.A43002320.8.S</w:t>
        </w:r>
      </w:hyperlink>
    </w:p>
    <w:p w14:paraId="0BE99DA0" w14:textId="77777777" w:rsidR="00DB3CAB" w:rsidRPr="004507D7" w:rsidRDefault="00DB3CAB" w:rsidP="005D77EF">
      <w:pPr>
        <w:spacing w:line="276" w:lineRule="auto"/>
        <w:ind w:firstLine="709"/>
      </w:pPr>
    </w:p>
    <w:p w14:paraId="5778C869" w14:textId="44CCAF0C" w:rsidR="00DB3CAB" w:rsidRDefault="0040099D" w:rsidP="005D77EF">
      <w:pPr>
        <w:spacing w:line="276" w:lineRule="auto"/>
        <w:ind w:firstLine="720"/>
        <w:jc w:val="both"/>
      </w:pPr>
      <w:r w:rsidRPr="004507D7">
        <w:t xml:space="preserve">Senāts šādā sastāvā: </w:t>
      </w:r>
      <w:r w:rsidR="00426C4C" w:rsidRPr="004A4821">
        <w:t>senators referents Ermīns Darapoļskis, senatores</w:t>
      </w:r>
      <w:r w:rsidR="00E32F71">
        <w:t xml:space="preserve"> </w:t>
      </w:r>
      <w:r w:rsidR="003A3D1C">
        <w:t>Indra Meldere</w:t>
      </w:r>
      <w:r w:rsidR="005828C5">
        <w:t xml:space="preserve"> un Līvija Slica</w:t>
      </w:r>
    </w:p>
    <w:p w14:paraId="0AE5ABFE" w14:textId="77777777" w:rsidR="00426C4C" w:rsidRPr="004507D7" w:rsidRDefault="00426C4C" w:rsidP="005D77EF">
      <w:pPr>
        <w:spacing w:line="276" w:lineRule="auto"/>
        <w:ind w:firstLine="720"/>
        <w:jc w:val="both"/>
      </w:pPr>
    </w:p>
    <w:p w14:paraId="772598AC" w14:textId="30C0FBB2" w:rsidR="0006272B" w:rsidRPr="00CF28C5" w:rsidRDefault="0040099D" w:rsidP="005D77EF">
      <w:pPr>
        <w:spacing w:line="276" w:lineRule="auto"/>
        <w:ind w:firstLine="720"/>
        <w:jc w:val="both"/>
        <w:rPr>
          <w:rFonts w:asciiTheme="majorBidi" w:hAnsiTheme="majorBidi" w:cstheme="majorBidi"/>
        </w:rPr>
      </w:pPr>
      <w:r w:rsidRPr="004507D7">
        <w:t>rakstveida pr</w:t>
      </w:r>
      <w:r w:rsidRPr="00426C4C">
        <w:t xml:space="preserve">ocesā izskatīja administratīvo lietu, kas ierosināta, </w:t>
      </w:r>
      <w:r w:rsidRPr="00426C4C">
        <w:rPr>
          <w:lang w:eastAsia="lv-LV"/>
        </w:rPr>
        <w:t xml:space="preserve">pamatojoties uz </w:t>
      </w:r>
      <w:r w:rsidR="005D77EF">
        <w:t xml:space="preserve">[pers. A] </w:t>
      </w:r>
      <w:r w:rsidR="00CF28C5" w:rsidRPr="00C70DCC">
        <w:t>pieteikumu par Finanšu un kapitāla tirgus komisijas faktiskās rīcības, ar kuru Latvijas finanšu iestādēm uzlikts par pienākumu veikt noteiktas darbības Amerikas Savienoto Valstu noteikto sankciju īstenošanā pret</w:t>
      </w:r>
      <w:r w:rsidR="005D77EF">
        <w:t xml:space="preserve"> </w:t>
      </w:r>
      <w:r w:rsidR="005D77EF">
        <w:t>[pers. A]</w:t>
      </w:r>
      <w:r w:rsidR="00CF28C5" w:rsidRPr="00C70DCC">
        <w:t xml:space="preserve">, atzīšanu par prettiesisku un pienākuma uzlikšanu novērst </w:t>
      </w:r>
      <w:r w:rsidR="005D77EF">
        <w:t xml:space="preserve">[pers. A] </w:t>
      </w:r>
      <w:r w:rsidR="00CF28C5" w:rsidRPr="00C70DCC">
        <w:t>radītās sekas, atceļot finanšu iestādēm uzliktos pienākumus saistībā ar Amerikas Savienoto Valst</w:t>
      </w:r>
      <w:r w:rsidR="00CF28C5">
        <w:t>u noteikto sankciju īstenošanu</w:t>
      </w:r>
      <w:r w:rsidR="00794686">
        <w:t xml:space="preserve">, </w:t>
      </w:r>
      <w:r w:rsidRPr="002A03F7">
        <w:t xml:space="preserve">sakarā </w:t>
      </w:r>
      <w:bookmarkStart w:id="0" w:name="_Hlk152765930"/>
      <w:r w:rsidR="00CF28C5">
        <w:rPr>
          <w:rFonts w:asciiTheme="majorBidi" w:hAnsiTheme="majorBidi" w:cstheme="majorBidi"/>
        </w:rPr>
        <w:t xml:space="preserve">ar </w:t>
      </w:r>
      <w:r w:rsidR="005D77EF">
        <w:t xml:space="preserve">[pers. A] </w:t>
      </w:r>
      <w:r w:rsidRPr="00426C4C">
        <w:t>kasācijas sūdzību</w:t>
      </w:r>
      <w:r w:rsidR="008030BF" w:rsidRPr="00426C4C">
        <w:t xml:space="preserve"> </w:t>
      </w:r>
      <w:r w:rsidRPr="002A03F7">
        <w:t xml:space="preserve">par Administratīvās </w:t>
      </w:r>
      <w:r w:rsidRPr="00426C4C">
        <w:t xml:space="preserve">apgabaltiesas </w:t>
      </w:r>
      <w:r w:rsidR="00794686">
        <w:t xml:space="preserve">2020.gada </w:t>
      </w:r>
      <w:r w:rsidR="00CF28C5">
        <w:t>10.novembra</w:t>
      </w:r>
      <w:r w:rsidRPr="002A03F7">
        <w:t xml:space="preserve"> spriedumu</w:t>
      </w:r>
      <w:bookmarkEnd w:id="0"/>
      <w:r w:rsidRPr="002A03F7">
        <w:t>.</w:t>
      </w:r>
    </w:p>
    <w:p w14:paraId="648F8C5D" w14:textId="77777777" w:rsidR="00DB3CAB" w:rsidRPr="002A03F7" w:rsidRDefault="00DB3CAB" w:rsidP="005D77EF">
      <w:pPr>
        <w:spacing w:line="276" w:lineRule="auto"/>
        <w:ind w:firstLine="720"/>
        <w:jc w:val="both"/>
      </w:pPr>
    </w:p>
    <w:p w14:paraId="6D131210" w14:textId="5B45D1E2" w:rsidR="0006272B" w:rsidRPr="002A03F7" w:rsidRDefault="00447EE6" w:rsidP="005D77EF">
      <w:pPr>
        <w:spacing w:line="276" w:lineRule="auto"/>
        <w:jc w:val="center"/>
        <w:rPr>
          <w:b/>
          <w:shd w:val="clear" w:color="auto" w:fill="FFFFFF"/>
        </w:rPr>
      </w:pPr>
      <w:r w:rsidRPr="002A03F7">
        <w:rPr>
          <w:b/>
          <w:shd w:val="clear" w:color="auto" w:fill="FFFFFF"/>
        </w:rPr>
        <w:t>Aprakstošā daļa</w:t>
      </w:r>
    </w:p>
    <w:p w14:paraId="42D85DF9" w14:textId="77777777" w:rsidR="00DB3CAB" w:rsidRPr="00052494" w:rsidRDefault="00DB3CAB" w:rsidP="005D77EF">
      <w:pPr>
        <w:spacing w:line="276" w:lineRule="auto"/>
        <w:ind w:firstLine="709"/>
        <w:rPr>
          <w:bCs/>
          <w:shd w:val="clear" w:color="auto" w:fill="FFFFFF"/>
        </w:rPr>
      </w:pPr>
    </w:p>
    <w:p w14:paraId="3486104A" w14:textId="012EB0FE" w:rsidR="00CF28C5" w:rsidRPr="00CF28C5" w:rsidRDefault="00447EE6" w:rsidP="005D77EF">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CF28C5">
        <w:rPr>
          <w:shd w:val="clear" w:color="auto" w:fill="FFFFFF"/>
        </w:rPr>
        <w:t>[1]</w:t>
      </w:r>
      <w:r w:rsidR="00CF28C5" w:rsidRPr="00CF28C5">
        <w:rPr>
          <w:shd w:val="clear" w:color="auto" w:fill="FFFFFF"/>
        </w:rPr>
        <w:t> </w:t>
      </w:r>
      <w:r w:rsidR="00CF28C5" w:rsidRPr="00CF28C5">
        <w:t xml:space="preserve">Amerikas Savienoto Valstu Ārvalstu aktīvu kontroles birojs </w:t>
      </w:r>
      <w:r w:rsidR="00CF28C5" w:rsidRPr="00E61B07">
        <w:t>(</w:t>
      </w:r>
      <w:r w:rsidR="00CF28C5" w:rsidRPr="00CF28C5">
        <w:rPr>
          <w:i/>
          <w:iCs/>
        </w:rPr>
        <w:t>Office of Foreign Assets Control</w:t>
      </w:r>
      <w:r w:rsidR="00CF28C5" w:rsidRPr="00E61B07">
        <w:t>) </w:t>
      </w:r>
      <w:r w:rsidR="00CF28C5" w:rsidRPr="00CF28C5">
        <w:t>(turpmāk – OFAC) 2019.gada 9.decembrī iekļāva pieteicēju</w:t>
      </w:r>
      <w:r w:rsidR="005D77EF">
        <w:t xml:space="preserve"> </w:t>
      </w:r>
      <w:r w:rsidR="005D77EF">
        <w:t xml:space="preserve">[pers. A] </w:t>
      </w:r>
      <w:r w:rsidR="004767B8">
        <w:t>un četras ar pieteicēju saistītās kompānijas</w:t>
      </w:r>
      <w:r w:rsidR="00CF28C5" w:rsidRPr="00CF28C5">
        <w:t xml:space="preserve"> OFAC sankciju sarakstā.</w:t>
      </w:r>
    </w:p>
    <w:p w14:paraId="40B36AB4" w14:textId="77777777" w:rsidR="005828C5" w:rsidRDefault="005828C5" w:rsidP="005D77EF">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492D8197" w14:textId="3025B8BF" w:rsidR="007A680E" w:rsidRPr="007A680E" w:rsidRDefault="0047038D" w:rsidP="005D77EF">
      <w:pPr>
        <w:pStyle w:val="NormalWeb"/>
        <w:shd w:val="clear" w:color="auto" w:fill="FFFFFF"/>
        <w:spacing w:before="0" w:beforeAutospacing="0" w:after="0" w:afterAutospacing="0" w:line="276" w:lineRule="auto"/>
        <w:ind w:firstLine="720"/>
        <w:jc w:val="both"/>
        <w:rPr>
          <w:shd w:val="clear" w:color="auto" w:fill="FFFFFF"/>
        </w:rPr>
      </w:pPr>
      <w:r w:rsidRPr="007A680E">
        <w:rPr>
          <w:shd w:val="clear" w:color="auto" w:fill="FFFFFF"/>
        </w:rPr>
        <w:t>[2]</w:t>
      </w:r>
      <w:r w:rsidR="007A680E" w:rsidRPr="007A680E">
        <w:rPr>
          <w:shd w:val="clear" w:color="auto" w:fill="FFFFFF"/>
        </w:rPr>
        <w:t> </w:t>
      </w:r>
      <w:r w:rsidR="007A680E" w:rsidRPr="007A680E">
        <w:t>Finanšu un kapitāla tirgus komisija (turpmāk – komisija)</w:t>
      </w:r>
      <w:r w:rsidR="00847CE3">
        <w:t> (pēc kasācijas tiesvedības ierosināšanas aizstāta ar tās tiesību un saistību pārņēmēju Latvijas Banku)</w:t>
      </w:r>
      <w:r w:rsidR="00847CE3" w:rsidRPr="007A680E">
        <w:t xml:space="preserve"> </w:t>
      </w:r>
      <w:r w:rsidR="007A680E" w:rsidRPr="007A680E">
        <w:t>2019.gada 10.decembrī informēja finanšu un kapitāla tirgus dalībniekus par pieņemtajām sankcijām un lūdza atbilstoši komisijas 2019.gada 29.janvāra noteikumiem</w:t>
      </w:r>
      <w:r w:rsidR="001919C0" w:rsidRPr="001919C0">
        <w:t xml:space="preserve"> </w:t>
      </w:r>
      <w:r w:rsidR="001919C0" w:rsidRPr="007A680E">
        <w:t>Nr. </w:t>
      </w:r>
      <w:r w:rsidR="001919C0" w:rsidRPr="007C7BE9">
        <w:t>13</w:t>
      </w:r>
      <w:r w:rsidR="007A680E" w:rsidRPr="007A680E">
        <w:t xml:space="preserve"> „Sankciju riska pārvaldīšanas normatīvie noteikumi” </w:t>
      </w:r>
      <w:r w:rsidR="007A680E" w:rsidRPr="007C7BE9">
        <w:t xml:space="preserve">(turpmāk – </w:t>
      </w:r>
      <w:r w:rsidR="004767B8" w:rsidRPr="007A680E">
        <w:t xml:space="preserve">Sankciju riska pārvaldīšanas </w:t>
      </w:r>
      <w:r w:rsidR="004767B8" w:rsidRPr="007A680E">
        <w:lastRenderedPageBreak/>
        <w:t>noteikumi</w:t>
      </w:r>
      <w:r w:rsidR="007A680E" w:rsidRPr="007C7BE9">
        <w:t>)</w:t>
      </w:r>
      <w:r w:rsidR="00935060">
        <w:t xml:space="preserve"> </w:t>
      </w:r>
      <w:r w:rsidR="007A680E" w:rsidRPr="007C7BE9">
        <w:t>18.pu</w:t>
      </w:r>
      <w:r w:rsidR="007A680E" w:rsidRPr="007A680E">
        <w:t>nkta prasībām nesniegt finanšu pakalpojumus sankcionētajām personām, tostarp pieteicējam.</w:t>
      </w:r>
    </w:p>
    <w:p w14:paraId="174448F9" w14:textId="33E97B63" w:rsidR="005828C5" w:rsidRDefault="007A680E" w:rsidP="005D77EF">
      <w:pPr>
        <w:pStyle w:val="NormalWeb"/>
        <w:shd w:val="clear" w:color="auto" w:fill="FFFFFF"/>
        <w:spacing w:before="0" w:beforeAutospacing="0" w:after="0" w:afterAutospacing="0" w:line="276" w:lineRule="auto"/>
        <w:ind w:firstLine="720"/>
        <w:jc w:val="both"/>
        <w:rPr>
          <w:shd w:val="clear" w:color="auto" w:fill="FFFFFF"/>
        </w:rPr>
      </w:pPr>
      <w:r>
        <w:t>2019.gada 12.decembrī komisija nosūtīja vēstuli finanšu un kapitāla tirgus dalībniekiem ar informāciju par to, ka attiecībā uz sankcionēto personu – pieteicēju – ir pieļaujams veikt maksājumus, kas nepieciešami personas pamatvajadzību apmierināšanai</w:t>
      </w:r>
      <w:r w:rsidR="00B9535E">
        <w:t xml:space="preserve">. </w:t>
      </w:r>
      <w:r>
        <w:t>Tāpat komisija 2020.gada 16.janvārī nosūtīja vispārēju saskaņojumu finanšu un kapitāla tirgus dalībniekiem, atļaujot tiem, kas saņēmuši attiecīgu pieteikumu finanšu darījumam, bez atsevišķas komisijas atļaujas saņemšanas sniegt finanšu pakalpojumus un izpildīt finanšu darījumus pieteicējam, lai nodrošinātu pieteicēja un viņa ģimenes locekļu pamatvajadzības.</w:t>
      </w:r>
    </w:p>
    <w:p w14:paraId="02A600CD" w14:textId="77777777" w:rsidR="005828C5" w:rsidRDefault="005828C5" w:rsidP="005D77EF">
      <w:pPr>
        <w:pStyle w:val="NormalWeb"/>
        <w:shd w:val="clear" w:color="auto" w:fill="FFFFFF"/>
        <w:spacing w:before="0" w:beforeAutospacing="0" w:after="0" w:afterAutospacing="0" w:line="276" w:lineRule="auto"/>
        <w:jc w:val="both"/>
        <w:rPr>
          <w:shd w:val="clear" w:color="auto" w:fill="FFFFFF"/>
        </w:rPr>
      </w:pPr>
    </w:p>
    <w:p w14:paraId="2BFFD8CA" w14:textId="09AEDBF6" w:rsidR="007A680E" w:rsidRPr="007A680E" w:rsidRDefault="009E788D" w:rsidP="005D77EF">
      <w:pPr>
        <w:pStyle w:val="NormalWeb"/>
        <w:shd w:val="clear" w:color="auto" w:fill="FFFFFF"/>
        <w:spacing w:before="0" w:beforeAutospacing="0" w:after="0" w:afterAutospacing="0" w:line="276" w:lineRule="auto"/>
        <w:ind w:firstLine="720"/>
        <w:jc w:val="both"/>
      </w:pPr>
      <w:r>
        <w:t>[</w:t>
      </w:r>
      <w:r w:rsidR="009A5A4A">
        <w:t>3</w:t>
      </w:r>
      <w:r>
        <w:t>] </w:t>
      </w:r>
      <w:r w:rsidRPr="00CC611B">
        <w:rPr>
          <w:rFonts w:ascii="TimesNewRomanPSMT" w:hAnsi="TimesNewRomanPSMT" w:cs="TimesNewRomanPSMT"/>
        </w:rPr>
        <w:t>Pieteicēj</w:t>
      </w:r>
      <w:r w:rsidR="005828C5">
        <w:rPr>
          <w:rFonts w:ascii="TimesNewRomanPSMT" w:hAnsi="TimesNewRomanPSMT" w:cs="TimesNewRomanPSMT"/>
        </w:rPr>
        <w:t>s</w:t>
      </w:r>
      <w:r w:rsidR="007A680E">
        <w:rPr>
          <w:rFonts w:ascii="TimesNewRomanPSMT" w:hAnsi="TimesNewRomanPSMT" w:cs="TimesNewRomanPSMT"/>
        </w:rPr>
        <w:t xml:space="preserve"> </w:t>
      </w:r>
      <w:r w:rsidR="007A680E" w:rsidRPr="00C84BF4">
        <w:t>vērsās Administratīvajā apgabaltiesā ar pieteikumu</w:t>
      </w:r>
      <w:r w:rsidR="007A680E">
        <w:t xml:space="preserve"> par </w:t>
      </w:r>
      <w:r w:rsidR="007A680E" w:rsidRPr="00C70DCC">
        <w:t xml:space="preserve">komisijas faktiskās rīcības, ar kuru Latvijas finanšu iestādēm uzlikts par pienākumu veikt noteiktas darbības </w:t>
      </w:r>
      <w:r w:rsidR="007A680E">
        <w:t xml:space="preserve">OFAC </w:t>
      </w:r>
      <w:r w:rsidR="007A680E" w:rsidRPr="00C70DCC">
        <w:t xml:space="preserve">sankciju īstenošanā, atzīšanu par prettiesisku un pienākuma uzlikšanu novērst </w:t>
      </w:r>
      <w:r w:rsidR="007A680E">
        <w:t>pieteicējam</w:t>
      </w:r>
      <w:r w:rsidR="007A680E" w:rsidRPr="00C70DCC">
        <w:t xml:space="preserve"> radītās sekas, atceļot finanšu iestādēm uzliktos pienākumus saistībā ar </w:t>
      </w:r>
      <w:r w:rsidR="007A680E">
        <w:t>OFAC sankciju īstenošanu</w:t>
      </w:r>
      <w:r w:rsidR="00A905C9">
        <w:t>.</w:t>
      </w:r>
    </w:p>
    <w:p w14:paraId="40C77B81" w14:textId="77777777" w:rsidR="005828C5" w:rsidRPr="004507D7" w:rsidRDefault="005828C5" w:rsidP="005D77EF">
      <w:pPr>
        <w:pStyle w:val="NormalWeb"/>
        <w:shd w:val="clear" w:color="auto" w:fill="FFFFFF"/>
        <w:spacing w:before="0" w:beforeAutospacing="0" w:after="0" w:afterAutospacing="0" w:line="276" w:lineRule="auto"/>
        <w:ind w:firstLine="720"/>
        <w:jc w:val="both"/>
        <w:rPr>
          <w:shd w:val="clear" w:color="auto" w:fill="FFFFFF"/>
        </w:rPr>
      </w:pPr>
    </w:p>
    <w:p w14:paraId="1BDE81C0" w14:textId="3C0A1EA2" w:rsidR="005828C5" w:rsidRPr="00D7081D" w:rsidRDefault="00F77232" w:rsidP="005D77EF">
      <w:pPr>
        <w:pStyle w:val="NormalWeb"/>
        <w:shd w:val="clear" w:color="auto" w:fill="FFFFFF"/>
        <w:spacing w:before="0" w:beforeAutospacing="0" w:after="0" w:afterAutospacing="0" w:line="276" w:lineRule="auto"/>
        <w:ind w:firstLine="720"/>
        <w:jc w:val="both"/>
      </w:pPr>
      <w:r w:rsidRPr="002A03F7">
        <w:rPr>
          <w:shd w:val="clear" w:color="auto" w:fill="FFFFFF"/>
        </w:rPr>
        <w:t>[</w:t>
      </w:r>
      <w:r w:rsidR="009A5A4A">
        <w:rPr>
          <w:shd w:val="clear" w:color="auto" w:fill="FFFFFF"/>
        </w:rPr>
        <w:t>4</w:t>
      </w:r>
      <w:r w:rsidRPr="002A03F7">
        <w:rPr>
          <w:shd w:val="clear" w:color="auto" w:fill="FFFFFF"/>
        </w:rPr>
        <w:t>]</w:t>
      </w:r>
      <w:r w:rsidR="0006272B" w:rsidRPr="002A03F7">
        <w:rPr>
          <w:shd w:val="clear" w:color="auto" w:fill="FFFFFF"/>
        </w:rPr>
        <w:t> </w:t>
      </w:r>
      <w:r w:rsidR="005F3586" w:rsidRPr="002A03F7">
        <w:rPr>
          <w:shd w:val="clear" w:color="auto" w:fill="FFFFFF"/>
        </w:rPr>
        <w:t xml:space="preserve">Ar </w:t>
      </w:r>
      <w:r w:rsidR="00814C70" w:rsidRPr="002A03F7">
        <w:rPr>
          <w:shd w:val="clear" w:color="auto" w:fill="FFFFFF"/>
        </w:rPr>
        <w:t>Administratīvā</w:t>
      </w:r>
      <w:r w:rsidR="005F3586" w:rsidRPr="002A03F7">
        <w:rPr>
          <w:shd w:val="clear" w:color="auto" w:fill="FFFFFF"/>
        </w:rPr>
        <w:t>s</w:t>
      </w:r>
      <w:r w:rsidR="00814C70" w:rsidRPr="002A03F7">
        <w:rPr>
          <w:shd w:val="clear" w:color="auto" w:fill="FFFFFF"/>
        </w:rPr>
        <w:t xml:space="preserve"> apgabaltiesa</w:t>
      </w:r>
      <w:r w:rsidR="005F3586" w:rsidRPr="002A03F7">
        <w:rPr>
          <w:shd w:val="clear" w:color="auto" w:fill="FFFFFF"/>
        </w:rPr>
        <w:t>s</w:t>
      </w:r>
      <w:r w:rsidR="00814C70" w:rsidRPr="002A03F7">
        <w:rPr>
          <w:shd w:val="clear" w:color="auto" w:fill="FFFFFF"/>
        </w:rPr>
        <w:t xml:space="preserve"> </w:t>
      </w:r>
      <w:r w:rsidR="003A3D1C">
        <w:t xml:space="preserve">2020.gada </w:t>
      </w:r>
      <w:r w:rsidR="005828C5">
        <w:t>10.novembra</w:t>
      </w:r>
      <w:r w:rsidR="003A3D1C" w:rsidRPr="002A03F7">
        <w:t xml:space="preserve"> </w:t>
      </w:r>
      <w:r w:rsidR="00814C70" w:rsidRPr="002A03F7">
        <w:rPr>
          <w:shd w:val="clear" w:color="auto" w:fill="FFFFFF"/>
        </w:rPr>
        <w:t>spriedumu pieteikum</w:t>
      </w:r>
      <w:r w:rsidR="005F3586" w:rsidRPr="00426C4C">
        <w:t>s</w:t>
      </w:r>
      <w:r w:rsidR="00814C70" w:rsidRPr="00426C4C">
        <w:t xml:space="preserve"> </w:t>
      </w:r>
      <w:r w:rsidR="00E32F71">
        <w:t>noraidīts.</w:t>
      </w:r>
      <w:r w:rsidR="00AD2039" w:rsidRPr="00426C4C">
        <w:t xml:space="preserve"> </w:t>
      </w:r>
      <w:r w:rsidR="00E32F71">
        <w:rPr>
          <w:shd w:val="clear" w:color="auto" w:fill="FFFFFF"/>
        </w:rPr>
        <w:t>Pieteicēj</w:t>
      </w:r>
      <w:r w:rsidR="005828C5">
        <w:rPr>
          <w:shd w:val="clear" w:color="auto" w:fill="FFFFFF"/>
        </w:rPr>
        <w:t>s</w:t>
      </w:r>
      <w:r w:rsidR="00200B26" w:rsidRPr="004507D7">
        <w:rPr>
          <w:shd w:val="clear" w:color="auto" w:fill="FFFFFF"/>
        </w:rPr>
        <w:t xml:space="preserve"> </w:t>
      </w:r>
      <w:r w:rsidR="00E32F71" w:rsidRPr="00426C4C">
        <w:rPr>
          <w:shd w:val="clear" w:color="auto" w:fill="FFFFFF"/>
        </w:rPr>
        <w:t xml:space="preserve">par </w:t>
      </w:r>
      <w:r w:rsidR="00D7081D">
        <w:rPr>
          <w:shd w:val="clear" w:color="auto" w:fill="FFFFFF"/>
        </w:rPr>
        <w:t xml:space="preserve">minēto </w:t>
      </w:r>
      <w:r w:rsidR="00E32F71" w:rsidRPr="00426C4C">
        <w:rPr>
          <w:shd w:val="clear" w:color="auto" w:fill="FFFFFF"/>
        </w:rPr>
        <w:t xml:space="preserve">tiesas spriedumu </w:t>
      </w:r>
      <w:r w:rsidR="008E6D96" w:rsidRPr="004507D7">
        <w:rPr>
          <w:shd w:val="clear" w:color="auto" w:fill="FFFFFF"/>
        </w:rPr>
        <w:t xml:space="preserve">iesniedza </w:t>
      </w:r>
      <w:r w:rsidR="008E6D96" w:rsidRPr="00426C4C">
        <w:rPr>
          <w:shd w:val="clear" w:color="auto" w:fill="FFFFFF"/>
        </w:rPr>
        <w:t>kasācijas sūdzību</w:t>
      </w:r>
      <w:r w:rsidR="00D7081D">
        <w:rPr>
          <w:shd w:val="clear" w:color="auto" w:fill="FFFFFF"/>
        </w:rPr>
        <w:t>.</w:t>
      </w:r>
    </w:p>
    <w:p w14:paraId="0E194C27" w14:textId="77777777" w:rsidR="005828C5" w:rsidRDefault="005828C5" w:rsidP="005D77EF">
      <w:pPr>
        <w:pStyle w:val="NormalWeb"/>
        <w:shd w:val="clear" w:color="auto" w:fill="FFFFFF"/>
        <w:spacing w:before="0" w:beforeAutospacing="0" w:after="0" w:afterAutospacing="0" w:line="276" w:lineRule="auto"/>
        <w:ind w:firstLine="720"/>
        <w:jc w:val="both"/>
      </w:pPr>
    </w:p>
    <w:p w14:paraId="1D9A8A08" w14:textId="10AAB7E2" w:rsidR="00EB345A" w:rsidRPr="00735FE2" w:rsidRDefault="00911ABD" w:rsidP="005D77EF">
      <w:pPr>
        <w:spacing w:line="276" w:lineRule="auto"/>
        <w:ind w:firstLine="720"/>
        <w:jc w:val="both"/>
        <w:rPr>
          <w:lang w:eastAsia="lv-LV"/>
        </w:rPr>
      </w:pPr>
      <w:r w:rsidRPr="007C7BE9">
        <w:rPr>
          <w:lang w:eastAsia="lv-LV"/>
        </w:rPr>
        <w:t>[</w:t>
      </w:r>
      <w:r w:rsidR="00D7081D">
        <w:rPr>
          <w:lang w:eastAsia="lv-LV"/>
        </w:rPr>
        <w:t>5</w:t>
      </w:r>
      <w:r w:rsidRPr="007C7BE9">
        <w:rPr>
          <w:lang w:eastAsia="lv-LV"/>
        </w:rPr>
        <w:t>]</w:t>
      </w:r>
      <w:r w:rsidR="00E32F71" w:rsidRPr="007C7BE9">
        <w:rPr>
          <w:lang w:eastAsia="lv-LV"/>
        </w:rPr>
        <w:t> </w:t>
      </w:r>
      <w:r w:rsidR="00D7081D" w:rsidRPr="0019737E">
        <w:rPr>
          <w:shd w:val="clear" w:color="auto" w:fill="FFFFFF"/>
        </w:rPr>
        <w:t xml:space="preserve">Sagatavojot lietu izskatīšanai kasācijas kārtībā, Senātam radās šaubas par pieteikuma pieļaujamību izskatīšanai tiesā administratīvā procesa kārtībā. </w:t>
      </w:r>
      <w:r w:rsidR="00D7081D" w:rsidRPr="00A0694F">
        <w:rPr>
          <w:shd w:val="clear" w:color="auto" w:fill="FFFFFF"/>
        </w:rPr>
        <w:t xml:space="preserve">Pēc Senāta </w:t>
      </w:r>
      <w:r w:rsidR="00140352" w:rsidRPr="00A0694F">
        <w:rPr>
          <w:shd w:val="clear" w:color="auto" w:fill="FFFFFF"/>
        </w:rPr>
        <w:t xml:space="preserve">lūguma </w:t>
      </w:r>
      <w:r w:rsidR="00D7081D" w:rsidRPr="00A0694F">
        <w:rPr>
          <w:shd w:val="clear" w:color="auto" w:fill="FFFFFF"/>
        </w:rPr>
        <w:t xml:space="preserve">pieteicējs </w:t>
      </w:r>
      <w:r w:rsidR="00A905C9" w:rsidRPr="00A0694F">
        <w:rPr>
          <w:shd w:val="clear" w:color="auto" w:fill="FFFFFF"/>
        </w:rPr>
        <w:t>izteica</w:t>
      </w:r>
      <w:r w:rsidR="00D7081D" w:rsidRPr="00A0694F">
        <w:rPr>
          <w:shd w:val="clear" w:color="auto" w:fill="FFFFFF"/>
        </w:rPr>
        <w:t xml:space="preserve"> viedokli, ka pieteikums ir izskatāms administratīvā procesa kārtībā, </w:t>
      </w:r>
      <w:r w:rsidR="00D7081D" w:rsidRPr="00735FE2">
        <w:rPr>
          <w:shd w:val="clear" w:color="auto" w:fill="FFFFFF"/>
        </w:rPr>
        <w:t xml:space="preserve">savukārt Latvijas Banka </w:t>
      </w:r>
      <w:r w:rsidR="00A905C9">
        <w:rPr>
          <w:shd w:val="clear" w:color="auto" w:fill="FFFFFF"/>
        </w:rPr>
        <w:t>izteica</w:t>
      </w:r>
      <w:r w:rsidR="00D7081D" w:rsidRPr="00735FE2">
        <w:rPr>
          <w:shd w:val="clear" w:color="auto" w:fill="FFFFFF"/>
        </w:rPr>
        <w:t xml:space="preserve"> viedokli, ka </w:t>
      </w:r>
      <w:r w:rsidR="00140352" w:rsidRPr="00735FE2">
        <w:rPr>
          <w:shd w:val="clear" w:color="auto" w:fill="FFFFFF"/>
        </w:rPr>
        <w:t>pārsūdzētā komisijas rīcība nav pakļauta</w:t>
      </w:r>
      <w:r w:rsidR="00D7081D" w:rsidRPr="00735FE2">
        <w:rPr>
          <w:shd w:val="clear" w:color="auto" w:fill="FFFFFF"/>
        </w:rPr>
        <w:t xml:space="preserve"> administratīvās tiesas kontrolei</w:t>
      </w:r>
      <w:r w:rsidR="00A905C9">
        <w:rPr>
          <w:shd w:val="clear" w:color="auto" w:fill="FFFFFF"/>
        </w:rPr>
        <w:t xml:space="preserve"> un lūdza izbeigt tiesvedību lietā.</w:t>
      </w:r>
    </w:p>
    <w:p w14:paraId="0AF72FC3" w14:textId="77777777" w:rsidR="005F3F3D" w:rsidRPr="00A03F77" w:rsidRDefault="005F3F3D" w:rsidP="005D77EF">
      <w:pPr>
        <w:spacing w:line="276" w:lineRule="auto"/>
        <w:ind w:firstLine="720"/>
        <w:jc w:val="both"/>
        <w:rPr>
          <w:lang w:eastAsia="lv-LV"/>
        </w:rPr>
      </w:pPr>
    </w:p>
    <w:p w14:paraId="7DAF7841" w14:textId="300657C2" w:rsidR="00447EE6" w:rsidRPr="00A03F77" w:rsidRDefault="00447EE6" w:rsidP="005D77EF">
      <w:pPr>
        <w:shd w:val="clear" w:color="auto" w:fill="FFFFFF"/>
        <w:spacing w:line="276" w:lineRule="auto"/>
        <w:jc w:val="center"/>
        <w:rPr>
          <w:b/>
        </w:rPr>
      </w:pPr>
      <w:r w:rsidRPr="00A03F77">
        <w:rPr>
          <w:b/>
        </w:rPr>
        <w:t>Motīvu daļa</w:t>
      </w:r>
    </w:p>
    <w:p w14:paraId="7E617B2C" w14:textId="77777777" w:rsidR="00CD077C" w:rsidRPr="004507D7" w:rsidRDefault="00CD077C" w:rsidP="005D77EF">
      <w:pPr>
        <w:shd w:val="clear" w:color="auto" w:fill="FFFFFF"/>
        <w:spacing w:line="276" w:lineRule="auto"/>
        <w:ind w:firstLine="709"/>
      </w:pPr>
    </w:p>
    <w:p w14:paraId="2635762B" w14:textId="63C2FDD8" w:rsidR="00D7081D" w:rsidRPr="0019737E" w:rsidRDefault="005D65A2" w:rsidP="005D77EF">
      <w:pPr>
        <w:spacing w:line="276" w:lineRule="auto"/>
        <w:ind w:firstLine="709"/>
        <w:jc w:val="both"/>
        <w:rPr>
          <w:lang w:eastAsia="lv-LV"/>
        </w:rPr>
      </w:pPr>
      <w:r w:rsidRPr="000B2E20">
        <w:rPr>
          <w:lang w:eastAsia="lv-LV"/>
        </w:rPr>
        <w:t>[</w:t>
      </w:r>
      <w:r w:rsidR="00D7081D">
        <w:rPr>
          <w:lang w:eastAsia="lv-LV"/>
        </w:rPr>
        <w:t>6</w:t>
      </w:r>
      <w:r w:rsidRPr="000B2E20">
        <w:rPr>
          <w:lang w:eastAsia="lv-LV"/>
        </w:rPr>
        <w:t>]</w:t>
      </w:r>
      <w:r w:rsidR="00D7081D">
        <w:rPr>
          <w:lang w:eastAsia="lv-LV"/>
        </w:rPr>
        <w:t> </w:t>
      </w:r>
      <w:r w:rsidR="00D7081D" w:rsidRPr="0019737E">
        <w:t>Atbilstoši Administratīvā procesa likuma 191.panta pirmās daļas 1.punktam tiesnesis atsakās pieņemt pieteikumu, ja lieta nav izskatāma administratīvā procesa kārtībā. Savukārt, ja tiesa jau ierosinātas tiesvedības gadījumā konstatē, ka lieta nav izskatāma administratīvā procesa kārtībā, tā saskaņā ar minētā likuma 282.panta 1.punktu izbeidz tiesvedību lietā. Tādējādi tas, ka lieta ir izskatāma administratīvā procesa kārtībā, ir viens no obligātiem priekšnoteikumiem pieteikuma pieļaujamībai un, tam iztrūkstot, lieta nav izskatāma pēc būtības.</w:t>
      </w:r>
    </w:p>
    <w:p w14:paraId="6C031946" w14:textId="77777777" w:rsidR="00D7081D" w:rsidRPr="0019737E" w:rsidRDefault="00D7081D" w:rsidP="005D77EF">
      <w:pPr>
        <w:shd w:val="clear" w:color="auto" w:fill="FFFFFF"/>
        <w:spacing w:line="276" w:lineRule="auto"/>
        <w:ind w:firstLine="720"/>
        <w:jc w:val="both"/>
      </w:pPr>
      <w:r w:rsidRPr="0019737E">
        <w:t>Saskaņā ar Administratīvā procesa likuma 348.panta pirmās daļas 3.punktu kasācijas instances tiesa, izskatījusi lietu, var atcelt spriedumu un izbeigt tiesvedību, ja zemākas instances tiesa nav ievērojusi 282.panta noteikumus. Līdz ar to arī Senāts šaubu gadījumā var pārbaudīt, vai lieta ir izskatāma administratīvā procesa kārtībā.</w:t>
      </w:r>
    </w:p>
    <w:p w14:paraId="65992D79" w14:textId="77777777" w:rsidR="00D7081D" w:rsidRDefault="00D7081D" w:rsidP="005D77EF">
      <w:pPr>
        <w:spacing w:line="276" w:lineRule="auto"/>
        <w:jc w:val="both"/>
        <w:rPr>
          <w:lang w:eastAsia="lv-LV"/>
        </w:rPr>
      </w:pPr>
    </w:p>
    <w:p w14:paraId="462DFC27" w14:textId="1C4EBD9F" w:rsidR="001B63AF" w:rsidRPr="0078312C" w:rsidRDefault="00D7081D" w:rsidP="005D77EF">
      <w:pPr>
        <w:spacing w:line="276" w:lineRule="auto"/>
        <w:ind w:firstLine="709"/>
        <w:jc w:val="both"/>
        <w:rPr>
          <w:color w:val="FF0000"/>
        </w:rPr>
      </w:pPr>
      <w:r>
        <w:t>[7] </w:t>
      </w:r>
      <w:r w:rsidR="001B63AF">
        <w:t>Pieteicējs, vēršoties ar pieteikumu tiesā, vēlas</w:t>
      </w:r>
      <w:r>
        <w:t xml:space="preserve"> panākt</w:t>
      </w:r>
      <w:r w:rsidR="001B63AF">
        <w:t xml:space="preserve"> komisijas rīcības atzīšanu par prettiesisku un šīs rīcības radīto seku novēršanu. Pieteikuma pamatā ir komisijas nosūtītās vēstules finanšu un kapitāla tirgus dalībniekiem, kurās sniegta informācija, ka pieteicējs ir </w:t>
      </w:r>
      <w:r w:rsidR="001B63AF">
        <w:lastRenderedPageBreak/>
        <w:t>iekļauts OFAC</w:t>
      </w:r>
      <w:r w:rsidR="0078312C">
        <w:t xml:space="preserve"> </w:t>
      </w:r>
      <w:r w:rsidR="001B63AF">
        <w:t>sankciju sarakstā</w:t>
      </w:r>
      <w:r w:rsidR="00DB6ABF">
        <w:t>,</w:t>
      </w:r>
      <w:r w:rsidR="001B63AF">
        <w:t xml:space="preserve"> un lūgts nesniegt </w:t>
      </w:r>
      <w:r w:rsidR="00DB6ABF">
        <w:t xml:space="preserve">pieteicējam </w:t>
      </w:r>
      <w:r w:rsidR="001B63AF">
        <w:t xml:space="preserve">finanšu pakalpojumus. Tāpat komisija informēja, ka attiecībā uz sankcionēto personu – pieteicēju – ir pieļaujams veikt maksājumus, kas nepieciešami personas pamatvajadzību apmierināšanai. </w:t>
      </w:r>
    </w:p>
    <w:p w14:paraId="6D2F48B8" w14:textId="396FB08A" w:rsidR="001B63AF" w:rsidRDefault="001B63AF" w:rsidP="005D77EF">
      <w:pPr>
        <w:spacing w:line="276" w:lineRule="auto"/>
        <w:jc w:val="both"/>
      </w:pPr>
      <w:r>
        <w:tab/>
        <w:t>Pieteicēja ieskatā</w:t>
      </w:r>
      <w:r w:rsidR="00311A41">
        <w:t xml:space="preserve"> </w:t>
      </w:r>
      <w:r>
        <w:t xml:space="preserve">komisijas vēstulēs ietverti norādījumi visiem finanšu un kapitāla tirgus dalībniekiem veikt noteiktas darbības OFAC sankciju īstenošanai pret pieteicēju un šos norādījumus izpilda visi finanšu un kapitāla tirgus dalībnieki, kā rezultātā pieteicējam netiek sniegti finanšu pakalpojumi. Tādējādi pieteicējs komisijas vēstulēs ietvertos norādījumus pārsūdz kā iestādes faktisko rīcību. </w:t>
      </w:r>
    </w:p>
    <w:p w14:paraId="4A05B1E8" w14:textId="2592ACCB" w:rsidR="001B63AF" w:rsidRDefault="001B63AF" w:rsidP="005D77EF">
      <w:pPr>
        <w:spacing w:line="276" w:lineRule="auto"/>
        <w:jc w:val="both"/>
        <w:rPr>
          <w:rFonts w:asciiTheme="majorBidi" w:hAnsiTheme="majorBidi" w:cstheme="majorBidi"/>
        </w:rPr>
      </w:pPr>
      <w:r>
        <w:tab/>
        <w:t xml:space="preserve">Apgabaltiesa izsprieda pieteicēja prasījumus par </w:t>
      </w:r>
      <w:r w:rsidRPr="007416E1">
        <w:rPr>
          <w:rFonts w:asciiTheme="majorBidi" w:hAnsiTheme="majorBidi" w:cstheme="majorBidi"/>
        </w:rPr>
        <w:t>komisijas faktiskās rīcības, ar</w:t>
      </w:r>
      <w:r>
        <w:rPr>
          <w:rFonts w:asciiTheme="majorBidi" w:hAnsiTheme="majorBidi" w:cstheme="majorBidi"/>
        </w:rPr>
        <w:t xml:space="preserve"> </w:t>
      </w:r>
      <w:r w:rsidRPr="007416E1">
        <w:rPr>
          <w:rFonts w:asciiTheme="majorBidi" w:hAnsiTheme="majorBidi" w:cstheme="majorBidi"/>
        </w:rPr>
        <w:t xml:space="preserve">kuru Latvijas finanšu iestādēm uzlikts par pienākumu veikt noteiktas darbības </w:t>
      </w:r>
      <w:r w:rsidR="00A0694F">
        <w:rPr>
          <w:rFonts w:asciiTheme="majorBidi" w:hAnsiTheme="majorBidi" w:cstheme="majorBidi"/>
        </w:rPr>
        <w:t xml:space="preserve">OFAC </w:t>
      </w:r>
      <w:r w:rsidRPr="007416E1">
        <w:rPr>
          <w:rFonts w:asciiTheme="majorBidi" w:hAnsiTheme="majorBidi" w:cstheme="majorBidi"/>
        </w:rPr>
        <w:t xml:space="preserve">sankciju īstenošanā pret </w:t>
      </w:r>
      <w:r>
        <w:rPr>
          <w:rFonts w:asciiTheme="majorBidi" w:hAnsiTheme="majorBidi" w:cstheme="majorBidi"/>
        </w:rPr>
        <w:t>pieteicēju</w:t>
      </w:r>
      <w:r w:rsidRPr="007416E1">
        <w:rPr>
          <w:rFonts w:asciiTheme="majorBidi" w:hAnsiTheme="majorBidi" w:cstheme="majorBidi"/>
        </w:rPr>
        <w:t>, atzīšanu par prettiesisku un pienākuma uzlikšanu</w:t>
      </w:r>
      <w:r>
        <w:rPr>
          <w:rFonts w:asciiTheme="majorBidi" w:hAnsiTheme="majorBidi" w:cstheme="majorBidi"/>
        </w:rPr>
        <w:t xml:space="preserve"> </w:t>
      </w:r>
      <w:r w:rsidRPr="007416E1">
        <w:rPr>
          <w:rFonts w:asciiTheme="majorBidi" w:hAnsiTheme="majorBidi" w:cstheme="majorBidi"/>
        </w:rPr>
        <w:t xml:space="preserve">novērst </w:t>
      </w:r>
      <w:r>
        <w:rPr>
          <w:rFonts w:asciiTheme="majorBidi" w:hAnsiTheme="majorBidi" w:cstheme="majorBidi"/>
        </w:rPr>
        <w:t>pieteicējam</w:t>
      </w:r>
      <w:r w:rsidRPr="007416E1">
        <w:rPr>
          <w:rFonts w:asciiTheme="majorBidi" w:hAnsiTheme="majorBidi" w:cstheme="majorBidi"/>
        </w:rPr>
        <w:t xml:space="preserve"> radītās sekas, atceļot finanšu iestādēm uzliktos pienākumus saistībā ar</w:t>
      </w:r>
      <w:r>
        <w:rPr>
          <w:rFonts w:asciiTheme="majorBidi" w:hAnsiTheme="majorBidi" w:cstheme="majorBidi"/>
        </w:rPr>
        <w:t xml:space="preserve"> </w:t>
      </w:r>
      <w:r w:rsidR="00A0694F">
        <w:rPr>
          <w:rFonts w:asciiTheme="majorBidi" w:hAnsiTheme="majorBidi" w:cstheme="majorBidi"/>
        </w:rPr>
        <w:t xml:space="preserve">OFAC </w:t>
      </w:r>
      <w:r w:rsidRPr="007416E1">
        <w:rPr>
          <w:rFonts w:asciiTheme="majorBidi" w:hAnsiTheme="majorBidi" w:cstheme="majorBidi"/>
        </w:rPr>
        <w:t>sankciju īstenošanu.</w:t>
      </w:r>
      <w:r>
        <w:rPr>
          <w:rFonts w:asciiTheme="majorBidi" w:hAnsiTheme="majorBidi" w:cstheme="majorBidi"/>
        </w:rPr>
        <w:t xml:space="preserve"> </w:t>
      </w:r>
    </w:p>
    <w:p w14:paraId="593773FD" w14:textId="77777777" w:rsidR="001B63AF" w:rsidRDefault="001B63AF" w:rsidP="005D77EF">
      <w:pPr>
        <w:spacing w:line="276" w:lineRule="auto"/>
        <w:jc w:val="both"/>
        <w:rPr>
          <w:rFonts w:asciiTheme="majorBidi" w:hAnsiTheme="majorBidi" w:cstheme="majorBidi"/>
        </w:rPr>
      </w:pPr>
    </w:p>
    <w:p w14:paraId="3F6984C1" w14:textId="51C9BAA2" w:rsidR="001B63AF" w:rsidRPr="00365485" w:rsidRDefault="001B63AF" w:rsidP="005D77EF">
      <w:pPr>
        <w:spacing w:line="276" w:lineRule="auto"/>
        <w:ind w:firstLine="720"/>
        <w:jc w:val="both"/>
      </w:pPr>
      <w:r w:rsidRPr="00365485">
        <w:rPr>
          <w:rFonts w:asciiTheme="majorBidi" w:hAnsiTheme="majorBidi" w:cstheme="majorBidi"/>
          <w:shd w:val="clear" w:color="auto" w:fill="FFFFFF"/>
        </w:rPr>
        <w:t>[</w:t>
      </w:r>
      <w:r w:rsidR="00993EA3" w:rsidRPr="00365485">
        <w:rPr>
          <w:rFonts w:asciiTheme="majorBidi" w:hAnsiTheme="majorBidi" w:cstheme="majorBidi"/>
          <w:shd w:val="clear" w:color="auto" w:fill="FFFFFF"/>
        </w:rPr>
        <w:t>8</w:t>
      </w:r>
      <w:r w:rsidRPr="00365485">
        <w:rPr>
          <w:rFonts w:asciiTheme="majorBidi" w:hAnsiTheme="majorBidi" w:cstheme="majorBidi"/>
          <w:shd w:val="clear" w:color="auto" w:fill="FFFFFF"/>
        </w:rPr>
        <w:t>]</w:t>
      </w:r>
      <w:r w:rsidR="00311A41" w:rsidRPr="00365485">
        <w:rPr>
          <w:rFonts w:asciiTheme="majorBidi" w:hAnsiTheme="majorBidi" w:cstheme="majorBidi"/>
          <w:shd w:val="clear" w:color="auto" w:fill="FFFFFF"/>
        </w:rPr>
        <w:t> </w:t>
      </w:r>
      <w:r w:rsidRPr="00365485">
        <w:t xml:space="preserve">Lietā ir strīds par to, kādas sekas ir radījusi komisijas rīcība, nosūtot strīdus vēstules finanšu un kapitāla tirgus dalībniekiem. </w:t>
      </w:r>
      <w:r w:rsidR="000074E0">
        <w:t>Šajā sakarā Senāts norāda turpmāko.</w:t>
      </w:r>
    </w:p>
    <w:p w14:paraId="605FEF1C" w14:textId="77777777" w:rsidR="000074E0" w:rsidRDefault="000074E0" w:rsidP="005D77EF">
      <w:pPr>
        <w:spacing w:line="276" w:lineRule="auto"/>
        <w:ind w:firstLine="709"/>
        <w:jc w:val="both"/>
      </w:pPr>
    </w:p>
    <w:p w14:paraId="4E16C3C4" w14:textId="14DEBD93" w:rsidR="001B63AF" w:rsidRDefault="000074E0" w:rsidP="005D77EF">
      <w:pPr>
        <w:spacing w:line="276" w:lineRule="auto"/>
        <w:ind w:firstLine="709"/>
        <w:jc w:val="both"/>
      </w:pPr>
      <w:r>
        <w:t>[9] </w:t>
      </w:r>
      <w:r w:rsidR="001B63AF" w:rsidRPr="00365485">
        <w:t>Finanšu un kapitāla tirgus komisijas likum</w:t>
      </w:r>
      <w:r w:rsidR="00DD474D">
        <w:t>s</w:t>
      </w:r>
      <w:r w:rsidR="001B63AF" w:rsidRPr="00365485">
        <w:t xml:space="preserve"> (</w:t>
      </w:r>
      <w:r w:rsidR="001B63AF" w:rsidRPr="00DD474D">
        <w:rPr>
          <w:i/>
          <w:iCs/>
        </w:rPr>
        <w:t xml:space="preserve">zaudējis spēku </w:t>
      </w:r>
      <w:r w:rsidR="00993EA3" w:rsidRPr="00DD474D">
        <w:rPr>
          <w:i/>
          <w:iCs/>
        </w:rPr>
        <w:t>2023.gada 1.janvārī</w:t>
      </w:r>
      <w:r w:rsidR="001B63AF" w:rsidRPr="00365485">
        <w:t xml:space="preserve">) noteic, ka komisija ir pilntiesīga autonoma valsts iestāde, kas atbilstoši savam darbības </w:t>
      </w:r>
      <w:r w:rsidR="001B63AF" w:rsidRPr="00FB4BBC">
        <w:t>mērķim un uzdevumiem regulē un pārrauga finanšu un kapitāla tirgu un tā dalībnieku darbību</w:t>
      </w:r>
      <w:r w:rsidR="00DD474D">
        <w:t xml:space="preserve"> (</w:t>
      </w:r>
      <w:r w:rsidR="00DD474D" w:rsidRPr="00A0694F">
        <w:rPr>
          <w:i/>
          <w:iCs/>
        </w:rPr>
        <w:t>2.panta pirmā daļa</w:t>
      </w:r>
      <w:r w:rsidR="00DD474D">
        <w:t>)</w:t>
      </w:r>
      <w:r w:rsidR="001B63AF" w:rsidRPr="00FB4BBC">
        <w:t>.</w:t>
      </w:r>
      <w:r w:rsidR="001B63AF">
        <w:t xml:space="preserve"> Viena no</w:t>
      </w:r>
      <w:r w:rsidR="00993EA3">
        <w:t xml:space="preserve"> </w:t>
      </w:r>
      <w:r w:rsidR="001B63AF">
        <w:t>komisijas funkcijām ir uzraudzīt un kontrolēt, lai finanšu un kapitāla tirgus dalībnieki ievēro Starptautisko un Latvijas Republikas nacionāl</w:t>
      </w:r>
      <w:r w:rsidR="002C2905">
        <w:t>o</w:t>
      </w:r>
      <w:r w:rsidR="001B63AF">
        <w:t xml:space="preserve"> sankciju likuma </w:t>
      </w:r>
      <w:r w:rsidR="00A0694F">
        <w:t>(</w:t>
      </w:r>
      <w:r w:rsidR="00A0694F" w:rsidRPr="00A0694F">
        <w:t>turpmāk – Sankciju likums</w:t>
      </w:r>
      <w:r w:rsidR="00A0694F">
        <w:t xml:space="preserve">) </w:t>
      </w:r>
      <w:r w:rsidR="001B63AF">
        <w:t>prasības attiecībā uz finanšu ierobežojumiem (</w:t>
      </w:r>
      <w:r w:rsidR="001B63AF" w:rsidRPr="00A0694F">
        <w:rPr>
          <w:i/>
          <w:iCs/>
        </w:rPr>
        <w:t>6.panta 14.punkts</w:t>
      </w:r>
      <w:r w:rsidR="001B63AF">
        <w:t xml:space="preserve">). </w:t>
      </w:r>
      <w:r w:rsidR="00DD474D">
        <w:t>K</w:t>
      </w:r>
      <w:r w:rsidR="001B63AF">
        <w:t xml:space="preserve">omisija ir atbildīga par </w:t>
      </w:r>
      <w:r w:rsidR="00DD474D">
        <w:t xml:space="preserve">normatīvo aktu </w:t>
      </w:r>
      <w:r w:rsidR="001B63AF">
        <w:t xml:space="preserve">prasību izpildes uzraudzību un kontroles nodrošināšanu attiecībā uz finanšu ierobežojumiem finanšu un kapitāla tirgus </w:t>
      </w:r>
      <w:r w:rsidR="00DD474D">
        <w:t>d</w:t>
      </w:r>
      <w:r w:rsidR="001B63AF">
        <w:t>alībniekiem saskaņā ar Starptautisko un Latvijas Republikas nacionālo sankciju likumu</w:t>
      </w:r>
      <w:r w:rsidR="009B68BF">
        <w:t xml:space="preserve"> </w:t>
      </w:r>
      <w:r w:rsidR="00DD474D">
        <w:t>(</w:t>
      </w:r>
      <w:r w:rsidR="001B63AF" w:rsidRPr="00A0694F">
        <w:rPr>
          <w:i/>
          <w:iCs/>
        </w:rPr>
        <w:t>9.panta 4.punkts</w:t>
      </w:r>
      <w:r w:rsidR="001B63AF">
        <w:t>).</w:t>
      </w:r>
    </w:p>
    <w:p w14:paraId="5C09E121" w14:textId="18E6DE73" w:rsidR="001B63AF" w:rsidRDefault="00A0694F" w:rsidP="005D77EF">
      <w:pPr>
        <w:spacing w:line="276" w:lineRule="auto"/>
        <w:ind w:firstLine="709"/>
        <w:jc w:val="both"/>
      </w:pPr>
      <w:r>
        <w:t>S</w:t>
      </w:r>
      <w:r w:rsidR="00DD474D">
        <w:t>ankciju likuma</w:t>
      </w:r>
      <w:r w:rsidR="00A37883">
        <w:t xml:space="preserve"> </w:t>
      </w:r>
      <w:r w:rsidR="001B63AF">
        <w:t>2.panta pirmā daļa</w:t>
      </w:r>
      <w:r w:rsidR="00A37883">
        <w:t xml:space="preserve"> citastarp </w:t>
      </w:r>
      <w:r w:rsidR="001B63AF">
        <w:t xml:space="preserve">paredz, ka šajā likumā noteiktajos gadījumos Latvijas Republikā tiek piemērotas Eiropas Savienības vai Ziemeļatlantijas līguma organizācijas dalībvalsts noteiktās sankcijas. </w:t>
      </w:r>
    </w:p>
    <w:p w14:paraId="020E87EF" w14:textId="6D6304FD" w:rsidR="001B63AF" w:rsidRDefault="009675BB" w:rsidP="005D77EF">
      <w:pPr>
        <w:spacing w:line="276" w:lineRule="auto"/>
        <w:ind w:firstLine="709"/>
        <w:jc w:val="both"/>
      </w:pPr>
      <w:r>
        <w:t>Senāts konstatē, ka k</w:t>
      </w:r>
      <w:r w:rsidR="001B63AF">
        <w:t xml:space="preserve">omisijai </w:t>
      </w:r>
      <w:r>
        <w:t xml:space="preserve">ir </w:t>
      </w:r>
      <w:r w:rsidR="001B63AF">
        <w:t>noteiktas tiesības izdot saistošus normatīvus aktus saskaņā ar</w:t>
      </w:r>
      <w:r>
        <w:t xml:space="preserve"> Sankciju</w:t>
      </w:r>
      <w:r w:rsidR="001B63AF">
        <w:t xml:space="preserve"> likumā noteikto deleģējumu. </w:t>
      </w:r>
      <w:r>
        <w:t xml:space="preserve">Proti, </w:t>
      </w:r>
      <w:r w:rsidR="007B6E95">
        <w:t>Sankciju likuma 13.pants</w:t>
      </w:r>
      <w:r w:rsidR="00A37883">
        <w:t xml:space="preserve"> (</w:t>
      </w:r>
      <w:r w:rsidR="00A37883" w:rsidRPr="00CF19F5">
        <w:rPr>
          <w:i/>
          <w:iCs/>
        </w:rPr>
        <w:t>redakcijā, kas bija spēkā līdz 2023.gada 1.janvārim</w:t>
      </w:r>
      <w:r w:rsidR="00A37883" w:rsidRPr="00912393">
        <w:t>)</w:t>
      </w:r>
      <w:r w:rsidR="00A37883">
        <w:t xml:space="preserve"> </w:t>
      </w:r>
      <w:r w:rsidR="007B6E95">
        <w:t xml:space="preserve">noteic </w:t>
      </w:r>
      <w:r>
        <w:t>k</w:t>
      </w:r>
      <w:r w:rsidR="001B63AF">
        <w:t>omisija</w:t>
      </w:r>
      <w:r w:rsidR="007B6E95">
        <w:t>s</w:t>
      </w:r>
      <w:r w:rsidR="001B63AF">
        <w:t xml:space="preserve"> kā kompetentā</w:t>
      </w:r>
      <w:r w:rsidR="00C21CE2">
        <w:t>s</w:t>
      </w:r>
      <w:r w:rsidR="001B63AF">
        <w:t xml:space="preserve"> institūcija</w:t>
      </w:r>
      <w:r w:rsidR="00C21CE2">
        <w:t>s</w:t>
      </w:r>
      <w:r w:rsidR="001B63AF">
        <w:t xml:space="preserve"> </w:t>
      </w:r>
      <w:r w:rsidR="007B6E95">
        <w:t xml:space="preserve">tiesības </w:t>
      </w:r>
      <w:r w:rsidR="001B63AF" w:rsidRPr="009221C8">
        <w:t>no</w:t>
      </w:r>
      <w:r w:rsidR="007B6E95">
        <w:t>teikt</w:t>
      </w:r>
      <w:r w:rsidR="001B63AF" w:rsidRPr="009221C8">
        <w:t xml:space="preserve"> finanšu un kapitāla tirgus dalībniekiem prasības attiecībā uz sankciju riska pārvaldīšanas iekšējās kontroles sistēmas izveidi un kontroli</w:t>
      </w:r>
      <w:r w:rsidR="001B63AF">
        <w:t xml:space="preserve"> (</w:t>
      </w:r>
      <w:r w:rsidR="001B63AF" w:rsidRPr="00A0694F">
        <w:rPr>
          <w:i/>
          <w:iCs/>
        </w:rPr>
        <w:t>13.panta ceturtās daļas 3.punkts</w:t>
      </w:r>
      <w:r w:rsidR="001B63AF">
        <w:t>)</w:t>
      </w:r>
      <w:r w:rsidR="007B6E95">
        <w:t>,</w:t>
      </w:r>
      <w:r w:rsidR="001B63AF">
        <w:t xml:space="preserve"> </w:t>
      </w:r>
      <w:r w:rsidR="001B63AF" w:rsidRPr="009221C8">
        <w:t>no</w:t>
      </w:r>
      <w:r w:rsidR="007B6E95">
        <w:t xml:space="preserve">teikt </w:t>
      </w:r>
      <w:r w:rsidR="001B63AF" w:rsidRPr="009221C8">
        <w:t>finanšu un kapitāla tirgus dalībniekiem kritērijus, pēc kādiem noteikt Eiropas Savienības vai Ziemeļatlantijas līguma organizācijas dalībvalsts noteiktās sankcijas, kuras būtiski ietekmē finanšu un kapitāla tirgus dalībnieku vai finanšu un kapitāla tirgus intereses</w:t>
      </w:r>
      <w:r w:rsidR="001B63AF">
        <w:t xml:space="preserve"> (</w:t>
      </w:r>
      <w:r w:rsidR="001B63AF" w:rsidRPr="00A0694F">
        <w:rPr>
          <w:i/>
          <w:iCs/>
        </w:rPr>
        <w:t>13.panta ceturtās daļas 4.punkts</w:t>
      </w:r>
      <w:r w:rsidR="001B63AF">
        <w:t>)</w:t>
      </w:r>
      <w:r w:rsidR="007B6E95">
        <w:t>, kā arī</w:t>
      </w:r>
      <w:r w:rsidR="001B63AF">
        <w:t xml:space="preserve"> </w:t>
      </w:r>
      <w:r w:rsidR="001B63AF" w:rsidRPr="009221C8">
        <w:t>no</w:t>
      </w:r>
      <w:r w:rsidR="007B6E95">
        <w:t xml:space="preserve">teikt </w:t>
      </w:r>
      <w:r w:rsidR="001B63AF" w:rsidRPr="009221C8">
        <w:t xml:space="preserve">prasības attiecībā uz finanšu ierobežojumu piemērošanu, ja šie ierobežojumi izriet no tādām Eiropas Savienības vai Ziemeļatlantijas līguma organizācijas dalībvalsts noteiktajām sankcijām, kuru ievērošana </w:t>
      </w:r>
      <w:r w:rsidR="001B63AF" w:rsidRPr="009221C8">
        <w:lastRenderedPageBreak/>
        <w:t>būtiski ietekmē finanšu un kapitāla tirgus dalībnieku vai finanšu un kapitāla tirgus intereses</w:t>
      </w:r>
      <w:r w:rsidR="001B63AF">
        <w:t xml:space="preserve"> (</w:t>
      </w:r>
      <w:r w:rsidR="001B63AF" w:rsidRPr="00A0694F">
        <w:rPr>
          <w:i/>
          <w:iCs/>
        </w:rPr>
        <w:t>13.panta ceturtās daļas 5.punkts</w:t>
      </w:r>
      <w:r w:rsidR="001B63AF">
        <w:t xml:space="preserve">). </w:t>
      </w:r>
    </w:p>
    <w:p w14:paraId="3D3DF35D" w14:textId="201AC8C5" w:rsidR="00C21CE2" w:rsidRDefault="00C21CE2" w:rsidP="005D77EF">
      <w:pPr>
        <w:spacing w:line="276" w:lineRule="auto"/>
        <w:ind w:firstLine="709"/>
        <w:jc w:val="both"/>
      </w:pPr>
      <w:r w:rsidRPr="00FB4BBC">
        <w:t>Satversmes tiesa ir atzinusi, ka Saeima ir tiesīga pilnvarot autonomu valsts iestādi izdot likuma īstenošanai nepieciešamus ārējos normatīvos aktus kādā ar likumu tai piešķirtas kompetences jomā, kuras pārraudzībai ir nepieciešama īpaša kompetence un autonomija. Savukārt iestāde, īstenojot pilnvarojumu likumdevēja piešķirtās kompetences jomā, ir tiesīga noteikt saistošas prasības tikai konkrētam tiesību subjektu lokam atbilstoši to darbības specifikai (</w:t>
      </w:r>
      <w:r w:rsidRPr="00A0694F">
        <w:t>sk.</w:t>
      </w:r>
      <w:r w:rsidRPr="00FB4BBC">
        <w:rPr>
          <w:i/>
          <w:iCs/>
        </w:rPr>
        <w:t xml:space="preserve"> Satversmes tiesas 2016.gada 2.marta sprieduma lietā Nr.</w:t>
      </w:r>
      <w:r w:rsidR="009B68BF">
        <w:rPr>
          <w:i/>
          <w:iCs/>
        </w:rPr>
        <w:t> </w:t>
      </w:r>
      <w:r w:rsidRPr="00FB4BBC">
        <w:rPr>
          <w:i/>
          <w:iCs/>
        </w:rPr>
        <w:t>2015-11-03 21.2.punktu</w:t>
      </w:r>
      <w:r w:rsidRPr="00FB4BBC">
        <w:t>).</w:t>
      </w:r>
    </w:p>
    <w:p w14:paraId="3D2188A4" w14:textId="77777777" w:rsidR="001B63AF" w:rsidRDefault="001B63AF" w:rsidP="005D77EF">
      <w:pPr>
        <w:spacing w:line="276" w:lineRule="auto"/>
        <w:ind w:firstLine="709"/>
        <w:jc w:val="both"/>
      </w:pPr>
    </w:p>
    <w:p w14:paraId="4A83DC4E" w14:textId="6814DA45" w:rsidR="001B63AF" w:rsidRPr="00935060" w:rsidRDefault="001B63AF" w:rsidP="005D77EF">
      <w:pPr>
        <w:spacing w:line="276" w:lineRule="auto"/>
        <w:ind w:firstLine="709"/>
        <w:jc w:val="both"/>
      </w:pPr>
      <w:r>
        <w:t>[</w:t>
      </w:r>
      <w:r w:rsidR="00365485">
        <w:t>10</w:t>
      </w:r>
      <w:r>
        <w:t>]</w:t>
      </w:r>
      <w:r w:rsidR="00935060">
        <w:t> </w:t>
      </w:r>
      <w:r>
        <w:t xml:space="preserve">Atbilstoši minētajam deleģējumam komisija izdeva ārēju normatīvu </w:t>
      </w:r>
      <w:r w:rsidR="00935060">
        <w:t>aktu – Sa</w:t>
      </w:r>
      <w:r>
        <w:t>nkciju riska pārvaldīšanas noteikum</w:t>
      </w:r>
      <w:r w:rsidR="00935060">
        <w:t>us (</w:t>
      </w:r>
      <w:r w:rsidR="00935060" w:rsidRPr="00C21CE2">
        <w:rPr>
          <w:i/>
          <w:iCs/>
        </w:rPr>
        <w:t>zaudējuši spēku 2020.gada 19.augustā</w:t>
      </w:r>
      <w:r w:rsidR="00935060">
        <w:t>)</w:t>
      </w:r>
      <w:r>
        <w:t xml:space="preserve">, kas ir saistoši noteikumu 1.punktā norādītajām iestādēm (finanšu un kapitāla tirgus dalībniekiem). </w:t>
      </w:r>
      <w:r w:rsidR="00935060">
        <w:t xml:space="preserve">Sankciju riska pārvaldīšanas </w:t>
      </w:r>
      <w:r>
        <w:t>noteikumi no</w:t>
      </w:r>
      <w:r w:rsidR="00935060">
        <w:t>teic</w:t>
      </w:r>
      <w:r>
        <w:t xml:space="preserve"> </w:t>
      </w:r>
      <w:r w:rsidRPr="009E306C">
        <w:rPr>
          <w:rFonts w:asciiTheme="majorBidi" w:hAnsiTheme="majorBidi" w:cstheme="majorBidi"/>
        </w:rPr>
        <w:t>apstākļus, ko iestāde</w:t>
      </w:r>
      <w:r>
        <w:rPr>
          <w:rFonts w:asciiTheme="majorBidi" w:hAnsiTheme="majorBidi" w:cstheme="majorBidi"/>
        </w:rPr>
        <w:t>s</w:t>
      </w:r>
      <w:r w:rsidRPr="009E306C">
        <w:rPr>
          <w:rFonts w:asciiTheme="majorBidi" w:hAnsiTheme="majorBidi" w:cstheme="majorBidi"/>
        </w:rPr>
        <w:t xml:space="preserve"> ņem vērā, veicot sankciju riska novērtējumu, nosakot Eiropas Savienības vai Ziemeļatlantijas līguma organizācijas dalībvalstis, kuru noteiktās sankcijas būtiski ietekmē iestādes vai finanšu un kapitāla tirgus intereses</w:t>
      </w:r>
      <w:r>
        <w:rPr>
          <w:rFonts w:asciiTheme="majorBidi" w:hAnsiTheme="majorBidi" w:cstheme="majorBidi"/>
        </w:rPr>
        <w:t xml:space="preserve">, kā arī </w:t>
      </w:r>
      <w:r w:rsidRPr="009E306C">
        <w:rPr>
          <w:rFonts w:asciiTheme="majorBidi" w:hAnsiTheme="majorBidi" w:cstheme="majorBidi"/>
        </w:rPr>
        <w:t>prasības attiecībā uz finanšu ierobežojumu piemērošanu, ja šie ierobežojumi izriet no tādām Eiropas Savienības vai Ziemeļatlantijas līguma organizācijas dalībvalsts noteiktajām sankcijām, kuru ievērošana būtiski ietekmē iestādes vai finanšu un kapitāla tirgus intereses.</w:t>
      </w:r>
      <w:r>
        <w:rPr>
          <w:rFonts w:asciiTheme="majorBidi" w:hAnsiTheme="majorBidi" w:cstheme="majorBidi"/>
        </w:rPr>
        <w:t xml:space="preserve"> </w:t>
      </w:r>
    </w:p>
    <w:p w14:paraId="3FA781A4" w14:textId="34E54E05" w:rsidR="001B63AF" w:rsidRDefault="00E90B8A" w:rsidP="005D77EF">
      <w:pPr>
        <w:spacing w:line="276" w:lineRule="auto"/>
        <w:ind w:firstLine="709"/>
        <w:jc w:val="both"/>
      </w:pPr>
      <w:r>
        <w:t xml:space="preserve">Sankciju riska pārvaldīšanas </w:t>
      </w:r>
      <w:r w:rsidR="001B63AF">
        <w:t xml:space="preserve">noteikumi paredz, ka iestāde veic sankciju riska novērtējumu un nodrošina atbilstošu sankciju riska pārvaldīšanu arī attiecībā uz </w:t>
      </w:r>
      <w:r w:rsidR="001B63AF" w:rsidRPr="009E306C">
        <w:rPr>
          <w:rFonts w:asciiTheme="majorBidi" w:hAnsiTheme="majorBidi" w:cstheme="majorBidi"/>
        </w:rPr>
        <w:t>Eiropas Savienības vai Ziemeļatlantijas līguma organizācijas dalībvalst</w:t>
      </w:r>
      <w:r w:rsidR="001B63AF">
        <w:rPr>
          <w:rFonts w:asciiTheme="majorBidi" w:hAnsiTheme="majorBidi" w:cstheme="majorBidi"/>
        </w:rPr>
        <w:t>s noteiktajām sankcijām, ja iestāde konstatē to būtisku ietekmi uz iestādi vai finanšu un kapitāla tirgus interesēm (</w:t>
      </w:r>
      <w:r w:rsidR="001B63AF" w:rsidRPr="00A0694F">
        <w:rPr>
          <w:i/>
          <w:iCs/>
        </w:rPr>
        <w:t>noteikumu 15., 16. un 17.punkts</w:t>
      </w:r>
      <w:r w:rsidR="001B63AF">
        <w:t>). Secīgi, p</w:t>
      </w:r>
      <w:r w:rsidR="001B63AF" w:rsidRPr="0036443B">
        <w:t xml:space="preserve">iemērojot </w:t>
      </w:r>
      <w:r w:rsidR="001B63AF" w:rsidRPr="009E306C">
        <w:rPr>
          <w:rFonts w:asciiTheme="majorBidi" w:hAnsiTheme="majorBidi" w:cstheme="majorBidi"/>
        </w:rPr>
        <w:t xml:space="preserve">Eiropas Savienības </w:t>
      </w:r>
      <w:r w:rsidR="001B63AF" w:rsidRPr="0036443B">
        <w:t xml:space="preserve">vai Ziemeļatlantijas līguma organizācijas dalībvalsts sankcijās noteiktos finanšu ierobežojumus, iestāde izvērtē ar šiem ierobežojumiem saistītos riskus, tostarp juridiskos riskus, un paredz izvērtējumam atbilstošus ierobežojumus, tai skaitā, nosakot, ka iestāde nesniedz pakalpojumus klientam, kas ir sankciju subjekts atbilstoši </w:t>
      </w:r>
      <w:r w:rsidR="001B63AF" w:rsidRPr="009E306C">
        <w:rPr>
          <w:rFonts w:asciiTheme="majorBidi" w:hAnsiTheme="majorBidi" w:cstheme="majorBidi"/>
        </w:rPr>
        <w:t xml:space="preserve">Eiropas Savienības </w:t>
      </w:r>
      <w:r w:rsidR="001B63AF" w:rsidRPr="0036443B">
        <w:t xml:space="preserve">vai Ziemeļatlantijas līguma organizācijas dalībvalsts noteiktajām sankcijām, vai </w:t>
      </w:r>
      <w:bookmarkStart w:id="1" w:name="_Hlk152002292"/>
      <w:r w:rsidR="001B63AF" w:rsidRPr="0036443B">
        <w:t xml:space="preserve">neizpilda darījumus, ja tajos iesaistītā puse ir sankciju subjekts atbilstoši </w:t>
      </w:r>
      <w:r w:rsidR="001B63AF" w:rsidRPr="009E306C">
        <w:rPr>
          <w:rFonts w:asciiTheme="majorBidi" w:hAnsiTheme="majorBidi" w:cstheme="majorBidi"/>
        </w:rPr>
        <w:t xml:space="preserve">Eiropas Savienības </w:t>
      </w:r>
      <w:r w:rsidR="001B63AF" w:rsidRPr="0036443B">
        <w:t>vai Ziemeļatlantijas līguma organizācijas dalībvalsts noteiktajām sankcijām</w:t>
      </w:r>
      <w:r w:rsidR="001B63AF">
        <w:t xml:space="preserve"> </w:t>
      </w:r>
      <w:bookmarkEnd w:id="1"/>
      <w:r w:rsidR="001B63AF">
        <w:t>(</w:t>
      </w:r>
      <w:r w:rsidR="001B63AF" w:rsidRPr="00A0694F">
        <w:rPr>
          <w:i/>
          <w:iCs/>
        </w:rPr>
        <w:t>noteikumu 18.punkts</w:t>
      </w:r>
      <w:r w:rsidR="001B63AF">
        <w:t>).</w:t>
      </w:r>
    </w:p>
    <w:p w14:paraId="18253A3C" w14:textId="10561E91" w:rsidR="001B63AF" w:rsidRDefault="001B63AF" w:rsidP="005D77EF">
      <w:pPr>
        <w:spacing w:line="276" w:lineRule="auto"/>
        <w:ind w:firstLine="709"/>
        <w:jc w:val="both"/>
      </w:pPr>
      <w:r>
        <w:t xml:space="preserve">No minētajām tiesību normām secināms, ka ierobežojumi finanšu un kapitāla tirgus dalībniekiem sniegt pakalpojumus klientam, kas ir sankciju subjekts </w:t>
      </w:r>
      <w:r w:rsidRPr="0036443B">
        <w:t xml:space="preserve">atbilstoši </w:t>
      </w:r>
      <w:r w:rsidRPr="009E306C">
        <w:rPr>
          <w:rFonts w:asciiTheme="majorBidi" w:hAnsiTheme="majorBidi" w:cstheme="majorBidi"/>
        </w:rPr>
        <w:t xml:space="preserve">Eiropas Savienības </w:t>
      </w:r>
      <w:r w:rsidRPr="0036443B">
        <w:t>vai Ziemeļatlantijas līguma organizācijas dalībvalsts noteiktajām sankcijām</w:t>
      </w:r>
      <w:r>
        <w:t xml:space="preserve">, un neizpildīt </w:t>
      </w:r>
      <w:r w:rsidRPr="0036443B">
        <w:t xml:space="preserve">darījumus, ja tajos iesaistītā puse ir sankciju subjekts atbilstoši </w:t>
      </w:r>
      <w:r w:rsidRPr="009E306C">
        <w:rPr>
          <w:rFonts w:asciiTheme="majorBidi" w:hAnsiTheme="majorBidi" w:cstheme="majorBidi"/>
        </w:rPr>
        <w:t xml:space="preserve">Eiropas Savienības </w:t>
      </w:r>
      <w:r w:rsidRPr="0036443B">
        <w:t>vai Ziemeļatlantijas līguma organizācijas dalībvalsts noteiktajām sankcijām</w:t>
      </w:r>
      <w:r>
        <w:t>, ir noteikti ar ārēju normatīvu aktu</w:t>
      </w:r>
      <w:r w:rsidR="00935060">
        <w:t xml:space="preserve"> – Sankciju riska pārvaldīšanas noteikumiem</w:t>
      </w:r>
      <w:r>
        <w:t xml:space="preserve">. </w:t>
      </w:r>
    </w:p>
    <w:p w14:paraId="6737D87A" w14:textId="77777777" w:rsidR="001B63AF" w:rsidRDefault="001B63AF" w:rsidP="005D77EF">
      <w:pPr>
        <w:spacing w:line="276" w:lineRule="auto"/>
        <w:ind w:firstLine="709"/>
        <w:jc w:val="both"/>
      </w:pPr>
    </w:p>
    <w:p w14:paraId="6478A180" w14:textId="7A9C5067" w:rsidR="001B63AF" w:rsidRDefault="001B63AF" w:rsidP="005D77EF">
      <w:pPr>
        <w:spacing w:line="276" w:lineRule="auto"/>
        <w:ind w:firstLine="709"/>
        <w:jc w:val="both"/>
      </w:pPr>
      <w:r>
        <w:t>[</w:t>
      </w:r>
      <w:r w:rsidR="00365485">
        <w:t>11</w:t>
      </w:r>
      <w:r>
        <w:t>]</w:t>
      </w:r>
      <w:r w:rsidR="00365485">
        <w:t> </w:t>
      </w:r>
      <w:r w:rsidRPr="0053134B">
        <w:t>Administratīvā procesa likuma 103.panta pirm</w:t>
      </w:r>
      <w:r w:rsidR="00E90B8A">
        <w:t>ā</w:t>
      </w:r>
      <w:r w:rsidRPr="0053134B">
        <w:t xml:space="preserve"> daļ</w:t>
      </w:r>
      <w:r w:rsidR="00365485">
        <w:t>a</w:t>
      </w:r>
      <w:r w:rsidR="00E90B8A">
        <w:t xml:space="preserve"> noteic, ka</w:t>
      </w:r>
      <w:r w:rsidR="00365485">
        <w:t xml:space="preserve"> </w:t>
      </w:r>
      <w:r w:rsidRPr="0053134B">
        <w:t>administratīvā tiesa kontrolē administratīvā akta vai iestādes faktiskās rīcības tiesiskumu</w:t>
      </w:r>
      <w:r w:rsidR="00E90B8A">
        <w:t>. No</w:t>
      </w:r>
      <w:r w:rsidRPr="0053134B">
        <w:t xml:space="preserve"> </w:t>
      </w:r>
      <w:r w:rsidR="00365485">
        <w:t>minētā</w:t>
      </w:r>
      <w:r w:rsidRPr="0053134B">
        <w:t xml:space="preserve"> likuma 89.pant</w:t>
      </w:r>
      <w:r w:rsidR="00E90B8A">
        <w:t>a izriet, ka</w:t>
      </w:r>
      <w:r w:rsidRPr="0053134B">
        <w:t xml:space="preserve"> faktiskajai rīcībai piemīt visas šādas pazīmes: 1) tā ir darbība vai </w:t>
      </w:r>
      <w:r w:rsidRPr="0053134B">
        <w:lastRenderedPageBreak/>
        <w:t>bezdarbība; 2) to veic iestāde; 3) to veic publisko tiesību valsts pārvaldes jomā; 4) tā ir adresēta individuālai personai; 5)</w:t>
      </w:r>
      <w:r w:rsidR="00E90B8A">
        <w:t> </w:t>
      </w:r>
      <w:r w:rsidRPr="0053134B">
        <w:t>tai ir faktiskas sekas; 6)</w:t>
      </w:r>
      <w:r w:rsidR="00E90B8A">
        <w:t> </w:t>
      </w:r>
      <w:r w:rsidRPr="0053134B">
        <w:t xml:space="preserve">ar to vai nu tiek aizskartas personas tiesības vai tiesiskās intereses vai arī personai uz to ir tiesības; 7) tā nav tiesību akts, 8) tā ir vērsta uz āru, 9) tai piemīt </w:t>
      </w:r>
      <w:r w:rsidR="00E90B8A">
        <w:t xml:space="preserve">galējā </w:t>
      </w:r>
      <w:r w:rsidRPr="0053134B">
        <w:t>noregulējuma</w:t>
      </w:r>
      <w:r w:rsidR="00E90B8A">
        <w:t xml:space="preserve"> </w:t>
      </w:r>
      <w:r w:rsidRPr="0053134B">
        <w:t>raksturs.</w:t>
      </w:r>
      <w:r>
        <w:t xml:space="preserve"> </w:t>
      </w:r>
      <w:r w:rsidR="00365485">
        <w:t>Minētajā tiesību normā</w:t>
      </w:r>
      <w:r>
        <w:t xml:space="preserve"> definētā faktiskā rīcība atšķirībā no administratīvā akta ir faktisku, nevis tiesisku seku radīšana privātpersonai, taču pēc pārējām pazīmēm tā atbilst administratīvā akta jēdzienam.</w:t>
      </w:r>
    </w:p>
    <w:p w14:paraId="02D89BE6" w14:textId="5382F285" w:rsidR="001B63AF" w:rsidRDefault="00365485" w:rsidP="005D77EF">
      <w:pPr>
        <w:spacing w:line="276" w:lineRule="auto"/>
        <w:ind w:firstLine="709"/>
        <w:jc w:val="both"/>
      </w:pPr>
      <w:r>
        <w:t>Senāts atzīst, ka lietā pārsūdzēto</w:t>
      </w:r>
      <w:r w:rsidR="001B63AF" w:rsidRPr="0053134B">
        <w:t xml:space="preserve"> </w:t>
      </w:r>
      <w:r w:rsidR="001B63AF">
        <w:t>k</w:t>
      </w:r>
      <w:r w:rsidR="001B63AF" w:rsidRPr="0053134B">
        <w:t>omisijas rīcīb</w:t>
      </w:r>
      <w:r w:rsidR="001B63AF">
        <w:t xml:space="preserve">u nevar uzskatīt par </w:t>
      </w:r>
      <w:r w:rsidR="001B63AF" w:rsidRPr="0053134B">
        <w:t>faktisk</w:t>
      </w:r>
      <w:r w:rsidR="001B63AF">
        <w:t>o</w:t>
      </w:r>
      <w:r w:rsidR="001B63AF" w:rsidRPr="0053134B">
        <w:t xml:space="preserve"> rīcīb</w:t>
      </w:r>
      <w:r w:rsidR="001B63AF">
        <w:t>u</w:t>
      </w:r>
      <w:r>
        <w:t xml:space="preserve"> Administratīvā procesa </w:t>
      </w:r>
      <w:r w:rsidRPr="0053134B">
        <w:t>likuma 89.pant</w:t>
      </w:r>
      <w:r>
        <w:t>a izpratnē</w:t>
      </w:r>
      <w:r w:rsidR="001B63AF" w:rsidRPr="0053134B">
        <w:t xml:space="preserve">, </w:t>
      </w:r>
      <w:r w:rsidR="001B63AF" w:rsidRPr="0065215A">
        <w:t xml:space="preserve">jo </w:t>
      </w:r>
      <w:r>
        <w:t xml:space="preserve">tai </w:t>
      </w:r>
      <w:r w:rsidR="001B63AF" w:rsidRPr="0065215A">
        <w:t>iztrūkst vairākas obligātās faktiskās rīcības pazīmes</w:t>
      </w:r>
      <w:r>
        <w:t>:</w:t>
      </w:r>
      <w:r w:rsidR="001B63AF" w:rsidRPr="0065215A">
        <w:t xml:space="preserve"> </w:t>
      </w:r>
      <w:r w:rsidR="001B63AF">
        <w:t>k</w:t>
      </w:r>
      <w:r w:rsidR="001B63AF" w:rsidRPr="0065215A">
        <w:t>omisijas rīcība nav adresēta pieteicējam kā individuālai personai, nav konstatējamas tiešas faktiskas sekas attiecībā uz pieteicēju, šīm darbībām nepiemīt arī ga</w:t>
      </w:r>
      <w:r w:rsidR="00E90B8A">
        <w:t xml:space="preserve">lējā </w:t>
      </w:r>
      <w:r w:rsidR="001B63AF" w:rsidRPr="0065215A">
        <w:t>noregulējuma raksturs.</w:t>
      </w:r>
    </w:p>
    <w:p w14:paraId="4AE1655A" w14:textId="2E3788EC" w:rsidR="001B63AF" w:rsidRPr="0053134B" w:rsidRDefault="001B63AF" w:rsidP="005D77EF">
      <w:pPr>
        <w:spacing w:line="276" w:lineRule="auto"/>
        <w:ind w:firstLine="709"/>
        <w:jc w:val="both"/>
      </w:pPr>
      <w:r w:rsidRPr="0053134B">
        <w:t xml:space="preserve">Administratīvā procesa likums kā priekšnoteikumu pieteikuma par administratīvo aktu vai faktisko rīcību iesniegšanai </w:t>
      </w:r>
      <w:r w:rsidR="000E570E">
        <w:t>noteic</w:t>
      </w:r>
      <w:r w:rsidRPr="0053134B">
        <w:t xml:space="preserve"> konkrētas, individuālas tiesiskās attiecības starp pieteicēju un iestādi (sk. </w:t>
      </w:r>
      <w:r w:rsidRPr="00B63CB0">
        <w:rPr>
          <w:i/>
          <w:iCs/>
        </w:rPr>
        <w:t>Administratīvā procesa likuma 1.panta trešo daļu un 3.panta trešo daļu</w:t>
      </w:r>
      <w:r w:rsidRPr="0053134B">
        <w:t>).</w:t>
      </w:r>
      <w:r>
        <w:t xml:space="preserve"> </w:t>
      </w:r>
      <w:r w:rsidR="009B68BF">
        <w:t>Tāpēc</w:t>
      </w:r>
      <w:r w:rsidRPr="0053134B">
        <w:t xml:space="preserve"> ir nepieciešams, lai izdots administratīvais akts vai veikta faktiskā rīcība tieši un nepastarpināti skartu pieteicēja tiesības vai tiesiskās intereses. </w:t>
      </w:r>
      <w:r w:rsidRPr="0065215A">
        <w:t>Proti, jākonstatē tieša, nevis pastarpināta cēloņsakarība starp iestādes rīcību un personas tiesību aizskārumu</w:t>
      </w:r>
      <w:r w:rsidR="00E90B8A">
        <w:t>, v</w:t>
      </w:r>
      <w:r w:rsidRPr="0053134B">
        <w:t>ai arī</w:t>
      </w:r>
      <w:r w:rsidR="00E90B8A">
        <w:t xml:space="preserve"> </w:t>
      </w:r>
      <w:r w:rsidRPr="0053134B">
        <w:t>no tiesību normām izriet</w:t>
      </w:r>
      <w:r w:rsidR="00E90B8A">
        <w:t xml:space="preserve">ošas </w:t>
      </w:r>
      <w:r w:rsidRPr="0053134B">
        <w:t>pieteicēja tiesības prasīt iestādi izdot administratīvo aktu vai veikt faktisko rīcību attiecībā uz pieteicēju</w:t>
      </w:r>
      <w:r w:rsidR="00E90B8A">
        <w:t xml:space="preserve">, </w:t>
      </w:r>
      <w:r w:rsidRPr="0053134B">
        <w:t>tieši un nepastarpināti ietekmējot pieteicēja tiesību apjomu vai tiesisko interešu stāvokli</w:t>
      </w:r>
      <w:r w:rsidR="00E90B8A">
        <w:t>.</w:t>
      </w:r>
    </w:p>
    <w:p w14:paraId="43F9FA46" w14:textId="4CE85C9D" w:rsidR="001B63AF" w:rsidRDefault="001B63AF" w:rsidP="005D77EF">
      <w:pPr>
        <w:autoSpaceDE w:val="0"/>
        <w:autoSpaceDN w:val="0"/>
        <w:adjustRightInd w:val="0"/>
        <w:spacing w:line="276" w:lineRule="auto"/>
        <w:ind w:firstLine="720"/>
        <w:jc w:val="both"/>
        <w:rPr>
          <w:rFonts w:ascii="TimesNewRomanPSMT" w:hAnsi="TimesNewRomanPSMT" w:cs="TimesNewRomanPSMT"/>
        </w:rPr>
      </w:pPr>
      <w:r>
        <w:rPr>
          <w:rFonts w:ascii="TimesNewRomanPSMT" w:hAnsi="TimesNewRomanPSMT" w:cs="TimesNewRomanPSMT"/>
        </w:rPr>
        <w:t>Komisijas funkciju pilnvērtīgai izpildei tai jāveic finanšu un kapitāla tirgus dalībnieku uzraudzība un kontrole, t</w:t>
      </w:r>
      <w:r w:rsidR="00E90B8A">
        <w:rPr>
          <w:rFonts w:ascii="TimesNewRomanPSMT" w:hAnsi="TimesNewRomanPSMT" w:cs="TimesNewRomanPSMT"/>
        </w:rPr>
        <w:t>ostarp</w:t>
      </w:r>
      <w:r>
        <w:rPr>
          <w:rFonts w:ascii="TimesNewRomanPSMT" w:hAnsi="TimesNewRomanPSMT" w:cs="TimesNewRomanPSMT"/>
        </w:rPr>
        <w:t xml:space="preserve"> attiecībā uz Sankciju likuma prasību </w:t>
      </w:r>
      <w:r w:rsidR="002538C5">
        <w:rPr>
          <w:rFonts w:ascii="TimesNewRomanPSMT" w:hAnsi="TimesNewRomanPSMT" w:cs="TimesNewRomanPSMT"/>
        </w:rPr>
        <w:t xml:space="preserve">un finanšu ierobežojumu </w:t>
      </w:r>
      <w:r>
        <w:rPr>
          <w:rFonts w:ascii="TimesNewRomanPSMT" w:hAnsi="TimesNewRomanPSMT" w:cs="TimesNewRomanPSMT"/>
        </w:rPr>
        <w:t>ievērošanu.</w:t>
      </w:r>
      <w:r w:rsidRPr="006608B6">
        <w:t xml:space="preserve"> </w:t>
      </w:r>
      <w:r w:rsidRPr="0053134B">
        <w:t>Tā ietver normatīvajos aktos paredzētu darbību kopumu</w:t>
      </w:r>
      <w:r>
        <w:t xml:space="preserve">. </w:t>
      </w:r>
      <w:r w:rsidR="009B68BF">
        <w:rPr>
          <w:rFonts w:ascii="TimesNewRomanPSMT" w:hAnsi="TimesNewRomanPSMT" w:cs="TimesNewRomanPSMT"/>
        </w:rPr>
        <w:t>Vienlaikus</w:t>
      </w:r>
      <w:r>
        <w:rPr>
          <w:rFonts w:ascii="TimesNewRomanPSMT" w:hAnsi="TimesNewRomanPSMT" w:cs="TimesNewRomanPSMT"/>
        </w:rPr>
        <w:t xml:space="preserve"> visas iepriekš minētās darbības ir vēršamas pret finanšu un kapitāla tirgus dalībniekiem, nevis to darījumu partneriem un klientiem.</w:t>
      </w:r>
    </w:p>
    <w:p w14:paraId="68033255" w14:textId="7D342405" w:rsidR="001B63AF" w:rsidRPr="0053134B" w:rsidRDefault="001B63AF" w:rsidP="005D77EF">
      <w:pPr>
        <w:spacing w:line="276" w:lineRule="auto"/>
        <w:ind w:firstLine="709"/>
        <w:jc w:val="both"/>
      </w:pPr>
      <w:r>
        <w:rPr>
          <w:rFonts w:ascii="TimesNewRomanPSMT" w:hAnsi="TimesNewRomanPSMT" w:cs="TimesNewRomanPSMT"/>
        </w:rPr>
        <w:t>No lietas faktiskajiem apstākļiem izriet, ka tiešas sekas pieteicējam radījuši finanšu un kapitāla tirgus dalībnieku, ar kur</w:t>
      </w:r>
      <w:r w:rsidR="00A56792">
        <w:rPr>
          <w:rFonts w:ascii="TimesNewRomanPSMT" w:hAnsi="TimesNewRomanPSMT" w:cs="TimesNewRomanPSMT"/>
        </w:rPr>
        <w:t>iem</w:t>
      </w:r>
      <w:r>
        <w:rPr>
          <w:rFonts w:ascii="TimesNewRomanPSMT" w:hAnsi="TimesNewRomanPSMT" w:cs="TimesNewRomanPSMT"/>
        </w:rPr>
        <w:t xml:space="preserve"> pieteicējs bija slēdzis darījumus vai vēlējās noslēgt darījumus, atteikumi sniegt finanšu pakalpojumus pieteicējam, nevis tieša komisijas rīcība.</w:t>
      </w:r>
      <w:r>
        <w:t xml:space="preserve"> </w:t>
      </w:r>
      <w:r w:rsidRPr="0053134B">
        <w:t xml:space="preserve">Tādējādi nav </w:t>
      </w:r>
      <w:r>
        <w:t xml:space="preserve">konstatējama </w:t>
      </w:r>
      <w:r w:rsidRPr="0053134B">
        <w:t xml:space="preserve">tieša </w:t>
      </w:r>
      <w:r>
        <w:t xml:space="preserve">un nepastarpināta </w:t>
      </w:r>
      <w:r w:rsidRPr="0053134B">
        <w:t xml:space="preserve">cēloņsakarība starp </w:t>
      </w:r>
      <w:r>
        <w:t xml:space="preserve">komisijas darbībām </w:t>
      </w:r>
      <w:r w:rsidRPr="0053134B">
        <w:t>uzraudzīb</w:t>
      </w:r>
      <w:r>
        <w:t>as un kontroles funkcijas izpildē</w:t>
      </w:r>
      <w:r w:rsidRPr="0053134B">
        <w:t xml:space="preserve"> un pieteicēja</w:t>
      </w:r>
      <w:r>
        <w:t>m</w:t>
      </w:r>
      <w:r w:rsidRPr="0053134B">
        <w:t xml:space="preserve"> radītajām sekām.</w:t>
      </w:r>
    </w:p>
    <w:p w14:paraId="0601F615" w14:textId="37A46C19" w:rsidR="002538C5" w:rsidRDefault="002538C5" w:rsidP="005D77EF">
      <w:pPr>
        <w:spacing w:line="276" w:lineRule="auto"/>
        <w:ind w:firstLine="709"/>
        <w:jc w:val="both"/>
      </w:pPr>
      <w:r w:rsidRPr="0053134B">
        <w:t>Pieteicēj</w:t>
      </w:r>
      <w:r>
        <w:t>s</w:t>
      </w:r>
      <w:r w:rsidRPr="0053134B">
        <w:t xml:space="preserve"> būtībā norāda, ka </w:t>
      </w:r>
      <w:r>
        <w:t>k</w:t>
      </w:r>
      <w:r w:rsidRPr="0053134B">
        <w:t>omisija</w:t>
      </w:r>
      <w:r>
        <w:t xml:space="preserve"> vēstulēs finanšu un kapitāla tirgus dalībniekiem ir sniegusi norādījumus veikt noteiktas darbības OFAC noteikto sankciju īstenošanai un, izpildot šos norādījumus, bankas vairs nesniedz finanšu pakalpojumus pieteicējam. </w:t>
      </w:r>
      <w:r w:rsidRPr="0053134B">
        <w:t xml:space="preserve">Cēloņsakarība starp pieteicēja izklāstīto </w:t>
      </w:r>
      <w:r>
        <w:t>k</w:t>
      </w:r>
      <w:r w:rsidRPr="0053134B">
        <w:t>omisijas rīcību un pieteicēja</w:t>
      </w:r>
      <w:r>
        <w:t>m</w:t>
      </w:r>
      <w:r w:rsidRPr="0053134B">
        <w:t xml:space="preserve"> radītajām nelabvēlīgajām sekām labākajā gadījumā </w:t>
      </w:r>
      <w:r>
        <w:t>varētu būt</w:t>
      </w:r>
      <w:r w:rsidRPr="0053134B">
        <w:t xml:space="preserve"> pastarpināta, bet ne tieša.</w:t>
      </w:r>
    </w:p>
    <w:p w14:paraId="1E7C89E4" w14:textId="0E363334" w:rsidR="00443222" w:rsidRDefault="002538C5" w:rsidP="005D77EF">
      <w:pPr>
        <w:spacing w:line="276" w:lineRule="auto"/>
        <w:ind w:firstLine="709"/>
        <w:jc w:val="both"/>
        <w:rPr>
          <w:color w:val="000000"/>
        </w:rPr>
      </w:pPr>
      <w:r>
        <w:t xml:space="preserve">Kredītiestādes un citi finanšu un kapitāla tirgus dalībnieki, sniedzot finanšu pakalpojumus un nodibinot darījuma attiecības ar klientiem, darbojas privāto tiesību jomā. Pieteicēja un kredītiestāžu attiecības ir civiltiesiskas attiecības, kuras nav pakļautas administratīvās tiesas kontrolei. </w:t>
      </w:r>
      <w:r w:rsidR="00443222">
        <w:rPr>
          <w:color w:val="000000"/>
        </w:rPr>
        <w:t xml:space="preserve">Valsts publiski tiesiska mērķa (sk. </w:t>
      </w:r>
      <w:r w:rsidR="00443222" w:rsidRPr="00443222">
        <w:rPr>
          <w:i/>
          <w:iCs/>
          <w:color w:val="000000"/>
        </w:rPr>
        <w:t>Sankciju likuma 2.pantu</w:t>
      </w:r>
      <w:r w:rsidR="00443222">
        <w:rPr>
          <w:color w:val="000000"/>
        </w:rPr>
        <w:t xml:space="preserve">) nolūkā ir imperatīvi noteikusi, ka atsevišķos gadījumos </w:t>
      </w:r>
      <w:r w:rsidR="00443222">
        <w:t xml:space="preserve">finanšu un kapitāla tirgus dalībniekiem </w:t>
      </w:r>
      <w:r w:rsidR="00443222">
        <w:rPr>
          <w:color w:val="000000"/>
        </w:rPr>
        <w:t>ir jāatturas veikt pienākumus, ko tie uzņēmu</w:t>
      </w:r>
      <w:r w:rsidR="009F200A">
        <w:rPr>
          <w:color w:val="000000"/>
        </w:rPr>
        <w:t>š</w:t>
      </w:r>
      <w:r w:rsidR="00443222">
        <w:rPr>
          <w:color w:val="000000"/>
        </w:rPr>
        <w:t xml:space="preserve">ies privāttiesiskajās attiecībās. </w:t>
      </w:r>
      <w:r w:rsidR="00443222">
        <w:rPr>
          <w:color w:val="000000"/>
        </w:rPr>
        <w:lastRenderedPageBreak/>
        <w:t>Imperatīva rakstura normas, kuru mērķis ir publiski tiesisks, nereti ietekmē un ierobežo privāttiesiskās attiecības.</w:t>
      </w:r>
    </w:p>
    <w:p w14:paraId="5DAEDE17" w14:textId="3536A32E" w:rsidR="001B63AF" w:rsidRDefault="001B63AF" w:rsidP="005D77EF">
      <w:pPr>
        <w:spacing w:line="276" w:lineRule="auto"/>
        <w:ind w:firstLine="709"/>
        <w:jc w:val="both"/>
      </w:pPr>
      <w:r>
        <w:t xml:space="preserve">Ierobežojumus </w:t>
      </w:r>
      <w:r w:rsidR="00443222">
        <w:t xml:space="preserve">finanšu </w:t>
      </w:r>
      <w:r>
        <w:t>pakalpojumu sniegšanā un darījumu izpildē noteica ārējs normatīvs akts, nevis komisijas faktiskā rīcība vai administratīvs akts. Tādēļ komisijas vēstulēm nav konstatējamas konkrētas faktiskas vai tiesiskas sekas attiecībā uz pieteicēju. Vēstulēs ar konkrētās situācijas kontekstu komisija vienīgi akcentēja tiesību normās noteiktos priekšrakstus.</w:t>
      </w:r>
    </w:p>
    <w:p w14:paraId="26CEE86F" w14:textId="1FCD8FAB" w:rsidR="001B63AF" w:rsidRPr="008B291F" w:rsidRDefault="001B63AF" w:rsidP="005D77EF">
      <w:pPr>
        <w:spacing w:line="276" w:lineRule="auto"/>
        <w:ind w:firstLine="709"/>
        <w:jc w:val="both"/>
      </w:pPr>
      <w:r w:rsidRPr="0053134B">
        <w:t xml:space="preserve">Tāpat no Finanšu un kapitāla tirgus komisijas likuma un </w:t>
      </w:r>
      <w:r>
        <w:t>Sankciju</w:t>
      </w:r>
      <w:r w:rsidRPr="0053134B">
        <w:t xml:space="preserve"> likuma normām, kas noteic </w:t>
      </w:r>
      <w:r w:rsidR="008B291F">
        <w:t>k</w:t>
      </w:r>
      <w:r w:rsidRPr="0053134B">
        <w:t xml:space="preserve">omisijas funkciju uzraudzīt </w:t>
      </w:r>
      <w:r>
        <w:t>Sankciju likuma prasību uzraudzību un kontroli</w:t>
      </w:r>
      <w:r w:rsidRPr="0053134B">
        <w:t xml:space="preserve">, neizriet, ka individuālai privātpersonai būtu subjektīvās tiesības prasīt, lai </w:t>
      </w:r>
      <w:r>
        <w:t>k</w:t>
      </w:r>
      <w:r w:rsidRPr="0053134B">
        <w:t xml:space="preserve">omisija veiktu konkrētas uzraudzības darbības vai pieņemtu konkrētus lēmumus attiecībā uz </w:t>
      </w:r>
      <w:r>
        <w:rPr>
          <w:rFonts w:ascii="TimesNewRomanPSMT" w:hAnsi="TimesNewRomanPSMT" w:cs="TimesNewRomanPSMT"/>
        </w:rPr>
        <w:t>finanšu un kapitāla tirgus dalībniekiem</w:t>
      </w:r>
      <w:r w:rsidRPr="0053134B">
        <w:t>.</w:t>
      </w:r>
    </w:p>
    <w:p w14:paraId="3C08D354" w14:textId="77777777" w:rsidR="005828C5" w:rsidRDefault="005828C5" w:rsidP="005D77EF">
      <w:pPr>
        <w:spacing w:line="276" w:lineRule="auto"/>
        <w:ind w:firstLine="709"/>
        <w:jc w:val="both"/>
        <w:rPr>
          <w:color w:val="FF0000"/>
          <w:lang w:eastAsia="lv-LV"/>
        </w:rPr>
      </w:pPr>
    </w:p>
    <w:p w14:paraId="111B71F3" w14:textId="6C3D85F7" w:rsidR="005828C5" w:rsidRDefault="00053D51" w:rsidP="005D77EF">
      <w:pPr>
        <w:spacing w:line="276" w:lineRule="auto"/>
        <w:ind w:firstLine="709"/>
        <w:jc w:val="both"/>
      </w:pPr>
      <w:r>
        <w:rPr>
          <w:lang w:eastAsia="lv-LV"/>
        </w:rPr>
        <w:t>[</w:t>
      </w:r>
      <w:r w:rsidR="008B291F">
        <w:rPr>
          <w:lang w:eastAsia="lv-LV"/>
        </w:rPr>
        <w:t>12</w:t>
      </w:r>
      <w:r>
        <w:rPr>
          <w:lang w:eastAsia="lv-LV"/>
        </w:rPr>
        <w:t>]</w:t>
      </w:r>
      <w:r w:rsidR="00D10E84">
        <w:rPr>
          <w:lang w:eastAsia="lv-LV"/>
        </w:rPr>
        <w:t> </w:t>
      </w:r>
      <w:r w:rsidR="001B63AF">
        <w:t xml:space="preserve">Apkopojot minēto, Senāts atzīst, ka </w:t>
      </w:r>
      <w:r w:rsidR="00A56792">
        <w:t xml:space="preserve">pieteicēja pieteikums neatbilst </w:t>
      </w:r>
      <w:r w:rsidR="001B63AF">
        <w:t xml:space="preserve">Administratīvā procesa likuma 184.panta pirmās daļas 2.punkta </w:t>
      </w:r>
      <w:r w:rsidR="00A56792">
        <w:t>prasībām</w:t>
      </w:r>
      <w:r w:rsidR="00847CE3">
        <w:t xml:space="preserve">, kas </w:t>
      </w:r>
      <w:r w:rsidR="001B63AF">
        <w:t xml:space="preserve">attiecīgi nozīmē, ka </w:t>
      </w:r>
      <w:r w:rsidR="00C15A8F">
        <w:t>tas</w:t>
      </w:r>
      <w:r w:rsidR="001B63AF" w:rsidRPr="0053134B">
        <w:t xml:space="preserve"> nav pieļaujams</w:t>
      </w:r>
      <w:r w:rsidR="008C7196">
        <w:t xml:space="preserve">. Līdz ar to </w:t>
      </w:r>
      <w:r w:rsidR="008C7196">
        <w:rPr>
          <w:bCs/>
        </w:rPr>
        <w:t xml:space="preserve">apgabaltiesas </w:t>
      </w:r>
      <w:r w:rsidR="008C7196" w:rsidRPr="0019737E">
        <w:rPr>
          <w:bCs/>
        </w:rPr>
        <w:t>spriedums</w:t>
      </w:r>
      <w:r w:rsidR="00847CE3">
        <w:rPr>
          <w:bCs/>
        </w:rPr>
        <w:t xml:space="preserve">, </w:t>
      </w:r>
      <w:r w:rsidR="00847CE3">
        <w:t>ar kuru lieta nepamatoti izskatīta par komisijas faktiskās rīcības atzīšanu par prettiesisku,</w:t>
      </w:r>
      <w:r w:rsidR="008C7196" w:rsidRPr="0019737E">
        <w:rPr>
          <w:bCs/>
        </w:rPr>
        <w:t xml:space="preserve"> ir atceļams</w:t>
      </w:r>
      <w:r w:rsidR="00847CE3">
        <w:rPr>
          <w:bCs/>
        </w:rPr>
        <w:t>,</w:t>
      </w:r>
      <w:r w:rsidR="001B63AF">
        <w:t xml:space="preserve"> un lietā atbilstoši Administratīvā procesa likuma 282.panta 1.punktam izbeidz</w:t>
      </w:r>
      <w:r w:rsidR="00847CE3">
        <w:t>ama</w:t>
      </w:r>
      <w:r w:rsidR="001B63AF">
        <w:t xml:space="preserve"> tiesvedība</w:t>
      </w:r>
      <w:r w:rsidR="008C7196">
        <w:t>.</w:t>
      </w:r>
    </w:p>
    <w:p w14:paraId="03339EBA" w14:textId="77777777" w:rsidR="00FA4450" w:rsidRDefault="00FA4450" w:rsidP="005D77EF">
      <w:pPr>
        <w:spacing w:line="276" w:lineRule="auto"/>
        <w:ind w:firstLine="709"/>
        <w:jc w:val="both"/>
      </w:pPr>
    </w:p>
    <w:p w14:paraId="54789F62" w14:textId="07D8372E" w:rsidR="00FA4450" w:rsidRPr="002A32BC" w:rsidRDefault="00FA4450" w:rsidP="005D77EF">
      <w:pPr>
        <w:spacing w:line="276" w:lineRule="auto"/>
        <w:ind w:firstLine="709"/>
        <w:jc w:val="both"/>
        <w:rPr>
          <w:color w:val="FF0000"/>
          <w:lang w:eastAsia="lv-LV"/>
        </w:rPr>
      </w:pPr>
      <w:r>
        <w:t>[13]</w:t>
      </w:r>
      <w:r w:rsidR="00740752">
        <w:t> </w:t>
      </w:r>
      <w:r w:rsidR="005A2163">
        <w:t>Kasācijas sūdzīb</w:t>
      </w:r>
      <w:r w:rsidR="00733AA6">
        <w:t>ā</w:t>
      </w:r>
      <w:r w:rsidR="005A2163">
        <w:t xml:space="preserve"> ietverts lūgums Senātam uzdot Eiropas Savienības Tiesai jautājumus par </w:t>
      </w:r>
      <w:r w:rsidR="003C1539">
        <w:t>Eiropas Savienības tiesību</w:t>
      </w:r>
      <w:r w:rsidR="005A2163">
        <w:t xml:space="preserve"> normu interpretāciju prejudiciāla nolēmuma taisīšanai. Tā kā tiesvedība lietā ir izbeidzama, jo lieta nav skatāma administratīvā procesa kārtībā, pieteicēja lūgums atstājams bez ievērības. </w:t>
      </w:r>
    </w:p>
    <w:p w14:paraId="47223788" w14:textId="77777777" w:rsidR="00443222" w:rsidRDefault="00443222" w:rsidP="005D77EF">
      <w:pPr>
        <w:shd w:val="clear" w:color="auto" w:fill="FFFFFF"/>
        <w:spacing w:line="276" w:lineRule="auto"/>
        <w:jc w:val="center"/>
        <w:rPr>
          <w:b/>
        </w:rPr>
      </w:pPr>
    </w:p>
    <w:p w14:paraId="713A6308" w14:textId="76EEEDB5" w:rsidR="00C36432" w:rsidRDefault="00C36432" w:rsidP="005D77EF">
      <w:pPr>
        <w:shd w:val="clear" w:color="auto" w:fill="FFFFFF"/>
        <w:spacing w:line="276" w:lineRule="auto"/>
        <w:jc w:val="center"/>
        <w:rPr>
          <w:b/>
        </w:rPr>
      </w:pPr>
      <w:r w:rsidRPr="00847F44">
        <w:rPr>
          <w:b/>
        </w:rPr>
        <w:t>Rezolutīvā daļa</w:t>
      </w:r>
    </w:p>
    <w:p w14:paraId="67F60D09" w14:textId="77777777" w:rsidR="00C36432" w:rsidRPr="00052494" w:rsidRDefault="00C36432" w:rsidP="005D77EF">
      <w:pPr>
        <w:shd w:val="clear" w:color="auto" w:fill="FFFFFF"/>
        <w:spacing w:line="276" w:lineRule="auto"/>
        <w:ind w:firstLine="709"/>
        <w:rPr>
          <w:bCs/>
        </w:rPr>
      </w:pPr>
    </w:p>
    <w:p w14:paraId="655EF818" w14:textId="2FA7EACC" w:rsidR="00C36432" w:rsidRPr="001B63AF" w:rsidRDefault="00C36432" w:rsidP="005D77EF">
      <w:pPr>
        <w:spacing w:line="276" w:lineRule="auto"/>
        <w:ind w:firstLine="720"/>
        <w:jc w:val="both"/>
        <w:rPr>
          <w:color w:val="FF0000"/>
        </w:rPr>
      </w:pPr>
      <w:r w:rsidRPr="00D83406">
        <w:t xml:space="preserve">Pamatojoties uz Administratīvā procesa likuma </w:t>
      </w:r>
      <w:r w:rsidR="001B63AF">
        <w:t>282.panta 1.punktu</w:t>
      </w:r>
      <w:r w:rsidR="008C7196">
        <w:t>,</w:t>
      </w:r>
      <w:r w:rsidR="001B63AF">
        <w:t xml:space="preserve"> </w:t>
      </w:r>
      <w:r w:rsidR="008C7196" w:rsidRPr="0019737E">
        <w:rPr>
          <w:rFonts w:eastAsiaTheme="minorHAnsi"/>
          <w:lang w:eastAsia="en-US"/>
        </w:rPr>
        <w:t>348.panta pirmās daļas 3.punktu</w:t>
      </w:r>
      <w:r w:rsidR="008C7196">
        <w:rPr>
          <w:rFonts w:eastAsiaTheme="minorHAnsi"/>
          <w:lang w:eastAsia="en-US"/>
        </w:rPr>
        <w:t xml:space="preserve"> un </w:t>
      </w:r>
      <w:r w:rsidR="008C7196" w:rsidRPr="0019737E">
        <w:rPr>
          <w:rFonts w:eastAsiaTheme="minorHAnsi"/>
          <w:lang w:eastAsia="en-US"/>
        </w:rPr>
        <w:t>351.pantu</w:t>
      </w:r>
      <w:r w:rsidRPr="00D83406">
        <w:t>, Senāts</w:t>
      </w:r>
    </w:p>
    <w:p w14:paraId="0760AB28" w14:textId="77777777" w:rsidR="00C36432" w:rsidRPr="00D708A0" w:rsidRDefault="00C36432" w:rsidP="005D77EF">
      <w:pPr>
        <w:spacing w:line="276" w:lineRule="auto"/>
        <w:ind w:firstLine="720"/>
        <w:jc w:val="both"/>
      </w:pPr>
    </w:p>
    <w:p w14:paraId="7443D896" w14:textId="61D529EC" w:rsidR="00C36432" w:rsidRDefault="00052494" w:rsidP="005D77EF">
      <w:pPr>
        <w:shd w:val="clear" w:color="auto" w:fill="FFFFFF"/>
        <w:spacing w:line="276" w:lineRule="auto"/>
        <w:jc w:val="center"/>
        <w:rPr>
          <w:b/>
        </w:rPr>
      </w:pPr>
      <w:r>
        <w:rPr>
          <w:b/>
        </w:rPr>
        <w:t>n</w:t>
      </w:r>
      <w:r w:rsidR="00C36432" w:rsidRPr="00A53E41">
        <w:rPr>
          <w:b/>
        </w:rPr>
        <w:t>osprieda</w:t>
      </w:r>
    </w:p>
    <w:p w14:paraId="1D7F9731" w14:textId="77777777" w:rsidR="00052494" w:rsidRPr="00052494" w:rsidRDefault="00052494" w:rsidP="005D77EF">
      <w:pPr>
        <w:shd w:val="clear" w:color="auto" w:fill="FFFFFF"/>
        <w:spacing w:line="276" w:lineRule="auto"/>
        <w:ind w:firstLine="709"/>
        <w:rPr>
          <w:bCs/>
        </w:rPr>
      </w:pPr>
    </w:p>
    <w:p w14:paraId="70AA2F70" w14:textId="3635C7FB" w:rsidR="005828C5" w:rsidRPr="001B63AF" w:rsidRDefault="00C36432" w:rsidP="005D77EF">
      <w:pPr>
        <w:spacing w:line="276" w:lineRule="auto"/>
        <w:ind w:firstLine="720"/>
        <w:jc w:val="both"/>
      </w:pPr>
      <w:r w:rsidRPr="001B63AF">
        <w:t>at</w:t>
      </w:r>
      <w:r w:rsidR="005828C5" w:rsidRPr="001B63AF">
        <w:t xml:space="preserve">celt </w:t>
      </w:r>
      <w:r w:rsidRPr="001B63AF">
        <w:t xml:space="preserve">Administratīvās apgabaltiesas </w:t>
      </w:r>
      <w:r w:rsidR="0054109B" w:rsidRPr="001B63AF">
        <w:t xml:space="preserve">2020.gada </w:t>
      </w:r>
      <w:r w:rsidR="005828C5" w:rsidRPr="001B63AF">
        <w:t>10.novembra</w:t>
      </w:r>
      <w:r w:rsidR="00426C4C" w:rsidRPr="001B63AF">
        <w:t xml:space="preserve"> </w:t>
      </w:r>
      <w:r w:rsidRPr="001B63AF">
        <w:t>spriedumu</w:t>
      </w:r>
      <w:r w:rsidR="008C7196">
        <w:t xml:space="preserve"> un i</w:t>
      </w:r>
      <w:r w:rsidR="005828C5" w:rsidRPr="001B63AF">
        <w:t xml:space="preserve">zbeigt </w:t>
      </w:r>
      <w:r w:rsidR="008C7196">
        <w:t>tiesvedību</w:t>
      </w:r>
      <w:r w:rsidR="00847CE3">
        <w:t xml:space="preserve"> lietā</w:t>
      </w:r>
      <w:r w:rsidR="008C7196">
        <w:t>.</w:t>
      </w:r>
    </w:p>
    <w:p w14:paraId="3BCC552F" w14:textId="77777777" w:rsidR="00D708A0" w:rsidRPr="003F4295" w:rsidRDefault="00D708A0" w:rsidP="005D77EF">
      <w:pPr>
        <w:spacing w:line="276" w:lineRule="auto"/>
        <w:ind w:firstLine="720"/>
        <w:jc w:val="both"/>
      </w:pPr>
    </w:p>
    <w:p w14:paraId="33452B7C" w14:textId="77777777" w:rsidR="006F0AC1" w:rsidRDefault="006F0AC1" w:rsidP="005D77EF">
      <w:pPr>
        <w:spacing w:line="276" w:lineRule="auto"/>
        <w:ind w:firstLine="720"/>
        <w:jc w:val="both"/>
      </w:pPr>
      <w:r w:rsidRPr="003F4295">
        <w:t>Spriedums nav pārsūdzams.</w:t>
      </w:r>
    </w:p>
    <w:p w14:paraId="5F54E056" w14:textId="77777777" w:rsidR="00426C4C" w:rsidRPr="003F4295" w:rsidRDefault="00426C4C" w:rsidP="00365485">
      <w:pPr>
        <w:spacing w:line="276" w:lineRule="auto"/>
        <w:ind w:firstLine="720"/>
        <w:jc w:val="both"/>
      </w:pPr>
    </w:p>
    <w:p w14:paraId="7166613E" w14:textId="77777777" w:rsidR="00BB44BB" w:rsidRDefault="00BB44BB" w:rsidP="00365485">
      <w:pPr>
        <w:spacing w:line="276" w:lineRule="auto"/>
        <w:jc w:val="both"/>
      </w:pPr>
    </w:p>
    <w:p w14:paraId="227295E7" w14:textId="77777777" w:rsidR="00426C4C" w:rsidRPr="003F4295" w:rsidRDefault="00426C4C" w:rsidP="00365485">
      <w:pPr>
        <w:spacing w:line="276" w:lineRule="auto"/>
        <w:jc w:val="both"/>
      </w:pPr>
    </w:p>
    <w:p w14:paraId="119E5B46" w14:textId="77777777" w:rsidR="00693D10" w:rsidRPr="003F4295" w:rsidRDefault="00693D10" w:rsidP="00365485">
      <w:pPr>
        <w:spacing w:line="276" w:lineRule="auto"/>
        <w:jc w:val="both"/>
      </w:pPr>
    </w:p>
    <w:p w14:paraId="624A2D0E" w14:textId="66E2C71B" w:rsidR="00A50F84" w:rsidRDefault="00A50F84" w:rsidP="00365485">
      <w:pPr>
        <w:spacing w:line="276" w:lineRule="auto"/>
        <w:jc w:val="both"/>
      </w:pPr>
    </w:p>
    <w:sectPr w:rsidR="00A50F84" w:rsidSect="00E044C5">
      <w:footerReference w:type="default" r:id="rId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32057" w14:textId="77777777" w:rsidR="00612FFE" w:rsidRDefault="00612FFE" w:rsidP="00EC6C35">
      <w:r>
        <w:separator/>
      </w:r>
    </w:p>
  </w:endnote>
  <w:endnote w:type="continuationSeparator" w:id="0">
    <w:p w14:paraId="1CD444F5" w14:textId="77777777" w:rsidR="00612FFE" w:rsidRDefault="00612FFE" w:rsidP="00EC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3AEB3" w14:textId="7C2AC302" w:rsidR="00EC6C35" w:rsidRPr="0009409E" w:rsidRDefault="004D01C4" w:rsidP="004D01C4">
    <w:pPr>
      <w:pStyle w:val="Footer"/>
      <w:tabs>
        <w:tab w:val="clear" w:pos="4153"/>
        <w:tab w:val="clear" w:pos="8306"/>
      </w:tabs>
      <w:jc w:val="center"/>
      <w:rPr>
        <w:sz w:val="20"/>
        <w:szCs w:val="20"/>
      </w:rPr>
    </w:pPr>
    <w:r w:rsidRPr="0009409E">
      <w:rPr>
        <w:rStyle w:val="PageNumber"/>
        <w:sz w:val="20"/>
        <w:szCs w:val="20"/>
      </w:rPr>
      <w:fldChar w:fldCharType="begin"/>
    </w:r>
    <w:r w:rsidRPr="0009409E">
      <w:rPr>
        <w:rStyle w:val="PageNumber"/>
        <w:sz w:val="20"/>
        <w:szCs w:val="20"/>
      </w:rPr>
      <w:instrText xml:space="preserve">PAGE  </w:instrText>
    </w:r>
    <w:r w:rsidRPr="0009409E">
      <w:rPr>
        <w:rStyle w:val="PageNumber"/>
        <w:sz w:val="20"/>
        <w:szCs w:val="20"/>
      </w:rPr>
      <w:fldChar w:fldCharType="separate"/>
    </w:r>
    <w:r w:rsidRPr="0009409E">
      <w:rPr>
        <w:rStyle w:val="PageNumber"/>
        <w:sz w:val="20"/>
        <w:szCs w:val="20"/>
      </w:rPr>
      <w:t>3</w:t>
    </w:r>
    <w:r w:rsidRPr="0009409E">
      <w:rPr>
        <w:rStyle w:val="PageNumber"/>
        <w:sz w:val="20"/>
        <w:szCs w:val="20"/>
      </w:rPr>
      <w:fldChar w:fldCharType="end"/>
    </w:r>
    <w:r w:rsidRPr="0009409E">
      <w:rPr>
        <w:rStyle w:val="PageNumber"/>
        <w:sz w:val="20"/>
        <w:szCs w:val="20"/>
      </w:rPr>
      <w:t xml:space="preserve"> no </w:t>
    </w:r>
    <w:r w:rsidRPr="0009409E">
      <w:rPr>
        <w:rStyle w:val="PageNumber"/>
        <w:noProof/>
        <w:sz w:val="20"/>
        <w:szCs w:val="20"/>
      </w:rPr>
      <w:fldChar w:fldCharType="begin"/>
    </w:r>
    <w:r w:rsidRPr="0009409E">
      <w:rPr>
        <w:rStyle w:val="PageNumber"/>
        <w:noProof/>
        <w:sz w:val="20"/>
        <w:szCs w:val="20"/>
      </w:rPr>
      <w:instrText xml:space="preserve"> SECTIONPAGES   \* MERGEFORMAT </w:instrText>
    </w:r>
    <w:r w:rsidRPr="0009409E">
      <w:rPr>
        <w:rStyle w:val="PageNumber"/>
        <w:noProof/>
        <w:sz w:val="20"/>
        <w:szCs w:val="20"/>
      </w:rPr>
      <w:fldChar w:fldCharType="separate"/>
    </w:r>
    <w:r w:rsidR="00A8077A">
      <w:rPr>
        <w:rStyle w:val="PageNumber"/>
        <w:noProof/>
        <w:sz w:val="20"/>
        <w:szCs w:val="20"/>
      </w:rPr>
      <w:t>6</w:t>
    </w:r>
    <w:r w:rsidRPr="0009409E">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EA8AA" w14:textId="77777777" w:rsidR="00612FFE" w:rsidRDefault="00612FFE" w:rsidP="00EC6C35">
      <w:r>
        <w:separator/>
      </w:r>
    </w:p>
  </w:footnote>
  <w:footnote w:type="continuationSeparator" w:id="0">
    <w:p w14:paraId="6983AF45" w14:textId="77777777" w:rsidR="00612FFE" w:rsidRDefault="00612FFE" w:rsidP="00EC6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0674"/>
    <w:multiLevelType w:val="hybridMultilevel"/>
    <w:tmpl w:val="80360CBC"/>
    <w:lvl w:ilvl="0" w:tplc="0BFAD212">
      <w:start w:val="4"/>
      <w:numFmt w:val="decimal"/>
      <w:lvlText w:val="%1."/>
      <w:lvlJc w:val="left"/>
      <w:pPr>
        <w:tabs>
          <w:tab w:val="num" w:pos="720"/>
        </w:tabs>
        <w:ind w:left="720" w:hanging="360"/>
      </w:pPr>
    </w:lvl>
    <w:lvl w:ilvl="1" w:tplc="9BD2771A" w:tentative="1">
      <w:start w:val="1"/>
      <w:numFmt w:val="decimal"/>
      <w:lvlText w:val="%2."/>
      <w:lvlJc w:val="left"/>
      <w:pPr>
        <w:tabs>
          <w:tab w:val="num" w:pos="1440"/>
        </w:tabs>
        <w:ind w:left="1440" w:hanging="360"/>
      </w:pPr>
    </w:lvl>
    <w:lvl w:ilvl="2" w:tplc="BA4455E6" w:tentative="1">
      <w:start w:val="1"/>
      <w:numFmt w:val="decimal"/>
      <w:lvlText w:val="%3."/>
      <w:lvlJc w:val="left"/>
      <w:pPr>
        <w:tabs>
          <w:tab w:val="num" w:pos="2160"/>
        </w:tabs>
        <w:ind w:left="2160" w:hanging="360"/>
      </w:pPr>
    </w:lvl>
    <w:lvl w:ilvl="3" w:tplc="E7FA0C66" w:tentative="1">
      <w:start w:val="1"/>
      <w:numFmt w:val="decimal"/>
      <w:lvlText w:val="%4."/>
      <w:lvlJc w:val="left"/>
      <w:pPr>
        <w:tabs>
          <w:tab w:val="num" w:pos="2880"/>
        </w:tabs>
        <w:ind w:left="2880" w:hanging="360"/>
      </w:pPr>
    </w:lvl>
    <w:lvl w:ilvl="4" w:tplc="0FF4480E" w:tentative="1">
      <w:start w:val="1"/>
      <w:numFmt w:val="decimal"/>
      <w:lvlText w:val="%5."/>
      <w:lvlJc w:val="left"/>
      <w:pPr>
        <w:tabs>
          <w:tab w:val="num" w:pos="3600"/>
        </w:tabs>
        <w:ind w:left="3600" w:hanging="360"/>
      </w:pPr>
    </w:lvl>
    <w:lvl w:ilvl="5" w:tplc="9EA8088A" w:tentative="1">
      <w:start w:val="1"/>
      <w:numFmt w:val="decimal"/>
      <w:lvlText w:val="%6."/>
      <w:lvlJc w:val="left"/>
      <w:pPr>
        <w:tabs>
          <w:tab w:val="num" w:pos="4320"/>
        </w:tabs>
        <w:ind w:left="4320" w:hanging="360"/>
      </w:pPr>
    </w:lvl>
    <w:lvl w:ilvl="6" w:tplc="02908B24" w:tentative="1">
      <w:start w:val="1"/>
      <w:numFmt w:val="decimal"/>
      <w:lvlText w:val="%7."/>
      <w:lvlJc w:val="left"/>
      <w:pPr>
        <w:tabs>
          <w:tab w:val="num" w:pos="5040"/>
        </w:tabs>
        <w:ind w:left="5040" w:hanging="360"/>
      </w:pPr>
    </w:lvl>
    <w:lvl w:ilvl="7" w:tplc="5E763A84" w:tentative="1">
      <w:start w:val="1"/>
      <w:numFmt w:val="decimal"/>
      <w:lvlText w:val="%8."/>
      <w:lvlJc w:val="left"/>
      <w:pPr>
        <w:tabs>
          <w:tab w:val="num" w:pos="5760"/>
        </w:tabs>
        <w:ind w:left="5760" w:hanging="360"/>
      </w:pPr>
    </w:lvl>
    <w:lvl w:ilvl="8" w:tplc="676E42A2" w:tentative="1">
      <w:start w:val="1"/>
      <w:numFmt w:val="decimal"/>
      <w:lvlText w:val="%9."/>
      <w:lvlJc w:val="left"/>
      <w:pPr>
        <w:tabs>
          <w:tab w:val="num" w:pos="6480"/>
        </w:tabs>
        <w:ind w:left="6480" w:hanging="360"/>
      </w:pPr>
    </w:lvl>
  </w:abstractNum>
  <w:abstractNum w:abstractNumId="1" w15:restartNumberingAfterBreak="0">
    <w:nsid w:val="057F0930"/>
    <w:multiLevelType w:val="hybridMultilevel"/>
    <w:tmpl w:val="6CC427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0F">
      <w:start w:val="1"/>
      <w:numFmt w:val="decimal"/>
      <w:lvlText w:val="%3."/>
      <w:lvlJc w:val="lef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B4661A"/>
    <w:multiLevelType w:val="hybridMultilevel"/>
    <w:tmpl w:val="718C61C4"/>
    <w:lvl w:ilvl="0" w:tplc="1396EA02">
      <w:start w:val="1"/>
      <w:numFmt w:val="decimal"/>
      <w:lvlText w:val="%1"/>
      <w:lvlJc w:val="left"/>
      <w:pPr>
        <w:ind w:left="294" w:hanging="360"/>
      </w:pPr>
      <w:rPr>
        <w:rFonts w:hint="default"/>
      </w:rPr>
    </w:lvl>
    <w:lvl w:ilvl="1" w:tplc="04260019">
      <w:start w:val="1"/>
      <w:numFmt w:val="lowerLetter"/>
      <w:lvlText w:val="%2."/>
      <w:lvlJc w:val="left"/>
      <w:pPr>
        <w:ind w:left="1014" w:hanging="360"/>
      </w:pPr>
    </w:lvl>
    <w:lvl w:ilvl="2" w:tplc="141A71DA">
      <w:start w:val="1"/>
      <w:numFmt w:val="decimal"/>
      <w:lvlText w:val="%3."/>
      <w:lvlJc w:val="left"/>
      <w:pPr>
        <w:ind w:left="2274" w:hanging="720"/>
      </w:pPr>
      <w:rPr>
        <w:rFonts w:hint="default"/>
      </w:r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3" w15:restartNumberingAfterBreak="0">
    <w:nsid w:val="13F53F62"/>
    <w:multiLevelType w:val="hybridMultilevel"/>
    <w:tmpl w:val="AA76E7C4"/>
    <w:lvl w:ilvl="0" w:tplc="FCA01EE2">
      <w:start w:val="1"/>
      <w:numFmt w:val="decimal"/>
      <w:lvlText w:val="%1."/>
      <w:lvlJc w:val="left"/>
      <w:pPr>
        <w:tabs>
          <w:tab w:val="num" w:pos="720"/>
        </w:tabs>
        <w:ind w:left="720" w:hanging="360"/>
      </w:pPr>
    </w:lvl>
    <w:lvl w:ilvl="1" w:tplc="2A8E186A" w:tentative="1">
      <w:start w:val="1"/>
      <w:numFmt w:val="decimal"/>
      <w:lvlText w:val="%2."/>
      <w:lvlJc w:val="left"/>
      <w:pPr>
        <w:tabs>
          <w:tab w:val="num" w:pos="1440"/>
        </w:tabs>
        <w:ind w:left="1440" w:hanging="360"/>
      </w:pPr>
    </w:lvl>
    <w:lvl w:ilvl="2" w:tplc="F1BC5806" w:tentative="1">
      <w:start w:val="1"/>
      <w:numFmt w:val="decimal"/>
      <w:lvlText w:val="%3."/>
      <w:lvlJc w:val="left"/>
      <w:pPr>
        <w:tabs>
          <w:tab w:val="num" w:pos="2160"/>
        </w:tabs>
        <w:ind w:left="2160" w:hanging="360"/>
      </w:pPr>
    </w:lvl>
    <w:lvl w:ilvl="3" w:tplc="50D0C5CE" w:tentative="1">
      <w:start w:val="1"/>
      <w:numFmt w:val="decimal"/>
      <w:lvlText w:val="%4."/>
      <w:lvlJc w:val="left"/>
      <w:pPr>
        <w:tabs>
          <w:tab w:val="num" w:pos="2880"/>
        </w:tabs>
        <w:ind w:left="2880" w:hanging="360"/>
      </w:pPr>
    </w:lvl>
    <w:lvl w:ilvl="4" w:tplc="02A26B5A" w:tentative="1">
      <w:start w:val="1"/>
      <w:numFmt w:val="decimal"/>
      <w:lvlText w:val="%5."/>
      <w:lvlJc w:val="left"/>
      <w:pPr>
        <w:tabs>
          <w:tab w:val="num" w:pos="3600"/>
        </w:tabs>
        <w:ind w:left="3600" w:hanging="360"/>
      </w:pPr>
    </w:lvl>
    <w:lvl w:ilvl="5" w:tplc="CB4EEDD2" w:tentative="1">
      <w:start w:val="1"/>
      <w:numFmt w:val="decimal"/>
      <w:lvlText w:val="%6."/>
      <w:lvlJc w:val="left"/>
      <w:pPr>
        <w:tabs>
          <w:tab w:val="num" w:pos="4320"/>
        </w:tabs>
        <w:ind w:left="4320" w:hanging="360"/>
      </w:pPr>
    </w:lvl>
    <w:lvl w:ilvl="6" w:tplc="12685BEC" w:tentative="1">
      <w:start w:val="1"/>
      <w:numFmt w:val="decimal"/>
      <w:lvlText w:val="%7."/>
      <w:lvlJc w:val="left"/>
      <w:pPr>
        <w:tabs>
          <w:tab w:val="num" w:pos="5040"/>
        </w:tabs>
        <w:ind w:left="5040" w:hanging="360"/>
      </w:pPr>
    </w:lvl>
    <w:lvl w:ilvl="7" w:tplc="D084F8BE" w:tentative="1">
      <w:start w:val="1"/>
      <w:numFmt w:val="decimal"/>
      <w:lvlText w:val="%8."/>
      <w:lvlJc w:val="left"/>
      <w:pPr>
        <w:tabs>
          <w:tab w:val="num" w:pos="5760"/>
        </w:tabs>
        <w:ind w:left="5760" w:hanging="360"/>
      </w:pPr>
    </w:lvl>
    <w:lvl w:ilvl="8" w:tplc="5C325EF8" w:tentative="1">
      <w:start w:val="1"/>
      <w:numFmt w:val="decimal"/>
      <w:lvlText w:val="%9."/>
      <w:lvlJc w:val="left"/>
      <w:pPr>
        <w:tabs>
          <w:tab w:val="num" w:pos="6480"/>
        </w:tabs>
        <w:ind w:left="6480" w:hanging="360"/>
      </w:pPr>
    </w:lvl>
  </w:abstractNum>
  <w:abstractNum w:abstractNumId="4"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5" w15:restartNumberingAfterBreak="0">
    <w:nsid w:val="16F56500"/>
    <w:multiLevelType w:val="hybridMultilevel"/>
    <w:tmpl w:val="DD46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305BD"/>
    <w:multiLevelType w:val="hybridMultilevel"/>
    <w:tmpl w:val="C80ACB4E"/>
    <w:lvl w:ilvl="0" w:tplc="2EE4253C">
      <w:start w:val="1"/>
      <w:numFmt w:val="decimal"/>
      <w:lvlText w:val="%1."/>
      <w:lvlJc w:val="left"/>
      <w:pPr>
        <w:tabs>
          <w:tab w:val="num" w:pos="720"/>
        </w:tabs>
        <w:ind w:left="720" w:hanging="360"/>
      </w:pPr>
    </w:lvl>
    <w:lvl w:ilvl="1" w:tplc="CB9804D0" w:tentative="1">
      <w:start w:val="1"/>
      <w:numFmt w:val="decimal"/>
      <w:lvlText w:val="%2."/>
      <w:lvlJc w:val="left"/>
      <w:pPr>
        <w:tabs>
          <w:tab w:val="num" w:pos="1440"/>
        </w:tabs>
        <w:ind w:left="1440" w:hanging="360"/>
      </w:pPr>
    </w:lvl>
    <w:lvl w:ilvl="2" w:tplc="E904BAE4" w:tentative="1">
      <w:start w:val="1"/>
      <w:numFmt w:val="decimal"/>
      <w:lvlText w:val="%3."/>
      <w:lvlJc w:val="left"/>
      <w:pPr>
        <w:tabs>
          <w:tab w:val="num" w:pos="2160"/>
        </w:tabs>
        <w:ind w:left="2160" w:hanging="360"/>
      </w:pPr>
    </w:lvl>
    <w:lvl w:ilvl="3" w:tplc="6ED679A4" w:tentative="1">
      <w:start w:val="1"/>
      <w:numFmt w:val="decimal"/>
      <w:lvlText w:val="%4."/>
      <w:lvlJc w:val="left"/>
      <w:pPr>
        <w:tabs>
          <w:tab w:val="num" w:pos="2880"/>
        </w:tabs>
        <w:ind w:left="2880" w:hanging="360"/>
      </w:pPr>
    </w:lvl>
    <w:lvl w:ilvl="4" w:tplc="1D301E16" w:tentative="1">
      <w:start w:val="1"/>
      <w:numFmt w:val="decimal"/>
      <w:lvlText w:val="%5."/>
      <w:lvlJc w:val="left"/>
      <w:pPr>
        <w:tabs>
          <w:tab w:val="num" w:pos="3600"/>
        </w:tabs>
        <w:ind w:left="3600" w:hanging="360"/>
      </w:pPr>
    </w:lvl>
    <w:lvl w:ilvl="5" w:tplc="7930C04E" w:tentative="1">
      <w:start w:val="1"/>
      <w:numFmt w:val="decimal"/>
      <w:lvlText w:val="%6."/>
      <w:lvlJc w:val="left"/>
      <w:pPr>
        <w:tabs>
          <w:tab w:val="num" w:pos="4320"/>
        </w:tabs>
        <w:ind w:left="4320" w:hanging="360"/>
      </w:pPr>
    </w:lvl>
    <w:lvl w:ilvl="6" w:tplc="24505634" w:tentative="1">
      <w:start w:val="1"/>
      <w:numFmt w:val="decimal"/>
      <w:lvlText w:val="%7."/>
      <w:lvlJc w:val="left"/>
      <w:pPr>
        <w:tabs>
          <w:tab w:val="num" w:pos="5040"/>
        </w:tabs>
        <w:ind w:left="5040" w:hanging="360"/>
      </w:pPr>
    </w:lvl>
    <w:lvl w:ilvl="7" w:tplc="68424364" w:tentative="1">
      <w:start w:val="1"/>
      <w:numFmt w:val="decimal"/>
      <w:lvlText w:val="%8."/>
      <w:lvlJc w:val="left"/>
      <w:pPr>
        <w:tabs>
          <w:tab w:val="num" w:pos="5760"/>
        </w:tabs>
        <w:ind w:left="5760" w:hanging="360"/>
      </w:pPr>
    </w:lvl>
    <w:lvl w:ilvl="8" w:tplc="D390FD38" w:tentative="1">
      <w:start w:val="1"/>
      <w:numFmt w:val="decimal"/>
      <w:lvlText w:val="%9."/>
      <w:lvlJc w:val="left"/>
      <w:pPr>
        <w:tabs>
          <w:tab w:val="num" w:pos="6480"/>
        </w:tabs>
        <w:ind w:left="6480" w:hanging="360"/>
      </w:pPr>
    </w:lvl>
  </w:abstractNum>
  <w:abstractNum w:abstractNumId="7" w15:restartNumberingAfterBreak="0">
    <w:nsid w:val="333655C5"/>
    <w:multiLevelType w:val="hybridMultilevel"/>
    <w:tmpl w:val="467C7DDC"/>
    <w:lvl w:ilvl="0" w:tplc="12A4687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3F2770E"/>
    <w:multiLevelType w:val="hybridMultilevel"/>
    <w:tmpl w:val="BF4C53A4"/>
    <w:lvl w:ilvl="0" w:tplc="A5BC97D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F800B7"/>
    <w:multiLevelType w:val="hybridMultilevel"/>
    <w:tmpl w:val="9ED6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358BC"/>
    <w:multiLevelType w:val="multilevel"/>
    <w:tmpl w:val="F7AE77EE"/>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56162EE"/>
    <w:multiLevelType w:val="hybridMultilevel"/>
    <w:tmpl w:val="D19A8AB6"/>
    <w:lvl w:ilvl="0" w:tplc="1A4423B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AD21EF"/>
    <w:multiLevelType w:val="hybridMultilevel"/>
    <w:tmpl w:val="EF38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5D2DBB"/>
    <w:multiLevelType w:val="hybridMultilevel"/>
    <w:tmpl w:val="17C8B8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CF7701"/>
    <w:multiLevelType w:val="hybridMultilevel"/>
    <w:tmpl w:val="DD604B22"/>
    <w:lvl w:ilvl="0" w:tplc="C8B2ECA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5A46685A"/>
    <w:multiLevelType w:val="hybridMultilevel"/>
    <w:tmpl w:val="311E9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4D7AFD"/>
    <w:multiLevelType w:val="hybridMultilevel"/>
    <w:tmpl w:val="37064B3E"/>
    <w:lvl w:ilvl="0" w:tplc="213EA5A2">
      <w:start w:val="9"/>
      <w:numFmt w:val="decimal"/>
      <w:lvlText w:val="%1."/>
      <w:lvlJc w:val="left"/>
      <w:pPr>
        <w:ind w:left="2160" w:hanging="1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48F588F"/>
    <w:multiLevelType w:val="hybridMultilevel"/>
    <w:tmpl w:val="6838C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00880893">
    <w:abstractNumId w:val="4"/>
  </w:num>
  <w:num w:numId="2" w16cid:durableId="1542814925">
    <w:abstractNumId w:val="6"/>
  </w:num>
  <w:num w:numId="3" w16cid:durableId="777871279">
    <w:abstractNumId w:val="3"/>
  </w:num>
  <w:num w:numId="4" w16cid:durableId="194739746">
    <w:abstractNumId w:val="0"/>
  </w:num>
  <w:num w:numId="5" w16cid:durableId="1029648038">
    <w:abstractNumId w:val="14"/>
  </w:num>
  <w:num w:numId="6" w16cid:durableId="52700587">
    <w:abstractNumId w:val="12"/>
  </w:num>
  <w:num w:numId="7" w16cid:durableId="467475005">
    <w:abstractNumId w:val="15"/>
  </w:num>
  <w:num w:numId="8" w16cid:durableId="547033889">
    <w:abstractNumId w:val="13"/>
  </w:num>
  <w:num w:numId="9" w16cid:durableId="1187914475">
    <w:abstractNumId w:val="8"/>
  </w:num>
  <w:num w:numId="10" w16cid:durableId="2007903875">
    <w:abstractNumId w:val="11"/>
  </w:num>
  <w:num w:numId="11" w16cid:durableId="2137750644">
    <w:abstractNumId w:val="9"/>
  </w:num>
  <w:num w:numId="12" w16cid:durableId="1867135360">
    <w:abstractNumId w:val="5"/>
  </w:num>
  <w:num w:numId="13" w16cid:durableId="1076706764">
    <w:abstractNumId w:val="17"/>
  </w:num>
  <w:num w:numId="14" w16cid:durableId="1157921351">
    <w:abstractNumId w:val="2"/>
  </w:num>
  <w:num w:numId="15" w16cid:durableId="2003926135">
    <w:abstractNumId w:val="7"/>
  </w:num>
  <w:num w:numId="16" w16cid:durableId="228853959">
    <w:abstractNumId w:val="1"/>
  </w:num>
  <w:num w:numId="17" w16cid:durableId="1527525997">
    <w:abstractNumId w:val="16"/>
  </w:num>
  <w:num w:numId="18" w16cid:durableId="15833668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39F0"/>
    <w:rsid w:val="00006F08"/>
    <w:rsid w:val="000074E0"/>
    <w:rsid w:val="000076A1"/>
    <w:rsid w:val="00010324"/>
    <w:rsid w:val="000135C3"/>
    <w:rsid w:val="0001518D"/>
    <w:rsid w:val="00016C41"/>
    <w:rsid w:val="0001755A"/>
    <w:rsid w:val="00017D56"/>
    <w:rsid w:val="00024446"/>
    <w:rsid w:val="000253FE"/>
    <w:rsid w:val="00025A5E"/>
    <w:rsid w:val="00027827"/>
    <w:rsid w:val="00027CD0"/>
    <w:rsid w:val="000305AD"/>
    <w:rsid w:val="00033029"/>
    <w:rsid w:val="00035036"/>
    <w:rsid w:val="0003639D"/>
    <w:rsid w:val="00036557"/>
    <w:rsid w:val="00036A7B"/>
    <w:rsid w:val="00037CA0"/>
    <w:rsid w:val="00040692"/>
    <w:rsid w:val="000418CE"/>
    <w:rsid w:val="00042EF6"/>
    <w:rsid w:val="000440E1"/>
    <w:rsid w:val="0004615E"/>
    <w:rsid w:val="0005154C"/>
    <w:rsid w:val="00052494"/>
    <w:rsid w:val="000524D1"/>
    <w:rsid w:val="000528CA"/>
    <w:rsid w:val="00053D51"/>
    <w:rsid w:val="0005439F"/>
    <w:rsid w:val="0005476A"/>
    <w:rsid w:val="00055D50"/>
    <w:rsid w:val="0005622E"/>
    <w:rsid w:val="00056BD9"/>
    <w:rsid w:val="0006272B"/>
    <w:rsid w:val="00065D84"/>
    <w:rsid w:val="000660C4"/>
    <w:rsid w:val="00070CC9"/>
    <w:rsid w:val="00071F3C"/>
    <w:rsid w:val="00073363"/>
    <w:rsid w:val="00076733"/>
    <w:rsid w:val="00082C01"/>
    <w:rsid w:val="000865D7"/>
    <w:rsid w:val="000875A2"/>
    <w:rsid w:val="000918A7"/>
    <w:rsid w:val="00092160"/>
    <w:rsid w:val="0009409E"/>
    <w:rsid w:val="000A07A6"/>
    <w:rsid w:val="000A09DE"/>
    <w:rsid w:val="000B1D90"/>
    <w:rsid w:val="000B3D7D"/>
    <w:rsid w:val="000B4FCA"/>
    <w:rsid w:val="000C1903"/>
    <w:rsid w:val="000C3EB9"/>
    <w:rsid w:val="000C6CA9"/>
    <w:rsid w:val="000C6E6A"/>
    <w:rsid w:val="000C75A1"/>
    <w:rsid w:val="000D08AF"/>
    <w:rsid w:val="000D1B9E"/>
    <w:rsid w:val="000D2962"/>
    <w:rsid w:val="000D4161"/>
    <w:rsid w:val="000E570E"/>
    <w:rsid w:val="000E5B45"/>
    <w:rsid w:val="000E6F30"/>
    <w:rsid w:val="000F065E"/>
    <w:rsid w:val="000F2CD5"/>
    <w:rsid w:val="000F5971"/>
    <w:rsid w:val="00103D3F"/>
    <w:rsid w:val="001048A8"/>
    <w:rsid w:val="0011119F"/>
    <w:rsid w:val="001119EB"/>
    <w:rsid w:val="00111D11"/>
    <w:rsid w:val="001217DA"/>
    <w:rsid w:val="00122347"/>
    <w:rsid w:val="00122397"/>
    <w:rsid w:val="00126ED1"/>
    <w:rsid w:val="00134470"/>
    <w:rsid w:val="00135385"/>
    <w:rsid w:val="00140352"/>
    <w:rsid w:val="001436F7"/>
    <w:rsid w:val="00144219"/>
    <w:rsid w:val="001447B3"/>
    <w:rsid w:val="00145713"/>
    <w:rsid w:val="001464A2"/>
    <w:rsid w:val="001527BF"/>
    <w:rsid w:val="00153633"/>
    <w:rsid w:val="00153C6E"/>
    <w:rsid w:val="00153E37"/>
    <w:rsid w:val="00154908"/>
    <w:rsid w:val="00155BD2"/>
    <w:rsid w:val="001568B3"/>
    <w:rsid w:val="001571E7"/>
    <w:rsid w:val="001653E5"/>
    <w:rsid w:val="00165AD2"/>
    <w:rsid w:val="001671B4"/>
    <w:rsid w:val="00171E56"/>
    <w:rsid w:val="00172358"/>
    <w:rsid w:val="00174BD2"/>
    <w:rsid w:val="00175ED5"/>
    <w:rsid w:val="00176769"/>
    <w:rsid w:val="00176A71"/>
    <w:rsid w:val="00177A7F"/>
    <w:rsid w:val="00180173"/>
    <w:rsid w:val="00180607"/>
    <w:rsid w:val="001823F5"/>
    <w:rsid w:val="001826F2"/>
    <w:rsid w:val="001830E7"/>
    <w:rsid w:val="001848CA"/>
    <w:rsid w:val="00186B34"/>
    <w:rsid w:val="00187381"/>
    <w:rsid w:val="00191813"/>
    <w:rsid w:val="001919C0"/>
    <w:rsid w:val="00193652"/>
    <w:rsid w:val="00193982"/>
    <w:rsid w:val="00193E08"/>
    <w:rsid w:val="00193F75"/>
    <w:rsid w:val="001A2C6C"/>
    <w:rsid w:val="001A386B"/>
    <w:rsid w:val="001A571C"/>
    <w:rsid w:val="001A610D"/>
    <w:rsid w:val="001A716D"/>
    <w:rsid w:val="001A7237"/>
    <w:rsid w:val="001B31FE"/>
    <w:rsid w:val="001B4520"/>
    <w:rsid w:val="001B58C0"/>
    <w:rsid w:val="001B63AF"/>
    <w:rsid w:val="001B75F5"/>
    <w:rsid w:val="001C0FB1"/>
    <w:rsid w:val="001C1D6E"/>
    <w:rsid w:val="001C2193"/>
    <w:rsid w:val="001C66AD"/>
    <w:rsid w:val="001D13CC"/>
    <w:rsid w:val="001D3588"/>
    <w:rsid w:val="001D4407"/>
    <w:rsid w:val="001D5043"/>
    <w:rsid w:val="001D546F"/>
    <w:rsid w:val="001D5AE3"/>
    <w:rsid w:val="001E0D88"/>
    <w:rsid w:val="001E147C"/>
    <w:rsid w:val="001E4D41"/>
    <w:rsid w:val="001F1774"/>
    <w:rsid w:val="001F258E"/>
    <w:rsid w:val="001F3666"/>
    <w:rsid w:val="001F5B39"/>
    <w:rsid w:val="001F5D58"/>
    <w:rsid w:val="001F71B4"/>
    <w:rsid w:val="0020026F"/>
    <w:rsid w:val="00200B26"/>
    <w:rsid w:val="002039F6"/>
    <w:rsid w:val="00205269"/>
    <w:rsid w:val="00210C8C"/>
    <w:rsid w:val="00221EBF"/>
    <w:rsid w:val="00224065"/>
    <w:rsid w:val="00226722"/>
    <w:rsid w:val="00226AC9"/>
    <w:rsid w:val="0023098E"/>
    <w:rsid w:val="00233E0E"/>
    <w:rsid w:val="00235D7E"/>
    <w:rsid w:val="0025008E"/>
    <w:rsid w:val="002508CD"/>
    <w:rsid w:val="00251876"/>
    <w:rsid w:val="00251C0E"/>
    <w:rsid w:val="002538C5"/>
    <w:rsid w:val="0025545D"/>
    <w:rsid w:val="00257E06"/>
    <w:rsid w:val="00261502"/>
    <w:rsid w:val="0026323D"/>
    <w:rsid w:val="00263CB8"/>
    <w:rsid w:val="00266176"/>
    <w:rsid w:val="00270D34"/>
    <w:rsid w:val="002717AD"/>
    <w:rsid w:val="00271B8E"/>
    <w:rsid w:val="00273779"/>
    <w:rsid w:val="00273C13"/>
    <w:rsid w:val="00277ADB"/>
    <w:rsid w:val="00280BB9"/>
    <w:rsid w:val="00280BBF"/>
    <w:rsid w:val="00281DB2"/>
    <w:rsid w:val="002857B5"/>
    <w:rsid w:val="00286819"/>
    <w:rsid w:val="00287B3C"/>
    <w:rsid w:val="002918D8"/>
    <w:rsid w:val="00291C03"/>
    <w:rsid w:val="00294221"/>
    <w:rsid w:val="00296189"/>
    <w:rsid w:val="00297D04"/>
    <w:rsid w:val="002A03F7"/>
    <w:rsid w:val="002A32BC"/>
    <w:rsid w:val="002A49AE"/>
    <w:rsid w:val="002B269E"/>
    <w:rsid w:val="002B2C16"/>
    <w:rsid w:val="002B32AB"/>
    <w:rsid w:val="002B5714"/>
    <w:rsid w:val="002B57AB"/>
    <w:rsid w:val="002B770E"/>
    <w:rsid w:val="002C1983"/>
    <w:rsid w:val="002C274D"/>
    <w:rsid w:val="002C2905"/>
    <w:rsid w:val="002C2D34"/>
    <w:rsid w:val="002C2EAA"/>
    <w:rsid w:val="002C4A4A"/>
    <w:rsid w:val="002C5FCA"/>
    <w:rsid w:val="002D1331"/>
    <w:rsid w:val="002D696B"/>
    <w:rsid w:val="002E1BAC"/>
    <w:rsid w:val="002E52AE"/>
    <w:rsid w:val="002F134E"/>
    <w:rsid w:val="002F2045"/>
    <w:rsid w:val="002F3E90"/>
    <w:rsid w:val="002F4316"/>
    <w:rsid w:val="002F5399"/>
    <w:rsid w:val="002F6C54"/>
    <w:rsid w:val="00300B4C"/>
    <w:rsid w:val="00300D61"/>
    <w:rsid w:val="00300E09"/>
    <w:rsid w:val="003010A9"/>
    <w:rsid w:val="0030197C"/>
    <w:rsid w:val="003021E3"/>
    <w:rsid w:val="00302B58"/>
    <w:rsid w:val="00311A41"/>
    <w:rsid w:val="00312600"/>
    <w:rsid w:val="0031423E"/>
    <w:rsid w:val="00315BFB"/>
    <w:rsid w:val="0032381D"/>
    <w:rsid w:val="00323C32"/>
    <w:rsid w:val="003265F7"/>
    <w:rsid w:val="00326C09"/>
    <w:rsid w:val="00333AB6"/>
    <w:rsid w:val="0034000A"/>
    <w:rsid w:val="0034430D"/>
    <w:rsid w:val="00346DF6"/>
    <w:rsid w:val="00350183"/>
    <w:rsid w:val="00352AB1"/>
    <w:rsid w:val="00354976"/>
    <w:rsid w:val="003558A0"/>
    <w:rsid w:val="00356661"/>
    <w:rsid w:val="00365485"/>
    <w:rsid w:val="00367937"/>
    <w:rsid w:val="00372B82"/>
    <w:rsid w:val="003730E2"/>
    <w:rsid w:val="00373451"/>
    <w:rsid w:val="00377E6B"/>
    <w:rsid w:val="003804CF"/>
    <w:rsid w:val="00380BB3"/>
    <w:rsid w:val="00382C97"/>
    <w:rsid w:val="003841F2"/>
    <w:rsid w:val="0038639F"/>
    <w:rsid w:val="003907CB"/>
    <w:rsid w:val="003940C2"/>
    <w:rsid w:val="00395C00"/>
    <w:rsid w:val="003A090E"/>
    <w:rsid w:val="003A316B"/>
    <w:rsid w:val="003A3AC5"/>
    <w:rsid w:val="003A3D1C"/>
    <w:rsid w:val="003B0B90"/>
    <w:rsid w:val="003B3855"/>
    <w:rsid w:val="003B4886"/>
    <w:rsid w:val="003C1539"/>
    <w:rsid w:val="003C2BB7"/>
    <w:rsid w:val="003C6B69"/>
    <w:rsid w:val="003D297E"/>
    <w:rsid w:val="003D3B68"/>
    <w:rsid w:val="003D4D99"/>
    <w:rsid w:val="003D69FD"/>
    <w:rsid w:val="003D79F4"/>
    <w:rsid w:val="003E0412"/>
    <w:rsid w:val="003E2A09"/>
    <w:rsid w:val="003E3429"/>
    <w:rsid w:val="003E676E"/>
    <w:rsid w:val="003F36E8"/>
    <w:rsid w:val="003F4295"/>
    <w:rsid w:val="003F501E"/>
    <w:rsid w:val="003F5B16"/>
    <w:rsid w:val="0040099D"/>
    <w:rsid w:val="00404C19"/>
    <w:rsid w:val="00406146"/>
    <w:rsid w:val="00406ADF"/>
    <w:rsid w:val="00420D67"/>
    <w:rsid w:val="00424167"/>
    <w:rsid w:val="00426C4C"/>
    <w:rsid w:val="004276DC"/>
    <w:rsid w:val="00427CE3"/>
    <w:rsid w:val="00430F9E"/>
    <w:rsid w:val="00436D82"/>
    <w:rsid w:val="00443222"/>
    <w:rsid w:val="004448DF"/>
    <w:rsid w:val="00447EE6"/>
    <w:rsid w:val="004507D7"/>
    <w:rsid w:val="0045149D"/>
    <w:rsid w:val="00452248"/>
    <w:rsid w:val="004522EE"/>
    <w:rsid w:val="00456E90"/>
    <w:rsid w:val="00456E9F"/>
    <w:rsid w:val="0046531F"/>
    <w:rsid w:val="0046712D"/>
    <w:rsid w:val="0047038D"/>
    <w:rsid w:val="00470F65"/>
    <w:rsid w:val="00471033"/>
    <w:rsid w:val="004725FF"/>
    <w:rsid w:val="00472C43"/>
    <w:rsid w:val="004745FB"/>
    <w:rsid w:val="00475032"/>
    <w:rsid w:val="004763EC"/>
    <w:rsid w:val="004767B8"/>
    <w:rsid w:val="0048054F"/>
    <w:rsid w:val="00481645"/>
    <w:rsid w:val="0048395D"/>
    <w:rsid w:val="00486D13"/>
    <w:rsid w:val="004873A0"/>
    <w:rsid w:val="0049073C"/>
    <w:rsid w:val="0049715F"/>
    <w:rsid w:val="00497AA5"/>
    <w:rsid w:val="00497B2C"/>
    <w:rsid w:val="004A2ED7"/>
    <w:rsid w:val="004A3993"/>
    <w:rsid w:val="004A6209"/>
    <w:rsid w:val="004B2578"/>
    <w:rsid w:val="004B2A94"/>
    <w:rsid w:val="004C1CAD"/>
    <w:rsid w:val="004C3414"/>
    <w:rsid w:val="004C5129"/>
    <w:rsid w:val="004C548E"/>
    <w:rsid w:val="004D01C4"/>
    <w:rsid w:val="004D0DB6"/>
    <w:rsid w:val="004D39E6"/>
    <w:rsid w:val="004E350F"/>
    <w:rsid w:val="004E6F8D"/>
    <w:rsid w:val="004E7B66"/>
    <w:rsid w:val="004F3530"/>
    <w:rsid w:val="00503B05"/>
    <w:rsid w:val="00503D82"/>
    <w:rsid w:val="00507CB3"/>
    <w:rsid w:val="00511D43"/>
    <w:rsid w:val="00512A22"/>
    <w:rsid w:val="00516ADC"/>
    <w:rsid w:val="00520473"/>
    <w:rsid w:val="0052086E"/>
    <w:rsid w:val="00522B14"/>
    <w:rsid w:val="00526033"/>
    <w:rsid w:val="005309BE"/>
    <w:rsid w:val="00530DD7"/>
    <w:rsid w:val="00531D0A"/>
    <w:rsid w:val="005329A2"/>
    <w:rsid w:val="00533020"/>
    <w:rsid w:val="00533F43"/>
    <w:rsid w:val="0053616A"/>
    <w:rsid w:val="0054109B"/>
    <w:rsid w:val="00541560"/>
    <w:rsid w:val="00543179"/>
    <w:rsid w:val="005454EA"/>
    <w:rsid w:val="005458FA"/>
    <w:rsid w:val="0054729C"/>
    <w:rsid w:val="00547424"/>
    <w:rsid w:val="00547C02"/>
    <w:rsid w:val="0055011E"/>
    <w:rsid w:val="005526EB"/>
    <w:rsid w:val="00555F4C"/>
    <w:rsid w:val="00561FC8"/>
    <w:rsid w:val="00565A55"/>
    <w:rsid w:val="00565AE0"/>
    <w:rsid w:val="005667B8"/>
    <w:rsid w:val="00566D69"/>
    <w:rsid w:val="00567624"/>
    <w:rsid w:val="00570128"/>
    <w:rsid w:val="0057148A"/>
    <w:rsid w:val="00572AEC"/>
    <w:rsid w:val="00572B71"/>
    <w:rsid w:val="0058064B"/>
    <w:rsid w:val="005828C5"/>
    <w:rsid w:val="005834D8"/>
    <w:rsid w:val="0058470E"/>
    <w:rsid w:val="00584A91"/>
    <w:rsid w:val="005862EE"/>
    <w:rsid w:val="005916BE"/>
    <w:rsid w:val="005926FA"/>
    <w:rsid w:val="00596C8B"/>
    <w:rsid w:val="005976A5"/>
    <w:rsid w:val="005A02F2"/>
    <w:rsid w:val="005A0759"/>
    <w:rsid w:val="005A1E8C"/>
    <w:rsid w:val="005A2163"/>
    <w:rsid w:val="005A71C9"/>
    <w:rsid w:val="005B4F56"/>
    <w:rsid w:val="005B50FE"/>
    <w:rsid w:val="005B678C"/>
    <w:rsid w:val="005B67CB"/>
    <w:rsid w:val="005B79A0"/>
    <w:rsid w:val="005C0E72"/>
    <w:rsid w:val="005C1188"/>
    <w:rsid w:val="005C1197"/>
    <w:rsid w:val="005D15A3"/>
    <w:rsid w:val="005D553D"/>
    <w:rsid w:val="005D65A2"/>
    <w:rsid w:val="005D6CD5"/>
    <w:rsid w:val="005D77EF"/>
    <w:rsid w:val="005E54BA"/>
    <w:rsid w:val="005E60E3"/>
    <w:rsid w:val="005F0AB9"/>
    <w:rsid w:val="005F3586"/>
    <w:rsid w:val="005F3F3D"/>
    <w:rsid w:val="005F679C"/>
    <w:rsid w:val="006000D5"/>
    <w:rsid w:val="00601845"/>
    <w:rsid w:val="00604FC4"/>
    <w:rsid w:val="00606C85"/>
    <w:rsid w:val="00606F1C"/>
    <w:rsid w:val="00607927"/>
    <w:rsid w:val="00611E2C"/>
    <w:rsid w:val="00612539"/>
    <w:rsid w:val="00612ADF"/>
    <w:rsid w:val="00612FFE"/>
    <w:rsid w:val="0061402F"/>
    <w:rsid w:val="00616F44"/>
    <w:rsid w:val="00617829"/>
    <w:rsid w:val="00617EEF"/>
    <w:rsid w:val="00622084"/>
    <w:rsid w:val="00624268"/>
    <w:rsid w:val="006266C1"/>
    <w:rsid w:val="006424D5"/>
    <w:rsid w:val="00650530"/>
    <w:rsid w:val="00650731"/>
    <w:rsid w:val="00650FD7"/>
    <w:rsid w:val="006522FB"/>
    <w:rsid w:val="00655AEB"/>
    <w:rsid w:val="006573C0"/>
    <w:rsid w:val="00657446"/>
    <w:rsid w:val="006578B6"/>
    <w:rsid w:val="0065795D"/>
    <w:rsid w:val="00664716"/>
    <w:rsid w:val="0066526C"/>
    <w:rsid w:val="006710CB"/>
    <w:rsid w:val="0067225B"/>
    <w:rsid w:val="00673EE2"/>
    <w:rsid w:val="006766DB"/>
    <w:rsid w:val="00677A3D"/>
    <w:rsid w:val="0069104E"/>
    <w:rsid w:val="00693D10"/>
    <w:rsid w:val="00696540"/>
    <w:rsid w:val="006A2525"/>
    <w:rsid w:val="006B3863"/>
    <w:rsid w:val="006B6F12"/>
    <w:rsid w:val="006B7533"/>
    <w:rsid w:val="006B7DD7"/>
    <w:rsid w:val="006C10B4"/>
    <w:rsid w:val="006C2610"/>
    <w:rsid w:val="006C2A55"/>
    <w:rsid w:val="006C340B"/>
    <w:rsid w:val="006D27D8"/>
    <w:rsid w:val="006E1753"/>
    <w:rsid w:val="006E27D2"/>
    <w:rsid w:val="006E2A1C"/>
    <w:rsid w:val="006E5B90"/>
    <w:rsid w:val="006E6977"/>
    <w:rsid w:val="006E77D0"/>
    <w:rsid w:val="006F0AC1"/>
    <w:rsid w:val="006F3971"/>
    <w:rsid w:val="006F5732"/>
    <w:rsid w:val="006F5F23"/>
    <w:rsid w:val="006F71A5"/>
    <w:rsid w:val="007012FD"/>
    <w:rsid w:val="007023F0"/>
    <w:rsid w:val="00704C45"/>
    <w:rsid w:val="00710DE2"/>
    <w:rsid w:val="00711ECF"/>
    <w:rsid w:val="007141DD"/>
    <w:rsid w:val="00715060"/>
    <w:rsid w:val="0072383E"/>
    <w:rsid w:val="00724419"/>
    <w:rsid w:val="00725172"/>
    <w:rsid w:val="00725180"/>
    <w:rsid w:val="00725F85"/>
    <w:rsid w:val="007267BF"/>
    <w:rsid w:val="00730FE9"/>
    <w:rsid w:val="00733AA6"/>
    <w:rsid w:val="00735377"/>
    <w:rsid w:val="00735A08"/>
    <w:rsid w:val="00735FE2"/>
    <w:rsid w:val="007365A5"/>
    <w:rsid w:val="007370AE"/>
    <w:rsid w:val="007373CA"/>
    <w:rsid w:val="00737521"/>
    <w:rsid w:val="00740752"/>
    <w:rsid w:val="0074119B"/>
    <w:rsid w:val="00744639"/>
    <w:rsid w:val="0074598D"/>
    <w:rsid w:val="00747A78"/>
    <w:rsid w:val="00751B69"/>
    <w:rsid w:val="007523E9"/>
    <w:rsid w:val="00755AC3"/>
    <w:rsid w:val="007637E6"/>
    <w:rsid w:val="007640A6"/>
    <w:rsid w:val="0077034C"/>
    <w:rsid w:val="00771680"/>
    <w:rsid w:val="0077264D"/>
    <w:rsid w:val="0078312C"/>
    <w:rsid w:val="00783823"/>
    <w:rsid w:val="00786E84"/>
    <w:rsid w:val="0079209D"/>
    <w:rsid w:val="00794686"/>
    <w:rsid w:val="00797C01"/>
    <w:rsid w:val="007A4BB6"/>
    <w:rsid w:val="007A4D0B"/>
    <w:rsid w:val="007A4F3C"/>
    <w:rsid w:val="007A680E"/>
    <w:rsid w:val="007B110A"/>
    <w:rsid w:val="007B1DDC"/>
    <w:rsid w:val="007B1EA0"/>
    <w:rsid w:val="007B378A"/>
    <w:rsid w:val="007B6E95"/>
    <w:rsid w:val="007B7498"/>
    <w:rsid w:val="007B7533"/>
    <w:rsid w:val="007B777C"/>
    <w:rsid w:val="007C350D"/>
    <w:rsid w:val="007C3A28"/>
    <w:rsid w:val="007C619C"/>
    <w:rsid w:val="007C6343"/>
    <w:rsid w:val="007C658E"/>
    <w:rsid w:val="007C65DD"/>
    <w:rsid w:val="007C7BE9"/>
    <w:rsid w:val="007D343B"/>
    <w:rsid w:val="007D4B48"/>
    <w:rsid w:val="007D7270"/>
    <w:rsid w:val="007E14CF"/>
    <w:rsid w:val="007E3D98"/>
    <w:rsid w:val="007E447F"/>
    <w:rsid w:val="007E44AE"/>
    <w:rsid w:val="007E5849"/>
    <w:rsid w:val="007E6741"/>
    <w:rsid w:val="007E692B"/>
    <w:rsid w:val="007F012C"/>
    <w:rsid w:val="007F117B"/>
    <w:rsid w:val="007F1862"/>
    <w:rsid w:val="007F3559"/>
    <w:rsid w:val="0080038F"/>
    <w:rsid w:val="008003B5"/>
    <w:rsid w:val="00800496"/>
    <w:rsid w:val="00802F4F"/>
    <w:rsid w:val="008030BF"/>
    <w:rsid w:val="00805263"/>
    <w:rsid w:val="00811385"/>
    <w:rsid w:val="00813B7E"/>
    <w:rsid w:val="00814C70"/>
    <w:rsid w:val="00815AFF"/>
    <w:rsid w:val="00820070"/>
    <w:rsid w:val="008258E2"/>
    <w:rsid w:val="00832540"/>
    <w:rsid w:val="00833589"/>
    <w:rsid w:val="00837A88"/>
    <w:rsid w:val="00840317"/>
    <w:rsid w:val="0084199A"/>
    <w:rsid w:val="00841E62"/>
    <w:rsid w:val="00843B9C"/>
    <w:rsid w:val="00846629"/>
    <w:rsid w:val="00847CE3"/>
    <w:rsid w:val="00851BF7"/>
    <w:rsid w:val="00851E51"/>
    <w:rsid w:val="008534EC"/>
    <w:rsid w:val="00854B6A"/>
    <w:rsid w:val="0085558C"/>
    <w:rsid w:val="0086218F"/>
    <w:rsid w:val="00862220"/>
    <w:rsid w:val="008623FB"/>
    <w:rsid w:val="00863026"/>
    <w:rsid w:val="00863347"/>
    <w:rsid w:val="00863620"/>
    <w:rsid w:val="008648B7"/>
    <w:rsid w:val="00866E75"/>
    <w:rsid w:val="00874117"/>
    <w:rsid w:val="0087583B"/>
    <w:rsid w:val="008776DC"/>
    <w:rsid w:val="008835B8"/>
    <w:rsid w:val="00884BAC"/>
    <w:rsid w:val="008869CC"/>
    <w:rsid w:val="0088790F"/>
    <w:rsid w:val="008909F2"/>
    <w:rsid w:val="0089357B"/>
    <w:rsid w:val="008938F2"/>
    <w:rsid w:val="00896235"/>
    <w:rsid w:val="008966CB"/>
    <w:rsid w:val="00897CB5"/>
    <w:rsid w:val="00897FC6"/>
    <w:rsid w:val="008A1CFD"/>
    <w:rsid w:val="008A3E02"/>
    <w:rsid w:val="008A4057"/>
    <w:rsid w:val="008A472A"/>
    <w:rsid w:val="008B291F"/>
    <w:rsid w:val="008B4357"/>
    <w:rsid w:val="008B4AD4"/>
    <w:rsid w:val="008B63BE"/>
    <w:rsid w:val="008C459B"/>
    <w:rsid w:val="008C6A0D"/>
    <w:rsid w:val="008C7196"/>
    <w:rsid w:val="008D1707"/>
    <w:rsid w:val="008D182E"/>
    <w:rsid w:val="008D340C"/>
    <w:rsid w:val="008D4FED"/>
    <w:rsid w:val="008E5179"/>
    <w:rsid w:val="008E6279"/>
    <w:rsid w:val="008E6D96"/>
    <w:rsid w:val="008F0038"/>
    <w:rsid w:val="008F0317"/>
    <w:rsid w:val="008F089D"/>
    <w:rsid w:val="008F2BC6"/>
    <w:rsid w:val="008F2E42"/>
    <w:rsid w:val="008F330B"/>
    <w:rsid w:val="008F6389"/>
    <w:rsid w:val="008F757C"/>
    <w:rsid w:val="00900199"/>
    <w:rsid w:val="009019B6"/>
    <w:rsid w:val="00904B49"/>
    <w:rsid w:val="00906EA0"/>
    <w:rsid w:val="00911ABD"/>
    <w:rsid w:val="00915820"/>
    <w:rsid w:val="009158A3"/>
    <w:rsid w:val="00920308"/>
    <w:rsid w:val="00920CBF"/>
    <w:rsid w:val="00922249"/>
    <w:rsid w:val="00922614"/>
    <w:rsid w:val="00923B1C"/>
    <w:rsid w:val="0092441F"/>
    <w:rsid w:val="00924C49"/>
    <w:rsid w:val="00926028"/>
    <w:rsid w:val="009270C6"/>
    <w:rsid w:val="00935060"/>
    <w:rsid w:val="00935F6C"/>
    <w:rsid w:val="00940EA4"/>
    <w:rsid w:val="0094206C"/>
    <w:rsid w:val="009473E9"/>
    <w:rsid w:val="0096071E"/>
    <w:rsid w:val="00961C5B"/>
    <w:rsid w:val="009624E8"/>
    <w:rsid w:val="0096260C"/>
    <w:rsid w:val="0096400D"/>
    <w:rsid w:val="009675BB"/>
    <w:rsid w:val="009829B5"/>
    <w:rsid w:val="00986678"/>
    <w:rsid w:val="0099079E"/>
    <w:rsid w:val="00992B0E"/>
    <w:rsid w:val="00993EA3"/>
    <w:rsid w:val="00995A23"/>
    <w:rsid w:val="009A1DD8"/>
    <w:rsid w:val="009A1E4D"/>
    <w:rsid w:val="009A2948"/>
    <w:rsid w:val="009A2A40"/>
    <w:rsid w:val="009A2B01"/>
    <w:rsid w:val="009A319F"/>
    <w:rsid w:val="009A3B5F"/>
    <w:rsid w:val="009A3C20"/>
    <w:rsid w:val="009A3D28"/>
    <w:rsid w:val="009A4AD5"/>
    <w:rsid w:val="009A4E71"/>
    <w:rsid w:val="009A58E1"/>
    <w:rsid w:val="009A5A4A"/>
    <w:rsid w:val="009A664D"/>
    <w:rsid w:val="009A6B0D"/>
    <w:rsid w:val="009B0586"/>
    <w:rsid w:val="009B3D06"/>
    <w:rsid w:val="009B5278"/>
    <w:rsid w:val="009B5826"/>
    <w:rsid w:val="009B68BF"/>
    <w:rsid w:val="009C3B9A"/>
    <w:rsid w:val="009C7283"/>
    <w:rsid w:val="009D2BB8"/>
    <w:rsid w:val="009D4387"/>
    <w:rsid w:val="009D50CD"/>
    <w:rsid w:val="009D7EC8"/>
    <w:rsid w:val="009E1EDA"/>
    <w:rsid w:val="009E788D"/>
    <w:rsid w:val="009F16D0"/>
    <w:rsid w:val="009F200A"/>
    <w:rsid w:val="009F2453"/>
    <w:rsid w:val="009F32FC"/>
    <w:rsid w:val="009F5C27"/>
    <w:rsid w:val="00A0045D"/>
    <w:rsid w:val="00A0115D"/>
    <w:rsid w:val="00A03A07"/>
    <w:rsid w:val="00A03F77"/>
    <w:rsid w:val="00A044F7"/>
    <w:rsid w:val="00A0694F"/>
    <w:rsid w:val="00A0747A"/>
    <w:rsid w:val="00A119AF"/>
    <w:rsid w:val="00A13C34"/>
    <w:rsid w:val="00A16FD4"/>
    <w:rsid w:val="00A21DE1"/>
    <w:rsid w:val="00A2218B"/>
    <w:rsid w:val="00A24895"/>
    <w:rsid w:val="00A25439"/>
    <w:rsid w:val="00A2563E"/>
    <w:rsid w:val="00A32C68"/>
    <w:rsid w:val="00A37883"/>
    <w:rsid w:val="00A43EC8"/>
    <w:rsid w:val="00A468D7"/>
    <w:rsid w:val="00A50F84"/>
    <w:rsid w:val="00A55494"/>
    <w:rsid w:val="00A561E9"/>
    <w:rsid w:val="00A56792"/>
    <w:rsid w:val="00A56A63"/>
    <w:rsid w:val="00A56F2A"/>
    <w:rsid w:val="00A635B5"/>
    <w:rsid w:val="00A639D5"/>
    <w:rsid w:val="00A641B4"/>
    <w:rsid w:val="00A7318A"/>
    <w:rsid w:val="00A74C69"/>
    <w:rsid w:val="00A75BA3"/>
    <w:rsid w:val="00A76962"/>
    <w:rsid w:val="00A769E0"/>
    <w:rsid w:val="00A776CC"/>
    <w:rsid w:val="00A77789"/>
    <w:rsid w:val="00A8077A"/>
    <w:rsid w:val="00A85229"/>
    <w:rsid w:val="00A861A6"/>
    <w:rsid w:val="00A86850"/>
    <w:rsid w:val="00A868C3"/>
    <w:rsid w:val="00A905C9"/>
    <w:rsid w:val="00A948D0"/>
    <w:rsid w:val="00AA066F"/>
    <w:rsid w:val="00AA0E00"/>
    <w:rsid w:val="00AA241F"/>
    <w:rsid w:val="00AA2A3D"/>
    <w:rsid w:val="00AA349D"/>
    <w:rsid w:val="00AB5D78"/>
    <w:rsid w:val="00AB6181"/>
    <w:rsid w:val="00AB7114"/>
    <w:rsid w:val="00AC1876"/>
    <w:rsid w:val="00AC2D0C"/>
    <w:rsid w:val="00AC560E"/>
    <w:rsid w:val="00AC5F49"/>
    <w:rsid w:val="00AC686B"/>
    <w:rsid w:val="00AC7B7A"/>
    <w:rsid w:val="00AD125D"/>
    <w:rsid w:val="00AD2039"/>
    <w:rsid w:val="00AD2055"/>
    <w:rsid w:val="00AD3150"/>
    <w:rsid w:val="00AD315E"/>
    <w:rsid w:val="00AD33AC"/>
    <w:rsid w:val="00AD5F27"/>
    <w:rsid w:val="00AD6D7A"/>
    <w:rsid w:val="00AE14BB"/>
    <w:rsid w:val="00AE2CDE"/>
    <w:rsid w:val="00AE76E6"/>
    <w:rsid w:val="00AE7B44"/>
    <w:rsid w:val="00AF0215"/>
    <w:rsid w:val="00AF58B1"/>
    <w:rsid w:val="00AF598C"/>
    <w:rsid w:val="00AF75B0"/>
    <w:rsid w:val="00B03CEB"/>
    <w:rsid w:val="00B04351"/>
    <w:rsid w:val="00B046E5"/>
    <w:rsid w:val="00B05114"/>
    <w:rsid w:val="00B0681D"/>
    <w:rsid w:val="00B11202"/>
    <w:rsid w:val="00B132C0"/>
    <w:rsid w:val="00B13B2A"/>
    <w:rsid w:val="00B13B58"/>
    <w:rsid w:val="00B144E7"/>
    <w:rsid w:val="00B14BE6"/>
    <w:rsid w:val="00B17022"/>
    <w:rsid w:val="00B20DB8"/>
    <w:rsid w:val="00B2711B"/>
    <w:rsid w:val="00B30162"/>
    <w:rsid w:val="00B31486"/>
    <w:rsid w:val="00B35045"/>
    <w:rsid w:val="00B36FF2"/>
    <w:rsid w:val="00B375A1"/>
    <w:rsid w:val="00B428C4"/>
    <w:rsid w:val="00B47A0A"/>
    <w:rsid w:val="00B522A6"/>
    <w:rsid w:val="00B523BC"/>
    <w:rsid w:val="00B527E3"/>
    <w:rsid w:val="00B53FD2"/>
    <w:rsid w:val="00B54F4B"/>
    <w:rsid w:val="00B55A1D"/>
    <w:rsid w:val="00B63CB0"/>
    <w:rsid w:val="00B7268E"/>
    <w:rsid w:val="00B76400"/>
    <w:rsid w:val="00B76E2E"/>
    <w:rsid w:val="00B80189"/>
    <w:rsid w:val="00B838FE"/>
    <w:rsid w:val="00B94553"/>
    <w:rsid w:val="00B94F94"/>
    <w:rsid w:val="00B9535E"/>
    <w:rsid w:val="00B95A90"/>
    <w:rsid w:val="00B96B9C"/>
    <w:rsid w:val="00B9704B"/>
    <w:rsid w:val="00BA2809"/>
    <w:rsid w:val="00BA3E17"/>
    <w:rsid w:val="00BA435C"/>
    <w:rsid w:val="00BA7C4D"/>
    <w:rsid w:val="00BB32E6"/>
    <w:rsid w:val="00BB44BB"/>
    <w:rsid w:val="00BB6332"/>
    <w:rsid w:val="00BB6852"/>
    <w:rsid w:val="00BB73F0"/>
    <w:rsid w:val="00BB7AED"/>
    <w:rsid w:val="00BC1EAF"/>
    <w:rsid w:val="00BC3F82"/>
    <w:rsid w:val="00BC4A02"/>
    <w:rsid w:val="00BD0697"/>
    <w:rsid w:val="00BD2189"/>
    <w:rsid w:val="00BD5911"/>
    <w:rsid w:val="00BD66EB"/>
    <w:rsid w:val="00BD69EA"/>
    <w:rsid w:val="00BE48E0"/>
    <w:rsid w:val="00BF185F"/>
    <w:rsid w:val="00BF5300"/>
    <w:rsid w:val="00BF5AFC"/>
    <w:rsid w:val="00BF64B8"/>
    <w:rsid w:val="00C02AD3"/>
    <w:rsid w:val="00C02FC9"/>
    <w:rsid w:val="00C150DD"/>
    <w:rsid w:val="00C15A8F"/>
    <w:rsid w:val="00C16903"/>
    <w:rsid w:val="00C20953"/>
    <w:rsid w:val="00C21C7A"/>
    <w:rsid w:val="00C21CE2"/>
    <w:rsid w:val="00C22237"/>
    <w:rsid w:val="00C23EED"/>
    <w:rsid w:val="00C25D27"/>
    <w:rsid w:val="00C26679"/>
    <w:rsid w:val="00C278F1"/>
    <w:rsid w:val="00C27CC4"/>
    <w:rsid w:val="00C36432"/>
    <w:rsid w:val="00C36E05"/>
    <w:rsid w:val="00C5023B"/>
    <w:rsid w:val="00C50573"/>
    <w:rsid w:val="00C508B6"/>
    <w:rsid w:val="00C578E6"/>
    <w:rsid w:val="00C60316"/>
    <w:rsid w:val="00C61D64"/>
    <w:rsid w:val="00C62163"/>
    <w:rsid w:val="00C638DC"/>
    <w:rsid w:val="00C63EFE"/>
    <w:rsid w:val="00C661D5"/>
    <w:rsid w:val="00C70F65"/>
    <w:rsid w:val="00C718CF"/>
    <w:rsid w:val="00C773C3"/>
    <w:rsid w:val="00C8036F"/>
    <w:rsid w:val="00C808DC"/>
    <w:rsid w:val="00C81C63"/>
    <w:rsid w:val="00C8673A"/>
    <w:rsid w:val="00C91B81"/>
    <w:rsid w:val="00C94FA6"/>
    <w:rsid w:val="00CA2CC8"/>
    <w:rsid w:val="00CA5BCC"/>
    <w:rsid w:val="00CA6EC9"/>
    <w:rsid w:val="00CB0A6A"/>
    <w:rsid w:val="00CB49C5"/>
    <w:rsid w:val="00CB5FC2"/>
    <w:rsid w:val="00CB6C03"/>
    <w:rsid w:val="00CC2647"/>
    <w:rsid w:val="00CC2DB9"/>
    <w:rsid w:val="00CC39B6"/>
    <w:rsid w:val="00CC7DC2"/>
    <w:rsid w:val="00CD077C"/>
    <w:rsid w:val="00CD3982"/>
    <w:rsid w:val="00CD43DB"/>
    <w:rsid w:val="00CD46AC"/>
    <w:rsid w:val="00CD630E"/>
    <w:rsid w:val="00CD6EC5"/>
    <w:rsid w:val="00CE00C7"/>
    <w:rsid w:val="00CE332F"/>
    <w:rsid w:val="00CF1222"/>
    <w:rsid w:val="00CF2311"/>
    <w:rsid w:val="00CF28C5"/>
    <w:rsid w:val="00CF3F4C"/>
    <w:rsid w:val="00CF5142"/>
    <w:rsid w:val="00CF5AF7"/>
    <w:rsid w:val="00D0197A"/>
    <w:rsid w:val="00D05836"/>
    <w:rsid w:val="00D05CD7"/>
    <w:rsid w:val="00D1076A"/>
    <w:rsid w:val="00D10B7D"/>
    <w:rsid w:val="00D10E84"/>
    <w:rsid w:val="00D1511B"/>
    <w:rsid w:val="00D1600E"/>
    <w:rsid w:val="00D21310"/>
    <w:rsid w:val="00D22185"/>
    <w:rsid w:val="00D23D16"/>
    <w:rsid w:val="00D26809"/>
    <w:rsid w:val="00D3470E"/>
    <w:rsid w:val="00D3517F"/>
    <w:rsid w:val="00D35917"/>
    <w:rsid w:val="00D40AFA"/>
    <w:rsid w:val="00D417A4"/>
    <w:rsid w:val="00D41BB3"/>
    <w:rsid w:val="00D4334F"/>
    <w:rsid w:val="00D45C11"/>
    <w:rsid w:val="00D46245"/>
    <w:rsid w:val="00D47C17"/>
    <w:rsid w:val="00D504ED"/>
    <w:rsid w:val="00D5071E"/>
    <w:rsid w:val="00D534A4"/>
    <w:rsid w:val="00D54009"/>
    <w:rsid w:val="00D554E3"/>
    <w:rsid w:val="00D55B67"/>
    <w:rsid w:val="00D56B61"/>
    <w:rsid w:val="00D56F7F"/>
    <w:rsid w:val="00D57885"/>
    <w:rsid w:val="00D62636"/>
    <w:rsid w:val="00D62BB8"/>
    <w:rsid w:val="00D62BF4"/>
    <w:rsid w:val="00D67F5C"/>
    <w:rsid w:val="00D7081D"/>
    <w:rsid w:val="00D708A0"/>
    <w:rsid w:val="00D71E62"/>
    <w:rsid w:val="00D72A80"/>
    <w:rsid w:val="00D7578E"/>
    <w:rsid w:val="00D7767F"/>
    <w:rsid w:val="00D829BE"/>
    <w:rsid w:val="00D83FEF"/>
    <w:rsid w:val="00D854C4"/>
    <w:rsid w:val="00D85FB8"/>
    <w:rsid w:val="00D868C2"/>
    <w:rsid w:val="00D8738E"/>
    <w:rsid w:val="00D903C6"/>
    <w:rsid w:val="00D94BF9"/>
    <w:rsid w:val="00D95209"/>
    <w:rsid w:val="00D97718"/>
    <w:rsid w:val="00DA63EC"/>
    <w:rsid w:val="00DB0C47"/>
    <w:rsid w:val="00DB3CAB"/>
    <w:rsid w:val="00DB4128"/>
    <w:rsid w:val="00DB4BF8"/>
    <w:rsid w:val="00DB57F5"/>
    <w:rsid w:val="00DB5986"/>
    <w:rsid w:val="00DB6ABF"/>
    <w:rsid w:val="00DB7B56"/>
    <w:rsid w:val="00DC35DD"/>
    <w:rsid w:val="00DC3CF1"/>
    <w:rsid w:val="00DC78F8"/>
    <w:rsid w:val="00DD1F07"/>
    <w:rsid w:val="00DD397D"/>
    <w:rsid w:val="00DD474D"/>
    <w:rsid w:val="00DD6814"/>
    <w:rsid w:val="00DE0F84"/>
    <w:rsid w:val="00DE308E"/>
    <w:rsid w:val="00DE3590"/>
    <w:rsid w:val="00DE38B5"/>
    <w:rsid w:val="00DE452F"/>
    <w:rsid w:val="00DE7176"/>
    <w:rsid w:val="00DE7754"/>
    <w:rsid w:val="00DF2A73"/>
    <w:rsid w:val="00DF2EE7"/>
    <w:rsid w:val="00DF5354"/>
    <w:rsid w:val="00E00AA7"/>
    <w:rsid w:val="00E00E97"/>
    <w:rsid w:val="00E01581"/>
    <w:rsid w:val="00E01875"/>
    <w:rsid w:val="00E0191E"/>
    <w:rsid w:val="00E020FE"/>
    <w:rsid w:val="00E044C5"/>
    <w:rsid w:val="00E05154"/>
    <w:rsid w:val="00E05218"/>
    <w:rsid w:val="00E07098"/>
    <w:rsid w:val="00E07165"/>
    <w:rsid w:val="00E121A5"/>
    <w:rsid w:val="00E17896"/>
    <w:rsid w:val="00E20B99"/>
    <w:rsid w:val="00E21739"/>
    <w:rsid w:val="00E21FA0"/>
    <w:rsid w:val="00E26116"/>
    <w:rsid w:val="00E270AC"/>
    <w:rsid w:val="00E31BBD"/>
    <w:rsid w:val="00E32D79"/>
    <w:rsid w:val="00E32F71"/>
    <w:rsid w:val="00E344BE"/>
    <w:rsid w:val="00E4156F"/>
    <w:rsid w:val="00E423E1"/>
    <w:rsid w:val="00E432A6"/>
    <w:rsid w:val="00E44792"/>
    <w:rsid w:val="00E51A5E"/>
    <w:rsid w:val="00E539F7"/>
    <w:rsid w:val="00E54BAC"/>
    <w:rsid w:val="00E558BA"/>
    <w:rsid w:val="00E57A67"/>
    <w:rsid w:val="00E61B07"/>
    <w:rsid w:val="00E66B52"/>
    <w:rsid w:val="00E67EB0"/>
    <w:rsid w:val="00E7034F"/>
    <w:rsid w:val="00E707FB"/>
    <w:rsid w:val="00E716EC"/>
    <w:rsid w:val="00E73FF6"/>
    <w:rsid w:val="00E74842"/>
    <w:rsid w:val="00E8422F"/>
    <w:rsid w:val="00E878DC"/>
    <w:rsid w:val="00E90B8A"/>
    <w:rsid w:val="00E95216"/>
    <w:rsid w:val="00EA0E9C"/>
    <w:rsid w:val="00EA1B96"/>
    <w:rsid w:val="00EA2838"/>
    <w:rsid w:val="00EA6B12"/>
    <w:rsid w:val="00EB345A"/>
    <w:rsid w:val="00EB5935"/>
    <w:rsid w:val="00EB77C8"/>
    <w:rsid w:val="00EC2140"/>
    <w:rsid w:val="00EC4248"/>
    <w:rsid w:val="00EC4822"/>
    <w:rsid w:val="00EC6C35"/>
    <w:rsid w:val="00ED0374"/>
    <w:rsid w:val="00ED30A7"/>
    <w:rsid w:val="00ED4A34"/>
    <w:rsid w:val="00ED574F"/>
    <w:rsid w:val="00ED638A"/>
    <w:rsid w:val="00EE2954"/>
    <w:rsid w:val="00EE463E"/>
    <w:rsid w:val="00EE546B"/>
    <w:rsid w:val="00EE5700"/>
    <w:rsid w:val="00EF0E1E"/>
    <w:rsid w:val="00EF2D8C"/>
    <w:rsid w:val="00EF3DA8"/>
    <w:rsid w:val="00EF4330"/>
    <w:rsid w:val="00F027D8"/>
    <w:rsid w:val="00F02F6E"/>
    <w:rsid w:val="00F059F0"/>
    <w:rsid w:val="00F1012D"/>
    <w:rsid w:val="00F124DF"/>
    <w:rsid w:val="00F12987"/>
    <w:rsid w:val="00F15562"/>
    <w:rsid w:val="00F22F90"/>
    <w:rsid w:val="00F232EE"/>
    <w:rsid w:val="00F237A6"/>
    <w:rsid w:val="00F24B95"/>
    <w:rsid w:val="00F25F0E"/>
    <w:rsid w:val="00F303C6"/>
    <w:rsid w:val="00F34A0B"/>
    <w:rsid w:val="00F36A84"/>
    <w:rsid w:val="00F3796E"/>
    <w:rsid w:val="00F41558"/>
    <w:rsid w:val="00F424DB"/>
    <w:rsid w:val="00F4293C"/>
    <w:rsid w:val="00F42A53"/>
    <w:rsid w:val="00F4762F"/>
    <w:rsid w:val="00F478BD"/>
    <w:rsid w:val="00F53B2D"/>
    <w:rsid w:val="00F56E4E"/>
    <w:rsid w:val="00F57C7B"/>
    <w:rsid w:val="00F61A99"/>
    <w:rsid w:val="00F63257"/>
    <w:rsid w:val="00F63F46"/>
    <w:rsid w:val="00F662D5"/>
    <w:rsid w:val="00F671BF"/>
    <w:rsid w:val="00F73CC7"/>
    <w:rsid w:val="00F77232"/>
    <w:rsid w:val="00F8239A"/>
    <w:rsid w:val="00F84EFB"/>
    <w:rsid w:val="00F86309"/>
    <w:rsid w:val="00F950EC"/>
    <w:rsid w:val="00F962E3"/>
    <w:rsid w:val="00F97BD9"/>
    <w:rsid w:val="00FA2ABB"/>
    <w:rsid w:val="00FA4450"/>
    <w:rsid w:val="00FA4A7B"/>
    <w:rsid w:val="00FA4CB0"/>
    <w:rsid w:val="00FA75D9"/>
    <w:rsid w:val="00FB07E7"/>
    <w:rsid w:val="00FB0CBC"/>
    <w:rsid w:val="00FB1512"/>
    <w:rsid w:val="00FB1676"/>
    <w:rsid w:val="00FB4210"/>
    <w:rsid w:val="00FB6EE4"/>
    <w:rsid w:val="00FB78D2"/>
    <w:rsid w:val="00FB7DCE"/>
    <w:rsid w:val="00FC44F5"/>
    <w:rsid w:val="00FC4F58"/>
    <w:rsid w:val="00FC6135"/>
    <w:rsid w:val="00FD12D5"/>
    <w:rsid w:val="00FD3608"/>
    <w:rsid w:val="00FE1C38"/>
    <w:rsid w:val="00FE27A3"/>
    <w:rsid w:val="00FE383B"/>
    <w:rsid w:val="00FE6E46"/>
    <w:rsid w:val="00FF130D"/>
    <w:rsid w:val="00FF2CF5"/>
    <w:rsid w:val="00FF53FD"/>
    <w:rsid w:val="00FF5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EC6C35"/>
    <w:pPr>
      <w:tabs>
        <w:tab w:val="center" w:pos="4153"/>
        <w:tab w:val="right" w:pos="8306"/>
      </w:tabs>
    </w:pPr>
  </w:style>
  <w:style w:type="character" w:customStyle="1" w:styleId="HeaderChar">
    <w:name w:val="Header Char"/>
    <w:basedOn w:val="DefaultParagraphFont"/>
    <w:link w:val="Header"/>
    <w:uiPriority w:val="99"/>
    <w:rsid w:val="00EC6C35"/>
    <w:rPr>
      <w:rFonts w:eastAsia="Times New Roman" w:cs="Times New Roman"/>
      <w:szCs w:val="24"/>
      <w:lang w:val="lv-LV" w:eastAsia="ru-RU"/>
    </w:rPr>
  </w:style>
  <w:style w:type="paragraph" w:styleId="Footer">
    <w:name w:val="footer"/>
    <w:basedOn w:val="Normal"/>
    <w:link w:val="FooterChar"/>
    <w:unhideWhenUsed/>
    <w:rsid w:val="00EC6C35"/>
    <w:pPr>
      <w:tabs>
        <w:tab w:val="center" w:pos="4153"/>
        <w:tab w:val="right" w:pos="8306"/>
      </w:tabs>
    </w:pPr>
  </w:style>
  <w:style w:type="character" w:customStyle="1" w:styleId="FooterChar">
    <w:name w:val="Footer Char"/>
    <w:basedOn w:val="DefaultParagraphFont"/>
    <w:link w:val="Footer"/>
    <w:rsid w:val="00EC6C35"/>
    <w:rPr>
      <w:rFonts w:eastAsia="Times New Roman" w:cs="Times New Roman"/>
      <w:szCs w:val="24"/>
      <w:lang w:val="lv-LV" w:eastAsia="ru-RU"/>
    </w:rPr>
  </w:style>
  <w:style w:type="character" w:styleId="Hyperlink">
    <w:name w:val="Hyperlink"/>
    <w:basedOn w:val="DefaultParagraphFont"/>
    <w:uiPriority w:val="99"/>
    <w:unhideWhenUsed/>
    <w:rsid w:val="0006272B"/>
    <w:rPr>
      <w:color w:val="0000FF"/>
      <w:u w:val="single"/>
    </w:rPr>
  </w:style>
  <w:style w:type="character" w:customStyle="1" w:styleId="highlight">
    <w:name w:val="highlight"/>
    <w:basedOn w:val="DefaultParagraphFont"/>
    <w:rsid w:val="00526033"/>
  </w:style>
  <w:style w:type="paragraph" w:styleId="ListParagraph">
    <w:name w:val="List Paragraph"/>
    <w:basedOn w:val="Normal"/>
    <w:uiPriority w:val="34"/>
    <w:qFormat/>
    <w:rsid w:val="0084199A"/>
    <w:pPr>
      <w:ind w:left="720"/>
      <w:contextualSpacing/>
    </w:pPr>
    <w:rPr>
      <w:lang w:eastAsia="lv-LV"/>
    </w:rPr>
  </w:style>
  <w:style w:type="character" w:styleId="UnresolvedMention">
    <w:name w:val="Unresolved Mention"/>
    <w:basedOn w:val="DefaultParagraphFont"/>
    <w:uiPriority w:val="99"/>
    <w:semiHidden/>
    <w:unhideWhenUsed/>
    <w:rsid w:val="00CD077C"/>
    <w:rPr>
      <w:color w:val="605E5C"/>
      <w:shd w:val="clear" w:color="auto" w:fill="E1DFDD"/>
    </w:rPr>
  </w:style>
  <w:style w:type="character" w:styleId="FollowedHyperlink">
    <w:name w:val="FollowedHyperlink"/>
    <w:basedOn w:val="DefaultParagraphFont"/>
    <w:uiPriority w:val="99"/>
    <w:semiHidden/>
    <w:unhideWhenUsed/>
    <w:rsid w:val="00CD077C"/>
    <w:rPr>
      <w:color w:val="954F72" w:themeColor="followedHyperlink"/>
      <w:u w:val="single"/>
    </w:rPr>
  </w:style>
  <w:style w:type="character" w:styleId="PageNumber">
    <w:name w:val="page number"/>
    <w:basedOn w:val="DefaultParagraphFont"/>
    <w:rsid w:val="004D01C4"/>
  </w:style>
  <w:style w:type="character" w:styleId="CommentReference">
    <w:name w:val="annotation reference"/>
    <w:basedOn w:val="DefaultParagraphFont"/>
    <w:uiPriority w:val="99"/>
    <w:semiHidden/>
    <w:unhideWhenUsed/>
    <w:rsid w:val="007E44AE"/>
    <w:rPr>
      <w:sz w:val="16"/>
      <w:szCs w:val="16"/>
    </w:rPr>
  </w:style>
  <w:style w:type="paragraph" w:styleId="CommentText">
    <w:name w:val="annotation text"/>
    <w:basedOn w:val="Normal"/>
    <w:link w:val="CommentTextChar"/>
    <w:uiPriority w:val="99"/>
    <w:unhideWhenUsed/>
    <w:rsid w:val="007E44AE"/>
    <w:rPr>
      <w:sz w:val="20"/>
      <w:szCs w:val="20"/>
    </w:rPr>
  </w:style>
  <w:style w:type="character" w:customStyle="1" w:styleId="CommentTextChar">
    <w:name w:val="Comment Text Char"/>
    <w:basedOn w:val="DefaultParagraphFont"/>
    <w:link w:val="CommentText"/>
    <w:uiPriority w:val="99"/>
    <w:rsid w:val="007E44AE"/>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7E44AE"/>
    <w:rPr>
      <w:b/>
      <w:bCs/>
    </w:rPr>
  </w:style>
  <w:style w:type="character" w:customStyle="1" w:styleId="CommentSubjectChar">
    <w:name w:val="Comment Subject Char"/>
    <w:basedOn w:val="CommentTextChar"/>
    <w:link w:val="CommentSubject"/>
    <w:uiPriority w:val="99"/>
    <w:semiHidden/>
    <w:rsid w:val="007E44AE"/>
    <w:rPr>
      <w:rFonts w:eastAsia="Times New Roman" w:cs="Times New Roman"/>
      <w:b/>
      <w:bCs/>
      <w:sz w:val="20"/>
      <w:szCs w:val="20"/>
      <w:lang w:val="lv-LV" w:eastAsia="ru-RU"/>
    </w:rPr>
  </w:style>
  <w:style w:type="paragraph" w:styleId="Revision">
    <w:name w:val="Revision"/>
    <w:hidden/>
    <w:uiPriority w:val="99"/>
    <w:semiHidden/>
    <w:rsid w:val="00FA75D9"/>
    <w:pPr>
      <w:spacing w:after="0" w:line="240" w:lineRule="auto"/>
    </w:pPr>
    <w:rPr>
      <w:rFonts w:eastAsia="Times New Roman" w:cs="Times New Roman"/>
      <w:szCs w:val="24"/>
      <w:lang w:val="lv-LV" w:eastAsia="ru-RU"/>
    </w:rPr>
  </w:style>
  <w:style w:type="character" w:customStyle="1" w:styleId="t3">
    <w:name w:val="t3"/>
    <w:basedOn w:val="DefaultParagraphFont"/>
    <w:rsid w:val="00FE27A3"/>
  </w:style>
  <w:style w:type="paragraph" w:customStyle="1" w:styleId="c01pointnumerotealtn">
    <w:name w:val="c01pointnumerotealtn"/>
    <w:basedOn w:val="Normal"/>
    <w:rsid w:val="00B9704B"/>
    <w:pPr>
      <w:spacing w:before="100" w:beforeAutospacing="1" w:after="100" w:afterAutospacing="1"/>
    </w:pPr>
    <w:rPr>
      <w:rFonts w:ascii="Calibri" w:eastAsiaTheme="minorHAnsi" w:hAnsi="Calibri" w:cs="Calibri"/>
      <w:sz w:val="22"/>
      <w:szCs w:val="22"/>
      <w:lang w:val="en-GB" w:eastAsia="en-GB"/>
    </w:rPr>
  </w:style>
  <w:style w:type="paragraph" w:customStyle="1" w:styleId="tv213">
    <w:name w:val="tv213"/>
    <w:basedOn w:val="Normal"/>
    <w:rsid w:val="00D417A4"/>
    <w:pPr>
      <w:spacing w:before="100" w:beforeAutospacing="1" w:after="100" w:afterAutospacing="1"/>
    </w:pPr>
    <w:rPr>
      <w:lang w:val="en-GB" w:eastAsia="en-GB"/>
    </w:rPr>
  </w:style>
  <w:style w:type="paragraph" w:customStyle="1" w:styleId="ti-art">
    <w:name w:val="ti-art"/>
    <w:basedOn w:val="Normal"/>
    <w:rsid w:val="001527BF"/>
    <w:pPr>
      <w:spacing w:before="100" w:beforeAutospacing="1" w:after="100" w:afterAutospacing="1"/>
    </w:pPr>
    <w:rPr>
      <w:lang w:val="en-GB" w:eastAsia="en-GB"/>
    </w:rPr>
  </w:style>
  <w:style w:type="paragraph" w:customStyle="1" w:styleId="sti-art">
    <w:name w:val="sti-art"/>
    <w:basedOn w:val="Normal"/>
    <w:rsid w:val="001527BF"/>
    <w:pPr>
      <w:spacing w:before="100" w:beforeAutospacing="1" w:after="100" w:afterAutospacing="1"/>
    </w:pPr>
    <w:rPr>
      <w:lang w:val="en-GB" w:eastAsia="en-GB"/>
    </w:rPr>
  </w:style>
  <w:style w:type="paragraph" w:customStyle="1" w:styleId="Normal1">
    <w:name w:val="Normal1"/>
    <w:basedOn w:val="Normal"/>
    <w:rsid w:val="001527BF"/>
    <w:pPr>
      <w:spacing w:before="100" w:beforeAutospacing="1" w:after="100" w:afterAutospacing="1"/>
    </w:pPr>
    <w:rPr>
      <w:lang w:val="en-GB" w:eastAsia="en-GB"/>
    </w:rPr>
  </w:style>
  <w:style w:type="character" w:customStyle="1" w:styleId="italic">
    <w:name w:val="italic"/>
    <w:basedOn w:val="DefaultParagraphFont"/>
    <w:rsid w:val="001527BF"/>
  </w:style>
  <w:style w:type="character" w:customStyle="1" w:styleId="super">
    <w:name w:val="super"/>
    <w:basedOn w:val="DefaultParagraphFont"/>
    <w:rsid w:val="001527BF"/>
  </w:style>
  <w:style w:type="character" w:customStyle="1" w:styleId="spelle">
    <w:name w:val="spelle"/>
    <w:basedOn w:val="DefaultParagraphFont"/>
    <w:rsid w:val="00273C13"/>
  </w:style>
  <w:style w:type="paragraph" w:customStyle="1" w:styleId="Default">
    <w:name w:val="Default"/>
    <w:link w:val="DefaultRakstz"/>
    <w:rsid w:val="00053D51"/>
    <w:pPr>
      <w:autoSpaceDE w:val="0"/>
      <w:autoSpaceDN w:val="0"/>
      <w:adjustRightInd w:val="0"/>
      <w:spacing w:after="0" w:line="240" w:lineRule="auto"/>
      <w:ind w:hanging="284"/>
    </w:pPr>
    <w:rPr>
      <w:rFonts w:eastAsia="Times New Roman" w:cs="Times New Roman"/>
      <w:color w:val="000000"/>
      <w:szCs w:val="24"/>
    </w:rPr>
  </w:style>
  <w:style w:type="character" w:customStyle="1" w:styleId="DefaultRakstz">
    <w:name w:val="Default Rakstz."/>
    <w:link w:val="Default"/>
    <w:rsid w:val="00053D51"/>
    <w:rPr>
      <w:rFonts w:eastAsia="Times New Roman" w:cs="Times New Roman"/>
      <w:color w:val="000000"/>
      <w:szCs w:val="24"/>
    </w:rPr>
  </w:style>
  <w:style w:type="paragraph" w:styleId="FootnoteText">
    <w:name w:val="footnote text"/>
    <w:aliases w:val="Footnote Text1,Char Char Char1,Char1,Char Char Char Char Char1,Char Char Char Char Char Char Char,Char Char Char Char Char Char Char Char Char,Char Char Char Char Char Char Char C Char,Footnote Text Char2 Char,Footnote,Footnote Char"/>
    <w:basedOn w:val="Normal"/>
    <w:link w:val="FootnoteTextChar"/>
    <w:uiPriority w:val="99"/>
    <w:unhideWhenUsed/>
    <w:qFormat/>
    <w:rsid w:val="00BA2809"/>
    <w:rPr>
      <w:rFonts w:ascii="Georgia" w:eastAsiaTheme="minorHAnsi" w:hAnsi="Georgia" w:cs="Arial"/>
      <w:sz w:val="20"/>
      <w:szCs w:val="20"/>
      <w:lang w:eastAsia="en-US"/>
    </w:rPr>
  </w:style>
  <w:style w:type="character" w:customStyle="1" w:styleId="FootnoteTextChar">
    <w:name w:val="Footnote Text Char"/>
    <w:aliases w:val="Footnote Text1 Char,Char Char Char1 Char,Char1 Char,Char Char Char Char Char1 Char,Char Char Char Char Char Char Char Char,Char Char Char Char Char Char Char Char Char Char,Char Char Char Char Char Char Char C Char Char,Footnote Char1"/>
    <w:basedOn w:val="DefaultParagraphFont"/>
    <w:link w:val="FootnoteText"/>
    <w:uiPriority w:val="99"/>
    <w:qFormat/>
    <w:rsid w:val="00BA2809"/>
    <w:rPr>
      <w:rFonts w:ascii="Georgia" w:hAnsi="Georgia" w:cs="Arial"/>
      <w:sz w:val="20"/>
      <w:szCs w:val="20"/>
      <w:lang w:val="lv-LV"/>
    </w:rPr>
  </w:style>
  <w:style w:type="character" w:styleId="FootnoteReference">
    <w:name w:val="footnote reference"/>
    <w:aliases w:val="Footnote Reference Number,Footnote symbol,Footnote Refernece,Footnote Reference Superscript,fr,ESPON Footnote No,ftref,Odwołanie przypisu,BVI fnr,Footnotes refss,SUPERS,Ref,de nota al pie,-E Fußnotenzeichen,Footnote reference number,E"/>
    <w:basedOn w:val="DefaultParagraphFont"/>
    <w:link w:val="CharCharCharChar"/>
    <w:uiPriority w:val="99"/>
    <w:unhideWhenUsed/>
    <w:qFormat/>
    <w:rsid w:val="00BA2809"/>
    <w:rPr>
      <w:vertAlign w:val="superscript"/>
    </w:rPr>
  </w:style>
  <w:style w:type="paragraph" w:customStyle="1" w:styleId="CharCharCharChar">
    <w:name w:val="Char Char Char Char"/>
    <w:aliases w:val="Char2"/>
    <w:basedOn w:val="Normal"/>
    <w:next w:val="Normal"/>
    <w:link w:val="FootnoteReference"/>
    <w:uiPriority w:val="99"/>
    <w:rsid w:val="00BA2809"/>
    <w:pPr>
      <w:keepNext/>
      <w:keepLines/>
      <w:spacing w:before="120" w:after="160" w:line="240" w:lineRule="exact"/>
      <w:jc w:val="both"/>
      <w:outlineLvl w:val="0"/>
    </w:pPr>
    <w:rPr>
      <w:rFonts w:eastAsiaTheme="minorHAnsi" w:cstheme="minorBidi"/>
      <w:szCs w:val="22"/>
      <w:vertAlign w:val="superscript"/>
      <w:lang w:val="en-US" w:eastAsia="en-US"/>
    </w:rPr>
  </w:style>
  <w:style w:type="character" w:customStyle="1" w:styleId="CharStyle20">
    <w:name w:val="Char Style 20"/>
    <w:link w:val="Style16"/>
    <w:uiPriority w:val="99"/>
    <w:rsid w:val="007C7BE9"/>
    <w:rPr>
      <w:shd w:val="clear" w:color="auto" w:fill="FFFFFF"/>
    </w:rPr>
  </w:style>
  <w:style w:type="paragraph" w:customStyle="1" w:styleId="Style16">
    <w:name w:val="Style 16"/>
    <w:basedOn w:val="Normal"/>
    <w:link w:val="CharStyle20"/>
    <w:uiPriority w:val="99"/>
    <w:qFormat/>
    <w:rsid w:val="007C7BE9"/>
    <w:pPr>
      <w:widowControl w:val="0"/>
      <w:shd w:val="clear" w:color="auto" w:fill="FFFFFF"/>
      <w:spacing w:before="1000" w:after="540" w:line="274" w:lineRule="exact"/>
      <w:ind w:hanging="300"/>
    </w:pPr>
    <w:rPr>
      <w:rFonts w:eastAsia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348635">
      <w:bodyDiv w:val="1"/>
      <w:marLeft w:val="0"/>
      <w:marRight w:val="0"/>
      <w:marTop w:val="0"/>
      <w:marBottom w:val="0"/>
      <w:divBdr>
        <w:top w:val="none" w:sz="0" w:space="0" w:color="auto"/>
        <w:left w:val="none" w:sz="0" w:space="0" w:color="auto"/>
        <w:bottom w:val="none" w:sz="0" w:space="0" w:color="auto"/>
        <w:right w:val="none" w:sz="0" w:space="0" w:color="auto"/>
      </w:divBdr>
    </w:div>
    <w:div w:id="530453796">
      <w:bodyDiv w:val="1"/>
      <w:marLeft w:val="0"/>
      <w:marRight w:val="0"/>
      <w:marTop w:val="0"/>
      <w:marBottom w:val="0"/>
      <w:divBdr>
        <w:top w:val="none" w:sz="0" w:space="0" w:color="auto"/>
        <w:left w:val="none" w:sz="0" w:space="0" w:color="auto"/>
        <w:bottom w:val="none" w:sz="0" w:space="0" w:color="auto"/>
        <w:right w:val="none" w:sz="0" w:space="0" w:color="auto"/>
      </w:divBdr>
    </w:div>
    <w:div w:id="575214611">
      <w:bodyDiv w:val="1"/>
      <w:marLeft w:val="0"/>
      <w:marRight w:val="0"/>
      <w:marTop w:val="0"/>
      <w:marBottom w:val="0"/>
      <w:divBdr>
        <w:top w:val="none" w:sz="0" w:space="0" w:color="auto"/>
        <w:left w:val="none" w:sz="0" w:space="0" w:color="auto"/>
        <w:bottom w:val="none" w:sz="0" w:space="0" w:color="auto"/>
        <w:right w:val="none" w:sz="0" w:space="0" w:color="auto"/>
      </w:divBdr>
    </w:div>
    <w:div w:id="604004268">
      <w:bodyDiv w:val="1"/>
      <w:marLeft w:val="0"/>
      <w:marRight w:val="0"/>
      <w:marTop w:val="0"/>
      <w:marBottom w:val="0"/>
      <w:divBdr>
        <w:top w:val="none" w:sz="0" w:space="0" w:color="auto"/>
        <w:left w:val="none" w:sz="0" w:space="0" w:color="auto"/>
        <w:bottom w:val="none" w:sz="0" w:space="0" w:color="auto"/>
        <w:right w:val="none" w:sz="0" w:space="0" w:color="auto"/>
      </w:divBdr>
    </w:div>
    <w:div w:id="619578268">
      <w:bodyDiv w:val="1"/>
      <w:marLeft w:val="0"/>
      <w:marRight w:val="0"/>
      <w:marTop w:val="0"/>
      <w:marBottom w:val="0"/>
      <w:divBdr>
        <w:top w:val="none" w:sz="0" w:space="0" w:color="auto"/>
        <w:left w:val="none" w:sz="0" w:space="0" w:color="auto"/>
        <w:bottom w:val="none" w:sz="0" w:space="0" w:color="auto"/>
        <w:right w:val="none" w:sz="0" w:space="0" w:color="auto"/>
      </w:divBdr>
    </w:div>
    <w:div w:id="657423127">
      <w:bodyDiv w:val="1"/>
      <w:marLeft w:val="0"/>
      <w:marRight w:val="0"/>
      <w:marTop w:val="0"/>
      <w:marBottom w:val="0"/>
      <w:divBdr>
        <w:top w:val="none" w:sz="0" w:space="0" w:color="auto"/>
        <w:left w:val="none" w:sz="0" w:space="0" w:color="auto"/>
        <w:bottom w:val="none" w:sz="0" w:space="0" w:color="auto"/>
        <w:right w:val="none" w:sz="0" w:space="0" w:color="auto"/>
      </w:divBdr>
      <w:divsChild>
        <w:div w:id="689066938">
          <w:marLeft w:val="418"/>
          <w:marRight w:val="0"/>
          <w:marTop w:val="0"/>
          <w:marBottom w:val="60"/>
          <w:divBdr>
            <w:top w:val="none" w:sz="0" w:space="0" w:color="auto"/>
            <w:left w:val="none" w:sz="0" w:space="0" w:color="auto"/>
            <w:bottom w:val="none" w:sz="0" w:space="0" w:color="auto"/>
            <w:right w:val="none" w:sz="0" w:space="0" w:color="auto"/>
          </w:divBdr>
        </w:div>
        <w:div w:id="812796143">
          <w:marLeft w:val="418"/>
          <w:marRight w:val="0"/>
          <w:marTop w:val="0"/>
          <w:marBottom w:val="60"/>
          <w:divBdr>
            <w:top w:val="none" w:sz="0" w:space="0" w:color="auto"/>
            <w:left w:val="none" w:sz="0" w:space="0" w:color="auto"/>
            <w:bottom w:val="none" w:sz="0" w:space="0" w:color="auto"/>
            <w:right w:val="none" w:sz="0" w:space="0" w:color="auto"/>
          </w:divBdr>
        </w:div>
        <w:div w:id="1926840768">
          <w:marLeft w:val="418"/>
          <w:marRight w:val="0"/>
          <w:marTop w:val="0"/>
          <w:marBottom w:val="60"/>
          <w:divBdr>
            <w:top w:val="none" w:sz="0" w:space="0" w:color="auto"/>
            <w:left w:val="none" w:sz="0" w:space="0" w:color="auto"/>
            <w:bottom w:val="none" w:sz="0" w:space="0" w:color="auto"/>
            <w:right w:val="none" w:sz="0" w:space="0" w:color="auto"/>
          </w:divBdr>
        </w:div>
        <w:div w:id="1072194378">
          <w:marLeft w:val="418"/>
          <w:marRight w:val="0"/>
          <w:marTop w:val="0"/>
          <w:marBottom w:val="60"/>
          <w:divBdr>
            <w:top w:val="none" w:sz="0" w:space="0" w:color="auto"/>
            <w:left w:val="none" w:sz="0" w:space="0" w:color="auto"/>
            <w:bottom w:val="none" w:sz="0" w:space="0" w:color="auto"/>
            <w:right w:val="none" w:sz="0" w:space="0" w:color="auto"/>
          </w:divBdr>
        </w:div>
      </w:divsChild>
    </w:div>
    <w:div w:id="995298403">
      <w:bodyDiv w:val="1"/>
      <w:marLeft w:val="0"/>
      <w:marRight w:val="0"/>
      <w:marTop w:val="0"/>
      <w:marBottom w:val="0"/>
      <w:divBdr>
        <w:top w:val="none" w:sz="0" w:space="0" w:color="auto"/>
        <w:left w:val="none" w:sz="0" w:space="0" w:color="auto"/>
        <w:bottom w:val="none" w:sz="0" w:space="0" w:color="auto"/>
        <w:right w:val="none" w:sz="0" w:space="0" w:color="auto"/>
      </w:divBdr>
    </w:div>
    <w:div w:id="1112362230">
      <w:bodyDiv w:val="1"/>
      <w:marLeft w:val="0"/>
      <w:marRight w:val="0"/>
      <w:marTop w:val="0"/>
      <w:marBottom w:val="0"/>
      <w:divBdr>
        <w:top w:val="none" w:sz="0" w:space="0" w:color="auto"/>
        <w:left w:val="none" w:sz="0" w:space="0" w:color="auto"/>
        <w:bottom w:val="none" w:sz="0" w:space="0" w:color="auto"/>
        <w:right w:val="none" w:sz="0" w:space="0" w:color="auto"/>
      </w:divBdr>
    </w:div>
    <w:div w:id="1127897939">
      <w:bodyDiv w:val="1"/>
      <w:marLeft w:val="0"/>
      <w:marRight w:val="0"/>
      <w:marTop w:val="0"/>
      <w:marBottom w:val="0"/>
      <w:divBdr>
        <w:top w:val="none" w:sz="0" w:space="0" w:color="auto"/>
        <w:left w:val="none" w:sz="0" w:space="0" w:color="auto"/>
        <w:bottom w:val="none" w:sz="0" w:space="0" w:color="auto"/>
        <w:right w:val="none" w:sz="0" w:space="0" w:color="auto"/>
      </w:divBdr>
    </w:div>
    <w:div w:id="1212498000">
      <w:bodyDiv w:val="1"/>
      <w:marLeft w:val="0"/>
      <w:marRight w:val="0"/>
      <w:marTop w:val="0"/>
      <w:marBottom w:val="0"/>
      <w:divBdr>
        <w:top w:val="none" w:sz="0" w:space="0" w:color="auto"/>
        <w:left w:val="none" w:sz="0" w:space="0" w:color="auto"/>
        <w:bottom w:val="none" w:sz="0" w:space="0" w:color="auto"/>
        <w:right w:val="none" w:sz="0" w:space="0" w:color="auto"/>
      </w:divBdr>
    </w:div>
    <w:div w:id="1247110515">
      <w:bodyDiv w:val="1"/>
      <w:marLeft w:val="0"/>
      <w:marRight w:val="0"/>
      <w:marTop w:val="0"/>
      <w:marBottom w:val="0"/>
      <w:divBdr>
        <w:top w:val="none" w:sz="0" w:space="0" w:color="auto"/>
        <w:left w:val="none" w:sz="0" w:space="0" w:color="auto"/>
        <w:bottom w:val="none" w:sz="0" w:space="0" w:color="auto"/>
        <w:right w:val="none" w:sz="0" w:space="0" w:color="auto"/>
      </w:divBdr>
      <w:divsChild>
        <w:div w:id="1796604088">
          <w:marLeft w:val="360"/>
          <w:marRight w:val="0"/>
          <w:marTop w:val="0"/>
          <w:marBottom w:val="0"/>
          <w:divBdr>
            <w:top w:val="none" w:sz="0" w:space="0" w:color="auto"/>
            <w:left w:val="none" w:sz="0" w:space="0" w:color="auto"/>
            <w:bottom w:val="none" w:sz="0" w:space="0" w:color="auto"/>
            <w:right w:val="none" w:sz="0" w:space="0" w:color="auto"/>
          </w:divBdr>
        </w:div>
        <w:div w:id="1501695001">
          <w:marLeft w:val="360"/>
          <w:marRight w:val="0"/>
          <w:marTop w:val="0"/>
          <w:marBottom w:val="0"/>
          <w:divBdr>
            <w:top w:val="none" w:sz="0" w:space="0" w:color="auto"/>
            <w:left w:val="none" w:sz="0" w:space="0" w:color="auto"/>
            <w:bottom w:val="none" w:sz="0" w:space="0" w:color="auto"/>
            <w:right w:val="none" w:sz="0" w:space="0" w:color="auto"/>
          </w:divBdr>
        </w:div>
        <w:div w:id="606275342">
          <w:marLeft w:val="360"/>
          <w:marRight w:val="0"/>
          <w:marTop w:val="0"/>
          <w:marBottom w:val="0"/>
          <w:divBdr>
            <w:top w:val="none" w:sz="0" w:space="0" w:color="auto"/>
            <w:left w:val="none" w:sz="0" w:space="0" w:color="auto"/>
            <w:bottom w:val="none" w:sz="0" w:space="0" w:color="auto"/>
            <w:right w:val="none" w:sz="0" w:space="0" w:color="auto"/>
          </w:divBdr>
        </w:div>
        <w:div w:id="556477515">
          <w:marLeft w:val="360"/>
          <w:marRight w:val="0"/>
          <w:marTop w:val="0"/>
          <w:marBottom w:val="0"/>
          <w:divBdr>
            <w:top w:val="none" w:sz="0" w:space="0" w:color="auto"/>
            <w:left w:val="none" w:sz="0" w:space="0" w:color="auto"/>
            <w:bottom w:val="none" w:sz="0" w:space="0" w:color="auto"/>
            <w:right w:val="none" w:sz="0" w:space="0" w:color="auto"/>
          </w:divBdr>
        </w:div>
        <w:div w:id="747196857">
          <w:marLeft w:val="360"/>
          <w:marRight w:val="0"/>
          <w:marTop w:val="0"/>
          <w:marBottom w:val="0"/>
          <w:divBdr>
            <w:top w:val="none" w:sz="0" w:space="0" w:color="auto"/>
            <w:left w:val="none" w:sz="0" w:space="0" w:color="auto"/>
            <w:bottom w:val="none" w:sz="0" w:space="0" w:color="auto"/>
            <w:right w:val="none" w:sz="0" w:space="0" w:color="auto"/>
          </w:divBdr>
        </w:div>
      </w:divsChild>
    </w:div>
    <w:div w:id="1251934429">
      <w:bodyDiv w:val="1"/>
      <w:marLeft w:val="0"/>
      <w:marRight w:val="0"/>
      <w:marTop w:val="0"/>
      <w:marBottom w:val="0"/>
      <w:divBdr>
        <w:top w:val="none" w:sz="0" w:space="0" w:color="auto"/>
        <w:left w:val="none" w:sz="0" w:space="0" w:color="auto"/>
        <w:bottom w:val="none" w:sz="0" w:space="0" w:color="auto"/>
        <w:right w:val="none" w:sz="0" w:space="0" w:color="auto"/>
      </w:divBdr>
    </w:div>
    <w:div w:id="1467160539">
      <w:bodyDiv w:val="1"/>
      <w:marLeft w:val="0"/>
      <w:marRight w:val="0"/>
      <w:marTop w:val="0"/>
      <w:marBottom w:val="0"/>
      <w:divBdr>
        <w:top w:val="none" w:sz="0" w:space="0" w:color="auto"/>
        <w:left w:val="none" w:sz="0" w:space="0" w:color="auto"/>
        <w:bottom w:val="none" w:sz="0" w:space="0" w:color="auto"/>
        <w:right w:val="none" w:sz="0" w:space="0" w:color="auto"/>
      </w:divBdr>
    </w:div>
    <w:div w:id="1596132866">
      <w:bodyDiv w:val="1"/>
      <w:marLeft w:val="0"/>
      <w:marRight w:val="0"/>
      <w:marTop w:val="0"/>
      <w:marBottom w:val="0"/>
      <w:divBdr>
        <w:top w:val="none" w:sz="0" w:space="0" w:color="auto"/>
        <w:left w:val="none" w:sz="0" w:space="0" w:color="auto"/>
        <w:bottom w:val="none" w:sz="0" w:space="0" w:color="auto"/>
        <w:right w:val="none" w:sz="0" w:space="0" w:color="auto"/>
      </w:divBdr>
    </w:div>
    <w:div w:id="1700400350">
      <w:bodyDiv w:val="1"/>
      <w:marLeft w:val="0"/>
      <w:marRight w:val="0"/>
      <w:marTop w:val="0"/>
      <w:marBottom w:val="0"/>
      <w:divBdr>
        <w:top w:val="none" w:sz="0" w:space="0" w:color="auto"/>
        <w:left w:val="none" w:sz="0" w:space="0" w:color="auto"/>
        <w:bottom w:val="none" w:sz="0" w:space="0" w:color="auto"/>
        <w:right w:val="none" w:sz="0" w:space="0" w:color="auto"/>
      </w:divBdr>
    </w:div>
    <w:div w:id="17890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038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8A93-DEB4-4F1B-9655-36B256F6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10977</Words>
  <Characters>6258</Characters>
  <Application>Microsoft Office Word</Application>
  <DocSecurity>0</DocSecurity>
  <Lines>52</Lines>
  <Paragraphs>34</Paragraphs>
  <ScaleCrop>false</ScaleCrop>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2024-05-28T11:28:00Z</dcterms:created>
  <dcterms:modified xsi:type="dcterms:W3CDTF">2024-05-28T11:29:00Z</dcterms:modified>
</cp:coreProperties>
</file>