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DE4D71" w14:textId="07340C75" w:rsidR="002041F8" w:rsidRPr="002041F8" w:rsidRDefault="002041F8" w:rsidP="003D669D">
      <w:pPr>
        <w:spacing w:line="276" w:lineRule="auto"/>
        <w:contextualSpacing/>
        <w:jc w:val="both"/>
        <w:rPr>
          <w:b/>
          <w:bCs/>
          <w:sz w:val="22"/>
          <w:szCs w:val="22"/>
          <w:shd w:val="clear" w:color="auto" w:fill="FFFFFF"/>
          <w:lang w:eastAsia="lv-LV"/>
        </w:rPr>
      </w:pPr>
      <w:bookmarkStart w:id="0" w:name="_Hlk149720702"/>
      <w:r>
        <w:rPr>
          <w:b/>
          <w:bCs/>
          <w:color w:val="000000"/>
          <w:shd w:val="clear" w:color="auto" w:fill="FFFFFF"/>
        </w:rPr>
        <w:t xml:space="preserve">Komercnoslēpuma, kas iestādes rīcībā nonācis publisko iepirkumu procedūras ietvaros, izsniegšanas pieļaujamības </w:t>
      </w:r>
      <w:proofErr w:type="spellStart"/>
      <w:r>
        <w:rPr>
          <w:b/>
          <w:bCs/>
          <w:color w:val="000000"/>
          <w:shd w:val="clear" w:color="auto" w:fill="FFFFFF"/>
        </w:rPr>
        <w:t>izvērtējums</w:t>
      </w:r>
      <w:proofErr w:type="spellEnd"/>
    </w:p>
    <w:p w14:paraId="5162640C" w14:textId="7EAE8F5A" w:rsidR="002041F8" w:rsidRDefault="002041F8" w:rsidP="003D669D">
      <w:pPr>
        <w:autoSpaceDE w:val="0"/>
        <w:autoSpaceDN w:val="0"/>
        <w:spacing w:line="276" w:lineRule="auto"/>
        <w:contextualSpacing/>
        <w:jc w:val="both"/>
      </w:pPr>
      <w:r>
        <w:rPr>
          <w:color w:val="000000"/>
          <w:shd w:val="clear" w:color="auto" w:fill="FFFFFF"/>
        </w:rPr>
        <w:t xml:space="preserve">Komercnoslēpums būtībā ir tāda komersanta rīcībā esoša informācija, kas ir saistīta ar konkrētā komersanta saimniecisko darbību, kas nav vispārpieejama (un komersants par to ir saprātīgi parūpējies) un kuras izpaušana varētu negatīvi ietekmēt komersanta konkurētspēju. Ja par to ir strīds, </w:t>
      </w:r>
      <w:r>
        <w:t>tiesai ir pienākums pilnvērtīgi pārbaudīt to informāciju, kuru komersants norādījis kā konfidenciālu. Ja tiesa atzīst, ka pieprasītā informācija nav atzīstama par konfidenciālu, tai, analizējot katru pieprasīto informācijas daļu atsevišķi, ir jāpamato, kāpēc komersanta norādītā informācija tomēr nav komercnoslēpums/konfidenciāla informācija.</w:t>
      </w:r>
    </w:p>
    <w:p w14:paraId="44051258" w14:textId="2876F299" w:rsidR="002041F8" w:rsidRDefault="002041F8" w:rsidP="003D669D">
      <w:pPr>
        <w:spacing w:line="276" w:lineRule="auto"/>
        <w:contextualSpacing/>
        <w:jc w:val="both"/>
        <w:rPr>
          <w:color w:val="000000"/>
        </w:rPr>
      </w:pPr>
      <w:r>
        <w:t xml:space="preserve">Uz komercnoslēpuma izsniegšanu ir attiecināmi Informācijas atklātības likumā paredzētie ierobežotas pieejamības informācijas izsniegšanas noteikumi, kas prasa pretstatīto interešu svēršanu un pieļauj šādas informācijas izsniegšanu, ja to prasa būtisku interešu aizsardzības vajadzība. Vienlaikus jāņem vērā, ka komercnoslēpuma izsniegšanu var regulēt arī speciālās tiesību normas. Attiecībā uz tāda komercnoslēpuma izsniegšanu, kas iestādes rīcībā nonācis publiskā iepirkuma procedūras ietvaros, papildus vispārīgajam komercnoslēpuma aizsardzības un izsniegšanas pieļaujamības regulējumam jāņem vērā arī publisko iepirkumu speciālais regulējums un tajā </w:t>
      </w:r>
      <w:r>
        <w:rPr>
          <w:color w:val="000000"/>
        </w:rPr>
        <w:t>paredzētās konfidencialitātes mērķi.</w:t>
      </w:r>
    </w:p>
    <w:p w14:paraId="119D8D71" w14:textId="77777777" w:rsidR="002041F8" w:rsidRDefault="002041F8" w:rsidP="003D669D">
      <w:pPr>
        <w:spacing w:line="276" w:lineRule="auto"/>
        <w:contextualSpacing/>
        <w:jc w:val="both"/>
      </w:pPr>
      <w:r>
        <w:rPr>
          <w:color w:val="000000"/>
        </w:rPr>
        <w:t>G</w:t>
      </w:r>
      <w:r>
        <w:t xml:space="preserve">adījumos, kad atbilstoši Informācijas atklātības likumam iestādei iesniegts pieprasījums izsniegt komercnoslēpumu saturošu informāciju, kas iestādes rīcībā nonākusi publisko iepirkumu procedūras rezultātā: </w:t>
      </w:r>
    </w:p>
    <w:p w14:paraId="6447E8DD" w14:textId="77777777" w:rsidR="002041F8" w:rsidRDefault="002041F8" w:rsidP="003D669D">
      <w:pPr>
        <w:spacing w:line="276" w:lineRule="auto"/>
        <w:ind w:firstLine="720"/>
        <w:contextualSpacing/>
        <w:jc w:val="both"/>
      </w:pPr>
      <w:r>
        <w:t>1) šāda informācija ir uzskatāma par ierobežotas pieejamības informāciju, kuras aizsardzība ir nepieciešama ne vien konkrēta komersanta komerciālo interešu labad, bet jo īpaši – netraucētas konkurences nodrošināšanas interesēs;</w:t>
      </w:r>
    </w:p>
    <w:p w14:paraId="35BD44B2" w14:textId="77777777" w:rsidR="002041F8" w:rsidRDefault="002041F8" w:rsidP="003D669D">
      <w:pPr>
        <w:spacing w:line="276" w:lineRule="auto"/>
        <w:ind w:firstLine="720"/>
        <w:contextualSpacing/>
        <w:jc w:val="both"/>
      </w:pPr>
      <w:r>
        <w:t xml:space="preserve">2) izsverot informācijas pieprasījuma lietā iesaistītās pretējās intereses, jāpatur prātā, ka netraucētas konkurences nodrošināšana ir galvenais mērķis, kura dēļ publisko iepirkumu procedūrā iesniegtai pretendentu komerciālajai informācijai ir noteikta aizsardzība, un netraucēta konkurence ir arī visas sabiedrības būtiska interese. Interešu līdzsvarošanas ietvaros </w:t>
      </w:r>
      <w:proofErr w:type="spellStart"/>
      <w:r>
        <w:t>visupirms</w:t>
      </w:r>
      <w:proofErr w:type="spellEnd"/>
      <w:r>
        <w:t xml:space="preserve"> jāmeklē risinājumi, kas nerada netraucētas konkurences apdraudējumu;</w:t>
      </w:r>
    </w:p>
    <w:p w14:paraId="39013569" w14:textId="77777777" w:rsidR="002041F8" w:rsidRDefault="002041F8" w:rsidP="003D669D">
      <w:pPr>
        <w:spacing w:line="276" w:lineRule="auto"/>
        <w:ind w:firstLine="720"/>
        <w:contextualSpacing/>
        <w:jc w:val="both"/>
      </w:pPr>
      <w:r>
        <w:t>3) šādas informācijas izsniegšana varētu būt pieļaujama vien tad, ja to konkrētajā gadījumā attaisno kādas sevišķas sabiedrības intereses nodrošināšanas nepieciešamība.</w:t>
      </w:r>
    </w:p>
    <w:p w14:paraId="7E6AC153" w14:textId="77777777" w:rsidR="002041F8" w:rsidRDefault="002041F8" w:rsidP="003D669D">
      <w:pPr>
        <w:spacing w:line="276" w:lineRule="auto"/>
        <w:ind w:firstLine="720"/>
        <w:jc w:val="both"/>
      </w:pPr>
    </w:p>
    <w:p w14:paraId="60879898" w14:textId="77777777" w:rsidR="002041F8" w:rsidRDefault="002041F8" w:rsidP="003D669D">
      <w:pPr>
        <w:autoSpaceDE w:val="0"/>
        <w:autoSpaceDN w:val="0"/>
        <w:spacing w:line="276" w:lineRule="auto"/>
        <w:jc w:val="both"/>
        <w:rPr>
          <w:b/>
          <w:bCs/>
          <w:color w:val="000000"/>
        </w:rPr>
      </w:pPr>
      <w:r>
        <w:rPr>
          <w:b/>
          <w:bCs/>
          <w:color w:val="000000"/>
        </w:rPr>
        <w:t xml:space="preserve">Žurnālistu būtiskā loma demokrātiskā sabiedrībā </w:t>
      </w:r>
    </w:p>
    <w:p w14:paraId="26C80DB8" w14:textId="28368DD3" w:rsidR="004C4017" w:rsidRDefault="002041F8" w:rsidP="003D669D">
      <w:pPr>
        <w:autoSpaceDE w:val="0"/>
        <w:autoSpaceDN w:val="0"/>
        <w:spacing w:line="276" w:lineRule="auto"/>
        <w:jc w:val="both"/>
      </w:pPr>
      <w:r>
        <w:t xml:space="preserve">Žurnālistu darbība, īstenojot vārda un preses brīvību, ir fundamentāla vērtība demokrātiskā valstī, jo tieši ar tās palīdzību lielā mērā tiek nodrošinātas sabiedrības tiesības iegūt informāciju par visai sabiedrībai būtiskiem jautājumiem. „Sargsuņa” funkcijas būtība ir sabiedrības interesēs vākt informāciju, to neitrāli, godprātīgi un pilnīgi analizēt un par noskaidroto informēt sabiedrību. Šādu funkciju demokrātiskā valstī neviens cits pēc būtības pilnvērtīgi neveic un nevar veikt. Līdz ar to nav pareizi uzskatīt, ka analītiskās un pētnieciskās žurnālistikas ieguldījumu sabiedrības informēšanā par tai būtiskām tēmām demokrātiskā sabiedrībā vispārīgi var aizstāt ar tiesībaizsardzības iestāžu darbu likumpārkāpumu izmeklēšanā. Nav pamatoti arī uzskatīt, ka žurnālistu darbs ir nozīmīgs vienīgi gadījumā, kad žurnālists pēta jautājumu, saistībā ar kuru viņam ir īpaša izglītība un specializācija. Ikviena profesionāla žurnālista darba specifika ir </w:t>
      </w:r>
      <w:r>
        <w:lastRenderedPageBreak/>
        <w:t xml:space="preserve">godprātīgi un pilnīgi iedziļināties un izpētīt analizējamo jautājumu, lai tā rezultātā sabiedrībai varētu sniegt objektīvu un kompetentu skatījumu. </w:t>
      </w:r>
    </w:p>
    <w:p w14:paraId="4DCC77B5" w14:textId="77777777" w:rsidR="002041F8" w:rsidRPr="00B424AD" w:rsidRDefault="002041F8" w:rsidP="003D669D">
      <w:pPr>
        <w:autoSpaceDE w:val="0"/>
        <w:autoSpaceDN w:val="0"/>
        <w:spacing w:line="276" w:lineRule="auto"/>
        <w:jc w:val="both"/>
      </w:pPr>
    </w:p>
    <w:p w14:paraId="63C31246" w14:textId="4B52C9E2" w:rsidR="004C4017" w:rsidRPr="002041F8" w:rsidRDefault="004C4017" w:rsidP="003D669D">
      <w:pPr>
        <w:spacing w:line="276" w:lineRule="auto"/>
        <w:jc w:val="center"/>
        <w:rPr>
          <w:rFonts w:asciiTheme="majorBidi" w:hAnsiTheme="majorBidi" w:cstheme="majorBidi"/>
          <w:b/>
        </w:rPr>
      </w:pPr>
      <w:r w:rsidRPr="002041F8">
        <w:rPr>
          <w:rFonts w:asciiTheme="majorBidi" w:hAnsiTheme="majorBidi" w:cstheme="majorBidi"/>
          <w:b/>
        </w:rPr>
        <w:t>Latvijas Republikas Senāt</w:t>
      </w:r>
      <w:r w:rsidR="002041F8" w:rsidRPr="002041F8">
        <w:rPr>
          <w:rFonts w:asciiTheme="majorBidi" w:hAnsiTheme="majorBidi" w:cstheme="majorBidi"/>
          <w:b/>
        </w:rPr>
        <w:t>a</w:t>
      </w:r>
    </w:p>
    <w:p w14:paraId="2DF7F50C" w14:textId="6B44ECA6" w:rsidR="002041F8" w:rsidRPr="002041F8" w:rsidRDefault="002041F8" w:rsidP="003D669D">
      <w:pPr>
        <w:spacing w:line="276" w:lineRule="auto"/>
        <w:jc w:val="center"/>
        <w:rPr>
          <w:rFonts w:asciiTheme="majorBidi" w:hAnsiTheme="majorBidi" w:cstheme="majorBidi"/>
          <w:b/>
        </w:rPr>
      </w:pPr>
      <w:r w:rsidRPr="002041F8">
        <w:rPr>
          <w:rFonts w:asciiTheme="majorBidi" w:hAnsiTheme="majorBidi" w:cstheme="majorBidi"/>
          <w:b/>
        </w:rPr>
        <w:t>Administratīvo lietu departamenta</w:t>
      </w:r>
    </w:p>
    <w:p w14:paraId="58D0B14E" w14:textId="663BC1FF" w:rsidR="002041F8" w:rsidRPr="002041F8" w:rsidRDefault="002041F8" w:rsidP="003D669D">
      <w:pPr>
        <w:spacing w:line="276" w:lineRule="auto"/>
        <w:jc w:val="center"/>
        <w:rPr>
          <w:rFonts w:asciiTheme="majorBidi" w:hAnsiTheme="majorBidi" w:cstheme="majorBidi"/>
          <w:b/>
        </w:rPr>
      </w:pPr>
      <w:r w:rsidRPr="002041F8">
        <w:rPr>
          <w:rFonts w:asciiTheme="majorBidi" w:hAnsiTheme="majorBidi" w:cstheme="majorBidi"/>
          <w:b/>
        </w:rPr>
        <w:t>2023.gada 7.novembra</w:t>
      </w:r>
    </w:p>
    <w:p w14:paraId="4DA0FDBE" w14:textId="682AAFEF" w:rsidR="004C4017" w:rsidRPr="002041F8" w:rsidRDefault="004C4017" w:rsidP="003D669D">
      <w:pPr>
        <w:spacing w:line="276" w:lineRule="auto"/>
        <w:jc w:val="center"/>
        <w:rPr>
          <w:rFonts w:asciiTheme="majorBidi" w:hAnsiTheme="majorBidi" w:cstheme="majorBidi"/>
          <w:b/>
        </w:rPr>
      </w:pPr>
      <w:r w:rsidRPr="002041F8">
        <w:rPr>
          <w:rFonts w:asciiTheme="majorBidi" w:hAnsiTheme="majorBidi" w:cstheme="majorBidi"/>
          <w:b/>
        </w:rPr>
        <w:t>SPRIEDUMS</w:t>
      </w:r>
    </w:p>
    <w:p w14:paraId="3BD518BD" w14:textId="6052BD7E" w:rsidR="002041F8" w:rsidRPr="002041F8" w:rsidRDefault="002041F8" w:rsidP="003D669D">
      <w:pPr>
        <w:spacing w:line="276" w:lineRule="auto"/>
        <w:ind w:firstLine="567"/>
        <w:contextualSpacing/>
        <w:jc w:val="center"/>
        <w:rPr>
          <w:rFonts w:asciiTheme="majorBidi" w:hAnsiTheme="majorBidi" w:cstheme="majorBidi"/>
          <w:b/>
          <w:bCs/>
          <w:color w:val="000000" w:themeColor="text1"/>
        </w:rPr>
      </w:pPr>
      <w:r w:rsidRPr="002041F8">
        <w:rPr>
          <w:rFonts w:asciiTheme="majorBidi" w:hAnsiTheme="majorBidi" w:cstheme="majorBidi"/>
          <w:b/>
          <w:bCs/>
          <w:color w:val="000000" w:themeColor="text1"/>
        </w:rPr>
        <w:t>Lietā Nr. </w:t>
      </w:r>
      <w:r w:rsidRPr="002041F8">
        <w:rPr>
          <w:rFonts w:asciiTheme="majorBidi" w:hAnsiTheme="majorBidi" w:cstheme="majorBidi"/>
          <w:b/>
          <w:bCs/>
          <w:color w:val="000000" w:themeColor="text1"/>
          <w:shd w:val="clear" w:color="auto" w:fill="FFFFFF"/>
        </w:rPr>
        <w:t>A420202419</w:t>
      </w:r>
      <w:r w:rsidRPr="002041F8">
        <w:rPr>
          <w:rFonts w:asciiTheme="majorBidi" w:hAnsiTheme="majorBidi" w:cstheme="majorBidi"/>
          <w:b/>
          <w:bCs/>
          <w:color w:val="000000" w:themeColor="text1"/>
        </w:rPr>
        <w:t>, SKA</w:t>
      </w:r>
      <w:r w:rsidRPr="002041F8">
        <w:rPr>
          <w:rFonts w:asciiTheme="majorBidi" w:hAnsiTheme="majorBidi" w:cstheme="majorBidi"/>
          <w:b/>
          <w:bCs/>
          <w:color w:val="000000" w:themeColor="text1"/>
        </w:rPr>
        <w:noBreakHyphen/>
        <w:t>183/2023</w:t>
      </w:r>
    </w:p>
    <w:p w14:paraId="0211DCF3" w14:textId="7A286A0B" w:rsidR="002041F8" w:rsidRPr="002041F8" w:rsidRDefault="000A329F" w:rsidP="003D669D">
      <w:pPr>
        <w:spacing w:line="276" w:lineRule="auto"/>
        <w:jc w:val="center"/>
        <w:rPr>
          <w:rFonts w:asciiTheme="majorBidi" w:hAnsiTheme="majorBidi" w:cstheme="majorBidi"/>
        </w:rPr>
      </w:pPr>
      <w:hyperlink r:id="rId7" w:history="1">
        <w:r w:rsidR="002041F8" w:rsidRPr="002041F8">
          <w:rPr>
            <w:rStyle w:val="Hyperlink"/>
            <w:rFonts w:asciiTheme="majorBidi" w:eastAsiaTheme="minorHAnsi" w:hAnsiTheme="majorBidi" w:cstheme="majorBidi"/>
            <w:lang w:eastAsia="en-US"/>
            <w14:ligatures w14:val="standardContextual"/>
          </w:rPr>
          <w:t>ECLI:LV:AT:2023:1107.A420202419.7.S</w:t>
        </w:r>
      </w:hyperlink>
    </w:p>
    <w:p w14:paraId="2B758B81" w14:textId="77777777" w:rsidR="004C4017" w:rsidRPr="00B424AD" w:rsidRDefault="004C4017" w:rsidP="003D669D">
      <w:pPr>
        <w:spacing w:line="276" w:lineRule="auto"/>
        <w:ind w:firstLine="567"/>
        <w:contextualSpacing/>
        <w:jc w:val="both"/>
      </w:pPr>
    </w:p>
    <w:p w14:paraId="577596FF" w14:textId="77777777" w:rsidR="004C4017" w:rsidRDefault="004C4017" w:rsidP="003D669D">
      <w:pPr>
        <w:spacing w:line="276" w:lineRule="auto"/>
        <w:ind w:firstLine="720"/>
        <w:jc w:val="both"/>
      </w:pPr>
      <w:r w:rsidRPr="00B424AD">
        <w:t xml:space="preserve">Senāts šādā sastāvā: senatore referente Ieva Višķere, senatores </w:t>
      </w:r>
      <w:r>
        <w:t>Ilze Freimane</w:t>
      </w:r>
      <w:r w:rsidRPr="00B424AD">
        <w:t xml:space="preserve"> un Rudīte Vīduša </w:t>
      </w:r>
    </w:p>
    <w:p w14:paraId="552EAB3F" w14:textId="77777777" w:rsidR="004C4017" w:rsidRDefault="004C4017" w:rsidP="003D669D">
      <w:pPr>
        <w:spacing w:line="276" w:lineRule="auto"/>
        <w:ind w:firstLine="720"/>
        <w:jc w:val="both"/>
      </w:pPr>
    </w:p>
    <w:p w14:paraId="7A6C7E54" w14:textId="3E2D2F5A" w:rsidR="004C4017" w:rsidRPr="00B424AD" w:rsidRDefault="004C4017" w:rsidP="003D669D">
      <w:pPr>
        <w:spacing w:line="276" w:lineRule="auto"/>
        <w:ind w:firstLine="720"/>
        <w:jc w:val="both"/>
      </w:pPr>
      <w:r w:rsidRPr="00B424AD">
        <w:t xml:space="preserve">rakstveida procesā izskatīja administratīvo lietu, kas ierosināta, pamatojoties uz </w:t>
      </w:r>
      <w:r w:rsidR="002041F8">
        <w:t xml:space="preserve">[pers. A] </w:t>
      </w:r>
      <w:r w:rsidRPr="00B424AD">
        <w:t xml:space="preserve">pieteikumu par </w:t>
      </w:r>
      <w:r>
        <w:rPr>
          <w:rFonts w:ascii="TimesNewRomanPSMT" w:eastAsiaTheme="minorHAnsi" w:hAnsi="TimesNewRomanPSMT" w:cs="TimesNewRomanPSMT"/>
          <w:lang w:eastAsia="en-US"/>
          <w14:ligatures w14:val="standardContextual"/>
        </w:rPr>
        <w:t xml:space="preserve">Rīgas domes 2019.gada 24.aprīļa lēmuma Nr. RD-19-158-ap atzīšanu par prettiesisku un pienākuma uzlikšanu Rīgas domei izsniegt pieteicējam Mežaparka </w:t>
      </w:r>
      <w:r w:rsidR="00C0351C">
        <w:rPr>
          <w:rFonts w:ascii="TimesNewRomanPSMT" w:eastAsiaTheme="minorHAnsi" w:hAnsi="TimesNewRomanPSMT" w:cs="TimesNewRomanPSMT"/>
          <w:lang w:eastAsia="en-US"/>
          <w14:ligatures w14:val="standardContextual"/>
        </w:rPr>
        <w:t>L</w:t>
      </w:r>
      <w:r>
        <w:rPr>
          <w:rFonts w:ascii="TimesNewRomanPSMT" w:eastAsiaTheme="minorHAnsi" w:hAnsi="TimesNewRomanPSMT" w:cs="TimesNewRomanPSMT"/>
          <w:lang w:eastAsia="en-US"/>
          <w14:ligatures w14:val="standardContextual"/>
        </w:rPr>
        <w:t>ielās estrādes rekonstrukcijas 1.posma tāmes</w:t>
      </w:r>
      <w:r w:rsidRPr="00B424AD">
        <w:t xml:space="preserve">, sakarā ar </w:t>
      </w:r>
      <w:r>
        <w:t xml:space="preserve">trešās personas </w:t>
      </w:r>
      <w:r>
        <w:rPr>
          <w:rFonts w:ascii="TimesNewRomanPSMT" w:eastAsiaTheme="minorHAnsi" w:hAnsi="TimesNewRomanPSMT" w:cs="TimesNewRomanPSMT"/>
          <w:lang w:eastAsia="en-US"/>
          <w14:ligatures w14:val="standardContextual"/>
        </w:rPr>
        <w:t xml:space="preserve">pilnsabiedrības „LNK, RERE” </w:t>
      </w:r>
      <w:r w:rsidRPr="00B424AD">
        <w:t xml:space="preserve">kasācijas sūdzību par Administratīvās rajona tiesas 2021.gada </w:t>
      </w:r>
      <w:r>
        <w:t>13.maija</w:t>
      </w:r>
      <w:r w:rsidRPr="00B424AD">
        <w:t xml:space="preserve"> spriedumu.</w:t>
      </w:r>
    </w:p>
    <w:p w14:paraId="2F3752AE" w14:textId="77777777" w:rsidR="004C4017" w:rsidRPr="00B424AD" w:rsidRDefault="004C4017" w:rsidP="003D669D">
      <w:pPr>
        <w:spacing w:line="276" w:lineRule="auto"/>
        <w:ind w:firstLine="567"/>
        <w:contextualSpacing/>
        <w:jc w:val="both"/>
      </w:pPr>
    </w:p>
    <w:p w14:paraId="786BA1EB" w14:textId="77777777" w:rsidR="004C4017" w:rsidRPr="00B424AD" w:rsidRDefault="004C4017" w:rsidP="003D669D">
      <w:pPr>
        <w:pStyle w:val="ATvirsraksts"/>
        <w:contextualSpacing/>
      </w:pPr>
      <w:r w:rsidRPr="00B424AD">
        <w:t>Aprakstošā daļa</w:t>
      </w:r>
    </w:p>
    <w:p w14:paraId="542FA3DD" w14:textId="77777777" w:rsidR="004C4017" w:rsidRPr="00B424AD" w:rsidRDefault="004C4017" w:rsidP="003D669D">
      <w:pPr>
        <w:spacing w:line="276" w:lineRule="auto"/>
        <w:ind w:firstLine="567"/>
        <w:contextualSpacing/>
        <w:jc w:val="both"/>
      </w:pPr>
    </w:p>
    <w:p w14:paraId="42AE39EA" w14:textId="50854801" w:rsidR="004C4017" w:rsidRDefault="004C4017" w:rsidP="003D669D">
      <w:pPr>
        <w:autoSpaceDE w:val="0"/>
        <w:autoSpaceDN w:val="0"/>
        <w:adjustRightInd w:val="0"/>
        <w:spacing w:line="276" w:lineRule="auto"/>
        <w:ind w:firstLine="720"/>
        <w:jc w:val="both"/>
        <w:rPr>
          <w:rFonts w:eastAsiaTheme="minorHAnsi"/>
          <w:lang w:eastAsia="en-US"/>
          <w14:ligatures w14:val="standardContextual"/>
        </w:rPr>
      </w:pPr>
      <w:r w:rsidRPr="00FE2494">
        <w:t>[1]</w:t>
      </w:r>
      <w:r w:rsidR="0036263C">
        <w:t xml:space="preserve"> </w:t>
      </w:r>
      <w:r>
        <w:rPr>
          <w:rFonts w:eastAsiaTheme="minorHAnsi"/>
          <w:lang w:eastAsia="en-US"/>
          <w14:ligatures w14:val="standardContextual"/>
        </w:rPr>
        <w:t>P</w:t>
      </w:r>
      <w:r w:rsidRPr="00FE2494">
        <w:rPr>
          <w:rFonts w:eastAsiaTheme="minorHAnsi"/>
          <w:lang w:eastAsia="en-US"/>
          <w14:ligatures w14:val="standardContextual"/>
        </w:rPr>
        <w:t xml:space="preserve">ieteicējs </w:t>
      </w:r>
      <w:r w:rsidR="002041F8">
        <w:t xml:space="preserve">[pers. A] </w:t>
      </w:r>
      <w:r w:rsidRPr="00FE2494">
        <w:rPr>
          <w:rFonts w:eastAsiaTheme="minorHAnsi"/>
          <w:lang w:eastAsia="en-US"/>
          <w14:ligatures w14:val="standardContextual"/>
        </w:rPr>
        <w:t>vērsās Rīgas domes Īpašuma</w:t>
      </w:r>
      <w:r>
        <w:rPr>
          <w:rFonts w:eastAsiaTheme="minorHAnsi"/>
          <w:lang w:eastAsia="en-US"/>
          <w14:ligatures w14:val="standardContextual"/>
        </w:rPr>
        <w:t xml:space="preserve"> </w:t>
      </w:r>
      <w:r w:rsidRPr="00FE2494">
        <w:rPr>
          <w:rFonts w:eastAsiaTheme="minorHAnsi"/>
          <w:lang w:eastAsia="en-US"/>
          <w14:ligatures w14:val="standardContextual"/>
        </w:rPr>
        <w:t xml:space="preserve">departamentā, lūdzot izsniegt Mežaparka </w:t>
      </w:r>
      <w:r w:rsidR="00C0351C">
        <w:rPr>
          <w:rFonts w:eastAsiaTheme="minorHAnsi"/>
          <w:lang w:eastAsia="en-US"/>
          <w14:ligatures w14:val="standardContextual"/>
        </w:rPr>
        <w:t>L</w:t>
      </w:r>
      <w:r w:rsidRPr="00FE2494">
        <w:rPr>
          <w:rFonts w:eastAsiaTheme="minorHAnsi"/>
          <w:lang w:eastAsia="en-US"/>
          <w14:ligatures w14:val="standardContextual"/>
        </w:rPr>
        <w:t>ielās estrādes rekonstrukcijas</w:t>
      </w:r>
      <w:r>
        <w:rPr>
          <w:rFonts w:eastAsiaTheme="minorHAnsi"/>
          <w:lang w:eastAsia="en-US"/>
          <w14:ligatures w14:val="standardContextual"/>
        </w:rPr>
        <w:t xml:space="preserve"> iepirkuma uzvarētāja </w:t>
      </w:r>
      <w:r w:rsidRPr="00FE2494">
        <w:rPr>
          <w:rFonts w:eastAsiaTheme="minorHAnsi"/>
          <w:lang w:eastAsia="en-US"/>
          <w14:ligatures w14:val="standardContextual"/>
        </w:rPr>
        <w:t>pilnsabiedrība</w:t>
      </w:r>
      <w:r>
        <w:rPr>
          <w:rFonts w:eastAsiaTheme="minorHAnsi"/>
          <w:lang w:eastAsia="en-US"/>
          <w14:ligatures w14:val="standardContextual"/>
        </w:rPr>
        <w:t>s</w:t>
      </w:r>
      <w:r w:rsidRPr="00FE2494">
        <w:rPr>
          <w:rFonts w:eastAsiaTheme="minorHAnsi"/>
          <w:lang w:eastAsia="en-US"/>
          <w14:ligatures w14:val="standardContextual"/>
        </w:rPr>
        <w:t xml:space="preserve"> „LNK, RERE”</w:t>
      </w:r>
      <w:r>
        <w:rPr>
          <w:rFonts w:eastAsiaTheme="minorHAnsi"/>
          <w:lang w:eastAsia="en-US"/>
          <w14:ligatures w14:val="standardContextual"/>
        </w:rPr>
        <w:t xml:space="preserve"> piedāvājumā ietverto rekonstrukcijas </w:t>
      </w:r>
      <w:r w:rsidRPr="00FE2494">
        <w:rPr>
          <w:rFonts w:eastAsiaTheme="minorHAnsi"/>
          <w:lang w:eastAsia="en-US"/>
          <w14:ligatures w14:val="standardContextual"/>
        </w:rPr>
        <w:t xml:space="preserve">1.posma tāmi, </w:t>
      </w:r>
      <w:r>
        <w:rPr>
          <w:rFonts w:eastAsiaTheme="minorHAnsi"/>
          <w:lang w:eastAsia="en-US"/>
          <w14:ligatures w14:val="standardContextual"/>
        </w:rPr>
        <w:t xml:space="preserve">kurā </w:t>
      </w:r>
      <w:r w:rsidRPr="00FE2494">
        <w:rPr>
          <w:rFonts w:eastAsiaTheme="minorHAnsi"/>
          <w:lang w:eastAsia="en-US"/>
          <w14:ligatures w14:val="standardContextual"/>
        </w:rPr>
        <w:t>redzams, kāds līdzekļu izlietojums bija plānots</w:t>
      </w:r>
      <w:r>
        <w:rPr>
          <w:rFonts w:eastAsiaTheme="minorHAnsi"/>
          <w:lang w:eastAsia="en-US"/>
          <w14:ligatures w14:val="standardContextual"/>
        </w:rPr>
        <w:t xml:space="preserve"> piedāvājumā iepirkumam</w:t>
      </w:r>
      <w:r w:rsidRPr="00FE2494">
        <w:rPr>
          <w:rFonts w:eastAsiaTheme="minorHAnsi"/>
          <w:lang w:eastAsia="en-US"/>
          <w14:ligatures w14:val="standardContextual"/>
        </w:rPr>
        <w:t>, un rekonstrukcijas</w:t>
      </w:r>
      <w:r>
        <w:rPr>
          <w:rFonts w:eastAsiaTheme="minorHAnsi"/>
          <w:lang w:eastAsia="en-US"/>
          <w14:ligatures w14:val="standardContextual"/>
        </w:rPr>
        <w:t xml:space="preserve"> </w:t>
      </w:r>
      <w:r w:rsidRPr="00FE2494">
        <w:rPr>
          <w:rFonts w:eastAsiaTheme="minorHAnsi"/>
          <w:lang w:eastAsia="en-US"/>
          <w14:ligatures w14:val="standardContextual"/>
        </w:rPr>
        <w:t>1.posma tāmi, kurā</w:t>
      </w:r>
      <w:r>
        <w:rPr>
          <w:rFonts w:eastAsiaTheme="minorHAnsi"/>
          <w:lang w:eastAsia="en-US"/>
          <w14:ligatures w14:val="standardContextual"/>
        </w:rPr>
        <w:t xml:space="preserve"> </w:t>
      </w:r>
      <w:r w:rsidRPr="00FE2494">
        <w:rPr>
          <w:rFonts w:eastAsiaTheme="minorHAnsi"/>
          <w:lang w:eastAsia="en-US"/>
          <w14:ligatures w14:val="standardContextual"/>
        </w:rPr>
        <w:t>redzams faktiskais līdzekļu izlietojums</w:t>
      </w:r>
      <w:r>
        <w:rPr>
          <w:rFonts w:eastAsiaTheme="minorHAnsi"/>
          <w:lang w:eastAsia="en-US"/>
          <w14:ligatures w14:val="standardContextual"/>
        </w:rPr>
        <w:t xml:space="preserve">, proti, tas, </w:t>
      </w:r>
      <w:r w:rsidRPr="00FE2494">
        <w:rPr>
          <w:rFonts w:eastAsiaTheme="minorHAnsi"/>
          <w:lang w:eastAsia="en-US"/>
          <w14:ligatures w14:val="standardContextual"/>
        </w:rPr>
        <w:t xml:space="preserve">cik </w:t>
      </w:r>
      <w:r>
        <w:rPr>
          <w:rFonts w:eastAsiaTheme="minorHAnsi"/>
          <w:lang w:eastAsia="en-US"/>
          <w14:ligatures w14:val="standardContextual"/>
        </w:rPr>
        <w:t xml:space="preserve">realitātē </w:t>
      </w:r>
      <w:r w:rsidRPr="00FE2494">
        <w:rPr>
          <w:rFonts w:eastAsiaTheme="minorHAnsi"/>
          <w:lang w:eastAsia="en-US"/>
          <w14:ligatures w14:val="standardContextual"/>
        </w:rPr>
        <w:t>izmaksāja šī rekonstrukcija</w:t>
      </w:r>
      <w:r>
        <w:rPr>
          <w:rFonts w:eastAsiaTheme="minorHAnsi"/>
          <w:lang w:eastAsia="en-US"/>
          <w14:ligatures w14:val="standardContextual"/>
        </w:rPr>
        <w:t xml:space="preserve"> (turpmāk arī – strīdus tāmes)</w:t>
      </w:r>
      <w:r w:rsidRPr="00FE2494">
        <w:rPr>
          <w:rFonts w:eastAsiaTheme="minorHAnsi"/>
          <w:lang w:eastAsia="en-US"/>
          <w14:ligatures w14:val="standardContextual"/>
        </w:rPr>
        <w:t>.</w:t>
      </w:r>
      <w:r>
        <w:rPr>
          <w:rFonts w:eastAsiaTheme="minorHAnsi"/>
          <w:lang w:eastAsia="en-US"/>
          <w14:ligatures w14:val="standardContextual"/>
        </w:rPr>
        <w:t xml:space="preserve"> Pieteicējs norādīja, ka ir žurnālists un pieprasītā informācija nepieciešama, </w:t>
      </w:r>
      <w:r w:rsidRPr="00DA47DA">
        <w:rPr>
          <w:rFonts w:eastAsiaTheme="minorHAnsi"/>
          <w:lang w:eastAsia="en-US"/>
          <w14:ligatures w14:val="standardContextual"/>
        </w:rPr>
        <w:t>lai sagatavotu sabiedrību informējošu materiālu par publisko līdzekļu izlietojumu.</w:t>
      </w:r>
      <w:r w:rsidRPr="00FE2494">
        <w:rPr>
          <w:rFonts w:eastAsiaTheme="minorHAnsi"/>
          <w:lang w:eastAsia="en-US"/>
          <w14:ligatures w14:val="standardContextual"/>
        </w:rPr>
        <w:t xml:space="preserve"> </w:t>
      </w:r>
    </w:p>
    <w:p w14:paraId="30F09DAD" w14:textId="42BBB666" w:rsidR="004C4017" w:rsidRPr="00FE2494" w:rsidRDefault="004C4017" w:rsidP="003D669D">
      <w:pPr>
        <w:autoSpaceDE w:val="0"/>
        <w:autoSpaceDN w:val="0"/>
        <w:adjustRightInd w:val="0"/>
        <w:spacing w:line="276" w:lineRule="auto"/>
        <w:ind w:firstLine="720"/>
        <w:jc w:val="both"/>
        <w:rPr>
          <w:rFonts w:eastAsiaTheme="minorHAnsi"/>
          <w:lang w:eastAsia="en-US"/>
          <w14:ligatures w14:val="standardContextual"/>
        </w:rPr>
      </w:pPr>
      <w:r w:rsidRPr="00FE2494">
        <w:rPr>
          <w:rFonts w:eastAsiaTheme="minorHAnsi"/>
          <w:lang w:eastAsia="en-US"/>
          <w14:ligatures w14:val="standardContextual"/>
        </w:rPr>
        <w:t>Ar Rīgas domes</w:t>
      </w:r>
      <w:r>
        <w:rPr>
          <w:rFonts w:eastAsiaTheme="minorHAnsi"/>
          <w:lang w:eastAsia="en-US"/>
          <w14:ligatures w14:val="standardContextual"/>
        </w:rPr>
        <w:t xml:space="preserve"> </w:t>
      </w:r>
      <w:r w:rsidRPr="00FE2494">
        <w:rPr>
          <w:rFonts w:eastAsiaTheme="minorHAnsi"/>
          <w:lang w:eastAsia="en-US"/>
          <w14:ligatures w14:val="standardContextual"/>
        </w:rPr>
        <w:t>2019.gada 24.aprīļa lēmumu Nr.</w:t>
      </w:r>
      <w:r>
        <w:rPr>
          <w:rFonts w:eastAsiaTheme="minorHAnsi"/>
          <w:lang w:eastAsia="en-US"/>
          <w14:ligatures w14:val="standardContextual"/>
        </w:rPr>
        <w:t> </w:t>
      </w:r>
      <w:r w:rsidRPr="00FE2494">
        <w:rPr>
          <w:rFonts w:eastAsiaTheme="minorHAnsi"/>
          <w:lang w:eastAsia="en-US"/>
          <w14:ligatures w14:val="standardContextual"/>
        </w:rPr>
        <w:t>RD-19-158-ap</w:t>
      </w:r>
      <w:r>
        <w:rPr>
          <w:rFonts w:eastAsiaTheme="minorHAnsi"/>
          <w:lang w:eastAsia="en-US"/>
          <w14:ligatures w14:val="standardContextual"/>
        </w:rPr>
        <w:t xml:space="preserve"> (turpmāk – pārsūdzētais lēmums) pieprasītās informācijas izsniegšana atteikta, norādot, ka i</w:t>
      </w:r>
      <w:r>
        <w:rPr>
          <w:rFonts w:ascii="TimesNewRomanPSMT" w:eastAsiaTheme="minorHAnsi" w:hAnsi="TimesNewRomanPSMT" w:cs="TimesNewRomanPSMT"/>
          <w:lang w:eastAsia="en-US"/>
          <w14:ligatures w14:val="standardContextual"/>
        </w:rPr>
        <w:t xml:space="preserve">epirkuma ietvaros pretendenta iesniegtie piedāvājumi, kas nav publicējami atbilstoši Publisko iepirkumu likuma tiesību normām, ir uzskatāmi par ierobežotas pieejamības informāciju, pieprasītā </w:t>
      </w:r>
      <w:r>
        <w:rPr>
          <w:rFonts w:eastAsiaTheme="minorHAnsi"/>
          <w:lang w:eastAsia="en-US"/>
          <w14:ligatures w14:val="standardContextual"/>
        </w:rPr>
        <w:t xml:space="preserve">informācija ietver </w:t>
      </w:r>
      <w:r w:rsidRPr="00FE2494">
        <w:rPr>
          <w:rFonts w:eastAsiaTheme="minorHAnsi"/>
          <w:lang w:eastAsia="en-US"/>
          <w14:ligatures w14:val="standardContextual"/>
        </w:rPr>
        <w:t>komercnoslēpumu</w:t>
      </w:r>
      <w:r>
        <w:rPr>
          <w:rFonts w:eastAsiaTheme="minorHAnsi"/>
          <w:lang w:eastAsia="en-US"/>
          <w14:ligatures w14:val="standardContextual"/>
        </w:rPr>
        <w:t xml:space="preserve"> un trešā persona </w:t>
      </w:r>
      <w:r w:rsidRPr="00FE2494">
        <w:rPr>
          <w:rFonts w:eastAsiaTheme="minorHAnsi"/>
          <w:lang w:eastAsia="en-US"/>
          <w14:ligatures w14:val="standardContextual"/>
        </w:rPr>
        <w:t>pilnsabiedrība „LNK, RERE”</w:t>
      </w:r>
      <w:r>
        <w:rPr>
          <w:rFonts w:eastAsiaTheme="minorHAnsi"/>
          <w:lang w:eastAsia="en-US"/>
          <w14:ligatures w14:val="standardContextual"/>
        </w:rPr>
        <w:t xml:space="preserve"> </w:t>
      </w:r>
      <w:r w:rsidRPr="00FE2494">
        <w:rPr>
          <w:rFonts w:eastAsiaTheme="minorHAnsi"/>
          <w:lang w:eastAsia="en-US"/>
          <w14:ligatures w14:val="standardContextual"/>
        </w:rPr>
        <w:t xml:space="preserve">iebilst </w:t>
      </w:r>
      <w:r>
        <w:rPr>
          <w:rFonts w:eastAsiaTheme="minorHAnsi"/>
          <w:lang w:eastAsia="en-US"/>
          <w14:ligatures w14:val="standardContextual"/>
        </w:rPr>
        <w:t>pret tā publiskošanu. Izsniedzot pieprasīto informāciju</w:t>
      </w:r>
      <w:r w:rsidR="008D77AA">
        <w:rPr>
          <w:rFonts w:eastAsiaTheme="minorHAnsi"/>
          <w:lang w:eastAsia="en-US"/>
          <w14:ligatures w14:val="standardContextual"/>
        </w:rPr>
        <w:t>,</w:t>
      </w:r>
      <w:r>
        <w:rPr>
          <w:rFonts w:eastAsiaTheme="minorHAnsi"/>
          <w:lang w:eastAsia="en-US"/>
          <w14:ligatures w14:val="standardContextual"/>
        </w:rPr>
        <w:t xml:space="preserve"> </w:t>
      </w:r>
      <w:r>
        <w:rPr>
          <w:rFonts w:ascii="TimesNewRomanPSMT" w:eastAsiaTheme="minorHAnsi" w:hAnsi="TimesNewRomanPSMT" w:cs="TimesNewRomanPSMT"/>
          <w:lang w:eastAsia="en-US"/>
          <w14:ligatures w14:val="standardContextual"/>
        </w:rPr>
        <w:t xml:space="preserve">tiktu iedragāta trešās personas un tās biedru konkurētspēja. Pieteicējam tika izsniegta publiski pieejamā informācija par līdzekļu izlietojumu Mežaparka Lielās estrādes A posma būvniecībā. </w:t>
      </w:r>
    </w:p>
    <w:p w14:paraId="19DDBD42" w14:textId="77777777" w:rsidR="004C4017" w:rsidRPr="00FE2494" w:rsidRDefault="004C4017" w:rsidP="003D669D">
      <w:pPr>
        <w:spacing w:line="276" w:lineRule="auto"/>
        <w:ind w:firstLine="720"/>
        <w:contextualSpacing/>
        <w:jc w:val="both"/>
      </w:pPr>
    </w:p>
    <w:p w14:paraId="6AB2446C" w14:textId="7C457C7B" w:rsidR="004C4017" w:rsidRDefault="004C4017" w:rsidP="003D669D">
      <w:pPr>
        <w:spacing w:line="276" w:lineRule="auto"/>
        <w:ind w:firstLine="720"/>
        <w:contextualSpacing/>
        <w:jc w:val="both"/>
      </w:pPr>
      <w:r w:rsidRPr="00B424AD">
        <w:t>[</w:t>
      </w:r>
      <w:r>
        <w:t>2</w:t>
      </w:r>
      <w:r w:rsidRPr="00B424AD">
        <w:t>]</w:t>
      </w:r>
      <w:r w:rsidR="0036263C">
        <w:t xml:space="preserve"> </w:t>
      </w:r>
      <w:r>
        <w:t>Pieteicējs vērsās tiesā, lūdzot tiesu iestādes atteikumu atzīt par prettiesisku un uzdot iestādei izsniegt pieteicējam pieprasīto informāciju.</w:t>
      </w:r>
    </w:p>
    <w:p w14:paraId="53F7CCF5" w14:textId="77777777" w:rsidR="004C4017" w:rsidRDefault="004C4017" w:rsidP="003D669D">
      <w:pPr>
        <w:spacing w:line="276" w:lineRule="auto"/>
        <w:ind w:firstLine="720"/>
        <w:contextualSpacing/>
        <w:jc w:val="both"/>
      </w:pPr>
    </w:p>
    <w:p w14:paraId="647EB828" w14:textId="77777777" w:rsidR="004C4017" w:rsidRDefault="004C4017" w:rsidP="003D669D">
      <w:pPr>
        <w:spacing w:line="276" w:lineRule="auto"/>
        <w:ind w:firstLine="720"/>
        <w:contextualSpacing/>
        <w:jc w:val="both"/>
      </w:pPr>
      <w:r>
        <w:t xml:space="preserve">[3] Administratīvā rajona tiesa ar 2021.gada 13.maija spriedumu pieteikumu apmierināja. Spriedums pamatots ar turpmāk izklāstītajiem apsvērumiem. </w:t>
      </w:r>
    </w:p>
    <w:p w14:paraId="7B962FF4" w14:textId="3C562B5B" w:rsidR="004C4017" w:rsidRDefault="004C4017" w:rsidP="003D669D">
      <w:pPr>
        <w:spacing w:line="276" w:lineRule="auto"/>
        <w:ind w:firstLine="720"/>
        <w:contextualSpacing/>
        <w:jc w:val="both"/>
        <w:rPr>
          <w:rFonts w:eastAsiaTheme="minorHAnsi"/>
          <w:lang w:eastAsia="en-US"/>
          <w14:ligatures w14:val="standardContextual"/>
        </w:rPr>
      </w:pPr>
      <w:r>
        <w:lastRenderedPageBreak/>
        <w:t xml:space="preserve">[3.1] </w:t>
      </w:r>
      <w:r w:rsidRPr="001B5970">
        <w:rPr>
          <w:rFonts w:eastAsiaTheme="minorHAnsi"/>
          <w:lang w:eastAsia="en-US"/>
          <w14:ligatures w14:val="standardContextual"/>
        </w:rPr>
        <w:t>Latvijas Republikas</w:t>
      </w:r>
      <w:r>
        <w:rPr>
          <w:rFonts w:eastAsiaTheme="minorHAnsi"/>
          <w:lang w:eastAsia="en-US"/>
          <w14:ligatures w14:val="standardContextual"/>
        </w:rPr>
        <w:t xml:space="preserve"> </w:t>
      </w:r>
      <w:r w:rsidRPr="001B5970">
        <w:rPr>
          <w:rFonts w:eastAsiaTheme="minorHAnsi"/>
          <w:lang w:eastAsia="en-US"/>
          <w14:ligatures w14:val="standardContextual"/>
        </w:rPr>
        <w:t xml:space="preserve">Satversmes </w:t>
      </w:r>
      <w:r>
        <w:rPr>
          <w:rFonts w:eastAsiaTheme="minorHAnsi"/>
          <w:lang w:eastAsia="en-US"/>
          <w14:ligatures w14:val="standardContextual"/>
        </w:rPr>
        <w:t>(turpmāk – Satversme)</w:t>
      </w:r>
      <w:r w:rsidR="00C0351C">
        <w:rPr>
          <w:rFonts w:eastAsiaTheme="minorHAnsi"/>
          <w:lang w:eastAsia="en-US"/>
          <w14:ligatures w14:val="standardContextual"/>
        </w:rPr>
        <w:t xml:space="preserve"> </w:t>
      </w:r>
      <w:r w:rsidRPr="001B5970">
        <w:rPr>
          <w:rFonts w:eastAsiaTheme="minorHAnsi"/>
          <w:lang w:eastAsia="en-US"/>
          <w14:ligatures w14:val="standardContextual"/>
        </w:rPr>
        <w:t>100.pant</w:t>
      </w:r>
      <w:r>
        <w:rPr>
          <w:rFonts w:eastAsiaTheme="minorHAnsi"/>
          <w:lang w:eastAsia="en-US"/>
          <w14:ligatures w14:val="standardContextual"/>
        </w:rPr>
        <w:t>s</w:t>
      </w:r>
      <w:r w:rsidRPr="001B5970">
        <w:rPr>
          <w:rFonts w:eastAsiaTheme="minorHAnsi"/>
          <w:lang w:eastAsia="en-US"/>
          <w14:ligatures w14:val="standardContextual"/>
        </w:rPr>
        <w:t xml:space="preserve"> </w:t>
      </w:r>
      <w:r>
        <w:rPr>
          <w:rFonts w:eastAsiaTheme="minorHAnsi"/>
          <w:lang w:eastAsia="en-US"/>
          <w14:ligatures w14:val="standardContextual"/>
        </w:rPr>
        <w:t xml:space="preserve">un Informācijas atklātības likums paredz sabiedrības tiesības </w:t>
      </w:r>
      <w:r w:rsidRPr="001B5970">
        <w:rPr>
          <w:rFonts w:eastAsiaTheme="minorHAnsi"/>
          <w:lang w:eastAsia="en-US"/>
          <w14:ligatures w14:val="standardContextual"/>
        </w:rPr>
        <w:t xml:space="preserve">piekļūt iestāžu rīcībā esošai </w:t>
      </w:r>
      <w:r>
        <w:rPr>
          <w:rFonts w:eastAsiaTheme="minorHAnsi"/>
          <w:lang w:eastAsia="en-US"/>
          <w14:ligatures w14:val="standardContextual"/>
        </w:rPr>
        <w:t xml:space="preserve">dokumentētai </w:t>
      </w:r>
      <w:r w:rsidRPr="001B5970">
        <w:rPr>
          <w:rFonts w:eastAsiaTheme="minorHAnsi"/>
          <w:lang w:eastAsia="en-US"/>
          <w14:ligatures w14:val="standardContextual"/>
        </w:rPr>
        <w:t>informācijai.</w:t>
      </w:r>
      <w:r>
        <w:rPr>
          <w:rFonts w:eastAsiaTheme="minorHAnsi"/>
          <w:lang w:eastAsia="en-US"/>
          <w14:ligatures w14:val="standardContextual"/>
        </w:rPr>
        <w:t xml:space="preserve"> </w:t>
      </w:r>
    </w:p>
    <w:p w14:paraId="4BBAAA70" w14:textId="4010D474" w:rsidR="004C4017" w:rsidRDefault="004C4017" w:rsidP="003D669D">
      <w:pPr>
        <w:spacing w:line="276" w:lineRule="auto"/>
        <w:ind w:firstLine="720"/>
        <w:contextualSpacing/>
        <w:jc w:val="both"/>
        <w:rPr>
          <w:rFonts w:eastAsiaTheme="minorHAnsi"/>
          <w:lang w:eastAsia="en-US"/>
          <w14:ligatures w14:val="standardContextual"/>
        </w:rPr>
      </w:pPr>
      <w:r w:rsidRPr="001B5970">
        <w:rPr>
          <w:rFonts w:eastAsiaTheme="minorHAnsi"/>
          <w:lang w:eastAsia="en-US"/>
          <w14:ligatures w14:val="standardContextual"/>
        </w:rPr>
        <w:t>Publisko</w:t>
      </w:r>
      <w:r>
        <w:rPr>
          <w:rFonts w:eastAsiaTheme="minorHAnsi"/>
          <w:lang w:eastAsia="en-US"/>
          <w14:ligatures w14:val="standardContextual"/>
        </w:rPr>
        <w:t xml:space="preserve"> </w:t>
      </w:r>
      <w:r w:rsidRPr="001B5970">
        <w:rPr>
          <w:rFonts w:eastAsiaTheme="minorHAnsi"/>
          <w:lang w:eastAsia="en-US"/>
          <w14:ligatures w14:val="standardContextual"/>
        </w:rPr>
        <w:t>iepirkumu likuma un Informācijas atklātības likuma normas aizsargā piedāvājumā ietverto</w:t>
      </w:r>
      <w:r>
        <w:rPr>
          <w:rFonts w:eastAsiaTheme="minorHAnsi"/>
          <w:lang w:eastAsia="en-US"/>
          <w14:ligatures w14:val="standardContextual"/>
        </w:rPr>
        <w:t xml:space="preserve"> </w:t>
      </w:r>
      <w:r w:rsidRPr="001B5970">
        <w:rPr>
          <w:rFonts w:eastAsiaTheme="minorHAnsi"/>
          <w:lang w:eastAsia="en-US"/>
          <w14:ligatures w14:val="standardContextual"/>
        </w:rPr>
        <w:t>informāciju, kas satur komercnoslēpumu.</w:t>
      </w:r>
      <w:r>
        <w:rPr>
          <w:rFonts w:eastAsiaTheme="minorHAnsi"/>
          <w:lang w:eastAsia="en-US"/>
          <w14:ligatures w14:val="standardContextual"/>
        </w:rPr>
        <w:t xml:space="preserve"> K</w:t>
      </w:r>
      <w:r w:rsidRPr="001B5970">
        <w:rPr>
          <w:rFonts w:eastAsiaTheme="minorHAnsi"/>
          <w:lang w:eastAsia="en-US"/>
          <w14:ligatures w14:val="standardContextual"/>
        </w:rPr>
        <w:t>omersanta tiesības noteikt komercnoslēpuma statusu un prasīt tā aizsardzību ir nozīmīgas un</w:t>
      </w:r>
      <w:r>
        <w:rPr>
          <w:rFonts w:eastAsiaTheme="minorHAnsi"/>
          <w:lang w:eastAsia="en-US"/>
          <w14:ligatures w14:val="standardContextual"/>
        </w:rPr>
        <w:t xml:space="preserve"> </w:t>
      </w:r>
      <w:r w:rsidRPr="001B5970">
        <w:rPr>
          <w:rFonts w:eastAsiaTheme="minorHAnsi"/>
          <w:lang w:eastAsia="en-US"/>
          <w14:ligatures w14:val="standardContextual"/>
        </w:rPr>
        <w:t xml:space="preserve">respektējamas. </w:t>
      </w:r>
      <w:r>
        <w:rPr>
          <w:rFonts w:eastAsiaTheme="minorHAnsi"/>
          <w:lang w:eastAsia="en-US"/>
          <w14:ligatures w14:val="standardContextual"/>
        </w:rPr>
        <w:t xml:space="preserve">Tomēr </w:t>
      </w:r>
      <w:r w:rsidRPr="001B5970">
        <w:rPr>
          <w:rFonts w:eastAsiaTheme="minorHAnsi"/>
          <w:lang w:eastAsia="en-US"/>
          <w14:ligatures w14:val="standardContextual"/>
        </w:rPr>
        <w:t>gan iestāde, gan tiesa ir tiesīga pārbaudīt komercnoslēpuma statusa</w:t>
      </w:r>
      <w:r>
        <w:rPr>
          <w:rFonts w:eastAsiaTheme="minorHAnsi"/>
          <w:lang w:eastAsia="en-US"/>
          <w14:ligatures w14:val="standardContextual"/>
        </w:rPr>
        <w:t xml:space="preserve"> </w:t>
      </w:r>
      <w:r w:rsidRPr="001B5970">
        <w:rPr>
          <w:rFonts w:eastAsiaTheme="minorHAnsi"/>
          <w:lang w:eastAsia="en-US"/>
          <w14:ligatures w14:val="standardContextual"/>
        </w:rPr>
        <w:t>noteikšanas pamatotību</w:t>
      </w:r>
      <w:r>
        <w:rPr>
          <w:rFonts w:eastAsiaTheme="minorHAnsi"/>
          <w:lang w:eastAsia="en-US"/>
          <w14:ligatures w14:val="standardContextual"/>
        </w:rPr>
        <w:t>,</w:t>
      </w:r>
      <w:r w:rsidRPr="001B5970">
        <w:rPr>
          <w:rFonts w:eastAsiaTheme="minorHAnsi"/>
          <w:lang w:eastAsia="en-US"/>
          <w14:ligatures w14:val="standardContextual"/>
        </w:rPr>
        <w:t xml:space="preserve"> </w:t>
      </w:r>
      <w:r>
        <w:rPr>
          <w:rFonts w:eastAsiaTheme="minorHAnsi"/>
          <w:lang w:eastAsia="en-US"/>
          <w14:ligatures w14:val="standardContextual"/>
        </w:rPr>
        <w:t>turklāt k</w:t>
      </w:r>
      <w:r w:rsidRPr="001B5970">
        <w:rPr>
          <w:rFonts w:eastAsiaTheme="minorHAnsi"/>
          <w:lang w:eastAsia="en-US"/>
          <w14:ligatures w14:val="standardContextual"/>
        </w:rPr>
        <w:t>omercnoslēpumu saturošā informācija var tikt izsniegta, ja tā skar būtisku sabiedrisku interesi un informācijas atklāšana ir samērojama ar</w:t>
      </w:r>
      <w:r>
        <w:rPr>
          <w:rFonts w:eastAsiaTheme="minorHAnsi"/>
          <w:lang w:eastAsia="en-US"/>
          <w14:ligatures w14:val="standardContextual"/>
        </w:rPr>
        <w:t xml:space="preserve"> </w:t>
      </w:r>
      <w:r w:rsidRPr="001B5970">
        <w:rPr>
          <w:rFonts w:eastAsiaTheme="minorHAnsi"/>
          <w:lang w:eastAsia="en-US"/>
          <w14:ligatures w14:val="standardContextual"/>
        </w:rPr>
        <w:t xml:space="preserve">iespējamo kaitējumu kapitālsabiedrības interesēm. </w:t>
      </w:r>
    </w:p>
    <w:p w14:paraId="53295BD6" w14:textId="55213008" w:rsidR="004C4017" w:rsidRDefault="004C4017" w:rsidP="003D669D">
      <w:pPr>
        <w:spacing w:line="276" w:lineRule="auto"/>
        <w:ind w:firstLine="720"/>
        <w:contextualSpacing/>
        <w:jc w:val="both"/>
        <w:rPr>
          <w:rFonts w:eastAsiaTheme="minorHAnsi"/>
          <w:lang w:eastAsia="en-US"/>
          <w14:ligatures w14:val="standardContextual"/>
        </w:rPr>
      </w:pPr>
      <w:r w:rsidRPr="001B5970">
        <w:rPr>
          <w:rFonts w:eastAsiaTheme="minorHAnsi"/>
          <w:lang w:eastAsia="en-US"/>
          <w14:ligatures w14:val="standardContextual"/>
        </w:rPr>
        <w:t>[</w:t>
      </w:r>
      <w:r>
        <w:rPr>
          <w:rFonts w:eastAsiaTheme="minorHAnsi"/>
          <w:lang w:eastAsia="en-US"/>
          <w14:ligatures w14:val="standardContextual"/>
        </w:rPr>
        <w:t>3.2</w:t>
      </w:r>
      <w:r w:rsidRPr="001B5970">
        <w:rPr>
          <w:rFonts w:eastAsiaTheme="minorHAnsi"/>
          <w:lang w:eastAsia="en-US"/>
          <w14:ligatures w14:val="standardContextual"/>
        </w:rPr>
        <w:t>] Konkrētajā gadījumā pieteicēj</w:t>
      </w:r>
      <w:r>
        <w:rPr>
          <w:rFonts w:eastAsiaTheme="minorHAnsi"/>
          <w:lang w:eastAsia="en-US"/>
          <w14:ligatures w14:val="standardContextual"/>
        </w:rPr>
        <w:t>a p</w:t>
      </w:r>
      <w:r w:rsidRPr="001B5970">
        <w:rPr>
          <w:rFonts w:eastAsiaTheme="minorHAnsi"/>
          <w:lang w:eastAsia="en-US"/>
          <w14:ligatures w14:val="standardContextual"/>
        </w:rPr>
        <w:t>ieprasītaj</w:t>
      </w:r>
      <w:r>
        <w:rPr>
          <w:rFonts w:eastAsiaTheme="minorHAnsi"/>
          <w:lang w:eastAsia="en-US"/>
          <w14:ligatures w14:val="standardContextual"/>
        </w:rPr>
        <w:t>ā</w:t>
      </w:r>
      <w:r w:rsidRPr="001B5970">
        <w:rPr>
          <w:rFonts w:eastAsiaTheme="minorHAnsi"/>
          <w:lang w:eastAsia="en-US"/>
          <w14:ligatures w14:val="standardContextual"/>
        </w:rPr>
        <w:t xml:space="preserve">s </w:t>
      </w:r>
      <w:r>
        <w:rPr>
          <w:rFonts w:eastAsiaTheme="minorHAnsi"/>
          <w:lang w:eastAsia="en-US"/>
          <w14:ligatures w14:val="standardContextual"/>
        </w:rPr>
        <w:t>tāmēs</w:t>
      </w:r>
      <w:r w:rsidRPr="001B5970">
        <w:rPr>
          <w:rFonts w:eastAsiaTheme="minorHAnsi"/>
          <w:lang w:eastAsia="en-US"/>
          <w14:ligatures w14:val="standardContextual"/>
        </w:rPr>
        <w:t xml:space="preserve"> ir atspoguļotas iepirkumā uzvarējušā pretendenta</w:t>
      </w:r>
      <w:r>
        <w:rPr>
          <w:rFonts w:eastAsiaTheme="minorHAnsi"/>
          <w:lang w:eastAsia="en-US"/>
          <w14:ligatures w14:val="standardContextual"/>
        </w:rPr>
        <w:t xml:space="preserve"> </w:t>
      </w:r>
      <w:r w:rsidRPr="001B5970">
        <w:rPr>
          <w:rFonts w:eastAsiaTheme="minorHAnsi"/>
          <w:lang w:eastAsia="en-US"/>
          <w14:ligatures w14:val="standardContextual"/>
        </w:rPr>
        <w:t xml:space="preserve">piedāvājumā iekļautās un faktiskās objekta būvniecības izmaksas. </w:t>
      </w:r>
      <w:r>
        <w:rPr>
          <w:rFonts w:eastAsiaTheme="minorHAnsi"/>
          <w:lang w:eastAsia="en-US"/>
          <w14:ligatures w14:val="standardContextual"/>
        </w:rPr>
        <w:t>Š</w:t>
      </w:r>
      <w:r w:rsidRPr="001B5970">
        <w:rPr>
          <w:rFonts w:eastAsiaTheme="minorHAnsi"/>
          <w:lang w:eastAsia="en-US"/>
          <w14:ligatures w14:val="standardContextual"/>
        </w:rPr>
        <w:t>ī informācija ir</w:t>
      </w:r>
      <w:r>
        <w:rPr>
          <w:rFonts w:eastAsiaTheme="minorHAnsi"/>
          <w:lang w:eastAsia="en-US"/>
          <w14:ligatures w14:val="standardContextual"/>
        </w:rPr>
        <w:t xml:space="preserve"> </w:t>
      </w:r>
      <w:r w:rsidRPr="001B5970">
        <w:rPr>
          <w:rFonts w:eastAsiaTheme="minorHAnsi"/>
          <w:lang w:eastAsia="en-US"/>
          <w14:ligatures w14:val="standardContextual"/>
        </w:rPr>
        <w:t xml:space="preserve">uzskatāma par komercnoslēpumu. </w:t>
      </w:r>
      <w:r>
        <w:rPr>
          <w:rFonts w:eastAsiaTheme="minorHAnsi"/>
          <w:lang w:eastAsia="en-US"/>
          <w14:ligatures w14:val="standardContextual"/>
        </w:rPr>
        <w:t xml:space="preserve">Savukārt trešās personas apgalvojums, ka </w:t>
      </w:r>
      <w:r w:rsidRPr="001B5970">
        <w:rPr>
          <w:rFonts w:eastAsiaTheme="minorHAnsi"/>
          <w:lang w:eastAsia="en-US"/>
          <w14:ligatures w14:val="standardContextual"/>
        </w:rPr>
        <w:t xml:space="preserve">būvniecības tāmēs ir iekļauta arī </w:t>
      </w:r>
      <w:r w:rsidR="00BC097C">
        <w:rPr>
          <w:rFonts w:eastAsiaTheme="minorHAnsi"/>
          <w:lang w:eastAsia="en-US"/>
          <w14:ligatures w14:val="standardContextual"/>
        </w:rPr>
        <w:t xml:space="preserve">cita aizsargājama </w:t>
      </w:r>
      <w:r w:rsidRPr="001B5970">
        <w:rPr>
          <w:rFonts w:eastAsiaTheme="minorHAnsi"/>
          <w:lang w:eastAsia="en-US"/>
          <w14:ligatures w14:val="standardContextual"/>
        </w:rPr>
        <w:t>informācija</w:t>
      </w:r>
      <w:r w:rsidR="00BC097C">
        <w:rPr>
          <w:rFonts w:eastAsiaTheme="minorHAnsi"/>
          <w:lang w:eastAsia="en-US"/>
          <w14:ligatures w14:val="standardContextual"/>
        </w:rPr>
        <w:t xml:space="preserve">, </w:t>
      </w:r>
      <w:r w:rsidRPr="001B5970">
        <w:rPr>
          <w:rFonts w:eastAsiaTheme="minorHAnsi"/>
          <w:lang w:eastAsia="en-US"/>
          <w14:ligatures w14:val="standardContextual"/>
        </w:rPr>
        <w:t>nav</w:t>
      </w:r>
      <w:r>
        <w:rPr>
          <w:rFonts w:eastAsiaTheme="minorHAnsi"/>
          <w:lang w:eastAsia="en-US"/>
          <w14:ligatures w14:val="standardContextual"/>
        </w:rPr>
        <w:t xml:space="preserve"> </w:t>
      </w:r>
      <w:r w:rsidRPr="001B5970">
        <w:rPr>
          <w:rFonts w:eastAsiaTheme="minorHAnsi"/>
          <w:lang w:eastAsia="en-US"/>
          <w14:ligatures w14:val="standardContextual"/>
        </w:rPr>
        <w:t>konkretizēts, tāpēc tiesai nav pamata secināt, ka pieprasītajās tāmēs būtu iekļauta</w:t>
      </w:r>
      <w:r>
        <w:rPr>
          <w:rFonts w:eastAsiaTheme="minorHAnsi"/>
          <w:lang w:eastAsia="en-US"/>
          <w14:ligatures w14:val="standardContextual"/>
        </w:rPr>
        <w:t xml:space="preserve"> </w:t>
      </w:r>
      <w:r w:rsidRPr="001B5970">
        <w:rPr>
          <w:rFonts w:eastAsiaTheme="minorHAnsi"/>
          <w:lang w:eastAsia="en-US"/>
          <w14:ligatures w14:val="standardContextual"/>
        </w:rPr>
        <w:t xml:space="preserve">komersanta </w:t>
      </w:r>
      <w:r w:rsidR="00BC097C" w:rsidRPr="001B5970">
        <w:rPr>
          <w:rFonts w:eastAsiaTheme="minorHAnsi"/>
          <w:lang w:eastAsia="en-US"/>
          <w14:ligatures w14:val="standardContextual"/>
        </w:rPr>
        <w:t xml:space="preserve">neizpaužama </w:t>
      </w:r>
      <w:r w:rsidRPr="001B5970">
        <w:rPr>
          <w:rFonts w:eastAsiaTheme="minorHAnsi"/>
          <w:lang w:eastAsia="en-US"/>
          <w14:ligatures w14:val="standardContextual"/>
        </w:rPr>
        <w:t>zinātība.</w:t>
      </w:r>
      <w:r w:rsidR="00BC097C">
        <w:rPr>
          <w:rFonts w:eastAsiaTheme="minorHAnsi"/>
          <w:lang w:eastAsia="en-US"/>
          <w14:ligatures w14:val="standardContextual"/>
        </w:rPr>
        <w:t xml:space="preserve"> </w:t>
      </w:r>
    </w:p>
    <w:p w14:paraId="74B4EFB7" w14:textId="410B72B7" w:rsidR="004C4017" w:rsidRDefault="004C4017" w:rsidP="003D669D">
      <w:pPr>
        <w:spacing w:line="276" w:lineRule="auto"/>
        <w:ind w:firstLine="720"/>
        <w:contextualSpacing/>
        <w:jc w:val="both"/>
        <w:rPr>
          <w:rFonts w:eastAsiaTheme="minorHAnsi"/>
          <w:lang w:eastAsia="en-US"/>
          <w14:ligatures w14:val="standardContextual"/>
        </w:rPr>
      </w:pPr>
      <w:r w:rsidRPr="001B5970">
        <w:rPr>
          <w:rFonts w:eastAsiaTheme="minorHAnsi"/>
          <w:lang w:eastAsia="en-US"/>
          <w14:ligatures w14:val="standardContextual"/>
        </w:rPr>
        <w:t>[</w:t>
      </w:r>
      <w:r>
        <w:rPr>
          <w:rFonts w:eastAsiaTheme="minorHAnsi"/>
          <w:lang w:eastAsia="en-US"/>
          <w14:ligatures w14:val="standardContextual"/>
        </w:rPr>
        <w:t>3.3</w:t>
      </w:r>
      <w:r w:rsidRPr="001B5970">
        <w:rPr>
          <w:rFonts w:eastAsiaTheme="minorHAnsi"/>
          <w:lang w:eastAsia="en-US"/>
          <w14:ligatures w14:val="standardContextual"/>
        </w:rPr>
        <w:t xml:space="preserve">] Pieteicējs, vēršoties iestādē, </w:t>
      </w:r>
      <w:r>
        <w:rPr>
          <w:rFonts w:eastAsiaTheme="minorHAnsi"/>
          <w:lang w:eastAsia="en-US"/>
          <w14:ligatures w14:val="standardContextual"/>
        </w:rPr>
        <w:t xml:space="preserve">ir </w:t>
      </w:r>
      <w:r w:rsidRPr="001B5970">
        <w:rPr>
          <w:rFonts w:eastAsiaTheme="minorHAnsi"/>
          <w:lang w:eastAsia="en-US"/>
          <w14:ligatures w14:val="standardContextual"/>
        </w:rPr>
        <w:t>norādīj</w:t>
      </w:r>
      <w:r>
        <w:rPr>
          <w:rFonts w:eastAsiaTheme="minorHAnsi"/>
          <w:lang w:eastAsia="en-US"/>
          <w14:ligatures w14:val="standardContextual"/>
        </w:rPr>
        <w:t>is</w:t>
      </w:r>
      <w:r w:rsidRPr="001B5970">
        <w:rPr>
          <w:rFonts w:eastAsiaTheme="minorHAnsi"/>
          <w:lang w:eastAsia="en-US"/>
          <w14:ligatures w14:val="standardContextual"/>
        </w:rPr>
        <w:t xml:space="preserve">, ka viņš ir valsts SIA </w:t>
      </w:r>
      <w:r>
        <w:rPr>
          <w:rFonts w:eastAsiaTheme="minorHAnsi"/>
          <w:lang w:eastAsia="en-US"/>
          <w14:ligatures w14:val="standardContextual"/>
        </w:rPr>
        <w:t>„</w:t>
      </w:r>
      <w:r w:rsidRPr="001B5970">
        <w:rPr>
          <w:rFonts w:eastAsiaTheme="minorHAnsi"/>
          <w:lang w:eastAsia="en-US"/>
          <w14:ligatures w14:val="standardContextual"/>
        </w:rPr>
        <w:t>Latvijas Televīzija” raidījuma</w:t>
      </w:r>
      <w:r>
        <w:rPr>
          <w:rFonts w:eastAsiaTheme="minorHAnsi"/>
          <w:lang w:eastAsia="en-US"/>
          <w14:ligatures w14:val="standardContextual"/>
        </w:rPr>
        <w:t xml:space="preserve"> „</w:t>
      </w:r>
      <w:r w:rsidRPr="001B5970">
        <w:rPr>
          <w:rFonts w:eastAsiaTheme="minorHAnsi"/>
          <w:lang w:eastAsia="en-US"/>
          <w14:ligatures w14:val="standardContextual"/>
        </w:rPr>
        <w:t>Aizliegtais paņēmiens” žurnālists</w:t>
      </w:r>
      <w:r>
        <w:rPr>
          <w:rFonts w:eastAsiaTheme="minorHAnsi"/>
          <w:lang w:eastAsia="en-US"/>
          <w14:ligatures w14:val="standardContextual"/>
        </w:rPr>
        <w:t xml:space="preserve"> un</w:t>
      </w:r>
      <w:r w:rsidRPr="001B5970">
        <w:rPr>
          <w:rFonts w:eastAsiaTheme="minorHAnsi"/>
          <w:lang w:eastAsia="en-US"/>
          <w14:ligatures w14:val="standardContextual"/>
        </w:rPr>
        <w:t xml:space="preserve"> dokumentus lūdz izsniegt, lai nodrošinātu sabiedrības interes</w:t>
      </w:r>
      <w:r>
        <w:rPr>
          <w:rFonts w:eastAsiaTheme="minorHAnsi"/>
          <w:lang w:eastAsia="en-US"/>
          <w14:ligatures w14:val="standardContextual"/>
        </w:rPr>
        <w:t>i būt informētai par nodokļu maksātāju naudas izlietojuma pamatotību, ņemot vērā, ka publiskajos iepirkumos mēdz būt dažādi pārkāpumi. Izvērtējot tāmes, pieteicējs analizētu, vai tāmes nav bijušas mākslīgi sadārdzinātas</w:t>
      </w:r>
      <w:r w:rsidRPr="001B5970">
        <w:rPr>
          <w:rFonts w:eastAsiaTheme="minorHAnsi"/>
          <w:lang w:eastAsia="en-US"/>
          <w14:ligatures w14:val="standardContextual"/>
        </w:rPr>
        <w:t>, vai tās atbilst</w:t>
      </w:r>
      <w:r>
        <w:rPr>
          <w:rFonts w:eastAsiaTheme="minorHAnsi"/>
          <w:lang w:eastAsia="en-US"/>
          <w14:ligatures w14:val="standardContextual"/>
        </w:rPr>
        <w:t xml:space="preserve"> </w:t>
      </w:r>
      <w:r w:rsidRPr="001B5970">
        <w:rPr>
          <w:rFonts w:eastAsiaTheme="minorHAnsi"/>
          <w:lang w:eastAsia="en-US"/>
          <w14:ligatures w14:val="standardContextual"/>
        </w:rPr>
        <w:t>vidējiem tirgus rādītājiem</w:t>
      </w:r>
      <w:r>
        <w:rPr>
          <w:rFonts w:eastAsiaTheme="minorHAnsi"/>
          <w:lang w:eastAsia="en-US"/>
          <w14:ligatures w14:val="standardContextual"/>
        </w:rPr>
        <w:t xml:space="preserve"> u.tml. Tādējādi pieteicējs ir</w:t>
      </w:r>
      <w:r w:rsidRPr="001B5970">
        <w:rPr>
          <w:rFonts w:eastAsiaTheme="minorHAnsi"/>
          <w:lang w:eastAsia="en-US"/>
          <w14:ligatures w14:val="standardContextual"/>
        </w:rPr>
        <w:t xml:space="preserve"> izskaidrojis, kādu mērķu</w:t>
      </w:r>
      <w:r>
        <w:rPr>
          <w:rFonts w:eastAsiaTheme="minorHAnsi"/>
          <w:lang w:eastAsia="en-US"/>
          <w14:ligatures w14:val="standardContextual"/>
        </w:rPr>
        <w:t xml:space="preserve"> </w:t>
      </w:r>
      <w:r w:rsidRPr="001B5970">
        <w:rPr>
          <w:rFonts w:eastAsiaTheme="minorHAnsi"/>
          <w:lang w:eastAsia="en-US"/>
          <w14:ligatures w14:val="standardContextual"/>
        </w:rPr>
        <w:t>sasniegšanai informācija tiek pieprasīta, kādi aspekti iepirkumu jomā ir pievērsuši žurnālista</w:t>
      </w:r>
      <w:r>
        <w:rPr>
          <w:rFonts w:eastAsiaTheme="minorHAnsi"/>
          <w:lang w:eastAsia="en-US"/>
          <w14:ligatures w14:val="standardContextual"/>
        </w:rPr>
        <w:t xml:space="preserve"> </w:t>
      </w:r>
      <w:r w:rsidRPr="001B5970">
        <w:rPr>
          <w:rFonts w:eastAsiaTheme="minorHAnsi"/>
          <w:lang w:eastAsia="en-US"/>
          <w14:ligatures w14:val="standardContextual"/>
        </w:rPr>
        <w:t xml:space="preserve">pastiprinātu uzmanību, kādus aspektus ir plānots detalizēti analizēt. </w:t>
      </w:r>
      <w:r>
        <w:rPr>
          <w:rFonts w:eastAsiaTheme="minorHAnsi"/>
          <w:lang w:eastAsia="en-US"/>
          <w14:ligatures w14:val="standardContextual"/>
        </w:rPr>
        <w:t>P</w:t>
      </w:r>
      <w:r w:rsidRPr="001B5970">
        <w:rPr>
          <w:rFonts w:eastAsiaTheme="minorHAnsi"/>
          <w:lang w:eastAsia="en-US"/>
          <w14:ligatures w14:val="standardContextual"/>
        </w:rPr>
        <w:t>ieprasītā</w:t>
      </w:r>
      <w:r>
        <w:rPr>
          <w:rFonts w:eastAsiaTheme="minorHAnsi"/>
          <w:lang w:eastAsia="en-US"/>
          <w14:ligatures w14:val="standardContextual"/>
        </w:rPr>
        <w:t xml:space="preserve"> </w:t>
      </w:r>
      <w:r w:rsidRPr="001B5970">
        <w:rPr>
          <w:rFonts w:eastAsiaTheme="minorHAnsi"/>
          <w:lang w:eastAsia="en-US"/>
          <w14:ligatures w14:val="standardContextual"/>
        </w:rPr>
        <w:t>informācija</w:t>
      </w:r>
      <w:r>
        <w:rPr>
          <w:rFonts w:eastAsiaTheme="minorHAnsi"/>
          <w:lang w:eastAsia="en-US"/>
          <w14:ligatures w14:val="standardContextual"/>
        </w:rPr>
        <w:t xml:space="preserve"> </w:t>
      </w:r>
      <w:r w:rsidRPr="001B5970">
        <w:rPr>
          <w:rFonts w:eastAsiaTheme="minorHAnsi"/>
          <w:lang w:eastAsia="en-US"/>
          <w14:ligatures w14:val="standardContextual"/>
        </w:rPr>
        <w:t xml:space="preserve">atbilst pieteicēja norādītajiem mērķiem. </w:t>
      </w:r>
    </w:p>
    <w:p w14:paraId="5C5D2A8D" w14:textId="6778EF46" w:rsidR="004C4017" w:rsidRDefault="004C4017" w:rsidP="003D669D">
      <w:pPr>
        <w:spacing w:line="276" w:lineRule="auto"/>
        <w:ind w:firstLine="720"/>
        <w:contextualSpacing/>
        <w:jc w:val="both"/>
        <w:rPr>
          <w:rFonts w:eastAsiaTheme="minorHAnsi"/>
          <w:lang w:eastAsia="en-US"/>
          <w14:ligatures w14:val="standardContextual"/>
        </w:rPr>
      </w:pPr>
      <w:r>
        <w:rPr>
          <w:rFonts w:eastAsiaTheme="minorHAnsi"/>
          <w:lang w:eastAsia="en-US"/>
          <w14:ligatures w14:val="standardContextual"/>
        </w:rPr>
        <w:t xml:space="preserve">Nepamatots ir atbildētāja norādītais, ka tagad pieteicējs </w:t>
      </w:r>
      <w:r w:rsidRPr="001B5970">
        <w:rPr>
          <w:rFonts w:eastAsiaTheme="minorHAnsi"/>
          <w:lang w:eastAsia="en-US"/>
          <w14:ligatures w14:val="standardContextual"/>
        </w:rPr>
        <w:t>ir</w:t>
      </w:r>
      <w:r>
        <w:rPr>
          <w:rFonts w:eastAsiaTheme="minorHAnsi"/>
          <w:lang w:eastAsia="en-US"/>
          <w14:ligatures w14:val="standardContextual"/>
        </w:rPr>
        <w:t xml:space="preserve"> </w:t>
      </w:r>
      <w:r w:rsidRPr="001B5970">
        <w:rPr>
          <w:rFonts w:eastAsiaTheme="minorHAnsi"/>
          <w:lang w:eastAsia="en-US"/>
          <w14:ligatures w14:val="standardContextual"/>
        </w:rPr>
        <w:t>pametis žurnālistiku</w:t>
      </w:r>
      <w:r>
        <w:rPr>
          <w:rFonts w:eastAsiaTheme="minorHAnsi"/>
          <w:lang w:eastAsia="en-US"/>
          <w14:ligatures w14:val="standardContextual"/>
        </w:rPr>
        <w:t xml:space="preserve">. Pieteicējs gan </w:t>
      </w:r>
      <w:r w:rsidRPr="001B5970">
        <w:rPr>
          <w:rFonts w:eastAsiaTheme="minorHAnsi"/>
          <w:lang w:eastAsia="en-US"/>
          <w14:ligatures w14:val="standardContextual"/>
        </w:rPr>
        <w:t>vairs</w:t>
      </w:r>
      <w:r>
        <w:rPr>
          <w:rFonts w:eastAsiaTheme="minorHAnsi"/>
          <w:lang w:eastAsia="en-US"/>
          <w14:ligatures w14:val="standardContextual"/>
        </w:rPr>
        <w:t xml:space="preserve"> </w:t>
      </w:r>
      <w:r w:rsidRPr="001B5970">
        <w:rPr>
          <w:rFonts w:eastAsiaTheme="minorHAnsi"/>
          <w:lang w:eastAsia="en-US"/>
          <w14:ligatures w14:val="standardContextual"/>
        </w:rPr>
        <w:t>nav darba tiesiskajās attiecīb</w:t>
      </w:r>
      <w:r>
        <w:rPr>
          <w:rFonts w:eastAsiaTheme="minorHAnsi"/>
          <w:lang w:eastAsia="en-US"/>
          <w14:ligatures w14:val="standardContextual"/>
        </w:rPr>
        <w:t>ā</w:t>
      </w:r>
      <w:r w:rsidRPr="001B5970">
        <w:rPr>
          <w:rFonts w:eastAsiaTheme="minorHAnsi"/>
          <w:lang w:eastAsia="en-US"/>
          <w14:ligatures w14:val="standardContextual"/>
        </w:rPr>
        <w:t xml:space="preserve">s </w:t>
      </w:r>
      <w:r>
        <w:rPr>
          <w:rFonts w:eastAsiaTheme="minorHAnsi"/>
          <w:lang w:eastAsia="en-US"/>
          <w14:ligatures w14:val="standardContextual"/>
        </w:rPr>
        <w:t xml:space="preserve">ar </w:t>
      </w:r>
      <w:r w:rsidRPr="001B5970">
        <w:rPr>
          <w:rFonts w:eastAsiaTheme="minorHAnsi"/>
          <w:lang w:eastAsia="en-US"/>
          <w14:ligatures w14:val="standardContextual"/>
        </w:rPr>
        <w:t xml:space="preserve">valsts SIA </w:t>
      </w:r>
      <w:r>
        <w:rPr>
          <w:rFonts w:eastAsiaTheme="minorHAnsi"/>
          <w:lang w:eastAsia="en-US"/>
          <w14:ligatures w14:val="standardContextual"/>
        </w:rPr>
        <w:t>„</w:t>
      </w:r>
      <w:r w:rsidRPr="001B5970">
        <w:rPr>
          <w:rFonts w:eastAsiaTheme="minorHAnsi"/>
          <w:lang w:eastAsia="en-US"/>
          <w14:ligatures w14:val="standardContextual"/>
        </w:rPr>
        <w:t>Latvijas Televīzija”</w:t>
      </w:r>
      <w:r>
        <w:rPr>
          <w:rFonts w:eastAsiaTheme="minorHAnsi"/>
          <w:lang w:eastAsia="en-US"/>
          <w14:ligatures w14:val="standardContextual"/>
        </w:rPr>
        <w:t xml:space="preserve">, tomēr atbilstoši viņa pārstāves paskaidrotajam </w:t>
      </w:r>
      <w:r w:rsidRPr="001B5970">
        <w:rPr>
          <w:rFonts w:eastAsiaTheme="minorHAnsi"/>
          <w:lang w:eastAsia="en-US"/>
          <w14:ligatures w14:val="standardContextual"/>
        </w:rPr>
        <w:t>turpina darboties žurnālistikā kā neatkarīgais žurnālists, plāno veidot</w:t>
      </w:r>
      <w:r>
        <w:rPr>
          <w:rFonts w:eastAsiaTheme="minorHAnsi"/>
          <w:lang w:eastAsia="en-US"/>
          <w14:ligatures w14:val="standardContextual"/>
        </w:rPr>
        <w:t xml:space="preserve"> </w:t>
      </w:r>
      <w:r w:rsidRPr="001B5970">
        <w:rPr>
          <w:rFonts w:eastAsiaTheme="minorHAnsi"/>
          <w:lang w:eastAsia="en-US"/>
          <w14:ligatures w14:val="standardContextual"/>
        </w:rPr>
        <w:t xml:space="preserve">savus raidījumus, sadarboties ar dažādiem medijiem. </w:t>
      </w:r>
      <w:r>
        <w:rPr>
          <w:rFonts w:eastAsiaTheme="minorHAnsi"/>
          <w:lang w:eastAsia="en-US"/>
          <w14:ligatures w14:val="standardContextual"/>
        </w:rPr>
        <w:t xml:space="preserve">To apliecina arī </w:t>
      </w:r>
      <w:r w:rsidRPr="001B5970">
        <w:rPr>
          <w:rFonts w:eastAsiaTheme="minorHAnsi"/>
          <w:lang w:eastAsia="en-US"/>
          <w14:ligatures w14:val="standardContextual"/>
        </w:rPr>
        <w:t>valsts SIA</w:t>
      </w:r>
      <w:r>
        <w:rPr>
          <w:rFonts w:eastAsiaTheme="minorHAnsi"/>
          <w:lang w:eastAsia="en-US"/>
          <w14:ligatures w14:val="standardContextual"/>
        </w:rPr>
        <w:t xml:space="preserve"> „</w:t>
      </w:r>
      <w:r w:rsidRPr="001B5970">
        <w:rPr>
          <w:rFonts w:eastAsiaTheme="minorHAnsi"/>
          <w:lang w:eastAsia="en-US"/>
          <w14:ligatures w14:val="standardContextual"/>
        </w:rPr>
        <w:t>Latvijas Televīzija” vēstule.</w:t>
      </w:r>
      <w:r>
        <w:rPr>
          <w:rFonts w:eastAsiaTheme="minorHAnsi"/>
          <w:lang w:eastAsia="en-US"/>
          <w14:ligatures w14:val="standardContextual"/>
        </w:rPr>
        <w:t xml:space="preserve"> Līdz ar to pieteicējs joprojām ir žurnālists, nevis tikai persona ar </w:t>
      </w:r>
      <w:r w:rsidRPr="001B5970">
        <w:rPr>
          <w:rFonts w:eastAsiaTheme="minorHAnsi"/>
          <w:lang w:eastAsia="en-US"/>
          <w14:ligatures w14:val="standardContextual"/>
        </w:rPr>
        <w:t>žurnālistisku interesi.</w:t>
      </w:r>
      <w:r>
        <w:rPr>
          <w:rFonts w:eastAsiaTheme="minorHAnsi"/>
          <w:lang w:eastAsia="en-US"/>
          <w14:ligatures w14:val="standardContextual"/>
        </w:rPr>
        <w:t xml:space="preserve"> </w:t>
      </w:r>
    </w:p>
    <w:p w14:paraId="2812FAFB" w14:textId="60319AC6" w:rsidR="004C4017" w:rsidRDefault="004C4017" w:rsidP="003D669D">
      <w:pPr>
        <w:spacing w:line="276" w:lineRule="auto"/>
        <w:ind w:firstLine="720"/>
        <w:contextualSpacing/>
        <w:jc w:val="both"/>
        <w:rPr>
          <w:rFonts w:eastAsiaTheme="minorHAnsi"/>
          <w:lang w:eastAsia="en-US"/>
          <w14:ligatures w14:val="standardContextual"/>
        </w:rPr>
      </w:pPr>
      <w:r w:rsidRPr="001B5970">
        <w:rPr>
          <w:rFonts w:eastAsiaTheme="minorHAnsi"/>
          <w:lang w:eastAsia="en-US"/>
          <w14:ligatures w14:val="standardContextual"/>
        </w:rPr>
        <w:t>[</w:t>
      </w:r>
      <w:r>
        <w:rPr>
          <w:rFonts w:eastAsiaTheme="minorHAnsi"/>
          <w:lang w:eastAsia="en-US"/>
          <w14:ligatures w14:val="standardContextual"/>
        </w:rPr>
        <w:t>3.4</w:t>
      </w:r>
      <w:r w:rsidRPr="001B5970">
        <w:rPr>
          <w:rFonts w:eastAsiaTheme="minorHAnsi"/>
          <w:lang w:eastAsia="en-US"/>
          <w14:ligatures w14:val="standardContextual"/>
        </w:rPr>
        <w:t xml:space="preserve">] Iestāde </w:t>
      </w:r>
      <w:r>
        <w:rPr>
          <w:rFonts w:eastAsiaTheme="minorHAnsi"/>
          <w:lang w:eastAsia="en-US"/>
          <w14:ligatures w14:val="standardContextual"/>
        </w:rPr>
        <w:t xml:space="preserve">nav pienācīgi pamatojusi, kāpēc komercnoslēpuma aizsardzības interese konkrētajā gadījumā atsver pieteicēja leģitīmo interesi. </w:t>
      </w:r>
    </w:p>
    <w:p w14:paraId="7893C7B6" w14:textId="1BA28EC9" w:rsidR="004C4017" w:rsidRDefault="004C4017" w:rsidP="003D669D">
      <w:pPr>
        <w:spacing w:line="276" w:lineRule="auto"/>
        <w:ind w:firstLine="720"/>
        <w:contextualSpacing/>
        <w:jc w:val="both"/>
        <w:rPr>
          <w:rFonts w:eastAsiaTheme="minorHAnsi"/>
          <w:lang w:eastAsia="en-US"/>
          <w14:ligatures w14:val="standardContextual"/>
        </w:rPr>
      </w:pPr>
      <w:r>
        <w:rPr>
          <w:rFonts w:eastAsiaTheme="minorHAnsi"/>
          <w:lang w:eastAsia="en-US"/>
          <w14:ligatures w14:val="standardContextual"/>
        </w:rPr>
        <w:t>[3.5] Vērtējot, vai tāmēs iekļauto cenu</w:t>
      </w:r>
      <w:r w:rsidRPr="001B5970">
        <w:rPr>
          <w:rFonts w:eastAsiaTheme="minorHAnsi"/>
          <w:lang w:eastAsia="en-US"/>
          <w14:ligatures w14:val="standardContextual"/>
        </w:rPr>
        <w:t xml:space="preserve"> izpaušana</w:t>
      </w:r>
      <w:r>
        <w:rPr>
          <w:rFonts w:eastAsiaTheme="minorHAnsi"/>
          <w:lang w:eastAsia="en-US"/>
          <w14:ligatures w14:val="standardContextual"/>
        </w:rPr>
        <w:t xml:space="preserve"> </w:t>
      </w:r>
      <w:r w:rsidRPr="001B5970">
        <w:rPr>
          <w:rFonts w:eastAsiaTheme="minorHAnsi"/>
          <w:lang w:eastAsia="en-US"/>
          <w14:ligatures w14:val="standardContextual"/>
        </w:rPr>
        <w:t>varētu radīt būtisku kaitējumu trešajai personai</w:t>
      </w:r>
      <w:r>
        <w:rPr>
          <w:rFonts w:eastAsiaTheme="minorHAnsi"/>
          <w:lang w:eastAsia="en-US"/>
          <w14:ligatures w14:val="standardContextual"/>
        </w:rPr>
        <w:t>, ņemams vērā, ka tr</w:t>
      </w:r>
      <w:r w:rsidRPr="001B5970">
        <w:rPr>
          <w:rFonts w:eastAsiaTheme="minorHAnsi"/>
          <w:lang w:eastAsia="en-US"/>
          <w14:ligatures w14:val="standardContextual"/>
        </w:rPr>
        <w:t xml:space="preserve">ešās personas pārstāvis tāmētājs </w:t>
      </w:r>
      <w:r w:rsidR="002041F8">
        <w:rPr>
          <w:rFonts w:eastAsiaTheme="minorHAnsi"/>
          <w:lang w:eastAsia="en-US"/>
          <w14:ligatures w14:val="standardContextual"/>
        </w:rPr>
        <w:t xml:space="preserve">[pers. B] </w:t>
      </w:r>
      <w:r>
        <w:rPr>
          <w:rFonts w:eastAsiaTheme="minorHAnsi"/>
          <w:lang w:eastAsia="en-US"/>
          <w14:ligatures w14:val="standardContextual"/>
        </w:rPr>
        <w:t xml:space="preserve">paskaidroja, ka tagad </w:t>
      </w:r>
      <w:r w:rsidRPr="001B5970">
        <w:rPr>
          <w:rFonts w:eastAsiaTheme="minorHAnsi"/>
          <w:lang w:eastAsia="en-US"/>
          <w14:ligatures w14:val="standardContextual"/>
        </w:rPr>
        <w:t>cenas ir pieaugušas, ja tās salīdzina ar laika posmu, kad tika</w:t>
      </w:r>
      <w:r>
        <w:rPr>
          <w:rFonts w:eastAsiaTheme="minorHAnsi"/>
          <w:lang w:eastAsia="en-US"/>
          <w14:ligatures w14:val="standardContextual"/>
        </w:rPr>
        <w:t xml:space="preserve"> </w:t>
      </w:r>
      <w:r w:rsidRPr="001B5970">
        <w:rPr>
          <w:rFonts w:eastAsiaTheme="minorHAnsi"/>
          <w:lang w:eastAsia="en-US"/>
          <w14:ligatures w14:val="standardContextual"/>
        </w:rPr>
        <w:t>sagatavotas strīdus tāmes</w:t>
      </w:r>
      <w:r>
        <w:rPr>
          <w:rFonts w:eastAsiaTheme="minorHAnsi"/>
          <w:lang w:eastAsia="en-US"/>
          <w14:ligatures w14:val="standardContextual"/>
        </w:rPr>
        <w:t>. B</w:t>
      </w:r>
      <w:r w:rsidRPr="001B5970">
        <w:rPr>
          <w:rFonts w:eastAsiaTheme="minorHAnsi"/>
          <w:lang w:eastAsia="en-US"/>
          <w14:ligatures w14:val="standardContextual"/>
        </w:rPr>
        <w:t xml:space="preserve">ūvniecības izmaksas </w:t>
      </w:r>
      <w:r>
        <w:rPr>
          <w:rFonts w:eastAsiaTheme="minorHAnsi"/>
          <w:lang w:eastAsia="en-US"/>
          <w14:ligatures w14:val="standardContextual"/>
        </w:rPr>
        <w:t xml:space="preserve">esot </w:t>
      </w:r>
      <w:r w:rsidRPr="001B5970">
        <w:rPr>
          <w:rFonts w:eastAsiaTheme="minorHAnsi"/>
          <w:lang w:eastAsia="en-US"/>
          <w14:ligatures w14:val="standardContextual"/>
        </w:rPr>
        <w:t>mainīj</w:t>
      </w:r>
      <w:r w:rsidR="008D77AA">
        <w:rPr>
          <w:rFonts w:eastAsiaTheme="minorHAnsi"/>
          <w:lang w:eastAsia="en-US"/>
          <w14:ligatures w14:val="standardContextual"/>
        </w:rPr>
        <w:t>ušās</w:t>
      </w:r>
      <w:r w:rsidRPr="001B5970">
        <w:rPr>
          <w:rFonts w:eastAsiaTheme="minorHAnsi"/>
          <w:lang w:eastAsia="en-US"/>
          <w14:ligatures w14:val="standardContextual"/>
        </w:rPr>
        <w:t xml:space="preserve"> pat paša būvniecības procesa laikā. </w:t>
      </w:r>
      <w:r>
        <w:rPr>
          <w:rFonts w:eastAsiaTheme="minorHAnsi"/>
          <w:lang w:eastAsia="en-US"/>
          <w14:ligatures w14:val="standardContextual"/>
        </w:rPr>
        <w:t>Ievērojot minēto, secināms, ka s</w:t>
      </w:r>
      <w:r w:rsidRPr="001B5970">
        <w:rPr>
          <w:rFonts w:eastAsiaTheme="minorHAnsi"/>
          <w:lang w:eastAsia="en-US"/>
          <w14:ligatures w14:val="standardContextual"/>
        </w:rPr>
        <w:t>trīdus būvniecības tām</w:t>
      </w:r>
      <w:r>
        <w:rPr>
          <w:rFonts w:eastAsiaTheme="minorHAnsi"/>
          <w:lang w:eastAsia="en-US"/>
          <w14:ligatures w14:val="standardContextual"/>
        </w:rPr>
        <w:t>ē</w:t>
      </w:r>
      <w:r w:rsidRPr="001B5970">
        <w:rPr>
          <w:rFonts w:eastAsiaTheme="minorHAnsi"/>
          <w:lang w:eastAsia="en-US"/>
          <w14:ligatures w14:val="standardContextual"/>
        </w:rPr>
        <w:t>s iekļautās cenas vairs nav aktuālas, jo</w:t>
      </w:r>
      <w:r>
        <w:rPr>
          <w:rFonts w:eastAsiaTheme="minorHAnsi"/>
          <w:lang w:eastAsia="en-US"/>
          <w14:ligatures w14:val="standardContextual"/>
        </w:rPr>
        <w:t xml:space="preserve"> </w:t>
      </w:r>
      <w:r w:rsidRPr="001B5970">
        <w:rPr>
          <w:rFonts w:eastAsiaTheme="minorHAnsi"/>
          <w:lang w:eastAsia="en-US"/>
          <w14:ligatures w14:val="standardContextual"/>
        </w:rPr>
        <w:t xml:space="preserve">tirgus situācija ir būtiski mainījusies. </w:t>
      </w:r>
      <w:r>
        <w:rPr>
          <w:rFonts w:eastAsiaTheme="minorHAnsi"/>
          <w:lang w:eastAsia="en-US"/>
          <w14:ligatures w14:val="standardContextual"/>
        </w:rPr>
        <w:t>Tādējādi šo tāmju izpaušana</w:t>
      </w:r>
      <w:r w:rsidRPr="001B5970">
        <w:rPr>
          <w:rFonts w:eastAsiaTheme="minorHAnsi"/>
          <w:lang w:eastAsia="en-US"/>
          <w14:ligatures w14:val="standardContextual"/>
        </w:rPr>
        <w:t xml:space="preserve"> vairs nevar radīt būtisku</w:t>
      </w:r>
      <w:r>
        <w:rPr>
          <w:rFonts w:eastAsiaTheme="minorHAnsi"/>
          <w:lang w:eastAsia="en-US"/>
          <w14:ligatures w14:val="standardContextual"/>
        </w:rPr>
        <w:t xml:space="preserve"> </w:t>
      </w:r>
      <w:r w:rsidRPr="001B5970">
        <w:rPr>
          <w:rFonts w:eastAsiaTheme="minorHAnsi"/>
          <w:lang w:eastAsia="en-US"/>
          <w14:ligatures w14:val="standardContextual"/>
        </w:rPr>
        <w:t xml:space="preserve">kaitējumu trešās personas interesēm. </w:t>
      </w:r>
    </w:p>
    <w:p w14:paraId="0113E37C" w14:textId="77777777" w:rsidR="00BC097C" w:rsidRPr="00E06576" w:rsidRDefault="00BC097C" w:rsidP="003D669D">
      <w:pPr>
        <w:spacing w:line="276" w:lineRule="auto"/>
        <w:ind w:firstLine="720"/>
        <w:contextualSpacing/>
        <w:jc w:val="both"/>
        <w:rPr>
          <w:rFonts w:eastAsiaTheme="minorHAnsi"/>
          <w:lang w:eastAsia="en-US"/>
          <w14:ligatures w14:val="standardContextual"/>
        </w:rPr>
      </w:pPr>
    </w:p>
    <w:p w14:paraId="586191EB" w14:textId="77777777" w:rsidR="004C4017" w:rsidRPr="009E4764" w:rsidRDefault="004C4017" w:rsidP="003D669D">
      <w:pPr>
        <w:spacing w:line="276" w:lineRule="auto"/>
        <w:ind w:firstLine="720"/>
        <w:jc w:val="both"/>
        <w:rPr>
          <w:highlight w:val="yellow"/>
          <w:lang w:eastAsia="lv-LV"/>
        </w:rPr>
      </w:pPr>
      <w:r w:rsidRPr="009E4764">
        <w:rPr>
          <w:rFonts w:eastAsiaTheme="minorHAnsi"/>
          <w:lang w:eastAsia="en-US"/>
          <w14:ligatures w14:val="standardContextual"/>
        </w:rPr>
        <w:t xml:space="preserve">[4] Trešā persona par minēto spriedumu iesniedza kasācijas sūdzību, kas pamatota ar turpmāk izklāstītajiem argumentiem. </w:t>
      </w:r>
    </w:p>
    <w:p w14:paraId="3227C781" w14:textId="58268EC3" w:rsidR="004C4017" w:rsidRPr="009E4764" w:rsidRDefault="004C4017" w:rsidP="003D669D">
      <w:pPr>
        <w:spacing w:line="276" w:lineRule="auto"/>
        <w:ind w:left="-66" w:firstLine="720"/>
        <w:jc w:val="both"/>
        <w:rPr>
          <w:lang w:eastAsia="lv-LV"/>
        </w:rPr>
      </w:pPr>
      <w:r w:rsidRPr="009E4764">
        <w:rPr>
          <w:rFonts w:eastAsiaTheme="minorHAnsi"/>
          <w:lang w:eastAsia="en-US"/>
          <w14:ligatures w14:val="standardContextual"/>
        </w:rPr>
        <w:t xml:space="preserve">[4.1] </w:t>
      </w:r>
      <w:r w:rsidRPr="009E4764">
        <w:rPr>
          <w:lang w:eastAsia="lv-LV"/>
        </w:rPr>
        <w:t xml:space="preserve">Tiesa nav ņēmusi vērā, ka strīdus tāmes, </w:t>
      </w:r>
      <w:r w:rsidR="007E2CF0">
        <w:rPr>
          <w:lang w:eastAsia="lv-LV"/>
        </w:rPr>
        <w:t>kurā</w:t>
      </w:r>
      <w:r w:rsidR="00290513">
        <w:rPr>
          <w:lang w:eastAsia="lv-LV"/>
        </w:rPr>
        <w:t>s</w:t>
      </w:r>
      <w:r w:rsidR="007E2CF0">
        <w:rPr>
          <w:lang w:eastAsia="lv-LV"/>
        </w:rPr>
        <w:t xml:space="preserve"> ietverts</w:t>
      </w:r>
      <w:r w:rsidRPr="009E4764">
        <w:rPr>
          <w:lang w:eastAsia="lv-LV"/>
        </w:rPr>
        <w:t xml:space="preserve"> komercnoslēpum</w:t>
      </w:r>
      <w:r w:rsidR="007E2CF0">
        <w:rPr>
          <w:lang w:eastAsia="lv-LV"/>
        </w:rPr>
        <w:t>s</w:t>
      </w:r>
      <w:r w:rsidRPr="009E4764">
        <w:rPr>
          <w:lang w:eastAsia="lv-LV"/>
        </w:rPr>
        <w:t xml:space="preserve">, vienlaikus ir publiskā iepirkuma dokumenti, un līdz ar to ir kļūdaini piemērojusi Informācijas atklātības likuma 5.panta otrās daļas 3.punktu.  </w:t>
      </w:r>
      <w:r w:rsidRPr="009E4764">
        <w:t xml:space="preserve">Tiesa nav piemērojusi un nav </w:t>
      </w:r>
      <w:r w:rsidRPr="009E4764">
        <w:lastRenderedPageBreak/>
        <w:t xml:space="preserve">vērtējusi nevienu Publisko iepirkumu likuma normu, kas nosaka pretendenta piedāvājuma dokumentācijas konfidencialitāti. Minētais ir novedis pie nepamatota sprieduma taisīšanas, jo Informācijas atklātības likuma </w:t>
      </w:r>
      <w:r w:rsidRPr="009E4764">
        <w:rPr>
          <w:bCs/>
          <w:lang w:eastAsia="lv-LV"/>
        </w:rPr>
        <w:t>5.panta otrās daļas 3.punktā ietvertā norāde</w:t>
      </w:r>
      <w:r w:rsidRPr="009E4764">
        <w:t xml:space="preserve"> bija jāinterpretē kopsakarā ar Publisko iepirkumu likuma </w:t>
      </w:r>
      <w:r w:rsidRPr="009E4764">
        <w:rPr>
          <w:lang w:eastAsia="lv-LV"/>
        </w:rPr>
        <w:t>14.panta otro daļu un 40.panta trešo daļu</w:t>
      </w:r>
      <w:r w:rsidRPr="009E4764">
        <w:t>, kā arī Publisko iepirkumu likuma mērķi</w:t>
      </w:r>
      <w:r>
        <w:t xml:space="preserve">. Neņemot vērā minētās normas, nav iespējams </w:t>
      </w:r>
      <w:r w:rsidRPr="009E4764">
        <w:t>izdarīt pamatotus secinājumus par to, cik lielā mērā ir aizsargājamas trešās personas tiesības uz komercnoslēpumu. Vērtējot komercnoslēpuma aizsardzības nepieciešamību</w:t>
      </w:r>
      <w:r w:rsidR="008D77AA">
        <w:t>,</w:t>
      </w:r>
      <w:r w:rsidRPr="009E4764">
        <w:t xml:space="preserve"> tiesai bija jāņem vērā arī </w:t>
      </w:r>
      <w:r w:rsidRPr="009E4764">
        <w:rPr>
          <w:lang w:eastAsia="lv-LV"/>
        </w:rPr>
        <w:t xml:space="preserve">Eiropas Parlamenta un Padomes 2014.gada 26.februāra Direktīvas 2014/24/ES par publisko iepirkumu un ar ko atceļ Direktīvu 2004/18/EK (turpmāk – Direktīva 2014/24/ES) 21.panta pirmo daļu un Eiropas Savienības Tiesas judikatūru. Minētais tiesiskais regulējums </w:t>
      </w:r>
      <w:r>
        <w:rPr>
          <w:lang w:eastAsia="lv-LV"/>
        </w:rPr>
        <w:t>trešajai personai</w:t>
      </w:r>
      <w:r w:rsidRPr="009E4764">
        <w:rPr>
          <w:lang w:eastAsia="lv-LV"/>
        </w:rPr>
        <w:t xml:space="preserve"> radīja paļāvību, ka tās komercnoslēpums tiks aizsargāts. </w:t>
      </w:r>
    </w:p>
    <w:p w14:paraId="3B1D5F41" w14:textId="15CEE25E" w:rsidR="004C4017" w:rsidRPr="009E4764" w:rsidRDefault="004C4017" w:rsidP="003D669D">
      <w:pPr>
        <w:spacing w:line="276" w:lineRule="auto"/>
        <w:ind w:firstLine="720"/>
        <w:jc w:val="both"/>
        <w:rPr>
          <w:lang w:eastAsia="lv-LV"/>
        </w:rPr>
      </w:pPr>
      <w:r w:rsidRPr="009E4764">
        <w:rPr>
          <w:lang w:eastAsia="lv-LV"/>
        </w:rPr>
        <w:t xml:space="preserve">[4.2] Tiesa nav ņēmusi vērā, ka Informācijas atklātības likumā ir iekļautas normas, kas izriet no Eiropas Parlamenta un </w:t>
      </w:r>
      <w:r w:rsidR="00E6776C">
        <w:rPr>
          <w:lang w:eastAsia="lv-LV"/>
        </w:rPr>
        <w:t>P</w:t>
      </w:r>
      <w:r w:rsidRPr="009E4764">
        <w:rPr>
          <w:lang w:eastAsia="lv-LV"/>
        </w:rPr>
        <w:t xml:space="preserve">adomes 2003.gada 17.novembra Direktīvas 2003/98/EK par valsts sektora informācijas atkalizmantošanu, kas grozīta ar Eiropas Parlamenta un </w:t>
      </w:r>
      <w:r w:rsidR="00E6776C">
        <w:rPr>
          <w:lang w:eastAsia="lv-LV"/>
        </w:rPr>
        <w:t>P</w:t>
      </w:r>
      <w:r w:rsidRPr="009E4764">
        <w:rPr>
          <w:lang w:eastAsia="lv-LV"/>
        </w:rPr>
        <w:t xml:space="preserve">adomes 2013.gada 26.jūnija Direktīvu 2013/37/ES (turpmāk – Direktīva 2003/98/EK), un šīs direktīvas 1.panta 2.punkta </w:t>
      </w:r>
      <w:r w:rsidR="00757825">
        <w:rPr>
          <w:lang w:eastAsia="lv-LV"/>
        </w:rPr>
        <w:t>„c”</w:t>
      </w:r>
      <w:r w:rsidRPr="009E4764">
        <w:rPr>
          <w:lang w:eastAsia="lv-LV"/>
        </w:rPr>
        <w:t xml:space="preserve"> apakšpunktā norādīts, ka šī direktīva neattiecas uz dokumentiem, kuriem piekļuve nav atļauta, citstarp pamatojoties uz komerciālu konfidencialitāti. Analogs regulējums ir arī jaunajā direktīvā, kas aizstāj Direktīvu 2003/98/EK. Līdz ar to Informācijas atklātības likums nav piemērojams attiecībā uz publisko iepirkumu procedūras ietvaros iegūto komercnoslēpumu.</w:t>
      </w:r>
    </w:p>
    <w:p w14:paraId="70DC0DB6" w14:textId="1FD1BFE3" w:rsidR="004C4017" w:rsidRPr="009E4764" w:rsidRDefault="004C4017" w:rsidP="003D669D">
      <w:pPr>
        <w:spacing w:line="276" w:lineRule="auto"/>
        <w:ind w:firstLine="720"/>
        <w:jc w:val="both"/>
        <w:rPr>
          <w:lang w:eastAsia="lv-LV"/>
        </w:rPr>
      </w:pPr>
      <w:r w:rsidRPr="009E4764">
        <w:rPr>
          <w:lang w:eastAsia="lv-LV"/>
        </w:rPr>
        <w:t>[4.</w:t>
      </w:r>
      <w:r>
        <w:rPr>
          <w:lang w:eastAsia="lv-LV"/>
        </w:rPr>
        <w:t>3</w:t>
      </w:r>
      <w:r w:rsidRPr="009E4764">
        <w:rPr>
          <w:lang w:eastAsia="lv-LV"/>
        </w:rPr>
        <w:t xml:space="preserve">] Tiesa nav piemērojusi arī Komercnoslēpuma aizsardzības likumu, kura normu mērķis ir nodrošināt komercnoslēpuma efektīvu aizsardzību. Ar šo likumu ir ieviesta Eiropas Parlamenta un Padomes 2016.gada 8.jūnija Direktīva </w:t>
      </w:r>
      <w:r w:rsidR="00D464F2">
        <w:rPr>
          <w:lang w:eastAsia="lv-LV"/>
        </w:rPr>
        <w:t xml:space="preserve">(ES) </w:t>
      </w:r>
      <w:r w:rsidRPr="009E4764">
        <w:rPr>
          <w:lang w:eastAsia="lv-LV"/>
        </w:rPr>
        <w:t xml:space="preserve">2016/943 par zinātības un darījumdarbības neizpaužamas informācijas (komercnoslēpumu) aizsardzību pret nelikumīgu iegūšanu, izmantošanu un izpaušanu (turpmāk </w:t>
      </w:r>
      <w:r>
        <w:rPr>
          <w:lang w:eastAsia="lv-LV"/>
        </w:rPr>
        <w:t>–</w:t>
      </w:r>
      <w:r w:rsidRPr="009E4764">
        <w:rPr>
          <w:lang w:eastAsia="lv-LV"/>
        </w:rPr>
        <w:t xml:space="preserve"> </w:t>
      </w:r>
      <w:r w:rsidRPr="00DD5FC0">
        <w:rPr>
          <w:lang w:eastAsia="lv-LV"/>
        </w:rPr>
        <w:t>Direktīva</w:t>
      </w:r>
      <w:r>
        <w:rPr>
          <w:lang w:eastAsia="lv-LV"/>
        </w:rPr>
        <w:t xml:space="preserve"> </w:t>
      </w:r>
      <w:r w:rsidRPr="00DD5FC0">
        <w:rPr>
          <w:lang w:eastAsia="lv-LV"/>
        </w:rPr>
        <w:t>2016/943</w:t>
      </w:r>
      <w:r w:rsidRPr="009E4764">
        <w:rPr>
          <w:lang w:eastAsia="lv-LV"/>
        </w:rPr>
        <w:t>), kuras 18.apsvērumā ir norādīts, ka šai direktīvai jo īpaši nebūtu jāatbrīvo publiskā sektora iestādes no konfidencialitātes pienākumiem, kas tām jāievēro attiecībā uz komercnoslēpumu turētāju sniegto informāciju.</w:t>
      </w:r>
    </w:p>
    <w:p w14:paraId="4506FBCC" w14:textId="4B6A015B" w:rsidR="004C4017" w:rsidRPr="009E4764" w:rsidRDefault="004C4017" w:rsidP="003D669D">
      <w:pPr>
        <w:spacing w:line="276" w:lineRule="auto"/>
        <w:ind w:firstLine="720"/>
        <w:jc w:val="both"/>
      </w:pPr>
      <w:r w:rsidRPr="009E4764">
        <w:rPr>
          <w:lang w:eastAsia="lv-LV"/>
        </w:rPr>
        <w:t>[4.</w:t>
      </w:r>
      <w:r>
        <w:rPr>
          <w:lang w:eastAsia="lv-LV"/>
        </w:rPr>
        <w:t>4</w:t>
      </w:r>
      <w:r w:rsidRPr="009E4764">
        <w:rPr>
          <w:lang w:eastAsia="lv-LV"/>
        </w:rPr>
        <w:t xml:space="preserve">] Tiesa ir nepareizi </w:t>
      </w:r>
      <w:r>
        <w:rPr>
          <w:lang w:eastAsia="lv-LV"/>
        </w:rPr>
        <w:t>piemērojusi</w:t>
      </w:r>
      <w:r w:rsidRPr="009E4764">
        <w:rPr>
          <w:lang w:eastAsia="lv-LV"/>
        </w:rPr>
        <w:t xml:space="preserve"> Komerclikuma 19.panta pirmo daļu un Informācijas atklātības likuma 7.panta pirmo daļu, kā arī pārkāpusi Administratīvā procesa likuma 154.panta pirmo daļu, atzīstot, ka tāmēs ietvertais komercnoslēpums attiecas tikai uz cenu, kuras izpaušana nevarot radīt būtisku kaitējumu trešajai personai. </w:t>
      </w:r>
      <w:r w:rsidRPr="009E4764">
        <w:rPr>
          <w:bCs/>
        </w:rPr>
        <w:t xml:space="preserve">Tiesa nav ņēmusi vērā trešās personas rakstveida paskaidrojumos norādīto, kā arī 2021.gada 22.aprīļa tiesas sēdē sniegtos paskaidrojumus par to, ka no tāmēm var </w:t>
      </w:r>
      <w:bookmarkStart w:id="1" w:name="_Hlk74053651"/>
      <w:r w:rsidRPr="009E4764">
        <w:rPr>
          <w:bCs/>
        </w:rPr>
        <w:t xml:space="preserve">izsecināt </w:t>
      </w:r>
      <w:r w:rsidR="00BC097C">
        <w:rPr>
          <w:bCs/>
        </w:rPr>
        <w:t>būtisku informāciju</w:t>
      </w:r>
      <w:bookmarkEnd w:id="1"/>
      <w:r w:rsidR="00BC097C">
        <w:rPr>
          <w:lang w:eastAsia="lv-LV"/>
        </w:rPr>
        <w:t xml:space="preserve">, kuras nonākšana konkurentu rokās </w:t>
      </w:r>
      <w:r w:rsidRPr="009E4764">
        <w:rPr>
          <w:lang w:eastAsia="lv-LV"/>
        </w:rPr>
        <w:t>mazin</w:t>
      </w:r>
      <w:r w:rsidR="00BC097C">
        <w:rPr>
          <w:lang w:eastAsia="lv-LV"/>
        </w:rPr>
        <w:t>ātu</w:t>
      </w:r>
      <w:r w:rsidRPr="009E4764">
        <w:rPr>
          <w:lang w:eastAsia="lv-LV"/>
        </w:rPr>
        <w:t xml:space="preserve"> tirgus dalībnieku savstarpējo konkurenci, jo faktiski do</w:t>
      </w:r>
      <w:r w:rsidR="00BC097C">
        <w:rPr>
          <w:lang w:eastAsia="lv-LV"/>
        </w:rPr>
        <w:t>tu</w:t>
      </w:r>
      <w:r w:rsidRPr="009E4764">
        <w:rPr>
          <w:lang w:eastAsia="lv-LV"/>
        </w:rPr>
        <w:t xml:space="preserve"> iespēju prognozēt tirgus dalībnieka rīcību un komerciālo stratēģiju.</w:t>
      </w:r>
    </w:p>
    <w:p w14:paraId="37F6A48A" w14:textId="39F867E9" w:rsidR="004C4017" w:rsidRPr="00DD5FC0" w:rsidRDefault="004C4017" w:rsidP="003D669D">
      <w:pPr>
        <w:spacing w:line="276" w:lineRule="auto"/>
        <w:ind w:firstLine="720"/>
        <w:jc w:val="both"/>
      </w:pPr>
      <w:r w:rsidRPr="009E4764">
        <w:t>Tiesa</w:t>
      </w:r>
      <w:r>
        <w:t>, atzīstot, ka t</w:t>
      </w:r>
      <w:r w:rsidRPr="009E4764">
        <w:t>āmēs n</w:t>
      </w:r>
      <w:r w:rsidR="00BC097C">
        <w:t>av</w:t>
      </w:r>
      <w:r w:rsidRPr="009E4764">
        <w:t xml:space="preserve"> norādīt</w:t>
      </w:r>
      <w:r w:rsidR="00BC097C">
        <w:t>a kāda īpaša zinātība</w:t>
      </w:r>
      <w:r w:rsidRPr="009E4764">
        <w:t xml:space="preserve">, </w:t>
      </w:r>
      <w:r>
        <w:t xml:space="preserve">nepamatoti šauri </w:t>
      </w:r>
      <w:r w:rsidRPr="009E4764">
        <w:t xml:space="preserve">tulkojusi </w:t>
      </w:r>
      <w:r w:rsidRPr="00DD5FC0">
        <w:t>Komerclikuma 19.panta pirmajā daļā skaidroto komercnoslēpuma jēdzienu</w:t>
      </w:r>
      <w:r>
        <w:t xml:space="preserve">, kā arī </w:t>
      </w:r>
      <w:r w:rsidRPr="009E4764">
        <w:t>nav pēc būtības piemērojusi Informācijas atklātības likuma 7.panta pirmo daļu</w:t>
      </w:r>
      <w:r w:rsidRPr="00DD5FC0">
        <w:t>.</w:t>
      </w:r>
    </w:p>
    <w:p w14:paraId="0C131D66" w14:textId="77777777" w:rsidR="004C4017" w:rsidRPr="00395C90" w:rsidRDefault="004C4017" w:rsidP="003D669D">
      <w:pPr>
        <w:spacing w:line="276" w:lineRule="auto"/>
        <w:ind w:firstLine="720"/>
        <w:jc w:val="both"/>
      </w:pPr>
      <w:r w:rsidRPr="00395C90">
        <w:rPr>
          <w:bCs/>
        </w:rPr>
        <w:t>Tiesa kļūdaini atzinusi, ka tas, ka laika gaitā mainījušās būvniecības cenas, ir pamats secināt, ka tāmju izpaušana vairs nevar radīt trešās personas aizskārumu</w:t>
      </w:r>
      <w:r w:rsidRPr="00395C90">
        <w:t xml:space="preserve">. </w:t>
      </w:r>
      <w:r w:rsidRPr="00DD5FC0">
        <w:rPr>
          <w:lang w:eastAsia="lv-LV"/>
        </w:rPr>
        <w:t xml:space="preserve">Neskatoties uz cenu izmaiņām (kuru starpību attiecībā pret aktuālajām cenām ir iespējams viegli aprēķināt), tāmju atklāšana ļautu trešās personas konkurentiem paredzēt trešās personas un tās biedru turpmākos piedāvājumos ietvertās izmaksu pozīcijas un peļņas </w:t>
      </w:r>
      <w:r w:rsidRPr="00DD5FC0">
        <w:rPr>
          <w:lang w:eastAsia="lv-LV"/>
        </w:rPr>
        <w:lastRenderedPageBreak/>
        <w:t>daļu, kas savukārt ļautu konkurentiem pielāgot savus piedāvājumus tā, lai to piedāvājums būtu visizdevīgākais. Tā rezultātā tiktu būtiski negatīvi ietekmēta trešās personas konkurētspēja publiskajos iepirkumos</w:t>
      </w:r>
      <w:r w:rsidRPr="00395C90">
        <w:rPr>
          <w:lang w:eastAsia="lv-LV"/>
        </w:rPr>
        <w:t xml:space="preserve">. </w:t>
      </w:r>
    </w:p>
    <w:p w14:paraId="577D344D" w14:textId="4414E647" w:rsidR="004C4017" w:rsidRPr="009E4764" w:rsidRDefault="004C4017" w:rsidP="003D669D">
      <w:pPr>
        <w:spacing w:line="276" w:lineRule="auto"/>
        <w:ind w:firstLine="720"/>
        <w:jc w:val="both"/>
        <w:rPr>
          <w:bCs/>
        </w:rPr>
      </w:pPr>
      <w:r>
        <w:rPr>
          <w:lang w:eastAsia="lv-LV"/>
        </w:rPr>
        <w:t xml:space="preserve">[4.5] Trešā persona </w:t>
      </w:r>
      <w:r w:rsidRPr="009E4764">
        <w:rPr>
          <w:bCs/>
        </w:rPr>
        <w:t xml:space="preserve">neapšauba sabiedrības interesi zināt par valsts un pašvaldības finanšu līdzekļu </w:t>
      </w:r>
      <w:r w:rsidRPr="0020055C">
        <w:rPr>
          <w:bCs/>
        </w:rPr>
        <w:t xml:space="preserve">izlietojumu. Tomēr tāmju atklāšana un publiskošana nav piemērots veids, kā nodrošināt informācijas pieprasījuma mērķa sasniegšanu. </w:t>
      </w:r>
      <w:r w:rsidRPr="00DD5FC0">
        <w:rPr>
          <w:bCs/>
        </w:rPr>
        <w:t>Pieteicējs kā žurnālists no tām nevarētu izdarīt objektīvi pamatotus secinājumus par efektīvu vai neefektīvu līdzekļu izlietojumu.</w:t>
      </w:r>
      <w:r>
        <w:rPr>
          <w:bCs/>
        </w:rPr>
        <w:t xml:space="preserve"> </w:t>
      </w:r>
      <w:r w:rsidRPr="00DD5FC0">
        <w:rPr>
          <w:bCs/>
        </w:rPr>
        <w:t>Savukārt gadījumā, ja t</w:t>
      </w:r>
      <w:r w:rsidRPr="00DD5FC0">
        <w:t xml:space="preserve">āmes tiktu nodotas izvērtēšanai profesionāliem tāmētājiem vai būvniecības nozares profesionāļiem, tad pastāv saprātīgi paredzams risks, ka šī informācija detalizētā veidā nonāktu pie trešās personas konkurentiem. </w:t>
      </w:r>
      <w:r>
        <w:t>Turklāt ž</w:t>
      </w:r>
      <w:r w:rsidRPr="009E4764">
        <w:rPr>
          <w:bCs/>
        </w:rPr>
        <w:t xml:space="preserve">urnālista kompetencē ir vienīgi informēt sabiedrību, un ne pieteicējs, ne arī tā pieaicinātie speciālisti nav kompetenti un tiesīgi veikt dokumentu pārbaudi un izvērtējumu, kas ir tiesībsargājošo iestāžu (tostarp Valsts kontroles) kompetencē. </w:t>
      </w:r>
    </w:p>
    <w:p w14:paraId="7DBF4FFE" w14:textId="5C4D2B87" w:rsidR="004C4017" w:rsidRPr="009E4764" w:rsidRDefault="004C4017" w:rsidP="003D669D">
      <w:pPr>
        <w:spacing w:line="276" w:lineRule="auto"/>
        <w:ind w:firstLine="720"/>
        <w:jc w:val="both"/>
        <w:rPr>
          <w:lang w:eastAsia="lv-LV"/>
        </w:rPr>
      </w:pPr>
      <w:r>
        <w:t>T</w:t>
      </w:r>
      <w:r w:rsidRPr="009E4764">
        <w:rPr>
          <w:bCs/>
        </w:rPr>
        <w:t xml:space="preserve">iesības uz informāciju un pašvaldības </w:t>
      </w:r>
      <w:r w:rsidRPr="0020055C">
        <w:rPr>
          <w:bCs/>
        </w:rPr>
        <w:t>ieguldītās mantas un līdzekļu izmantošanas efektivitāti iespējams nodrošināt ar privātperson</w:t>
      </w:r>
      <w:r w:rsidR="004026FF">
        <w:rPr>
          <w:bCs/>
        </w:rPr>
        <w:t>as</w:t>
      </w:r>
      <w:r w:rsidRPr="0020055C">
        <w:rPr>
          <w:bCs/>
        </w:rPr>
        <w:t xml:space="preserve"> tiesīb</w:t>
      </w:r>
      <w:r w:rsidR="004026FF">
        <w:rPr>
          <w:bCs/>
        </w:rPr>
        <w:t xml:space="preserve">as mazāk </w:t>
      </w:r>
      <w:r w:rsidRPr="00DD5FC0">
        <w:rPr>
          <w:bCs/>
        </w:rPr>
        <w:t xml:space="preserve">ierobežojošiem līdzekļiem, to atstājot tiesībsargājošo institūciju kompetencē. </w:t>
      </w:r>
      <w:r w:rsidRPr="00DD5FC0">
        <w:rPr>
          <w:lang w:eastAsia="lv-LV"/>
        </w:rPr>
        <w:t>Turklāt sabiedrības interesi saņemt informāciju par līdzekļu izlietojumu un to apmēru kopumā ir iespējams nodrošināt, lūdzot atbildētājam (pasūtītājam) sniegt skaidrojumus par līdzekļu izlietojumu</w:t>
      </w:r>
      <w:r w:rsidR="008D7BFD">
        <w:rPr>
          <w:lang w:eastAsia="lv-LV"/>
        </w:rPr>
        <w:t>,</w:t>
      </w:r>
      <w:r w:rsidRPr="00DD5FC0">
        <w:rPr>
          <w:lang w:eastAsia="lv-LV"/>
        </w:rPr>
        <w:t xml:space="preserve"> tostarp norādot un skaidrojot iemeslus tam, kādēļ būvdarbu sākotnējās izmaksas ir palielinājušās vai samazinājuš</w:t>
      </w:r>
      <w:r w:rsidR="004042FC">
        <w:rPr>
          <w:lang w:eastAsia="lv-LV"/>
        </w:rPr>
        <w:t>ā</w:t>
      </w:r>
      <w:r w:rsidRPr="00DD5FC0">
        <w:rPr>
          <w:lang w:eastAsia="lv-LV"/>
        </w:rPr>
        <w:t xml:space="preserve">s. </w:t>
      </w:r>
    </w:p>
    <w:p w14:paraId="2F6CADE6" w14:textId="30DA631C" w:rsidR="004C4017" w:rsidRDefault="004C4017" w:rsidP="003D669D">
      <w:pPr>
        <w:spacing w:line="276" w:lineRule="auto"/>
        <w:ind w:firstLine="720"/>
        <w:jc w:val="both"/>
        <w:rPr>
          <w:bCs/>
          <w:lang w:eastAsia="lv-LV"/>
        </w:rPr>
      </w:pPr>
      <w:r>
        <w:rPr>
          <w:lang w:eastAsia="lv-LV"/>
        </w:rPr>
        <w:t xml:space="preserve">[4.6] </w:t>
      </w:r>
      <w:r w:rsidRPr="009E4764">
        <w:rPr>
          <w:lang w:eastAsia="lv-LV"/>
        </w:rPr>
        <w:t xml:space="preserve">Tiesa nav pievērsusi pienācīgu uzmanību </w:t>
      </w:r>
      <w:r>
        <w:rPr>
          <w:lang w:eastAsia="lv-LV"/>
        </w:rPr>
        <w:t xml:space="preserve">arī </w:t>
      </w:r>
      <w:r w:rsidRPr="009E4764">
        <w:rPr>
          <w:lang w:eastAsia="lv-LV"/>
        </w:rPr>
        <w:t>tam, ka pieteicējs</w:t>
      </w:r>
      <w:r w:rsidRPr="009E4764">
        <w:t xml:space="preserve"> vairs nav darba tiesiskajās attiecībās ar valsts SIA „Latvijas Televīzija”</w:t>
      </w:r>
      <w:r w:rsidR="00BC097C">
        <w:t xml:space="preserve"> un </w:t>
      </w:r>
      <w:r w:rsidRPr="009E4764">
        <w:t xml:space="preserve">vairs nedarbojas raidījumā „Aizliegtais paņēmiens”. </w:t>
      </w:r>
      <w:r w:rsidRPr="009E4764">
        <w:rPr>
          <w:bCs/>
          <w:lang w:eastAsia="lv-LV"/>
        </w:rPr>
        <w:t>Tiesai bija no jauna jāvērtē pieteicēja profesionālā darbība žurnālistikas jomā sprieduma taisīšanas brīd</w:t>
      </w:r>
      <w:r w:rsidR="004026FF">
        <w:rPr>
          <w:bCs/>
          <w:lang w:eastAsia="lv-LV"/>
        </w:rPr>
        <w:t>ī</w:t>
      </w:r>
      <w:r w:rsidRPr="009E4764">
        <w:rPr>
          <w:bCs/>
          <w:lang w:eastAsia="lv-LV"/>
        </w:rPr>
        <w:t>.</w:t>
      </w:r>
    </w:p>
    <w:p w14:paraId="7758164F" w14:textId="77777777" w:rsidR="004C4017" w:rsidRDefault="004C4017" w:rsidP="003D669D">
      <w:pPr>
        <w:spacing w:line="276" w:lineRule="auto"/>
        <w:ind w:firstLine="720"/>
        <w:jc w:val="both"/>
        <w:rPr>
          <w:bCs/>
          <w:lang w:eastAsia="lv-LV"/>
        </w:rPr>
      </w:pPr>
    </w:p>
    <w:p w14:paraId="095CD907" w14:textId="545AF568" w:rsidR="004C4017" w:rsidRDefault="004C4017" w:rsidP="003D669D">
      <w:pPr>
        <w:spacing w:line="276" w:lineRule="auto"/>
        <w:ind w:firstLine="720"/>
        <w:jc w:val="both"/>
        <w:rPr>
          <w:bCs/>
        </w:rPr>
      </w:pPr>
      <w:r w:rsidRPr="009A65D5">
        <w:rPr>
          <w:bCs/>
        </w:rPr>
        <w:t>[5] Trešā persona arī lūgusi Senātu vērsties Eiropas Savienības Tiesā ar prejudiciāl</w:t>
      </w:r>
      <w:r>
        <w:rPr>
          <w:bCs/>
        </w:rPr>
        <w:t>o jautājumu</w:t>
      </w:r>
      <w:r w:rsidRPr="009A65D5">
        <w:rPr>
          <w:bCs/>
        </w:rPr>
        <w:t xml:space="preserve"> par </w:t>
      </w:r>
      <w:r w:rsidRPr="009A65D5">
        <w:rPr>
          <w:bCs/>
          <w:lang w:eastAsia="lv-LV"/>
        </w:rPr>
        <w:t>Direktīva</w:t>
      </w:r>
      <w:r w:rsidR="00B524DA">
        <w:rPr>
          <w:bCs/>
          <w:lang w:eastAsia="lv-LV"/>
        </w:rPr>
        <w:t>s</w:t>
      </w:r>
      <w:r w:rsidRPr="009A65D5">
        <w:rPr>
          <w:bCs/>
          <w:lang w:eastAsia="lv-LV"/>
        </w:rPr>
        <w:t xml:space="preserve"> 2014/24/ES 21.panta pirmās daļas interpretāciju</w:t>
      </w:r>
      <w:r w:rsidRPr="000C1C09">
        <w:rPr>
          <w:bCs/>
          <w:lang w:eastAsia="lv-LV"/>
        </w:rPr>
        <w:t xml:space="preserve">, kā arī par to, vai izskatāmajā lietā ņemama vērā </w:t>
      </w:r>
      <w:r w:rsidRPr="000C1C09">
        <w:rPr>
          <w:bCs/>
        </w:rPr>
        <w:t>2021.gada 16.jūlijā spēkā stājusies Eiropas Parlamenta un Padomes Direktīva (ES) 2019/1024 par atvērtajiem datiem un publiskā sektora informācijas atkalizmantošanu (turpmāk – Direktīva 2019/1024) un vai ir pieļaujams tāds valsts</w:t>
      </w:r>
      <w:r w:rsidRPr="009A65D5">
        <w:rPr>
          <w:bCs/>
        </w:rPr>
        <w:t xml:space="preserve"> tiesiskais regulējums, kas paredz, ka ekonomikas dalībnieka publiskā iepirkuma līguma slēgšanas procedūras ietvaros sniegtā informācija, kas satur komercnoslēpumu, automātiski bez ekonomikas dalībnieka piekrišanas zaudē komercnoslēpuma statusu, ja publiskā iepirkuma līguma slēgšanas procedūras rezultātā šis ekonomikas dalībnieks noslēdz publisku līgumu ar līgumslēdzēj</w:t>
      </w:r>
      <w:r w:rsidR="00B524DA">
        <w:rPr>
          <w:bCs/>
        </w:rPr>
        <w:t>a</w:t>
      </w:r>
      <w:r w:rsidRPr="009A65D5">
        <w:rPr>
          <w:bCs/>
        </w:rPr>
        <w:t xml:space="preserve"> iestādi.</w:t>
      </w:r>
    </w:p>
    <w:p w14:paraId="49FE8CA0" w14:textId="77777777" w:rsidR="004C4017" w:rsidRDefault="004C4017" w:rsidP="003D669D">
      <w:pPr>
        <w:spacing w:line="276" w:lineRule="auto"/>
        <w:ind w:firstLine="720"/>
        <w:jc w:val="both"/>
        <w:rPr>
          <w:bCs/>
        </w:rPr>
      </w:pPr>
    </w:p>
    <w:p w14:paraId="4565C0F9" w14:textId="40858B38" w:rsidR="004C4017" w:rsidRPr="009A65D5" w:rsidRDefault="004C4017" w:rsidP="003D669D">
      <w:pPr>
        <w:spacing w:line="276" w:lineRule="auto"/>
        <w:ind w:firstLine="720"/>
        <w:jc w:val="both"/>
        <w:rPr>
          <w:bCs/>
        </w:rPr>
      </w:pPr>
      <w:r w:rsidRPr="009A65D5">
        <w:rPr>
          <w:bCs/>
        </w:rPr>
        <w:t>[6] P</w:t>
      </w:r>
      <w:r>
        <w:rPr>
          <w:bCs/>
        </w:rPr>
        <w:t>ieteicējs par kasācijas sūdzību iesniedzis paskaidrojumus, norādot, ka tā ir nepamatota. Pretēji trešās personas uzskatam jautājumā par strīdus tāmju izsniegšanu vispār neesot piemērojams Publisko iepirkumu likums, bet gan Informācijas atklātības likums, kas komercnoslēpumu noteic kā ierobežotas pieejamības informāciju, kuru pieļaujams izsniegt likumā noteiktajā kārtībā. Paskaidrojumā arī norādīts, ka trešā persona nepamatoti apšauba pieteicēja kā žurnālista interesi informācijas iegūšanā.</w:t>
      </w:r>
    </w:p>
    <w:p w14:paraId="6BA8EB0B" w14:textId="77777777" w:rsidR="004C4017" w:rsidRPr="00B424AD" w:rsidRDefault="004C4017" w:rsidP="003D669D">
      <w:pPr>
        <w:spacing w:line="276" w:lineRule="auto"/>
        <w:ind w:firstLine="567"/>
        <w:contextualSpacing/>
        <w:jc w:val="both"/>
      </w:pPr>
      <w:r>
        <w:rPr>
          <w:lang w:eastAsia="lv-LV"/>
        </w:rPr>
        <w:t xml:space="preserve"> </w:t>
      </w:r>
    </w:p>
    <w:p w14:paraId="7ED81521" w14:textId="77777777" w:rsidR="00BC097C" w:rsidRDefault="00BC097C" w:rsidP="003D669D">
      <w:pPr>
        <w:spacing w:line="276" w:lineRule="auto"/>
        <w:contextualSpacing/>
        <w:jc w:val="center"/>
        <w:rPr>
          <w:b/>
        </w:rPr>
      </w:pPr>
    </w:p>
    <w:p w14:paraId="7CAE1989" w14:textId="77777777" w:rsidR="00BC097C" w:rsidRDefault="00BC097C" w:rsidP="003D669D">
      <w:pPr>
        <w:spacing w:line="276" w:lineRule="auto"/>
        <w:contextualSpacing/>
        <w:jc w:val="center"/>
        <w:rPr>
          <w:b/>
        </w:rPr>
      </w:pPr>
    </w:p>
    <w:p w14:paraId="4A4DF5FD" w14:textId="692CF489" w:rsidR="004C4017" w:rsidRDefault="004C4017" w:rsidP="003D669D">
      <w:pPr>
        <w:spacing w:line="276" w:lineRule="auto"/>
        <w:contextualSpacing/>
        <w:jc w:val="center"/>
        <w:rPr>
          <w:b/>
        </w:rPr>
      </w:pPr>
      <w:r w:rsidRPr="00B424AD">
        <w:rPr>
          <w:b/>
        </w:rPr>
        <w:lastRenderedPageBreak/>
        <w:t>Motīvu daļa</w:t>
      </w:r>
    </w:p>
    <w:p w14:paraId="2BE2C174" w14:textId="77777777" w:rsidR="004C4017" w:rsidRDefault="004C4017" w:rsidP="003D669D">
      <w:pPr>
        <w:spacing w:line="276" w:lineRule="auto"/>
        <w:ind w:firstLine="567"/>
        <w:contextualSpacing/>
        <w:jc w:val="center"/>
        <w:rPr>
          <w:b/>
        </w:rPr>
      </w:pPr>
    </w:p>
    <w:p w14:paraId="3524511D" w14:textId="63BAFF06" w:rsidR="004C4017" w:rsidRPr="00ED75CF" w:rsidRDefault="004C4017" w:rsidP="003D669D">
      <w:pPr>
        <w:spacing w:line="276" w:lineRule="auto"/>
        <w:ind w:firstLine="720"/>
        <w:contextualSpacing/>
        <w:jc w:val="both"/>
        <w:rPr>
          <w:bCs/>
        </w:rPr>
      </w:pPr>
      <w:r w:rsidRPr="00ED75CF">
        <w:rPr>
          <w:bCs/>
        </w:rPr>
        <w:t>[</w:t>
      </w:r>
      <w:r>
        <w:rPr>
          <w:bCs/>
        </w:rPr>
        <w:t>7</w:t>
      </w:r>
      <w:r w:rsidRPr="00ED75CF">
        <w:rPr>
          <w:bCs/>
        </w:rPr>
        <w:t>]</w:t>
      </w:r>
      <w:r>
        <w:rPr>
          <w:bCs/>
        </w:rPr>
        <w:t xml:space="preserve"> Ievērojot kasācijas sūdzībā norādītos argumentus, Senātam jāsniedz atbilde uz to, kāds regulējums un no tā izrietoši apsvērumi ņemami vērā, lemjot par komercnoslēpumu saturošas informācijas, kas iestādes rīcībā nonākusi publisko iepirkumu procedūras rezultātā, izsniegšanu. Secīgi Senātam jāizvērtē, vai tiesa ir piemērojusi pareizās tiesību normas un atbilstoši tām pienācīgi izvērtējusi lietas apstākļus.</w:t>
      </w:r>
    </w:p>
    <w:p w14:paraId="4D48946F" w14:textId="77777777" w:rsidR="004C4017" w:rsidRDefault="004C4017" w:rsidP="003D669D">
      <w:pPr>
        <w:spacing w:line="276" w:lineRule="auto"/>
        <w:ind w:firstLine="567"/>
        <w:contextualSpacing/>
        <w:jc w:val="both"/>
        <w:rPr>
          <w:bCs/>
        </w:rPr>
      </w:pPr>
    </w:p>
    <w:p w14:paraId="74734A6D" w14:textId="77777777" w:rsidR="004C4017" w:rsidRPr="0071267C" w:rsidRDefault="004C4017" w:rsidP="003D669D">
      <w:pPr>
        <w:spacing w:line="276" w:lineRule="auto"/>
        <w:contextualSpacing/>
        <w:jc w:val="center"/>
        <w:rPr>
          <w:b/>
        </w:rPr>
      </w:pPr>
      <w:r w:rsidRPr="0071267C">
        <w:rPr>
          <w:b/>
        </w:rPr>
        <w:t>I</w:t>
      </w:r>
    </w:p>
    <w:p w14:paraId="05FB2B37" w14:textId="77777777" w:rsidR="004C4017" w:rsidRDefault="004C4017" w:rsidP="003D669D">
      <w:pPr>
        <w:spacing w:line="276" w:lineRule="auto"/>
        <w:contextualSpacing/>
        <w:jc w:val="center"/>
        <w:rPr>
          <w:i/>
          <w:iCs/>
        </w:rPr>
      </w:pPr>
      <w:r>
        <w:rPr>
          <w:i/>
          <w:iCs/>
        </w:rPr>
        <w:t xml:space="preserve">Tiesiskais regulējums par piekļuvi komercnoslēpumam </w:t>
      </w:r>
      <w:r w:rsidRPr="002F278B">
        <w:rPr>
          <w:i/>
          <w:iCs/>
        </w:rPr>
        <w:t>publisko iepirkumu dokumentācij</w:t>
      </w:r>
      <w:r>
        <w:rPr>
          <w:i/>
          <w:iCs/>
        </w:rPr>
        <w:t>ā</w:t>
      </w:r>
    </w:p>
    <w:p w14:paraId="0FB59AF3" w14:textId="77777777" w:rsidR="004C4017" w:rsidRPr="002F278B" w:rsidRDefault="004C4017" w:rsidP="003D669D">
      <w:pPr>
        <w:spacing w:line="276" w:lineRule="auto"/>
        <w:ind w:firstLine="567"/>
        <w:contextualSpacing/>
        <w:jc w:val="center"/>
        <w:rPr>
          <w:i/>
          <w:iCs/>
        </w:rPr>
      </w:pPr>
    </w:p>
    <w:p w14:paraId="45061812" w14:textId="77777777" w:rsidR="004C4017" w:rsidRDefault="004C4017" w:rsidP="003D669D">
      <w:pPr>
        <w:autoSpaceDE w:val="0"/>
        <w:autoSpaceDN w:val="0"/>
        <w:adjustRightInd w:val="0"/>
        <w:spacing w:line="276" w:lineRule="auto"/>
        <w:ind w:firstLine="720"/>
        <w:jc w:val="both"/>
        <w:rPr>
          <w:rFonts w:eastAsiaTheme="minorHAnsi"/>
          <w:lang w:eastAsia="en-US"/>
          <w14:ligatures w14:val="standardContextual"/>
        </w:rPr>
      </w:pPr>
      <w:r>
        <w:t xml:space="preserve">[8] </w:t>
      </w:r>
      <w:r w:rsidRPr="0085073A">
        <w:t>Administratīvā rajona tiesa atzin</w:t>
      </w:r>
      <w:r>
        <w:t>a</w:t>
      </w:r>
      <w:r w:rsidRPr="0085073A">
        <w:t xml:space="preserve">, ka </w:t>
      </w:r>
      <w:r w:rsidRPr="0085073A">
        <w:rPr>
          <w:rFonts w:eastAsiaTheme="minorHAnsi"/>
          <w:lang w:eastAsia="en-US"/>
          <w14:ligatures w14:val="standardContextual"/>
        </w:rPr>
        <w:t xml:space="preserve">pieteicēja kā žurnālista interese sabiedrības informēšanas </w:t>
      </w:r>
      <w:r>
        <w:rPr>
          <w:rFonts w:eastAsiaTheme="minorHAnsi"/>
          <w:lang w:eastAsia="en-US"/>
          <w14:ligatures w14:val="standardContextual"/>
        </w:rPr>
        <w:t>nolūkā</w:t>
      </w:r>
      <w:r w:rsidRPr="0085073A">
        <w:rPr>
          <w:rFonts w:eastAsiaTheme="minorHAnsi"/>
          <w:lang w:eastAsia="en-US"/>
          <w14:ligatures w14:val="standardContextual"/>
        </w:rPr>
        <w:t xml:space="preserve"> </w:t>
      </w:r>
      <w:r>
        <w:rPr>
          <w:rFonts w:eastAsiaTheme="minorHAnsi"/>
          <w:lang w:eastAsia="en-US"/>
          <w14:ligatures w14:val="standardContextual"/>
        </w:rPr>
        <w:t xml:space="preserve">pārliecināties par </w:t>
      </w:r>
      <w:r w:rsidRPr="0085073A">
        <w:rPr>
          <w:rFonts w:eastAsiaTheme="minorHAnsi"/>
          <w:lang w:eastAsia="en-US"/>
          <w14:ligatures w14:val="standardContextual"/>
        </w:rPr>
        <w:t xml:space="preserve">publiskā finansējuma izlietojuma tiesiskumu konkrētajā gadījumā prevalē pār trešās personas tiesībām uz komercnoslēpuma aizsardzību, tāpēc apmierināja pieteicēja prasījumu par strīdus tāmju izsniegšanu. Savus apsvērumus tiesa balstījusi uz Satversmes 100.pantu un Informācijas atklātības likuma normām (Publisko iepirkumu likums sprieduma motīvos pieminēts tikai </w:t>
      </w:r>
      <w:r>
        <w:rPr>
          <w:rFonts w:eastAsiaTheme="minorHAnsi"/>
          <w:lang w:eastAsia="en-US"/>
          <w14:ligatures w14:val="standardContextual"/>
        </w:rPr>
        <w:t xml:space="preserve">vispārīgā </w:t>
      </w:r>
      <w:r w:rsidRPr="0085073A">
        <w:rPr>
          <w:rFonts w:eastAsiaTheme="minorHAnsi"/>
          <w:lang w:eastAsia="en-US"/>
          <w14:ligatures w14:val="standardContextual"/>
        </w:rPr>
        <w:t xml:space="preserve">atsaucē uz Senāta </w:t>
      </w:r>
      <w:r>
        <w:rPr>
          <w:rFonts w:eastAsiaTheme="minorHAnsi"/>
          <w:lang w:eastAsia="en-US"/>
          <w14:ligatures w14:val="standardContextual"/>
        </w:rPr>
        <w:t xml:space="preserve">lēmumā citstarp izteiktu </w:t>
      </w:r>
      <w:r w:rsidRPr="0085073A">
        <w:rPr>
          <w:rFonts w:eastAsiaTheme="minorHAnsi"/>
          <w:lang w:eastAsia="en-US"/>
          <w14:ligatures w14:val="standardContextual"/>
        </w:rPr>
        <w:t xml:space="preserve">atziņu, ka </w:t>
      </w:r>
      <w:r w:rsidRPr="00DD5FC0">
        <w:rPr>
          <w:rFonts w:eastAsiaTheme="minorHAnsi"/>
          <w:lang w:eastAsia="en-US"/>
          <w14:ligatures w14:val="standardContextual"/>
        </w:rPr>
        <w:t>Publisko</w:t>
      </w:r>
      <w:r>
        <w:rPr>
          <w:rFonts w:eastAsiaTheme="minorHAnsi"/>
          <w:lang w:eastAsia="en-US"/>
          <w14:ligatures w14:val="standardContextual"/>
        </w:rPr>
        <w:t xml:space="preserve"> </w:t>
      </w:r>
      <w:r w:rsidRPr="00DD5FC0">
        <w:rPr>
          <w:rFonts w:eastAsiaTheme="minorHAnsi"/>
          <w:lang w:eastAsia="en-US"/>
          <w14:ligatures w14:val="standardContextual"/>
        </w:rPr>
        <w:t>iepirkumu likuma normas aizsargā piedāvājumā ietverto</w:t>
      </w:r>
      <w:r>
        <w:rPr>
          <w:rFonts w:eastAsiaTheme="minorHAnsi"/>
          <w:lang w:eastAsia="en-US"/>
          <w14:ligatures w14:val="standardContextual"/>
        </w:rPr>
        <w:t xml:space="preserve"> </w:t>
      </w:r>
      <w:r w:rsidRPr="00DD5FC0">
        <w:rPr>
          <w:rFonts w:eastAsiaTheme="minorHAnsi"/>
          <w:lang w:eastAsia="en-US"/>
          <w14:ligatures w14:val="standardContextual"/>
        </w:rPr>
        <w:t xml:space="preserve">informāciju, kas </w:t>
      </w:r>
      <w:r>
        <w:rPr>
          <w:rFonts w:eastAsiaTheme="minorHAnsi"/>
          <w:lang w:eastAsia="en-US"/>
          <w14:ligatures w14:val="standardContextual"/>
        </w:rPr>
        <w:t>ir</w:t>
      </w:r>
      <w:r w:rsidRPr="00DD5FC0">
        <w:rPr>
          <w:rFonts w:eastAsiaTheme="minorHAnsi"/>
          <w:lang w:eastAsia="en-US"/>
          <w14:ligatures w14:val="standardContextual"/>
        </w:rPr>
        <w:t xml:space="preserve"> komercnoslēpum</w:t>
      </w:r>
      <w:r>
        <w:rPr>
          <w:rFonts w:eastAsiaTheme="minorHAnsi"/>
          <w:lang w:eastAsia="en-US"/>
          <w14:ligatures w14:val="standardContextual"/>
        </w:rPr>
        <w:t>s).</w:t>
      </w:r>
    </w:p>
    <w:p w14:paraId="15D6426F" w14:textId="77777777" w:rsidR="004C4017" w:rsidRDefault="004C4017" w:rsidP="003D669D">
      <w:pPr>
        <w:autoSpaceDE w:val="0"/>
        <w:autoSpaceDN w:val="0"/>
        <w:adjustRightInd w:val="0"/>
        <w:spacing w:line="276" w:lineRule="auto"/>
        <w:ind w:firstLine="720"/>
        <w:jc w:val="both"/>
        <w:rPr>
          <w:rFonts w:eastAsiaTheme="minorHAnsi"/>
          <w:lang w:eastAsia="en-US"/>
          <w14:ligatures w14:val="standardContextual"/>
        </w:rPr>
      </w:pPr>
      <w:r>
        <w:rPr>
          <w:rFonts w:eastAsiaTheme="minorHAnsi"/>
          <w:lang w:eastAsia="en-US"/>
          <w14:ligatures w14:val="standardContextual"/>
        </w:rPr>
        <w:t>Trešās personas kasācijas sūdzības centrālais iebildums ir tas, ka tiesa, lemjot par pieprasītās informācijas izsniegšanas pieļaujamību, nav pievērsusi uzmanību tam, ka strīdus tāmes ir publiskā iepirkuma dokumentācija, un līdz ar to nav ņēmusi vērā Publisko iepirkumu likuma regulējumu un secīgi – nav pareizi izpratusi trešās personas komercnoslēpuma aizsardzības nozīmīgumu.</w:t>
      </w:r>
    </w:p>
    <w:p w14:paraId="57BF5245" w14:textId="77777777" w:rsidR="004C4017" w:rsidRDefault="004C4017" w:rsidP="003D669D">
      <w:pPr>
        <w:autoSpaceDE w:val="0"/>
        <w:autoSpaceDN w:val="0"/>
        <w:adjustRightInd w:val="0"/>
        <w:spacing w:line="276" w:lineRule="auto"/>
        <w:ind w:firstLine="720"/>
        <w:jc w:val="both"/>
        <w:rPr>
          <w:rFonts w:eastAsiaTheme="minorHAnsi"/>
          <w:lang w:eastAsia="en-US"/>
          <w14:ligatures w14:val="standardContextual"/>
        </w:rPr>
      </w:pPr>
    </w:p>
    <w:p w14:paraId="61C418E0" w14:textId="6455FE28" w:rsidR="004C4017" w:rsidRDefault="004C4017" w:rsidP="003D669D">
      <w:pPr>
        <w:spacing w:line="276" w:lineRule="auto"/>
        <w:ind w:firstLine="720"/>
        <w:jc w:val="both"/>
      </w:pPr>
      <w:r w:rsidRPr="00B424AD">
        <w:t>[</w:t>
      </w:r>
      <w:r>
        <w:t>9</w:t>
      </w:r>
      <w:r w:rsidRPr="00B424AD">
        <w:t>]</w:t>
      </w:r>
      <w:r>
        <w:t xml:space="preserve"> </w:t>
      </w:r>
      <w:r w:rsidRPr="0036770F">
        <w:t xml:space="preserve">Sabiedrības tiesības piekļūt iestāžu rīcībā esošai informācijai </w:t>
      </w:r>
      <w:r>
        <w:t xml:space="preserve">ir </w:t>
      </w:r>
      <w:r w:rsidRPr="0036770F">
        <w:t>uzskatām</w:t>
      </w:r>
      <w:r>
        <w:t>a</w:t>
      </w:r>
      <w:r w:rsidRPr="0036770F">
        <w:t>s par vispāratzītu principu gan Eiropas Savienības tiesībās, gan nacionālā līmenī</w:t>
      </w:r>
      <w:r>
        <w:t>, un šīs tiesības pamatojas tajā, ka demokrātiskas valsts sabiedrībai ir jābūt iespējām sekot līdzi publiskās pārvaldes darbībai</w:t>
      </w:r>
      <w:r w:rsidRPr="0036770F">
        <w:t>. Latvijā šīs tiesības nostiprinātas konstitucionāla ranga normā –</w:t>
      </w:r>
      <w:r>
        <w:t xml:space="preserve"> Satversmes </w:t>
      </w:r>
      <w:r w:rsidRPr="0036770F">
        <w:t>100.pantā</w:t>
      </w:r>
      <w:r>
        <w:t>, Eiropas Savienības tiesībās – Līguma par Eiropas Savienības darbību 15.panta 3.punktā un</w:t>
      </w:r>
      <w:r w:rsidR="00752489">
        <w:t xml:space="preserve"> Eiropas Savienības</w:t>
      </w:r>
      <w:r>
        <w:t xml:space="preserve"> Pamattiesību hartas 42.pantā (</w:t>
      </w:r>
      <w:r w:rsidRPr="00ED7C67">
        <w:t>Tiesības piekļūt dokumentiem</w:t>
      </w:r>
      <w:r>
        <w:t>) kopsakarā ar 11.pantu (</w:t>
      </w:r>
      <w:r w:rsidRPr="00ED7C67">
        <w:t>Vārda un informācijas brīvība</w:t>
      </w:r>
      <w:r>
        <w:t xml:space="preserve">). Šo tiesību </w:t>
      </w:r>
      <w:r w:rsidRPr="0036770F">
        <w:t xml:space="preserve">nozīme demokrātiskā sabiedrībā konsekventi uzsvērta </w:t>
      </w:r>
      <w:r>
        <w:t xml:space="preserve">arī Satversmes tiesas, </w:t>
      </w:r>
      <w:r w:rsidRPr="0036770F">
        <w:t xml:space="preserve">Senāta un Eiropas Savienības Tiesas judikatūrā (piemēram, </w:t>
      </w:r>
      <w:r w:rsidRPr="00C60804">
        <w:rPr>
          <w:i/>
        </w:rPr>
        <w:t>Satversmes tiesas 1999.gada 6.jūlija sprieduma lietā Nr. </w:t>
      </w:r>
      <w:hyperlink r:id="rId8" w:anchor="search=04-02(99)" w:history="1">
        <w:r w:rsidRPr="00B80A32">
          <w:rPr>
            <w:rStyle w:val="Hyperlink"/>
            <w:i/>
          </w:rPr>
          <w:t>04-02(99)</w:t>
        </w:r>
      </w:hyperlink>
      <w:r w:rsidRPr="00C60804">
        <w:rPr>
          <w:i/>
        </w:rPr>
        <w:t xml:space="preserve"> 2.punkts</w:t>
      </w:r>
      <w:r>
        <w:rPr>
          <w:i/>
        </w:rPr>
        <w:t>,</w:t>
      </w:r>
      <w:r w:rsidRPr="0036770F">
        <w:rPr>
          <w:i/>
        </w:rPr>
        <w:t xml:space="preserve"> 2003.gada 5.jūnija sprieduma lietā Nr.</w:t>
      </w:r>
      <w:r>
        <w:rPr>
          <w:i/>
        </w:rPr>
        <w:t> </w:t>
      </w:r>
      <w:hyperlink r:id="rId9" w:anchor="search=2003-02-0106" w:history="1">
        <w:r w:rsidRPr="00B80A32">
          <w:rPr>
            <w:rStyle w:val="Hyperlink"/>
            <w:i/>
          </w:rPr>
          <w:t>2003-02-0106</w:t>
        </w:r>
      </w:hyperlink>
      <w:r w:rsidRPr="0036770F">
        <w:rPr>
          <w:i/>
        </w:rPr>
        <w:t xml:space="preserve"> </w:t>
      </w:r>
      <w:r w:rsidR="00BC0B47">
        <w:rPr>
          <w:i/>
        </w:rPr>
        <w:t>s</w:t>
      </w:r>
      <w:r w:rsidRPr="0036770F">
        <w:rPr>
          <w:i/>
        </w:rPr>
        <w:t>ecinājumu daļas 1.punkts</w:t>
      </w:r>
      <w:r>
        <w:rPr>
          <w:i/>
        </w:rPr>
        <w:t xml:space="preserve">, Eiropas Savienības Tiesas 2020.gada 22.janvāra sprieduma </w:t>
      </w:r>
      <w:r w:rsidRPr="00B31C25">
        <w:rPr>
          <w:i/>
        </w:rPr>
        <w:t xml:space="preserve">lietā </w:t>
      </w:r>
      <w:r w:rsidR="00B80A32">
        <w:rPr>
          <w:i/>
        </w:rPr>
        <w:t xml:space="preserve">„MSD Animal Health Innovation and Intervet International v. EMA”, </w:t>
      </w:r>
      <w:r w:rsidRPr="00B31C25">
        <w:rPr>
          <w:i/>
          <w:color w:val="000000"/>
        </w:rPr>
        <w:t>C</w:t>
      </w:r>
      <w:r w:rsidRPr="00B31C25">
        <w:rPr>
          <w:i/>
          <w:color w:val="000000"/>
        </w:rPr>
        <w:noBreakHyphen/>
        <w:t>178/18</w:t>
      </w:r>
      <w:r w:rsidR="00B80A32">
        <w:rPr>
          <w:i/>
          <w:color w:val="000000"/>
        </w:rPr>
        <w:t xml:space="preserve"> P, </w:t>
      </w:r>
      <w:hyperlink r:id="rId10" w:history="1">
        <w:r w:rsidR="00B80A32" w:rsidRPr="00B80A32">
          <w:rPr>
            <w:rStyle w:val="Hyperlink"/>
            <w:i/>
          </w:rPr>
          <w:t>ECLI:EU:C:2020:24</w:t>
        </w:r>
      </w:hyperlink>
      <w:r w:rsidR="00B80A32">
        <w:rPr>
          <w:i/>
          <w:color w:val="000000"/>
        </w:rPr>
        <w:t>,</w:t>
      </w:r>
      <w:r w:rsidRPr="00B31C25">
        <w:rPr>
          <w:i/>
          <w:color w:val="000000"/>
        </w:rPr>
        <w:t xml:space="preserve"> 48.</w:t>
      </w:r>
      <w:r w:rsidR="00B80A32">
        <w:rPr>
          <w:i/>
          <w:color w:val="000000"/>
        </w:rPr>
        <w:t>–</w:t>
      </w:r>
      <w:r w:rsidRPr="00B31C25">
        <w:rPr>
          <w:i/>
          <w:color w:val="000000"/>
        </w:rPr>
        <w:t xml:space="preserve">50.punkts, </w:t>
      </w:r>
      <w:r w:rsidRPr="0036770F">
        <w:rPr>
          <w:i/>
        </w:rPr>
        <w:t>Senāta 2012.gada 10.septembra sprieduma lietā Nr.</w:t>
      </w:r>
      <w:r>
        <w:rPr>
          <w:i/>
        </w:rPr>
        <w:t> </w:t>
      </w:r>
      <w:hyperlink r:id="rId11" w:history="1">
        <w:r w:rsidRPr="00B80A32">
          <w:rPr>
            <w:rStyle w:val="Hyperlink"/>
            <w:i/>
          </w:rPr>
          <w:t>SKA-606/2012</w:t>
        </w:r>
      </w:hyperlink>
      <w:r w:rsidR="00B80A32">
        <w:rPr>
          <w:i/>
        </w:rPr>
        <w:t xml:space="preserve">, </w:t>
      </w:r>
      <w:r w:rsidRPr="0036770F">
        <w:rPr>
          <w:i/>
        </w:rPr>
        <w:t>A420675111</w:t>
      </w:r>
      <w:r w:rsidR="00B80A32">
        <w:rPr>
          <w:i/>
        </w:rPr>
        <w:t xml:space="preserve">, </w:t>
      </w:r>
      <w:r w:rsidRPr="0036770F">
        <w:rPr>
          <w:i/>
        </w:rPr>
        <w:t>10.punkts</w:t>
      </w:r>
      <w:r>
        <w:rPr>
          <w:i/>
        </w:rPr>
        <w:t>, 2019.gada 18.aprīļa sprieduma lietā Nr. SKA-917/2019</w:t>
      </w:r>
      <w:bookmarkStart w:id="2" w:name="_Hlk149227086"/>
      <w:r w:rsidR="00B80A32">
        <w:rPr>
          <w:i/>
        </w:rPr>
        <w:t xml:space="preserve">, </w:t>
      </w:r>
      <w:bookmarkStart w:id="3" w:name="_Hlk149224238"/>
      <w:r w:rsidR="00B80A32">
        <w:rPr>
          <w:i/>
        </w:rPr>
        <w:fldChar w:fldCharType="begin"/>
      </w:r>
      <w:r w:rsidR="00B80A32">
        <w:rPr>
          <w:i/>
        </w:rPr>
        <w:instrText>HYPERLINK "https://manas.tiesas.lv/eTiesasMvc/eclinolemumi/ECLI:LV:AT:2019:0418.A420169118.5.S"</w:instrText>
      </w:r>
      <w:r w:rsidR="00B80A32">
        <w:rPr>
          <w:i/>
        </w:rPr>
      </w:r>
      <w:r w:rsidR="00B80A32">
        <w:rPr>
          <w:i/>
        </w:rPr>
        <w:fldChar w:fldCharType="separate"/>
      </w:r>
      <w:r w:rsidR="00B80A32" w:rsidRPr="00B80A32">
        <w:rPr>
          <w:rStyle w:val="Hyperlink"/>
          <w:i/>
        </w:rPr>
        <w:t>ECLI:LV:AT:2019:0418.A420169118.5.S</w:t>
      </w:r>
      <w:r w:rsidR="00B80A32">
        <w:rPr>
          <w:i/>
        </w:rPr>
        <w:fldChar w:fldCharType="end"/>
      </w:r>
      <w:r w:rsidR="00B80A32">
        <w:rPr>
          <w:i/>
        </w:rPr>
        <w:t>,</w:t>
      </w:r>
      <w:bookmarkEnd w:id="2"/>
      <w:r>
        <w:rPr>
          <w:i/>
        </w:rPr>
        <w:t xml:space="preserve"> </w:t>
      </w:r>
      <w:bookmarkEnd w:id="3"/>
      <w:r>
        <w:rPr>
          <w:i/>
        </w:rPr>
        <w:t>7.punkts</w:t>
      </w:r>
      <w:r w:rsidRPr="0036770F">
        <w:t xml:space="preserve">). </w:t>
      </w:r>
    </w:p>
    <w:p w14:paraId="3AFB3439" w14:textId="77777777" w:rsidR="004C4017" w:rsidRDefault="004C4017" w:rsidP="003D669D">
      <w:pPr>
        <w:spacing w:line="276" w:lineRule="auto"/>
        <w:ind w:firstLine="720"/>
        <w:jc w:val="both"/>
      </w:pPr>
    </w:p>
    <w:p w14:paraId="520F494B" w14:textId="02B5CEF8" w:rsidR="004C4017" w:rsidRDefault="004C4017" w:rsidP="003D669D">
      <w:pPr>
        <w:spacing w:line="276" w:lineRule="auto"/>
        <w:ind w:firstLine="720"/>
        <w:jc w:val="both"/>
      </w:pPr>
      <w:r w:rsidRPr="00E70EFD">
        <w:t xml:space="preserve">[10] </w:t>
      </w:r>
      <w:r>
        <w:t xml:space="preserve">Vispārīgais regulējums, kurā konkretizētas no Satversmes izrietošās tiesības piekļūt iestāžu rīcībā esošai informācijai, ietverts Informācijas atklātības likumā. </w:t>
      </w:r>
      <w:r>
        <w:lastRenderedPageBreak/>
        <w:t xml:space="preserve">Vienlaikus jautājums par konkrēta veida informācijas pieejamību var būt regulēts arī speciālajās tiesību normās, tāpēc jāpiekrīt kasatorei, ka informācijas pieejamības lietās ir būtiski izvērtēt to, vai konkrēta veida informācijas pieejamību regulē arī citi normatīvie akti, ne tikai Informācijas atklātības likums, un piemērojamās tiesību normas ir aplūkojamas kopsakarā. Salīdzinājumam arī Eiropas Savienības Vispārējā tiesa, izskatot lietas par piekļuvi Eiropas Savienības institūciju rīcībā esošai informācijai, ir atzinusi, ka vispārīgais regulējums par informācijas pieejamību ir interpretējams kopsakarā ar normatīvajiem aktiem, kas regulē </w:t>
      </w:r>
      <w:r w:rsidRPr="00843F40">
        <w:t xml:space="preserve">piekļuvi konkrētai informācijai (piemēram, </w:t>
      </w:r>
      <w:bookmarkStart w:id="4" w:name="_Hlk149223626"/>
      <w:r w:rsidR="00913CEA" w:rsidRPr="00913CEA">
        <w:rPr>
          <w:i/>
          <w:iCs/>
        </w:rPr>
        <w:t>Eiropas Savienības Vispārējās tiesas</w:t>
      </w:r>
      <w:r w:rsidR="00913CEA">
        <w:t xml:space="preserve"> </w:t>
      </w:r>
      <w:bookmarkStart w:id="5" w:name="_Hlk149220732"/>
      <w:r w:rsidRPr="00843F40">
        <w:rPr>
          <w:i/>
          <w:iCs/>
        </w:rPr>
        <w:t xml:space="preserve">2018.gada 5.februāra sprieduma lietā </w:t>
      </w:r>
      <w:r w:rsidR="00913CEA">
        <w:rPr>
          <w:i/>
          <w:iCs/>
        </w:rPr>
        <w:t>„</w:t>
      </w:r>
      <w:r w:rsidR="00913CEA">
        <w:rPr>
          <w:i/>
        </w:rPr>
        <w:t>MSD Animal Health Innovation and Intervet International v. EMA</w:t>
      </w:r>
      <w:r w:rsidR="00913CEA">
        <w:rPr>
          <w:i/>
          <w:iCs/>
        </w:rPr>
        <w:t xml:space="preserve">”, </w:t>
      </w:r>
      <w:r w:rsidRPr="00843F40">
        <w:rPr>
          <w:i/>
          <w:iCs/>
        </w:rPr>
        <w:t>T</w:t>
      </w:r>
      <w:r w:rsidRPr="00843F40">
        <w:rPr>
          <w:i/>
          <w:iCs/>
        </w:rPr>
        <w:noBreakHyphen/>
        <w:t>729/15</w:t>
      </w:r>
      <w:r w:rsidR="00913CEA">
        <w:rPr>
          <w:i/>
          <w:iCs/>
        </w:rPr>
        <w:t xml:space="preserve">, </w:t>
      </w:r>
      <w:hyperlink r:id="rId12" w:history="1">
        <w:r w:rsidR="00913CEA" w:rsidRPr="00913CEA">
          <w:rPr>
            <w:rStyle w:val="Hyperlink"/>
            <w:i/>
            <w:iCs/>
          </w:rPr>
          <w:t>ECLI:EU:T:2018:67</w:t>
        </w:r>
      </w:hyperlink>
      <w:r w:rsidR="00290513" w:rsidRPr="00290513">
        <w:rPr>
          <w:rStyle w:val="Hyperlink"/>
          <w:i/>
          <w:iCs/>
          <w:u w:val="none"/>
        </w:rPr>
        <w:t xml:space="preserve"> </w:t>
      </w:r>
      <w:r w:rsidR="00290513" w:rsidRPr="002C635B">
        <w:rPr>
          <w:rStyle w:val="Hyperlink"/>
          <w:color w:val="auto"/>
          <w:u w:val="none"/>
        </w:rPr>
        <w:t>(turpmāk</w:t>
      </w:r>
      <w:r w:rsidR="00290513" w:rsidRPr="00290513">
        <w:rPr>
          <w:rStyle w:val="Hyperlink"/>
          <w:i/>
          <w:iCs/>
          <w:color w:val="auto"/>
          <w:u w:val="none"/>
        </w:rPr>
        <w:t xml:space="preserve"> – MSD Animal Health </w:t>
      </w:r>
      <w:r w:rsidR="00290513" w:rsidRPr="002C635B">
        <w:rPr>
          <w:rStyle w:val="Hyperlink"/>
          <w:color w:val="auto"/>
          <w:u w:val="none"/>
        </w:rPr>
        <w:t>spriedums)</w:t>
      </w:r>
      <w:r w:rsidR="00913CEA">
        <w:rPr>
          <w:i/>
          <w:iCs/>
        </w:rPr>
        <w:t>,</w:t>
      </w:r>
      <w:r w:rsidRPr="00843F40">
        <w:rPr>
          <w:i/>
          <w:iCs/>
        </w:rPr>
        <w:t xml:space="preserve"> </w:t>
      </w:r>
      <w:bookmarkEnd w:id="4"/>
      <w:bookmarkEnd w:id="5"/>
      <w:r w:rsidRPr="00843F40">
        <w:rPr>
          <w:i/>
          <w:iCs/>
        </w:rPr>
        <w:t>29.punkts</w:t>
      </w:r>
      <w:r w:rsidRPr="00843F40">
        <w:t xml:space="preserve">). </w:t>
      </w:r>
    </w:p>
    <w:p w14:paraId="2F7BB33D" w14:textId="77777777" w:rsidR="004C4017" w:rsidRDefault="004C4017" w:rsidP="003D669D">
      <w:pPr>
        <w:spacing w:line="276" w:lineRule="auto"/>
        <w:ind w:firstLine="720"/>
        <w:jc w:val="both"/>
      </w:pPr>
      <w:r w:rsidRPr="00843F40">
        <w:t xml:space="preserve">Līdz ar to Senāts vispirms aplūkos Informācijas atklātības </w:t>
      </w:r>
      <w:r>
        <w:t xml:space="preserve">likuma </w:t>
      </w:r>
      <w:r w:rsidRPr="00843F40">
        <w:t xml:space="preserve">regulējumu </w:t>
      </w:r>
      <w:r>
        <w:t xml:space="preserve">jautājumā par piekļuvi komercnoslēpumam </w:t>
      </w:r>
      <w:r w:rsidRPr="00843F40">
        <w:t xml:space="preserve">un </w:t>
      </w:r>
      <w:r>
        <w:t>tad</w:t>
      </w:r>
      <w:r w:rsidRPr="00843F40">
        <w:t xml:space="preserve"> pievērsīsies tam, ko attiecībā uz publiskā iepirkuma </w:t>
      </w:r>
      <w:r>
        <w:t>procedūrā pasūtīt</w:t>
      </w:r>
      <w:r w:rsidRPr="003A087B">
        <w:t>ājam iesniegtu informāciju noteic citi normatīvie akti.</w:t>
      </w:r>
    </w:p>
    <w:p w14:paraId="379801B4" w14:textId="77777777" w:rsidR="004C4017" w:rsidRDefault="004C4017" w:rsidP="003D669D">
      <w:pPr>
        <w:spacing w:line="276" w:lineRule="auto"/>
        <w:ind w:firstLine="720"/>
        <w:jc w:val="both"/>
      </w:pPr>
    </w:p>
    <w:p w14:paraId="5D86285C" w14:textId="77777777" w:rsidR="004C4017" w:rsidRPr="0036770F" w:rsidRDefault="004C4017" w:rsidP="003D669D">
      <w:pPr>
        <w:spacing w:line="276" w:lineRule="auto"/>
        <w:ind w:firstLine="720"/>
        <w:jc w:val="both"/>
      </w:pPr>
      <w:r w:rsidRPr="003A087B">
        <w:t xml:space="preserve">[11] </w:t>
      </w:r>
      <w:r w:rsidRPr="0036770F">
        <w:t xml:space="preserve">Atbilstoši </w:t>
      </w:r>
      <w:r>
        <w:t xml:space="preserve">Informācijas atklātības likuma </w:t>
      </w:r>
      <w:r w:rsidRPr="0036770F">
        <w:t xml:space="preserve">2.panta otrajai un trešajai daļai </w:t>
      </w:r>
      <w:r>
        <w:t xml:space="preserve">iestāžu rīcībā esoša dokumentēta </w:t>
      </w:r>
      <w:r w:rsidRPr="0036770F">
        <w:t>informācija ir pieejama sabiedrībai visos gadījumos, kad likumos nav noteikts citādi. Likuma 3.pants iedala informāciju vispārpieejamā un ierobežotas pieejamības informācijā, paredzot, ka vispārpieejamu informāciju persona var pieprasīt bez īpaša pamatojuma. Savukārt attiecībā uz ierobežotas pieejamības informāciju likums paredz konkrētu kārtību tam, kā šād</w:t>
      </w:r>
      <w:r>
        <w:t>u</w:t>
      </w:r>
      <w:r w:rsidRPr="0036770F">
        <w:t xml:space="preserve"> informācij</w:t>
      </w:r>
      <w:r>
        <w:t xml:space="preserve">u var atklāt </w:t>
      </w:r>
      <w:r w:rsidRPr="0036770F">
        <w:t xml:space="preserve">trešajām personām. </w:t>
      </w:r>
    </w:p>
    <w:p w14:paraId="7EC746AE" w14:textId="57706A4C" w:rsidR="004C4017" w:rsidRPr="00E8155B" w:rsidRDefault="004C4017" w:rsidP="003D669D">
      <w:pPr>
        <w:spacing w:line="276" w:lineRule="auto"/>
        <w:ind w:firstLine="720"/>
        <w:jc w:val="both"/>
      </w:pPr>
      <w:r w:rsidRPr="003A087B">
        <w:t>Informācijas atklātības likumā ir reglamentēts arī jautājums par tādas informācijas pieejamību, kas ir komercnoslēpums. Proti, šā likuma 5.panta otrās daļas 3.punkts noteic, ka par ierobežotas pieejamības informāciju uzskatāma arī informācija, kas ir komercnoslēpums. T</w:t>
      </w:r>
      <w:r>
        <w:t xml:space="preserve">ādējādi </w:t>
      </w:r>
      <w:r w:rsidRPr="003A087B">
        <w:t>uz komercnoslēpuma izsniegšanu ir attiecināmi Informācijas atklātības likum</w:t>
      </w:r>
      <w:r>
        <w:t>ā paredzētie</w:t>
      </w:r>
      <w:r w:rsidRPr="003A087B">
        <w:t xml:space="preserve"> ierobežotas pieejamības informācijas izsniegšan</w:t>
      </w:r>
      <w:r>
        <w:t>as noteikumi</w:t>
      </w:r>
      <w:r w:rsidRPr="003A087B">
        <w:t xml:space="preserve">, kas prasa pretstatīto interešu svēršanu un pieļauj </w:t>
      </w:r>
      <w:r>
        <w:t>šādas</w:t>
      </w:r>
      <w:r w:rsidRPr="003A087B">
        <w:t xml:space="preserve"> informācijas izsniegšanu, ja to prasa būtisku interešu aizsardzības vajadzība (Informācijas atklātības likuma 11.panta ceturtā daļa, </w:t>
      </w:r>
      <w:r>
        <w:t xml:space="preserve">sal. arī </w:t>
      </w:r>
      <w:r w:rsidRPr="000B408E">
        <w:rPr>
          <w:i/>
          <w:iCs/>
        </w:rPr>
        <w:t>Senāta 2019.gada 18.aprīļa sprieduma lietā Nr. SKA-917/2019</w:t>
      </w:r>
      <w:r w:rsidR="00F25721">
        <w:rPr>
          <w:i/>
        </w:rPr>
        <w:t xml:space="preserve">, </w:t>
      </w:r>
      <w:hyperlink r:id="rId13" w:history="1">
        <w:r w:rsidR="00F25721" w:rsidRPr="00B80A32">
          <w:rPr>
            <w:rStyle w:val="Hyperlink"/>
            <w:i/>
          </w:rPr>
          <w:t>ECLI:LV:AT:2019:0418.A420169118.5.S</w:t>
        </w:r>
      </w:hyperlink>
      <w:r w:rsidR="00F25721">
        <w:rPr>
          <w:i/>
        </w:rPr>
        <w:t>,</w:t>
      </w:r>
      <w:r w:rsidRPr="000B408E">
        <w:rPr>
          <w:i/>
          <w:iCs/>
        </w:rPr>
        <w:t xml:space="preserve"> 8.punkts, 2019.gada </w:t>
      </w:r>
      <w:r w:rsidR="00211291">
        <w:rPr>
          <w:i/>
          <w:iCs/>
        </w:rPr>
        <w:t xml:space="preserve">7.jūnija </w:t>
      </w:r>
      <w:r w:rsidRPr="000B408E">
        <w:rPr>
          <w:i/>
          <w:iCs/>
        </w:rPr>
        <w:t>sprieduma lietā Nr.</w:t>
      </w:r>
      <w:r w:rsidR="00211291">
        <w:rPr>
          <w:i/>
          <w:iCs/>
        </w:rPr>
        <w:t> </w:t>
      </w:r>
      <w:r w:rsidRPr="000B408E">
        <w:rPr>
          <w:i/>
          <w:iCs/>
        </w:rPr>
        <w:t>SKA-661/2019</w:t>
      </w:r>
      <w:r w:rsidR="00211291">
        <w:rPr>
          <w:i/>
          <w:iCs/>
        </w:rPr>
        <w:t xml:space="preserve">, </w:t>
      </w:r>
      <w:hyperlink r:id="rId14" w:history="1">
        <w:r w:rsidR="00211291" w:rsidRPr="00EB01D6">
          <w:rPr>
            <w:rStyle w:val="Hyperlink"/>
            <w:i/>
            <w:iCs/>
          </w:rPr>
          <w:t>ECLI:LV:AT:2019:0607.A420236517.5.S</w:t>
        </w:r>
      </w:hyperlink>
      <w:r w:rsidR="00211291">
        <w:rPr>
          <w:i/>
          <w:iCs/>
        </w:rPr>
        <w:t>,</w:t>
      </w:r>
      <w:r w:rsidRPr="000B408E">
        <w:rPr>
          <w:i/>
          <w:iCs/>
        </w:rPr>
        <w:t xml:space="preserve"> 6</w:t>
      </w:r>
      <w:r w:rsidR="00211291">
        <w:rPr>
          <w:i/>
          <w:iCs/>
        </w:rPr>
        <w:t>.–</w:t>
      </w:r>
      <w:r w:rsidRPr="000B408E">
        <w:rPr>
          <w:i/>
          <w:iCs/>
        </w:rPr>
        <w:t>7.punkts</w:t>
      </w:r>
      <w:r w:rsidRPr="003A087B">
        <w:t xml:space="preserve">). Senāta judikatūrā jau atzīts, ka līdz ar to arī komercnoslēpuma kā ierobežotas pieejamības informācijas izsniegšana vispārīgi nav izslēgta, </w:t>
      </w:r>
      <w:r>
        <w:t xml:space="preserve">proti, arī šādu informāciju var izsniegt, </w:t>
      </w:r>
      <w:r w:rsidRPr="003A087B">
        <w:rPr>
          <w:rFonts w:eastAsiaTheme="minorHAnsi"/>
          <w:lang w:eastAsia="en-US"/>
          <w14:ligatures w14:val="standardContextual"/>
        </w:rPr>
        <w:t>ja tās izsniegšanu paredz likums vai ja</w:t>
      </w:r>
      <w:r>
        <w:rPr>
          <w:rFonts w:eastAsiaTheme="minorHAnsi"/>
          <w:lang w:eastAsia="en-US"/>
          <w14:ligatures w14:val="standardContextual"/>
        </w:rPr>
        <w:t xml:space="preserve"> </w:t>
      </w:r>
      <w:r w:rsidRPr="003A087B">
        <w:rPr>
          <w:rFonts w:eastAsiaTheme="minorHAnsi"/>
          <w:lang w:eastAsia="en-US"/>
          <w14:ligatures w14:val="standardContextual"/>
        </w:rPr>
        <w:t>pieprasītā informācija skar būtisku sabiedr</w:t>
      </w:r>
      <w:r>
        <w:rPr>
          <w:rFonts w:eastAsiaTheme="minorHAnsi"/>
          <w:lang w:eastAsia="en-US"/>
          <w14:ligatures w14:val="standardContextual"/>
        </w:rPr>
        <w:t>ības</w:t>
      </w:r>
      <w:r w:rsidRPr="003A087B">
        <w:rPr>
          <w:rFonts w:eastAsiaTheme="minorHAnsi"/>
          <w:lang w:eastAsia="en-US"/>
          <w14:ligatures w14:val="standardContextual"/>
        </w:rPr>
        <w:t xml:space="preserve"> interesi un informācijas atklāšana ir samērojama ar</w:t>
      </w:r>
      <w:r>
        <w:rPr>
          <w:rFonts w:eastAsiaTheme="minorHAnsi"/>
          <w:lang w:eastAsia="en-US"/>
          <w14:ligatures w14:val="standardContextual"/>
        </w:rPr>
        <w:t xml:space="preserve"> </w:t>
      </w:r>
      <w:r w:rsidRPr="003A087B">
        <w:rPr>
          <w:rFonts w:eastAsiaTheme="minorHAnsi"/>
          <w:lang w:eastAsia="en-US"/>
          <w14:ligatures w14:val="standardContextual"/>
        </w:rPr>
        <w:t>iespējamo kaitējumu kapitālsabiedrības interesēm (</w:t>
      </w:r>
      <w:r w:rsidRPr="000B408E">
        <w:rPr>
          <w:rFonts w:eastAsiaTheme="minorHAnsi"/>
          <w:i/>
          <w:iCs/>
          <w:lang w:eastAsia="en-US"/>
          <w14:ligatures w14:val="standardContextual"/>
        </w:rPr>
        <w:t>Senāta 2014.gada 11.aprīļa sprieduma lietā Nr. </w:t>
      </w:r>
      <w:hyperlink r:id="rId15" w:history="1">
        <w:r w:rsidRPr="00E20665">
          <w:rPr>
            <w:rStyle w:val="Hyperlink"/>
            <w:rFonts w:eastAsiaTheme="minorHAnsi"/>
            <w:i/>
            <w:iCs/>
            <w:lang w:eastAsia="en-US"/>
            <w14:ligatures w14:val="standardContextual"/>
          </w:rPr>
          <w:t>SKA-10/2014</w:t>
        </w:r>
      </w:hyperlink>
      <w:r w:rsidRPr="00E8155B">
        <w:rPr>
          <w:rFonts w:eastAsiaTheme="minorHAnsi"/>
          <w:i/>
          <w:iCs/>
          <w:lang w:eastAsia="en-US"/>
          <w14:ligatures w14:val="standardContextual"/>
        </w:rPr>
        <w:t>, A420418311, 17.</w:t>
      </w:r>
      <w:r w:rsidR="00EB01D6">
        <w:rPr>
          <w:rFonts w:eastAsiaTheme="minorHAnsi"/>
          <w:i/>
          <w:iCs/>
          <w:lang w:eastAsia="en-US"/>
          <w14:ligatures w14:val="standardContextual"/>
        </w:rPr>
        <w:t>–</w:t>
      </w:r>
      <w:r w:rsidRPr="00E8155B">
        <w:rPr>
          <w:rFonts w:eastAsiaTheme="minorHAnsi"/>
          <w:i/>
          <w:iCs/>
          <w:lang w:eastAsia="en-US"/>
          <w14:ligatures w14:val="standardContextual"/>
        </w:rPr>
        <w:t>18.punkts</w:t>
      </w:r>
      <w:r w:rsidRPr="00E8155B">
        <w:rPr>
          <w:rFonts w:eastAsiaTheme="minorHAnsi"/>
          <w:lang w:eastAsia="en-US"/>
          <w14:ligatures w14:val="standardContextual"/>
        </w:rPr>
        <w:t>).</w:t>
      </w:r>
    </w:p>
    <w:p w14:paraId="3DEF8BAE" w14:textId="77777777" w:rsidR="004C4017" w:rsidRPr="00E8155B" w:rsidRDefault="004C4017" w:rsidP="003D669D">
      <w:pPr>
        <w:pStyle w:val="tv213"/>
        <w:shd w:val="clear" w:color="auto" w:fill="FFFFFF"/>
        <w:spacing w:before="0" w:beforeAutospacing="0" w:after="0" w:afterAutospacing="0" w:line="276" w:lineRule="auto"/>
        <w:ind w:firstLine="720"/>
        <w:jc w:val="both"/>
      </w:pPr>
      <w:r w:rsidRPr="00E8155B">
        <w:t xml:space="preserve">Šāds regulējums ir saskanīgs arī ar Komercnoslēpuma aizsardzības likuma, kura mērķis ir </w:t>
      </w:r>
      <w:r w:rsidRPr="00E8155B">
        <w:rPr>
          <w:shd w:val="clear" w:color="auto" w:fill="FFFFFF"/>
        </w:rPr>
        <w:t>nodrošināt komercnoslēpuma efektīvu aizsardzību (likuma 1.pants), 4.panta 6.punktā noteikto: k</w:t>
      </w:r>
      <w:r w:rsidRPr="00E8155B">
        <w:t>omercnoslēpuma iegūšana ir likumīga, ja tas iegūts tādējādi, ka to pieprasījusi izsniegt fiziskā vai juridiskā persona, pamatojoties uz būtisku sabiedrības interešu aizsardzību, un komercnoslēpuma atklāšana ir samērojama ar iespējamo kaitējumu komercnoslēpuma turētājam. Žurnālistu intere</w:t>
      </w:r>
      <w:r>
        <w:t>šu</w:t>
      </w:r>
      <w:r w:rsidRPr="00E8155B">
        <w:t xml:space="preserve"> piekļūt komercnoslēpumam kontekstā tas ir saskanīgi arī ar </w:t>
      </w:r>
      <w:r>
        <w:t xml:space="preserve">minētajā likumā pārņemtās </w:t>
      </w:r>
      <w:r w:rsidRPr="00E8155B">
        <w:t xml:space="preserve">Direktīvas 2016/943 </w:t>
      </w:r>
      <w:r w:rsidRPr="00E8155B">
        <w:lastRenderedPageBreak/>
        <w:t>19.apsvērumā, 1.panta 2.punkta „a” apakšpunktā un 5.panta „a” apakšpunktā noteikto: kaut gan ar šo direktīvu ir paredzēti pasākumi un tiesiskās aizsardzības līdzekļi, ar kuriem var novērst informācijas izpaušanu, lai aizsargātu komercnoslēpumu konfidencialitāti, ir būtiski, ka netiek ierobežota vārda un informācijas brīvība, jo īpaši attiecībā uz pētniecisko žurnālistiku; šī direktīva neskar tiesību uz vārda un informācijas brīvību izmantošanu</w:t>
      </w:r>
      <w:r>
        <w:t>;</w:t>
      </w:r>
      <w:r w:rsidRPr="00E8155B">
        <w:t xml:space="preserve"> dalībvalstis nodrošina, ka prasība saistībā ar šajā direktīvā paredzētajiem pasākumiem, procedūrām un aizsardzības līdzekļiem tiek noraidīta, ja komercnoslēpuma iespējamā iegūšana, izmantošana vai izpaušana tika veikta, lai izmantotu tiesības uz vārda un informācijas brīvību, ietverot plašsaziņas līdzekļu brīvības un plurālisma ievērošanu.</w:t>
      </w:r>
    </w:p>
    <w:p w14:paraId="29CE5F77" w14:textId="7AF1AA62" w:rsidR="004C4017" w:rsidRDefault="004C4017" w:rsidP="003D669D">
      <w:pPr>
        <w:autoSpaceDE w:val="0"/>
        <w:autoSpaceDN w:val="0"/>
        <w:adjustRightInd w:val="0"/>
        <w:spacing w:line="276" w:lineRule="auto"/>
        <w:ind w:firstLine="720"/>
        <w:jc w:val="both"/>
      </w:pPr>
      <w:r w:rsidRPr="00E70EFD">
        <w:t>T</w:t>
      </w:r>
      <w:r>
        <w:t xml:space="preserve">āpat </w:t>
      </w:r>
      <w:r w:rsidRPr="00E70EFD">
        <w:t>arī Eiropas Savienības Tiesa</w:t>
      </w:r>
      <w:r>
        <w:t xml:space="preserve"> ir atzinusi</w:t>
      </w:r>
      <w:r w:rsidRPr="00E70EFD">
        <w:t>, ka komercnoslēpum</w:t>
      </w:r>
      <w:r>
        <w:t>a</w:t>
      </w:r>
      <w:r w:rsidRPr="00E70EFD">
        <w:t xml:space="preserve"> aizsardzība ir vispārējs </w:t>
      </w:r>
      <w:r w:rsidRPr="005966AC">
        <w:t>Savienības tiesību princips, tomēr vienlaikus šis princips nav absolūts un tam ar tiesību normu sabiedrības interesēs var noteikt samērīgus ierobežojumus (</w:t>
      </w:r>
      <w:r w:rsidRPr="00E20665">
        <w:rPr>
          <w:i/>
          <w:iCs/>
        </w:rPr>
        <w:t>Eiropas Savienības Tiesas</w:t>
      </w:r>
      <w:r w:rsidRPr="005966AC">
        <w:t xml:space="preserve"> </w:t>
      </w:r>
      <w:r w:rsidRPr="005966AC">
        <w:rPr>
          <w:i/>
        </w:rPr>
        <w:t xml:space="preserve">2012.gada 29.marta sprieduma lietā </w:t>
      </w:r>
      <w:r w:rsidR="00BF3124">
        <w:rPr>
          <w:i/>
        </w:rPr>
        <w:t>„</w:t>
      </w:r>
      <w:r w:rsidR="00BF3124" w:rsidRPr="00BF3124">
        <w:rPr>
          <w:i/>
          <w:iCs/>
        </w:rPr>
        <w:t>Interseroh Scrap and Metals Trading</w:t>
      </w:r>
      <w:r w:rsidR="00BF3124">
        <w:rPr>
          <w:i/>
        </w:rPr>
        <w:t xml:space="preserve">”, </w:t>
      </w:r>
      <w:r w:rsidRPr="005966AC">
        <w:rPr>
          <w:i/>
        </w:rPr>
        <w:t>C-1/11</w:t>
      </w:r>
      <w:r w:rsidR="00BF3124">
        <w:rPr>
          <w:i/>
        </w:rPr>
        <w:t xml:space="preserve">, </w:t>
      </w:r>
      <w:hyperlink r:id="rId16" w:history="1">
        <w:r w:rsidR="00BF3124" w:rsidRPr="00BF3124">
          <w:rPr>
            <w:rStyle w:val="Hyperlink"/>
            <w:i/>
          </w:rPr>
          <w:t>ECLI:EU:C:2012:194</w:t>
        </w:r>
      </w:hyperlink>
      <w:r w:rsidR="00BF3124">
        <w:rPr>
          <w:i/>
        </w:rPr>
        <w:t>,</w:t>
      </w:r>
      <w:r w:rsidRPr="005966AC">
        <w:rPr>
          <w:i/>
        </w:rPr>
        <w:t xml:space="preserve"> 43.punkts, </w:t>
      </w:r>
      <w:bookmarkStart w:id="6" w:name="_Hlk149221000"/>
      <w:r w:rsidR="00290513" w:rsidRPr="00290513">
        <w:rPr>
          <w:rStyle w:val="Hyperlink"/>
          <w:i/>
          <w:iCs/>
          <w:color w:val="auto"/>
          <w:u w:val="none"/>
        </w:rPr>
        <w:t>MSD Animal Health</w:t>
      </w:r>
      <w:r w:rsidR="00BF3124" w:rsidRPr="00290513">
        <w:rPr>
          <w:i/>
          <w:iCs/>
        </w:rPr>
        <w:t xml:space="preserve"> </w:t>
      </w:r>
      <w:bookmarkEnd w:id="6"/>
      <w:r w:rsidR="00290513">
        <w:rPr>
          <w:i/>
          <w:iCs/>
        </w:rPr>
        <w:t xml:space="preserve">sprieduma </w:t>
      </w:r>
      <w:r w:rsidRPr="005966AC">
        <w:rPr>
          <w:i/>
        </w:rPr>
        <w:t>63.</w:t>
      </w:r>
      <w:r w:rsidR="00BF3124">
        <w:rPr>
          <w:i/>
        </w:rPr>
        <w:t>–</w:t>
      </w:r>
      <w:r w:rsidRPr="005966AC">
        <w:rPr>
          <w:i/>
        </w:rPr>
        <w:t>65.punkts</w:t>
      </w:r>
      <w:r w:rsidRPr="005966AC">
        <w:t xml:space="preserve">). Salīdzinājumam arī </w:t>
      </w:r>
      <w:r w:rsidRPr="005966AC">
        <w:rPr>
          <w:rStyle w:val="normal--char"/>
          <w:iCs/>
        </w:rPr>
        <w:t xml:space="preserve">Eiropas </w:t>
      </w:r>
      <w:r w:rsidR="00DE227E">
        <w:rPr>
          <w:rStyle w:val="normal--char"/>
          <w:iCs/>
        </w:rPr>
        <w:t>Parlamenta un Padomes 2001.gada 30.maija R</w:t>
      </w:r>
      <w:r w:rsidRPr="005966AC">
        <w:rPr>
          <w:rStyle w:val="normal--char"/>
          <w:iCs/>
        </w:rPr>
        <w:t xml:space="preserve">egulas </w:t>
      </w:r>
      <w:r w:rsidR="00DE227E">
        <w:rPr>
          <w:rStyle w:val="normal--char"/>
          <w:iCs/>
        </w:rPr>
        <w:t xml:space="preserve">(EK) </w:t>
      </w:r>
      <w:r w:rsidRPr="005966AC">
        <w:rPr>
          <w:rStyle w:val="normal--char"/>
          <w:iCs/>
        </w:rPr>
        <w:t>Nr.</w:t>
      </w:r>
      <w:r w:rsidR="00DE227E">
        <w:rPr>
          <w:rStyle w:val="normal--char"/>
          <w:iCs/>
        </w:rPr>
        <w:t> </w:t>
      </w:r>
      <w:r w:rsidRPr="005966AC">
        <w:rPr>
          <w:rStyle w:val="normal--char"/>
          <w:iCs/>
        </w:rPr>
        <w:t xml:space="preserve">1049/2001 </w:t>
      </w:r>
      <w:r w:rsidRPr="005966AC">
        <w:t>par publisku piekļuvi Eiropas Parlamenta, Padomes un Komisijas dokumentiem (</w:t>
      </w:r>
      <w:r>
        <w:t xml:space="preserve">turpmāk – </w:t>
      </w:r>
      <w:r w:rsidR="00ED64E4">
        <w:t>Regula Nr. </w:t>
      </w:r>
      <w:r w:rsidRPr="005966AC">
        <w:t>1049/2001</w:t>
      </w:r>
      <w:r>
        <w:t>),</w:t>
      </w:r>
      <w:r w:rsidRPr="005966AC">
        <w:t xml:space="preserve"> </w:t>
      </w:r>
      <w:r w:rsidRPr="005966AC">
        <w:rPr>
          <w:iCs/>
        </w:rPr>
        <w:t>kas attiecas uz piekļuvi Eiropas Savienības institūciju rīcībā esošajai informācijai</w:t>
      </w:r>
      <w:r>
        <w:rPr>
          <w:iCs/>
        </w:rPr>
        <w:t>,</w:t>
      </w:r>
      <w:r w:rsidRPr="005966AC">
        <w:rPr>
          <w:iCs/>
        </w:rPr>
        <w:t xml:space="preserve"> 4.panta</w:t>
      </w:r>
      <w:r w:rsidRPr="005966AC">
        <w:t xml:space="preserve"> 2.punktā norādīts, ka iestādes var atteikt piekļuvi dokumentam, ja iepazīšanās ar to var kaitēt komerciālo interešu aizsardzībai, ja vien iepazīšanās ar dokumentu nav saistīta ar sevišķām sabiedrības interesēm. Piemērojot šo regulu, Eiropas Savienības Vispārējā tiesa uzsvērusi, ka</w:t>
      </w:r>
      <w:r w:rsidR="004C7DE9">
        <w:t xml:space="preserve"> </w:t>
      </w:r>
      <w:r w:rsidRPr="005966AC">
        <w:t xml:space="preserve">izņēmuma [no vispārējā principa, ka informācija ir jāsniedz] sistēma ir balstīta uz konkrētajā situācijā esošo pretējo interešu, proti, no vienas puses, interešu, kurām nāktu par labu attiecīgo dokumentu izpaušana, un, no otras puses, interešu, kuras šī izpaušana apdraudētu, līdzsvarošanu. Lēmums, kas tiek pieņemts uz lūguma piekļūt dokumentiem pamata, ir atkarīgs no jautājuma par to, kādām interesēm </w:t>
      </w:r>
      <w:r>
        <w:t xml:space="preserve">konkrētajā </w:t>
      </w:r>
      <w:r w:rsidRPr="005966AC">
        <w:t>gadījumā ir jāprevalē (</w:t>
      </w:r>
      <w:r w:rsidR="00290513" w:rsidRPr="00290513">
        <w:rPr>
          <w:rStyle w:val="Hyperlink"/>
          <w:i/>
          <w:iCs/>
          <w:color w:val="auto"/>
          <w:u w:val="none"/>
        </w:rPr>
        <w:t>MSD Animal Health</w:t>
      </w:r>
      <w:r w:rsidR="00290513" w:rsidRPr="00290513">
        <w:rPr>
          <w:i/>
          <w:iCs/>
        </w:rPr>
        <w:t xml:space="preserve"> </w:t>
      </w:r>
      <w:r w:rsidR="00290513">
        <w:rPr>
          <w:i/>
          <w:iCs/>
        </w:rPr>
        <w:t>sprieduma</w:t>
      </w:r>
      <w:r w:rsidR="00666714" w:rsidRPr="00666714">
        <w:rPr>
          <w:i/>
          <w:iCs/>
        </w:rPr>
        <w:t xml:space="preserve"> </w:t>
      </w:r>
      <w:r w:rsidRPr="005966AC">
        <w:rPr>
          <w:i/>
          <w:iCs/>
        </w:rPr>
        <w:t>65.punkts</w:t>
      </w:r>
      <w:r w:rsidRPr="005966AC">
        <w:t>).</w:t>
      </w:r>
      <w:r>
        <w:t xml:space="preserve"> </w:t>
      </w:r>
    </w:p>
    <w:p w14:paraId="6D31161E" w14:textId="77777777" w:rsidR="004C4017" w:rsidRPr="005966AC" w:rsidRDefault="004C4017" w:rsidP="003D669D">
      <w:pPr>
        <w:autoSpaceDE w:val="0"/>
        <w:autoSpaceDN w:val="0"/>
        <w:adjustRightInd w:val="0"/>
        <w:spacing w:line="276" w:lineRule="auto"/>
        <w:ind w:firstLine="720"/>
        <w:jc w:val="both"/>
      </w:pPr>
      <w:r>
        <w:t>Tādējādi arī Eiropas Savienībā uz jautājumu par komerciāla rakstura informācijas izsniegšanu raugās līdzīgi, kā tas ir vispārīgi noregulēts Informācijas atklātības likumā.</w:t>
      </w:r>
    </w:p>
    <w:p w14:paraId="0F2A7E74" w14:textId="77777777" w:rsidR="004C4017" w:rsidRPr="005966AC" w:rsidRDefault="004C4017" w:rsidP="003D669D">
      <w:pPr>
        <w:pStyle w:val="tv213"/>
        <w:shd w:val="clear" w:color="auto" w:fill="FFFFFF"/>
        <w:spacing w:before="0" w:beforeAutospacing="0" w:after="0" w:afterAutospacing="0" w:line="276" w:lineRule="auto"/>
        <w:ind w:firstLine="720"/>
        <w:jc w:val="both"/>
      </w:pPr>
    </w:p>
    <w:p w14:paraId="6C41DDDD" w14:textId="77777777" w:rsidR="004C4017" w:rsidRDefault="004C4017" w:rsidP="003D669D">
      <w:pPr>
        <w:spacing w:line="276" w:lineRule="auto"/>
        <w:ind w:firstLine="720"/>
        <w:jc w:val="both"/>
      </w:pPr>
      <w:r>
        <w:t>[12] Vienlaikus jāņem vērā, ka izskatāmajā lietā pieprasītā informācija ir komercnoslēpums, kas iestādes rīcībā nonācis publiskā iepirkuma procedūras ietvaros. Šā iemesla dēļ ir pamats pievērsties tam, ko tiesiskais regulējums paredz attiecībā uz šādu komercnoslēpumu.</w:t>
      </w:r>
    </w:p>
    <w:p w14:paraId="35E94A31" w14:textId="77777777" w:rsidR="004C4017" w:rsidRDefault="004C4017" w:rsidP="003D669D">
      <w:pPr>
        <w:spacing w:line="276" w:lineRule="auto"/>
        <w:ind w:firstLine="720"/>
        <w:jc w:val="both"/>
      </w:pPr>
      <w:r>
        <w:t xml:space="preserve">Šajā sakarā vispirms jāņem vērā, ka Informācijas atklātības likuma </w:t>
      </w:r>
      <w:r w:rsidRPr="00052269">
        <w:t xml:space="preserve">5.panta </w:t>
      </w:r>
      <w:r>
        <w:t>otrās daļas</w:t>
      </w:r>
      <w:r w:rsidRPr="00052269">
        <w:t xml:space="preserve"> 3.punkt</w:t>
      </w:r>
      <w:r>
        <w:t xml:space="preserve">ā, paredzot, ka komercnoslēpums ir ierobežotas pieejamības informācija, vienlaikus ir noteikts: </w:t>
      </w:r>
      <w:r w:rsidRPr="00052269">
        <w:t>izņemot gadījumus, kad ir noslēgts iepirkuma līgums saskaņā ar Publisko iepirkumu likumu vai cita veida līgums par rīcību ar valsts vai pašvaldības finanšu līdzekļiem un mantu.</w:t>
      </w:r>
      <w:r>
        <w:t xml:space="preserve"> </w:t>
      </w:r>
    </w:p>
    <w:p w14:paraId="51D00AA6" w14:textId="77777777" w:rsidR="004C4017" w:rsidRDefault="004C4017" w:rsidP="003D669D">
      <w:pPr>
        <w:spacing w:line="276" w:lineRule="auto"/>
        <w:ind w:firstLine="720"/>
        <w:jc w:val="both"/>
      </w:pPr>
      <w:r>
        <w:t xml:space="preserve">Šāds formulējums var radīt priekšstatu, ka gadījumā, kad iepirkuma līgums noslēgts publiskā iepirkuma procedūras rezultātā, visa ar šo līgumu saistītā informācija vairs nav uzskatāma par </w:t>
      </w:r>
      <w:r w:rsidRPr="001852F2">
        <w:t>komercnoslēpumu</w:t>
      </w:r>
      <w:r>
        <w:t xml:space="preserve"> un ierobežotas pieejamības informāciju.</w:t>
      </w:r>
      <w:r w:rsidRPr="001852F2">
        <w:t xml:space="preserve"> Tāpēc, lai pilnvērtīgi izprastu šīs normas jēgu, jāņem vērā Publisko iepirkumu likuma </w:t>
      </w:r>
      <w:r w:rsidRPr="0004360F">
        <w:t>regulējums.</w:t>
      </w:r>
      <w:r>
        <w:t xml:space="preserve"> </w:t>
      </w:r>
    </w:p>
    <w:p w14:paraId="35355BC5" w14:textId="77777777" w:rsidR="004C4017" w:rsidRDefault="004C4017" w:rsidP="003D669D">
      <w:pPr>
        <w:spacing w:line="276" w:lineRule="auto"/>
        <w:ind w:firstLine="720"/>
        <w:jc w:val="both"/>
      </w:pPr>
    </w:p>
    <w:p w14:paraId="5B0E69C2" w14:textId="6B68DEA9" w:rsidR="004C4017" w:rsidRPr="00186857" w:rsidRDefault="004C4017" w:rsidP="003D669D">
      <w:pPr>
        <w:spacing w:line="276" w:lineRule="auto"/>
        <w:ind w:firstLine="720"/>
        <w:jc w:val="both"/>
        <w:rPr>
          <w:shd w:val="clear" w:color="auto" w:fill="FFFFFF"/>
        </w:rPr>
      </w:pPr>
      <w:r w:rsidRPr="00186857">
        <w:lastRenderedPageBreak/>
        <w:t xml:space="preserve">[13] Publisko iepirkumu likuma 14.pants paredz, ka, paziņojot par iepirkuma līguma slēgšanu un informējot kandidātus un pretendentus, pasūtītājs nav tiesīgs atklāt informāciju, kuru tam kā komercnoslēpumu vai konfidenciālu informāciju nodevuši citi kandidāti un pretendenti. </w:t>
      </w:r>
      <w:r>
        <w:t>Turklāt</w:t>
      </w:r>
      <w:r w:rsidRPr="00186857">
        <w:t xml:space="preserve"> 40.panta treš</w:t>
      </w:r>
      <w:r>
        <w:t xml:space="preserve">ā daļa noteic, ka </w:t>
      </w:r>
      <w:r>
        <w:rPr>
          <w:shd w:val="clear" w:color="auto" w:fill="FFFFFF"/>
        </w:rPr>
        <w:t>v</w:t>
      </w:r>
      <w:r w:rsidRPr="00186857">
        <w:rPr>
          <w:shd w:val="clear" w:color="auto" w:fill="FFFFFF"/>
        </w:rPr>
        <w:t xml:space="preserve">ispārpieejama informācija </w:t>
      </w:r>
      <w:r>
        <w:rPr>
          <w:shd w:val="clear" w:color="auto" w:fill="FFFFFF"/>
        </w:rPr>
        <w:t xml:space="preserve">ir </w:t>
      </w:r>
      <w:r w:rsidRPr="00186857">
        <w:rPr>
          <w:shd w:val="clear" w:color="auto" w:fill="FFFFFF"/>
        </w:rPr>
        <w:t xml:space="preserve">iepirkuma procedūras </w:t>
      </w:r>
      <w:r w:rsidRPr="00637AD8">
        <w:rPr>
          <w:shd w:val="clear" w:color="auto" w:fill="FFFFFF"/>
        </w:rPr>
        <w:t>dokumenti, izņemot piedāvājumus un pieteikumus</w:t>
      </w:r>
      <w:r>
        <w:rPr>
          <w:shd w:val="clear" w:color="auto" w:fill="FFFFFF"/>
        </w:rPr>
        <w:t>.</w:t>
      </w:r>
      <w:r w:rsidRPr="00186857">
        <w:rPr>
          <w:shd w:val="clear" w:color="auto" w:fill="FFFFFF"/>
        </w:rPr>
        <w:t xml:space="preserve"> Savukārt </w:t>
      </w:r>
      <w:r>
        <w:rPr>
          <w:shd w:val="clear" w:color="auto" w:fill="FFFFFF"/>
        </w:rPr>
        <w:t xml:space="preserve">saskaņā ar </w:t>
      </w:r>
      <w:r w:rsidRPr="00186857">
        <w:rPr>
          <w:shd w:val="clear" w:color="auto" w:fill="FFFFFF"/>
        </w:rPr>
        <w:t xml:space="preserve">likuma </w:t>
      </w:r>
      <w:r w:rsidRPr="00186857">
        <w:t>29.panta</w:t>
      </w:r>
      <w:r>
        <w:t xml:space="preserve"> </w:t>
      </w:r>
      <w:r w:rsidRPr="00186857">
        <w:t>pirm</w:t>
      </w:r>
      <w:r>
        <w:t>o</w:t>
      </w:r>
      <w:r w:rsidRPr="00186857">
        <w:t xml:space="preserve"> daļ</w:t>
      </w:r>
      <w:r>
        <w:t>u</w:t>
      </w:r>
      <w:r w:rsidRPr="00186857">
        <w:t xml:space="preserve"> un 9.panta septiņpadsmit</w:t>
      </w:r>
      <w:r>
        <w:t>o</w:t>
      </w:r>
      <w:r w:rsidRPr="00186857">
        <w:t xml:space="preserve"> daļ</w:t>
      </w:r>
      <w:r>
        <w:t>u</w:t>
      </w:r>
      <w:r w:rsidRPr="00186857">
        <w:t xml:space="preserve"> pasūtītājs 10 darbdienu laikā pēc tam, kad noslēgts iepirkuma līgums, publisko paziņojumu par līguma slēgšanas tiesību piešķiršanu un noslēgto līgumu. Atbilstoši Ministru kabineta 2017.gada 28.februāra noteikumiem Nr.</w:t>
      </w:r>
      <w:r w:rsidR="0036263C">
        <w:t> </w:t>
      </w:r>
      <w:r w:rsidRPr="00186857">
        <w:t>103 „</w:t>
      </w:r>
      <w:r w:rsidRPr="00186857">
        <w:rPr>
          <w:shd w:val="clear" w:color="auto" w:fill="FFFFFF"/>
        </w:rPr>
        <w:t>Publisko iepirkumu paziņojumi un to sagatavošanas kārtība” šādos paziņojumos citstarp ir jānorāda apraksts par līguma priekšmetu, informācija par iepirkuma procedūras uzvarētāju, informācija par līgumcenu</w:t>
      </w:r>
      <w:r>
        <w:rPr>
          <w:shd w:val="clear" w:color="auto" w:fill="FFFFFF"/>
        </w:rPr>
        <w:t xml:space="preserve"> un</w:t>
      </w:r>
      <w:r w:rsidRPr="00186857">
        <w:rPr>
          <w:shd w:val="clear" w:color="auto" w:fill="FFFFFF"/>
        </w:rPr>
        <w:t xml:space="preserve"> informācija par uzvarējušā pretendenta paredzētajiem apakšuzņēmuma līgumiem ar trešajām personām (4. un 13.pielikums). Vienlaikus Publisko iepirkumu likuma 34.panta ceturtā daļa noteic, ka pasūtītājs, paziņojot iepirkuma rezultātus, ir tiesīgs paziņojumā nepublicēt tādu informāciju, kuras publiskošana būtu pretrunā ar sabiedrības interesēm vai ierobežotu piegādātāju konkurenci, vai kaitētu piegādātāju pamatotām komerciālajām interesēm.</w:t>
      </w:r>
    </w:p>
    <w:p w14:paraId="52FC2578" w14:textId="77777777" w:rsidR="004C4017" w:rsidRDefault="004C4017" w:rsidP="003D669D">
      <w:pPr>
        <w:spacing w:line="276" w:lineRule="auto"/>
        <w:ind w:firstLine="720"/>
        <w:jc w:val="both"/>
        <w:rPr>
          <w:shd w:val="clear" w:color="auto" w:fill="FFFFFF"/>
        </w:rPr>
      </w:pPr>
      <w:r w:rsidRPr="00AB10B6">
        <w:rPr>
          <w:shd w:val="clear" w:color="auto" w:fill="FFFFFF"/>
        </w:rPr>
        <w:t xml:space="preserve">Tādējādi </w:t>
      </w:r>
      <w:r>
        <w:rPr>
          <w:shd w:val="clear" w:color="auto" w:fill="FFFFFF"/>
        </w:rPr>
        <w:t xml:space="preserve">Publisko iepirkumu likums </w:t>
      </w:r>
      <w:r w:rsidRPr="00AB10B6">
        <w:rPr>
          <w:shd w:val="clear" w:color="auto" w:fill="FFFFFF"/>
        </w:rPr>
        <w:t xml:space="preserve">paredz, ka </w:t>
      </w:r>
      <w:r>
        <w:rPr>
          <w:shd w:val="clear" w:color="auto" w:fill="FFFFFF"/>
        </w:rPr>
        <w:t xml:space="preserve">publisko iepirkumu gadījumā konkrēta komerciāla rakstura informācija (kas parastu privāttiesisku attiecību gadījumā būtu konfidenciāla) vispārīgi ir publiskojama (piemēram, līguma priekšmets un līguma cena, piesaistītie apakšuzņēmēji). Savukārt </w:t>
      </w:r>
      <w:r w:rsidRPr="00AB10B6">
        <w:rPr>
          <w:shd w:val="clear" w:color="auto" w:fill="FFFFFF"/>
        </w:rPr>
        <w:t>pretendentu iesniegtie piedāvājumi ir ierobežotas pieejamības informācija</w:t>
      </w:r>
      <w:r>
        <w:rPr>
          <w:shd w:val="clear" w:color="auto" w:fill="FFFFFF"/>
        </w:rPr>
        <w:t>,</w:t>
      </w:r>
      <w:r w:rsidRPr="00AB10B6">
        <w:rPr>
          <w:shd w:val="clear" w:color="auto" w:fill="FFFFFF"/>
        </w:rPr>
        <w:t xml:space="preserve"> un pasūtītājam, </w:t>
      </w:r>
      <w:r>
        <w:rPr>
          <w:shd w:val="clear" w:color="auto" w:fill="FFFFFF"/>
        </w:rPr>
        <w:t xml:space="preserve">publiski </w:t>
      </w:r>
      <w:r w:rsidRPr="00AB10B6">
        <w:rPr>
          <w:shd w:val="clear" w:color="auto" w:fill="FFFFFF"/>
        </w:rPr>
        <w:t xml:space="preserve">paziņojot par </w:t>
      </w:r>
      <w:r>
        <w:rPr>
          <w:shd w:val="clear" w:color="auto" w:fill="FFFFFF"/>
        </w:rPr>
        <w:t>noslēgto</w:t>
      </w:r>
      <w:r w:rsidRPr="00AB10B6">
        <w:rPr>
          <w:shd w:val="clear" w:color="auto" w:fill="FFFFFF"/>
        </w:rPr>
        <w:t xml:space="preserve"> līgum</w:t>
      </w:r>
      <w:r>
        <w:rPr>
          <w:shd w:val="clear" w:color="auto" w:fill="FFFFFF"/>
        </w:rPr>
        <w:t>u</w:t>
      </w:r>
      <w:r w:rsidRPr="00AB10B6">
        <w:rPr>
          <w:shd w:val="clear" w:color="auto" w:fill="FFFFFF"/>
        </w:rPr>
        <w:t xml:space="preserve"> un sniedzot </w:t>
      </w:r>
      <w:r>
        <w:rPr>
          <w:shd w:val="clear" w:color="auto" w:fill="FFFFFF"/>
        </w:rPr>
        <w:t>informāciju kandidātiem un pretendentiem, n</w:t>
      </w:r>
      <w:r w:rsidRPr="001852F2">
        <w:rPr>
          <w:shd w:val="clear" w:color="auto" w:fill="FFFFFF"/>
        </w:rPr>
        <w:t>av tiesību atklāt tādu piedāvājum</w:t>
      </w:r>
      <w:r>
        <w:rPr>
          <w:shd w:val="clear" w:color="auto" w:fill="FFFFFF"/>
        </w:rPr>
        <w:t>os</w:t>
      </w:r>
      <w:r w:rsidRPr="001852F2">
        <w:rPr>
          <w:shd w:val="clear" w:color="auto" w:fill="FFFFFF"/>
        </w:rPr>
        <w:t xml:space="preserve"> ietvertu informāciju, kas ir komercnoslēpums vai konfidenciāla informācija. </w:t>
      </w:r>
      <w:r>
        <w:rPr>
          <w:shd w:val="clear" w:color="auto" w:fill="FFFFFF"/>
        </w:rPr>
        <w:t>Vēl jo vairāk – likuma 34.panta ceturtā daļa pieļauj, ka pat tādu informāciju par iepirkuma rezultātiem, kas vispārīgi būtu publiskojama, var neatklāt, ja tas būtu</w:t>
      </w:r>
      <w:r w:rsidRPr="00BB158D">
        <w:rPr>
          <w:shd w:val="clear" w:color="auto" w:fill="FFFFFF"/>
        </w:rPr>
        <w:t xml:space="preserve"> </w:t>
      </w:r>
      <w:r w:rsidRPr="00186857">
        <w:rPr>
          <w:shd w:val="clear" w:color="auto" w:fill="FFFFFF"/>
        </w:rPr>
        <w:t>pretrunā ar sabiedrības interesēm, ierobežotu piegādātāju konkurenci vai kaitētu piegādātāju pamatotām komerciālajām interesēm.</w:t>
      </w:r>
    </w:p>
    <w:p w14:paraId="2E365F4F" w14:textId="2C7BDA22" w:rsidR="004C4017" w:rsidRDefault="004C4017" w:rsidP="003D669D">
      <w:pPr>
        <w:spacing w:line="276" w:lineRule="auto"/>
        <w:ind w:firstLine="720"/>
        <w:jc w:val="both"/>
      </w:pPr>
      <w:r>
        <w:rPr>
          <w:shd w:val="clear" w:color="auto" w:fill="FFFFFF"/>
        </w:rPr>
        <w:t xml:space="preserve">Ievērojot minēto, Senāts atzīst, ka </w:t>
      </w:r>
      <w:r>
        <w:t xml:space="preserve">Informācijas atklātības likuma </w:t>
      </w:r>
      <w:r w:rsidRPr="00052269">
        <w:t xml:space="preserve">5.panta </w:t>
      </w:r>
      <w:r>
        <w:t>otrās daļas</w:t>
      </w:r>
      <w:r w:rsidRPr="00052269">
        <w:t xml:space="preserve"> 3.punkt</w:t>
      </w:r>
      <w:r>
        <w:t>a normā paredzētais (ka komercnoslēpums nav ierobežotas pieejamības informācija gadījumā, ja līgums noslēgts saskaņā ar Publisko iepirkumu likumu) ir attiecināms uz to informāciju, kas atbilstoši Publisko iepirkumu likumam ir publiskojama, nevis uz visu informāciju, kas varētu būt saistīta ar publiskā iepirkuma procedūrā noslēgtu iepirkuma līgumu. Tā informācija, kas atbilstoši Publisko iepirkumu likumam ir aizsargājama, ir aplūkojama kā ierobežotas pieejamības informācija arī Informācijas atklātības likuma izpratnē.</w:t>
      </w:r>
    </w:p>
    <w:p w14:paraId="76F3370F" w14:textId="77777777" w:rsidR="004C4017" w:rsidRDefault="004C4017" w:rsidP="003D669D">
      <w:pPr>
        <w:spacing w:line="276" w:lineRule="auto"/>
        <w:ind w:firstLine="720"/>
        <w:jc w:val="both"/>
      </w:pPr>
    </w:p>
    <w:p w14:paraId="6B9420B9" w14:textId="77777777" w:rsidR="004C4017" w:rsidRDefault="004C4017" w:rsidP="003D669D">
      <w:pPr>
        <w:spacing w:line="276" w:lineRule="auto"/>
        <w:ind w:firstLine="720"/>
        <w:jc w:val="both"/>
      </w:pPr>
      <w:r>
        <w:t xml:space="preserve">[14] No kasācijas sūdzības izriet uzskats, ka, izskatot informācijas pieprasījumu par piekļuvi publiskā iepirkuma procedūrā iesniegtam piedāvājumam, izšķirošs ir publisko iepirkumu regulējumā paredzētais pretendentu iesniegtās konfidenciālās informācijas izpaušanas aizliegums un Informācijas atklātības likums vispār nav piemērojams. </w:t>
      </w:r>
    </w:p>
    <w:p w14:paraId="2CB8572A" w14:textId="77777777" w:rsidR="004C4017" w:rsidRDefault="004C4017" w:rsidP="003D669D">
      <w:pPr>
        <w:spacing w:line="276" w:lineRule="auto"/>
        <w:ind w:firstLine="720"/>
        <w:jc w:val="both"/>
      </w:pPr>
      <w:r>
        <w:t xml:space="preserve">Tam nevar piekrist turpmāk norādīto apsvērumu dēļ. </w:t>
      </w:r>
    </w:p>
    <w:p w14:paraId="36F4A6C6" w14:textId="77777777" w:rsidR="004C4017" w:rsidRDefault="004C4017" w:rsidP="003D669D">
      <w:pPr>
        <w:spacing w:line="276" w:lineRule="auto"/>
        <w:ind w:firstLine="720"/>
        <w:jc w:val="both"/>
      </w:pPr>
    </w:p>
    <w:p w14:paraId="62AEBC77" w14:textId="77777777" w:rsidR="004C4017" w:rsidRDefault="004C4017" w:rsidP="003D669D">
      <w:pPr>
        <w:spacing w:line="276" w:lineRule="auto"/>
        <w:ind w:firstLine="720"/>
        <w:jc w:val="both"/>
      </w:pPr>
      <w:r>
        <w:rPr>
          <w:shd w:val="clear" w:color="auto" w:fill="FFFFFF"/>
        </w:rPr>
        <w:t xml:space="preserve">[15] </w:t>
      </w:r>
      <w:r>
        <w:t xml:space="preserve">Kā jau iepriekš atspoguļots, Publisko iepirkumu likums regulē situāciju, kad pasūtītājs publisko paziņojumu par noslēgto iepirkuma līgumu un sniedz informāciju </w:t>
      </w:r>
      <w:r>
        <w:lastRenderedPageBreak/>
        <w:t>konkrētajā iepirkuma procedūrā ieinteresētajiem pretendentiem un kandidātiem. Likums neregulē situāciju, kurā pēc iepirkuma procedūras noslēgšanās par iepirkuma dokumentāciju interesi izrāda citas – ar konkrēto iepirkumu nekādi nesaistītas personas, piemēram, žurnālisti. Minētais norāda uz to, ka Publisko iepirkumu likums izsmeļoši nenoregulē visus pasūtītāja rīcībā nonākuša komercnoslēpuma iespējamas izsniegšanas gadījumus.</w:t>
      </w:r>
    </w:p>
    <w:p w14:paraId="64810675" w14:textId="77777777" w:rsidR="004C4017" w:rsidRDefault="004C4017" w:rsidP="003D669D">
      <w:pPr>
        <w:spacing w:line="276" w:lineRule="auto"/>
        <w:ind w:firstLine="720"/>
        <w:jc w:val="both"/>
        <w:rPr>
          <w:bCs/>
          <w:lang w:eastAsia="lv-LV"/>
        </w:rPr>
      </w:pPr>
      <w:r>
        <w:rPr>
          <w:shd w:val="clear" w:color="auto" w:fill="FFFFFF"/>
        </w:rPr>
        <w:t xml:space="preserve">Publisko iepirkumu likums ir izstrādāts, transponējot Direktīvu </w:t>
      </w:r>
      <w:r w:rsidRPr="009A65D5">
        <w:rPr>
          <w:bCs/>
          <w:lang w:eastAsia="lv-LV"/>
        </w:rPr>
        <w:t>2014/24/ES</w:t>
      </w:r>
      <w:r>
        <w:rPr>
          <w:bCs/>
          <w:lang w:eastAsia="lv-LV"/>
        </w:rPr>
        <w:t xml:space="preserve">. Līdz ar to, lai izprastu publisko iepirkumu pretendentu piedāvājumu aizsardzības noteikumus, vērā ņemamas ir arī šīs direktīvas normas un Eiropas Savienības Tiesas atziņas. </w:t>
      </w:r>
    </w:p>
    <w:p w14:paraId="44E19F8E" w14:textId="27D5FC88" w:rsidR="004C4017" w:rsidRDefault="004C4017" w:rsidP="003D669D">
      <w:pPr>
        <w:spacing w:line="276" w:lineRule="auto"/>
        <w:ind w:firstLine="720"/>
        <w:jc w:val="both"/>
      </w:pPr>
      <w:r w:rsidRPr="00B974EC">
        <w:rPr>
          <w:shd w:val="clear" w:color="auto" w:fill="FFFFFF"/>
        </w:rPr>
        <w:t xml:space="preserve">Direktīvas </w:t>
      </w:r>
      <w:r w:rsidRPr="00B974EC">
        <w:rPr>
          <w:bCs/>
          <w:lang w:eastAsia="lv-LV"/>
        </w:rPr>
        <w:t xml:space="preserve">2014/24/ES </w:t>
      </w:r>
      <w:r w:rsidRPr="00B974EC">
        <w:rPr>
          <w:bCs/>
        </w:rPr>
        <w:t>21.panta (Konfidencialitāte)</w:t>
      </w:r>
      <w:r w:rsidRPr="00B974EC">
        <w:rPr>
          <w:b/>
          <w:bCs/>
        </w:rPr>
        <w:t xml:space="preserve"> </w:t>
      </w:r>
      <w:r w:rsidRPr="00B974EC">
        <w:t>1.punkts noteic: ja vien šajā direktīvā vai valsts tiesību aktos, kuri piemērojami līgumslēdzējai iestādei, jo īpaši tiesību aktos par piekļuvi informācijai, nav norādīts citādi un neskarot 50. un 55.pantā noteiktos pienākumus izsludināt piešķirtās līguma slēgšanas tiesības un informēt kandidātus un pretendentus, līgumslēdzēja iestāde neizpauž ekonomikas dalībnieku sniegto informāciju, ko ekonomikas dalībnieki ir noteikuši kā konfidenciālu un kas ietver, cita starpā, tehniskus vai komercdarbības noslēpumus un piedāvājumu konfidenciālos aspektus.</w:t>
      </w:r>
    </w:p>
    <w:p w14:paraId="1EB2D764" w14:textId="021C29D4" w:rsidR="004C4017" w:rsidRDefault="004C4017" w:rsidP="003D669D">
      <w:pPr>
        <w:spacing w:line="276" w:lineRule="auto"/>
        <w:ind w:firstLine="720"/>
        <w:jc w:val="both"/>
      </w:pPr>
      <w:r>
        <w:t>Tādējādi šī direktīvas norma paredz, ka līgumslēdzēj</w:t>
      </w:r>
      <w:r w:rsidR="00F1708B">
        <w:t xml:space="preserve">a </w:t>
      </w:r>
      <w:r>
        <w:t xml:space="preserve">iestāde vispārīgi nav tiesīga izpaust pretendentu iesniegto konfidenciālo informāciju, izņemot to, kas publiskojama atbilstoši tiesību normām par pretendentu un kandidātu informēšanu un paziņojuma par līguma slēgšanas piešķiršanu publiskošanu. Kā redzams, atšķirībā no Publisko iepirkumu likuma, šīs normas formulējums ir plašāks un pasūtītājam uzliek vispārīgu pienākumu neizpaust pretendentu iesniegto konfidenciālo informāciju (kā jau minēts, Publisko iepirkumu likuma 14.panta tekstā šāds pienākums pasūtītājam noteikts attiecībā uz </w:t>
      </w:r>
      <w:r w:rsidRPr="00186857">
        <w:t>paziņo</w:t>
      </w:r>
      <w:r>
        <w:t>šanu</w:t>
      </w:r>
      <w:r w:rsidRPr="00186857">
        <w:t xml:space="preserve"> par iepirkuma līguma slēgšanu un kandidātu un pretendentu</w:t>
      </w:r>
      <w:r>
        <w:t xml:space="preserve"> informēšanu). </w:t>
      </w:r>
    </w:p>
    <w:p w14:paraId="4DFDD1C6" w14:textId="77777777" w:rsidR="004C4017" w:rsidRPr="0064094F" w:rsidRDefault="004C4017" w:rsidP="003D669D">
      <w:pPr>
        <w:spacing w:line="276" w:lineRule="auto"/>
        <w:ind w:firstLine="720"/>
        <w:jc w:val="both"/>
      </w:pPr>
      <w:r>
        <w:t xml:space="preserve">Tomēr vienlaikus šī direktīvas norma pieļauj, ka valsts </w:t>
      </w:r>
      <w:r w:rsidRPr="0064094F">
        <w:t>tiesību akt</w:t>
      </w:r>
      <w:r>
        <w:t>o</w:t>
      </w:r>
      <w:r w:rsidRPr="0064094F">
        <w:t xml:space="preserve">s, jo īpaši tajos, kas regulē piekļuvi informācijai, tomēr var būt </w:t>
      </w:r>
      <w:r>
        <w:t>noteikta</w:t>
      </w:r>
      <w:r w:rsidRPr="0064094F">
        <w:t xml:space="preserve"> šādas informācijas izpaušana. Tādējādi jau pašā direktīvā ir paredzēts, ka normatīvajos aktos par informācijas pieejamību var būt regulēta iespēja izpaust arī publisko iepirkumu procedūras ietvaros pasūtītājam sniegtu informāciju. </w:t>
      </w:r>
    </w:p>
    <w:p w14:paraId="1D65667C" w14:textId="2362D106" w:rsidR="004C4017" w:rsidRDefault="004C4017" w:rsidP="003D669D">
      <w:pPr>
        <w:spacing w:line="276" w:lineRule="auto"/>
        <w:ind w:firstLine="720"/>
        <w:jc w:val="both"/>
      </w:pPr>
      <w:r w:rsidRPr="0064094F">
        <w:t xml:space="preserve">Interpretējot šo direktīvas normu, arī Eiropas Savienības Tiesa </w:t>
      </w:r>
      <w:r>
        <w:t>ir norādījusi</w:t>
      </w:r>
      <w:r w:rsidRPr="0064094F">
        <w:t>, ka Direktīvas</w:t>
      </w:r>
      <w:r w:rsidR="00421B0C">
        <w:t xml:space="preserve"> </w:t>
      </w:r>
      <w:r w:rsidRPr="0064094F">
        <w:t>2014/24</w:t>
      </w:r>
      <w:r w:rsidR="00421B0C">
        <w:t>/ES</w:t>
      </w:r>
      <w:r w:rsidRPr="0064094F">
        <w:t xml:space="preserve"> 21.panta 1.punktā ir</w:t>
      </w:r>
      <w:r>
        <w:t xml:space="preserve"> noteikts, ka </w:t>
      </w:r>
      <w:r w:rsidRPr="0064094F">
        <w:t xml:space="preserve">aizliegums izpaust konfidenciāli sniegtu informāciju ir piemērojams, </w:t>
      </w:r>
      <w:r>
        <w:t>„</w:t>
      </w:r>
      <w:r w:rsidRPr="0064094F">
        <w:t>ja vien [..] valsts tiesību aktos, kuri piemērojami līgumslēdzējai iestādei, nav norādīts citādi”.</w:t>
      </w:r>
      <w:r w:rsidR="00421B0C">
        <w:t xml:space="preserve"> </w:t>
      </w:r>
      <w:r>
        <w:t xml:space="preserve">Tiesa skaidrojusi, ka tādējādi </w:t>
      </w:r>
      <w:r w:rsidRPr="0064094F">
        <w:t>katrai dalībvalstij ir ļauts līdzsvarot šajā normā paredzēto konfidencialitāti ar valsts tiesību aktiem, kuru mērķis ir citas likumīgas intereses, tostarp šajā tiesību normā skaidri minētā interese nodrošināt piekļuvi informācijai, lai garantētu vislielāko publisko iepirkumu procedūru pārskatāmību (</w:t>
      </w:r>
      <w:r w:rsidR="002960D9" w:rsidRPr="002960D9">
        <w:rPr>
          <w:i/>
          <w:iCs/>
        </w:rPr>
        <w:t>Eiropas Savienības Tiesas</w:t>
      </w:r>
      <w:r w:rsidR="002960D9">
        <w:t xml:space="preserve"> </w:t>
      </w:r>
      <w:r w:rsidRPr="0064094F">
        <w:rPr>
          <w:i/>
          <w:iCs/>
        </w:rPr>
        <w:t>2022.gada 17.novembra spriedum</w:t>
      </w:r>
      <w:r w:rsidR="00197427">
        <w:rPr>
          <w:i/>
          <w:iCs/>
        </w:rPr>
        <w:t>a</w:t>
      </w:r>
      <w:r w:rsidRPr="0064094F">
        <w:rPr>
          <w:i/>
          <w:iCs/>
        </w:rPr>
        <w:t xml:space="preserve"> lietā </w:t>
      </w:r>
      <w:r w:rsidR="000A53D7">
        <w:rPr>
          <w:i/>
          <w:iCs/>
        </w:rPr>
        <w:t>„</w:t>
      </w:r>
      <w:r w:rsidR="000A53D7" w:rsidRPr="000A53D7">
        <w:rPr>
          <w:i/>
          <w:iCs/>
        </w:rPr>
        <w:t>Antea Polska</w:t>
      </w:r>
      <w:r w:rsidR="000A53D7">
        <w:rPr>
          <w:i/>
          <w:iCs/>
        </w:rPr>
        <w:t xml:space="preserve"> un citi”</w:t>
      </w:r>
      <w:r w:rsidR="00BA6A95">
        <w:rPr>
          <w:i/>
          <w:iCs/>
        </w:rPr>
        <w:t xml:space="preserve">, </w:t>
      </w:r>
      <w:r w:rsidRPr="0064094F">
        <w:rPr>
          <w:i/>
          <w:iCs/>
        </w:rPr>
        <w:t>C</w:t>
      </w:r>
      <w:r w:rsidRPr="0064094F">
        <w:rPr>
          <w:i/>
          <w:iCs/>
        </w:rPr>
        <w:noBreakHyphen/>
        <w:t>54/21</w:t>
      </w:r>
      <w:r w:rsidR="00BA6A95">
        <w:rPr>
          <w:i/>
          <w:iCs/>
        </w:rPr>
        <w:t xml:space="preserve">, </w:t>
      </w:r>
      <w:hyperlink r:id="rId17" w:history="1">
        <w:r w:rsidR="00BA6A95" w:rsidRPr="00BA6A95">
          <w:rPr>
            <w:rStyle w:val="Hyperlink"/>
            <w:i/>
            <w:iCs/>
          </w:rPr>
          <w:t>ECLI:EU:C:2022:888</w:t>
        </w:r>
      </w:hyperlink>
      <w:r w:rsidRPr="0064094F">
        <w:rPr>
          <w:i/>
          <w:iCs/>
        </w:rPr>
        <w:t xml:space="preserve"> </w:t>
      </w:r>
      <w:r w:rsidRPr="00BA6A95">
        <w:t>(turpmāk –</w:t>
      </w:r>
      <w:r w:rsidRPr="0064094F">
        <w:rPr>
          <w:i/>
          <w:iCs/>
        </w:rPr>
        <w:t xml:space="preserve"> Antea Polska </w:t>
      </w:r>
      <w:r w:rsidRPr="00BA6A95">
        <w:t>spriedums)</w:t>
      </w:r>
      <w:r w:rsidRPr="0064094F">
        <w:rPr>
          <w:i/>
          <w:iCs/>
        </w:rPr>
        <w:t>, 56.</w:t>
      </w:r>
      <w:r w:rsidR="00BA6A95">
        <w:rPr>
          <w:i/>
          <w:iCs/>
        </w:rPr>
        <w:t>–</w:t>
      </w:r>
      <w:r w:rsidRPr="0064094F">
        <w:rPr>
          <w:i/>
          <w:iCs/>
        </w:rPr>
        <w:t>57.punkts</w:t>
      </w:r>
      <w:r w:rsidRPr="0064094F">
        <w:t>).</w:t>
      </w:r>
    </w:p>
    <w:p w14:paraId="56195672" w14:textId="77777777" w:rsidR="004C4017" w:rsidRDefault="004C4017" w:rsidP="003D669D">
      <w:pPr>
        <w:autoSpaceDE w:val="0"/>
        <w:autoSpaceDN w:val="0"/>
        <w:adjustRightInd w:val="0"/>
        <w:spacing w:line="276" w:lineRule="auto"/>
        <w:ind w:firstLine="720"/>
        <w:jc w:val="both"/>
      </w:pPr>
      <w:r>
        <w:t xml:space="preserve">Ievērojot minēto, Senāts secina, ka pretēji kasatores uzskatam pieprasītās informācijas saistība ar publiskā iepirkuma procedūru nav šķērslis Informācijas atklātības likuma piemērošanai. </w:t>
      </w:r>
    </w:p>
    <w:p w14:paraId="2516447C" w14:textId="266C2039" w:rsidR="004C4017" w:rsidRPr="0051413D" w:rsidRDefault="004C4017" w:rsidP="003D669D">
      <w:pPr>
        <w:autoSpaceDE w:val="0"/>
        <w:autoSpaceDN w:val="0"/>
        <w:adjustRightInd w:val="0"/>
        <w:spacing w:line="276" w:lineRule="auto"/>
        <w:ind w:firstLine="720"/>
        <w:jc w:val="both"/>
      </w:pPr>
      <w:r w:rsidRPr="001D6FAC">
        <w:t xml:space="preserve">Salīdzinājumam norādāms, ka arī Eiropas Savienības Vispārējā tiesa gadījumos, kad ir pieprasīta publiskā iepirkuma piedāvājumā ietverta komerciālas intereses potenciāli skaroša informācija, informācijas izsniegšanas </w:t>
      </w:r>
      <w:r w:rsidRPr="00982EFD">
        <w:t xml:space="preserve">pieļaujamību vērtējusi </w:t>
      </w:r>
      <w:r>
        <w:t xml:space="preserve">citstarp </w:t>
      </w:r>
      <w:r w:rsidRPr="00982EFD">
        <w:t>atbilstoši vispārēj</w:t>
      </w:r>
      <w:r>
        <w:t>a</w:t>
      </w:r>
      <w:r w:rsidRPr="00982EFD">
        <w:t xml:space="preserve">m informācijas pieejamības regulējumam – </w:t>
      </w:r>
      <w:r w:rsidR="00ED64E4">
        <w:rPr>
          <w:rStyle w:val="normal--char"/>
          <w:iCs/>
        </w:rPr>
        <w:t>R</w:t>
      </w:r>
      <w:r w:rsidR="00ED64E4" w:rsidRPr="00982EFD">
        <w:rPr>
          <w:rStyle w:val="normal--char"/>
          <w:iCs/>
        </w:rPr>
        <w:t xml:space="preserve">egulai </w:t>
      </w:r>
      <w:r w:rsidR="00ED64E4">
        <w:rPr>
          <w:rStyle w:val="normal--char"/>
          <w:iCs/>
        </w:rPr>
        <w:t>Nr. </w:t>
      </w:r>
      <w:r w:rsidRPr="00982EFD">
        <w:rPr>
          <w:rStyle w:val="normal--char"/>
          <w:iCs/>
        </w:rPr>
        <w:t xml:space="preserve">1049/2001 </w:t>
      </w:r>
      <w:r w:rsidRPr="00982EFD">
        <w:rPr>
          <w:rStyle w:val="normal--char"/>
          <w:iCs/>
        </w:rPr>
        <w:lastRenderedPageBreak/>
        <w:t xml:space="preserve">(piemēram, </w:t>
      </w:r>
      <w:bookmarkStart w:id="7" w:name="_Hlk149223680"/>
      <w:r w:rsidR="000E7AA7">
        <w:rPr>
          <w:rStyle w:val="normal--char"/>
          <w:i/>
        </w:rPr>
        <w:t xml:space="preserve">Eiropas Savienības Vispārējās tiesas </w:t>
      </w:r>
      <w:r w:rsidRPr="00982EFD">
        <w:rPr>
          <w:rStyle w:val="normal--char"/>
          <w:i/>
        </w:rPr>
        <w:t xml:space="preserve">2016.gada 21.septembra spriedums lietā </w:t>
      </w:r>
      <w:r w:rsidR="000E7AA7">
        <w:rPr>
          <w:rStyle w:val="normal--char"/>
          <w:i/>
        </w:rPr>
        <w:t>„Secolu</w:t>
      </w:r>
      <w:r w:rsidR="000E7AA7" w:rsidRPr="000E7AA7">
        <w:rPr>
          <w:i/>
          <w:iCs/>
        </w:rPr>
        <w:t>x</w:t>
      </w:r>
      <w:r w:rsidR="000E7AA7">
        <w:rPr>
          <w:rStyle w:val="normal--char"/>
          <w:i/>
        </w:rPr>
        <w:t xml:space="preserve"> v. Eiropas Komisija”, </w:t>
      </w:r>
      <w:r w:rsidRPr="00982EFD">
        <w:rPr>
          <w:i/>
          <w:color w:val="000000"/>
        </w:rPr>
        <w:t>T</w:t>
      </w:r>
      <w:r w:rsidRPr="00982EFD">
        <w:rPr>
          <w:i/>
          <w:color w:val="000000"/>
        </w:rPr>
        <w:noBreakHyphen/>
        <w:t>363</w:t>
      </w:r>
      <w:r w:rsidRPr="0051413D">
        <w:rPr>
          <w:i/>
          <w:color w:val="000000"/>
        </w:rPr>
        <w:t xml:space="preserve">/14, </w:t>
      </w:r>
      <w:hyperlink r:id="rId18" w:history="1">
        <w:r w:rsidR="000E7AA7" w:rsidRPr="000E7AA7">
          <w:rPr>
            <w:rStyle w:val="Hyperlink"/>
            <w:i/>
          </w:rPr>
          <w:t>ECLI:EU:T:2016:521</w:t>
        </w:r>
      </w:hyperlink>
      <w:r w:rsidR="000E7AA7">
        <w:rPr>
          <w:i/>
          <w:color w:val="000000"/>
        </w:rPr>
        <w:t xml:space="preserve">, </w:t>
      </w:r>
      <w:bookmarkEnd w:id="7"/>
      <w:r w:rsidRPr="0051413D">
        <w:rPr>
          <w:i/>
          <w:color w:val="000000"/>
        </w:rPr>
        <w:t>2013.gada 29.janvāra spriedums</w:t>
      </w:r>
      <w:r w:rsidR="00976874">
        <w:rPr>
          <w:i/>
          <w:color w:val="000000"/>
        </w:rPr>
        <w:t xml:space="preserve"> apvienotajās </w:t>
      </w:r>
      <w:r w:rsidRPr="0051413D">
        <w:rPr>
          <w:i/>
          <w:color w:val="000000"/>
        </w:rPr>
        <w:t xml:space="preserve">lietās </w:t>
      </w:r>
      <w:r w:rsidR="00976874">
        <w:rPr>
          <w:i/>
          <w:color w:val="000000"/>
        </w:rPr>
        <w:t xml:space="preserve">„Consepuri v. EFSA”, </w:t>
      </w:r>
      <w:r w:rsidRPr="0051413D">
        <w:rPr>
          <w:i/>
          <w:color w:val="000000"/>
        </w:rPr>
        <w:t>T</w:t>
      </w:r>
      <w:r w:rsidRPr="0051413D">
        <w:rPr>
          <w:i/>
          <w:color w:val="000000"/>
        </w:rPr>
        <w:noBreakHyphen/>
        <w:t>339/10 un T</w:t>
      </w:r>
      <w:r w:rsidRPr="0051413D">
        <w:rPr>
          <w:i/>
          <w:color w:val="000000"/>
        </w:rPr>
        <w:noBreakHyphen/>
        <w:t>532/10</w:t>
      </w:r>
      <w:r w:rsidR="00976874">
        <w:rPr>
          <w:i/>
          <w:color w:val="000000"/>
        </w:rPr>
        <w:t xml:space="preserve">, </w:t>
      </w:r>
      <w:hyperlink r:id="rId19" w:history="1">
        <w:r w:rsidR="00976874" w:rsidRPr="00976874">
          <w:rPr>
            <w:rStyle w:val="Hyperlink"/>
            <w:i/>
          </w:rPr>
          <w:t>ECLI:EU:T:2013:38</w:t>
        </w:r>
      </w:hyperlink>
      <w:r w:rsidRPr="0051413D">
        <w:rPr>
          <w:rStyle w:val="normal--char"/>
          <w:iCs/>
        </w:rPr>
        <w:t>)</w:t>
      </w:r>
      <w:r w:rsidRPr="0051413D">
        <w:t xml:space="preserve">. </w:t>
      </w:r>
    </w:p>
    <w:p w14:paraId="624E0031" w14:textId="77777777" w:rsidR="004C4017" w:rsidRPr="00C02424" w:rsidRDefault="004C4017" w:rsidP="003D669D">
      <w:pPr>
        <w:autoSpaceDE w:val="0"/>
        <w:autoSpaceDN w:val="0"/>
        <w:adjustRightInd w:val="0"/>
        <w:spacing w:line="276" w:lineRule="auto"/>
        <w:ind w:firstLine="720"/>
        <w:jc w:val="both"/>
      </w:pPr>
    </w:p>
    <w:p w14:paraId="656A4C03" w14:textId="1D1CE454" w:rsidR="004C4017" w:rsidRPr="00C02424" w:rsidRDefault="004C4017" w:rsidP="003D669D">
      <w:pPr>
        <w:autoSpaceDE w:val="0"/>
        <w:autoSpaceDN w:val="0"/>
        <w:adjustRightInd w:val="0"/>
        <w:spacing w:line="276" w:lineRule="auto"/>
        <w:ind w:firstLine="720"/>
        <w:jc w:val="both"/>
      </w:pPr>
      <w:r w:rsidRPr="00C02424">
        <w:t xml:space="preserve">[16] Senāts atzīst, ka nepamatots ir arī kasatores arguments, ka šķērslis Informācijas atklātības likuma piemērošanai ir tas, ka šajā likumā transponētas Direktīvas </w:t>
      </w:r>
      <w:r w:rsidRPr="00C02424">
        <w:rPr>
          <w:lang w:eastAsia="lv-LV"/>
        </w:rPr>
        <w:t xml:space="preserve">2003/98/EK </w:t>
      </w:r>
      <w:r>
        <w:rPr>
          <w:lang w:eastAsia="lv-LV"/>
        </w:rPr>
        <w:t xml:space="preserve">par valsts sektora informācijas atkalizmantošanu </w:t>
      </w:r>
      <w:r w:rsidRPr="00C02424">
        <w:rPr>
          <w:lang w:eastAsia="lv-LV"/>
        </w:rPr>
        <w:t xml:space="preserve">(kas grozīta ar </w:t>
      </w:r>
      <w:r w:rsidR="00ED64E4" w:rsidRPr="00C02424">
        <w:rPr>
          <w:lang w:eastAsia="lv-LV"/>
        </w:rPr>
        <w:t>Direktīv</w:t>
      </w:r>
      <w:r w:rsidR="00ED64E4">
        <w:rPr>
          <w:lang w:eastAsia="lv-LV"/>
        </w:rPr>
        <w:t>u</w:t>
      </w:r>
      <w:r w:rsidR="00ED64E4" w:rsidRPr="00C02424">
        <w:rPr>
          <w:lang w:eastAsia="lv-LV"/>
        </w:rPr>
        <w:t xml:space="preserve"> </w:t>
      </w:r>
      <w:r w:rsidRPr="00C02424">
        <w:rPr>
          <w:lang w:eastAsia="lv-LV"/>
        </w:rPr>
        <w:t xml:space="preserve">2013/37/ES) </w:t>
      </w:r>
      <w:r>
        <w:rPr>
          <w:lang w:eastAsia="lv-LV"/>
        </w:rPr>
        <w:t xml:space="preserve">normas un šīs direktīvas </w:t>
      </w:r>
      <w:r w:rsidRPr="00C02424">
        <w:rPr>
          <w:lang w:eastAsia="lv-LV"/>
        </w:rPr>
        <w:t>1.panta 2.punkta „c” apakšpunkt</w:t>
      </w:r>
      <w:r w:rsidR="001A33F4">
        <w:rPr>
          <w:lang w:eastAsia="lv-LV"/>
        </w:rPr>
        <w:t>s</w:t>
      </w:r>
      <w:r w:rsidRPr="00C02424">
        <w:rPr>
          <w:lang w:eastAsia="lv-LV"/>
        </w:rPr>
        <w:t xml:space="preserve"> noteic, ka šī direktīva </w:t>
      </w:r>
      <w:r w:rsidRPr="00C02424">
        <w:t>neattiecas uz dokumentiem, kuriem piekļuve nav atļauta atbilstīgi dalībvalstu noteiktiem piekļuves režīmiem, tostarp pamatojoties uz komerciālu konfidencialitāti.</w:t>
      </w:r>
    </w:p>
    <w:p w14:paraId="39F304BA" w14:textId="3897C115" w:rsidR="004C4017" w:rsidRDefault="004C4017" w:rsidP="003D669D">
      <w:pPr>
        <w:autoSpaceDE w:val="0"/>
        <w:autoSpaceDN w:val="0"/>
        <w:adjustRightInd w:val="0"/>
        <w:spacing w:line="276" w:lineRule="auto"/>
        <w:ind w:firstLine="720"/>
        <w:jc w:val="both"/>
        <w:rPr>
          <w:shd w:val="clear" w:color="auto" w:fill="FFFFFF"/>
        </w:rPr>
      </w:pPr>
      <w:r w:rsidRPr="00C02424">
        <w:t xml:space="preserve">Šajā sakarā kasatores uzmanība vēršama uz to, ka Informācijas atklātības likuma tvērums ir daudz plašāks, nekā tikai Direktīvas </w:t>
      </w:r>
      <w:r w:rsidRPr="00C02424">
        <w:rPr>
          <w:lang w:eastAsia="lv-LV"/>
        </w:rPr>
        <w:t xml:space="preserve">2003/98/EK </w:t>
      </w:r>
      <w:r>
        <w:rPr>
          <w:lang w:eastAsia="lv-LV"/>
        </w:rPr>
        <w:t xml:space="preserve">un </w:t>
      </w:r>
      <w:r w:rsidRPr="00C02424">
        <w:rPr>
          <w:lang w:eastAsia="lv-LV"/>
        </w:rPr>
        <w:t>Direktīvas 2013/37/ES ieviešana. Visupirms šis likums iedzīvina Satversmes 100.panta garantijas. Savukārt minēt</w:t>
      </w:r>
      <w:r>
        <w:rPr>
          <w:lang w:eastAsia="lv-LV"/>
        </w:rPr>
        <w:t>o</w:t>
      </w:r>
      <w:r w:rsidRPr="00C02424">
        <w:rPr>
          <w:lang w:eastAsia="lv-LV"/>
        </w:rPr>
        <w:t xml:space="preserve"> direktīv</w:t>
      </w:r>
      <w:r>
        <w:rPr>
          <w:lang w:eastAsia="lv-LV"/>
        </w:rPr>
        <w:t>u</w:t>
      </w:r>
      <w:r w:rsidRPr="00C02424">
        <w:rPr>
          <w:lang w:eastAsia="lv-LV"/>
        </w:rPr>
        <w:t xml:space="preserve"> normas Informācijas atklātības likumā transponētas, attiecinot šo regulējumu tikai uz </w:t>
      </w:r>
      <w:r w:rsidRPr="00C02424">
        <w:t xml:space="preserve">vispārpieejamu informāciju. Proti, Informācijas atklātības likuma 1.panta 5.punkts </w:t>
      </w:r>
      <w:r>
        <w:t xml:space="preserve">tieši </w:t>
      </w:r>
      <w:r w:rsidRPr="00C02424">
        <w:t xml:space="preserve">noteic, ka informācijas atkalizmantošana </w:t>
      </w:r>
      <w:r w:rsidRPr="00C02424">
        <w:rPr>
          <w:shd w:val="clear" w:color="auto" w:fill="FFFFFF"/>
        </w:rPr>
        <w:t xml:space="preserve">ir iestādes rīcībā esošas un iestādes radītas </w:t>
      </w:r>
      <w:r w:rsidRPr="00C02424">
        <w:rPr>
          <w:i/>
          <w:iCs/>
          <w:shd w:val="clear" w:color="auto" w:fill="FFFFFF"/>
        </w:rPr>
        <w:t>vispārpieejamas</w:t>
      </w:r>
      <w:r w:rsidRPr="00C02424">
        <w:rPr>
          <w:shd w:val="clear" w:color="auto" w:fill="FFFFFF"/>
        </w:rPr>
        <w:t xml:space="preserve"> informācijas izmantošana komerciālam vai nekomerciālam mērķim, kas nav šīs informācijas radīšanas sākotnējais mērķis, ja to dara privātpersona, kura iestādes rīcībā esošo informāciju izmanto, neveicot valsts pārvaldes uzdevumu. Šāds atkalizmantošanas jēdziens Informācijas atklātības likumā ietverts ar 2015.gada 3.septembra likumu, kas stājās spēkā 2015.gada 6.oktobrī. Šā likuma  anotācijā norādīts, ka likumprojekts izstrādāts, lai pārņemtu prasības, kas izriet no</w:t>
      </w:r>
      <w:r w:rsidR="001A33F4">
        <w:rPr>
          <w:shd w:val="clear" w:color="auto" w:fill="FFFFFF"/>
        </w:rPr>
        <w:t xml:space="preserve"> </w:t>
      </w:r>
      <w:hyperlink r:id="rId20" w:history="1">
        <w:r w:rsidRPr="00C02424">
          <w:rPr>
            <w:rStyle w:val="Hyperlink"/>
            <w:color w:val="auto"/>
            <w:u w:val="none"/>
            <w:shd w:val="clear" w:color="auto" w:fill="FFFFFF"/>
          </w:rPr>
          <w:t>Direktīvas 2013/37/ES</w:t>
        </w:r>
        <w:r>
          <w:rPr>
            <w:rStyle w:val="Hyperlink"/>
            <w:color w:val="auto"/>
            <w:u w:val="none"/>
            <w:shd w:val="clear" w:color="auto" w:fill="FFFFFF"/>
          </w:rPr>
          <w:t>,</w:t>
        </w:r>
      </w:hyperlink>
      <w:r>
        <w:rPr>
          <w:shd w:val="clear" w:color="auto" w:fill="FFFFFF"/>
        </w:rPr>
        <w:t xml:space="preserve"> un, ievērojot </w:t>
      </w:r>
      <w:r w:rsidRPr="00C02424">
        <w:rPr>
          <w:shd w:val="clear" w:color="auto" w:fill="FFFFFF"/>
        </w:rPr>
        <w:t xml:space="preserve">Direktīvas 2013/37/ES 1.pantā veiktos būtiskos grozījumus attiecībā uz </w:t>
      </w:r>
      <w:r w:rsidRPr="00C02424">
        <w:t xml:space="preserve">Direktīvas </w:t>
      </w:r>
      <w:r w:rsidRPr="00C02424">
        <w:rPr>
          <w:lang w:eastAsia="lv-LV"/>
        </w:rPr>
        <w:t>2003/98/EK</w:t>
      </w:r>
      <w:r w:rsidRPr="00C02424">
        <w:rPr>
          <w:shd w:val="clear" w:color="auto" w:fill="FFFFFF"/>
        </w:rPr>
        <w:t xml:space="preserve"> piemērošanas jomu</w:t>
      </w:r>
      <w:r>
        <w:rPr>
          <w:shd w:val="clear" w:color="auto" w:fill="FFFFFF"/>
        </w:rPr>
        <w:t>, ir precizēts atkalizmantoša</w:t>
      </w:r>
      <w:r w:rsidR="001A33F4">
        <w:rPr>
          <w:shd w:val="clear" w:color="auto" w:fill="FFFFFF"/>
        </w:rPr>
        <w:t>na</w:t>
      </w:r>
      <w:r>
        <w:rPr>
          <w:shd w:val="clear" w:color="auto" w:fill="FFFFFF"/>
        </w:rPr>
        <w:t>s jēdziens, paredzot, ka tas attiecas tikai uz vispārpieejamu informāciju</w:t>
      </w:r>
      <w:r w:rsidRPr="00C02424">
        <w:rPr>
          <w:shd w:val="clear" w:color="auto" w:fill="FFFFFF"/>
        </w:rPr>
        <w:t xml:space="preserve"> (</w:t>
      </w:r>
      <w:r w:rsidR="00AF7216" w:rsidRPr="0008350A">
        <w:rPr>
          <w:i/>
          <w:iCs/>
          <w:shd w:val="clear" w:color="auto" w:fill="FFFFFF"/>
        </w:rPr>
        <w:t>12.</w:t>
      </w:r>
      <w:r w:rsidRPr="0008350A">
        <w:rPr>
          <w:i/>
          <w:iCs/>
          <w:shd w:val="clear" w:color="auto" w:fill="FFFFFF"/>
        </w:rPr>
        <w:t xml:space="preserve">Saeimas likumprojekta Nr. 214/Lp12 </w:t>
      </w:r>
      <w:r w:rsidR="001A33F4">
        <w:rPr>
          <w:i/>
          <w:iCs/>
          <w:shd w:val="clear" w:color="auto" w:fill="FFFFFF"/>
        </w:rPr>
        <w:t xml:space="preserve">„Grozījumi Informācijas atklātības likumā” </w:t>
      </w:r>
      <w:hyperlink r:id="rId21" w:history="1">
        <w:r w:rsidRPr="001A33F4">
          <w:rPr>
            <w:rStyle w:val="Hyperlink"/>
            <w:i/>
            <w:iCs/>
            <w:shd w:val="clear" w:color="auto" w:fill="FFFFFF"/>
          </w:rPr>
          <w:t>anotācija</w:t>
        </w:r>
      </w:hyperlink>
      <w:r>
        <w:rPr>
          <w:shd w:val="clear" w:color="auto" w:fill="FFFFFF"/>
        </w:rPr>
        <w:t xml:space="preserve">). </w:t>
      </w:r>
    </w:p>
    <w:p w14:paraId="3B093427" w14:textId="687AC3FD" w:rsidR="004C4017" w:rsidRDefault="004C4017" w:rsidP="003D669D">
      <w:pPr>
        <w:autoSpaceDE w:val="0"/>
        <w:autoSpaceDN w:val="0"/>
        <w:adjustRightInd w:val="0"/>
        <w:spacing w:line="276" w:lineRule="auto"/>
        <w:ind w:firstLine="720"/>
        <w:jc w:val="both"/>
        <w:rPr>
          <w:lang w:eastAsia="lv-LV"/>
        </w:rPr>
      </w:pPr>
      <w:r>
        <w:rPr>
          <w:shd w:val="clear" w:color="auto" w:fill="FFFFFF"/>
        </w:rPr>
        <w:t xml:space="preserve">Līdz ar to Informācijas atklātības likumā no direktīvas pārņemtie noteikumi par valsts sektora informācijas atkalizmantošanu attiecas tikai uz vispārpieejamu informāciju. </w:t>
      </w:r>
      <w:r w:rsidRPr="00C02424">
        <w:rPr>
          <w:lang w:eastAsia="lv-LV"/>
        </w:rPr>
        <w:t>Tādējādi tas, ka direktīvās par valsts sektora informācijas atkalizmantošanu (</w:t>
      </w:r>
      <w:r w:rsidRPr="00B42CE1">
        <w:rPr>
          <w:lang w:eastAsia="lv-LV"/>
        </w:rPr>
        <w:t xml:space="preserve">gan </w:t>
      </w:r>
      <w:r w:rsidRPr="00B42CE1">
        <w:t xml:space="preserve">Direktīvā </w:t>
      </w:r>
      <w:r w:rsidRPr="00B42CE1">
        <w:rPr>
          <w:lang w:eastAsia="lv-LV"/>
        </w:rPr>
        <w:t xml:space="preserve">2003/98/EK, kas grozīta ar Direktīvu 2013/37/ES, gan jaunajā </w:t>
      </w:r>
      <w:r w:rsidRPr="00B42CE1">
        <w:rPr>
          <w:bCs/>
        </w:rPr>
        <w:t>Direktīvā 2019/1024</w:t>
      </w:r>
      <w:r w:rsidRPr="00B42CE1">
        <w:rPr>
          <w:lang w:eastAsia="lv-LV"/>
        </w:rPr>
        <w:t>) ir noteikts, ka šo direktīvu regulējums nav attiecināms uz informāciju, kurai piekļuve</w:t>
      </w:r>
      <w:r w:rsidRPr="00C02424">
        <w:rPr>
          <w:lang w:eastAsia="lv-LV"/>
        </w:rPr>
        <w:t xml:space="preserve"> </w:t>
      </w:r>
      <w:r>
        <w:rPr>
          <w:lang w:eastAsia="lv-LV"/>
        </w:rPr>
        <w:t xml:space="preserve">ir </w:t>
      </w:r>
      <w:r w:rsidRPr="00C02424">
        <w:rPr>
          <w:lang w:eastAsia="lv-LV"/>
        </w:rPr>
        <w:t xml:space="preserve">ierobežota vai liegta, nevar būt </w:t>
      </w:r>
      <w:r>
        <w:rPr>
          <w:lang w:eastAsia="lv-LV"/>
        </w:rPr>
        <w:t>šķērslis ierobežotas pieejamības informācijas pieprasījuma gadījumā piemērot tās Informācijas atklātības likuma normas, kas regulē piekļuvi šādai informācijai.</w:t>
      </w:r>
    </w:p>
    <w:p w14:paraId="6B229B2D" w14:textId="15D60BC8" w:rsidR="004C4017" w:rsidRDefault="004C4017" w:rsidP="003D669D">
      <w:pPr>
        <w:autoSpaceDE w:val="0"/>
        <w:autoSpaceDN w:val="0"/>
        <w:adjustRightInd w:val="0"/>
        <w:spacing w:line="276" w:lineRule="auto"/>
        <w:ind w:firstLine="720"/>
        <w:jc w:val="both"/>
        <w:rPr>
          <w:bCs/>
        </w:rPr>
      </w:pPr>
      <w:r>
        <w:rPr>
          <w:lang w:eastAsia="lv-LV"/>
        </w:rPr>
        <w:t xml:space="preserve">Minēto apsvērumu dēļ Senāts arī nesaskata pamatu vērsties Eiropas Savienības Tiesā ar prejudiciālo jautājumu par to, </w:t>
      </w:r>
      <w:r w:rsidRPr="000C1C09">
        <w:rPr>
          <w:bCs/>
          <w:lang w:eastAsia="lv-LV"/>
        </w:rPr>
        <w:t xml:space="preserve">vai izskatāmajā lietā ņemama vērā </w:t>
      </w:r>
      <w:r w:rsidRPr="000C1C09">
        <w:rPr>
          <w:bCs/>
        </w:rPr>
        <w:t>Direktīva 2019/1024</w:t>
      </w:r>
      <w:r>
        <w:rPr>
          <w:bCs/>
        </w:rPr>
        <w:t>. Izskatāmajā lietā nav strīd</w:t>
      </w:r>
      <w:r w:rsidR="008D77AA">
        <w:rPr>
          <w:bCs/>
        </w:rPr>
        <w:t>a</w:t>
      </w:r>
      <w:r>
        <w:rPr>
          <w:bCs/>
        </w:rPr>
        <w:t xml:space="preserve"> par vispārpieejamas publiskā sektora informācijas atkalizmantošanu, bet gan par ierobežotas pieejamības informācijas, kas iestādes rīcībā nonākusi publiskā iepirkuma procedūrā, izsniegšanu. </w:t>
      </w:r>
    </w:p>
    <w:p w14:paraId="29A7F37A" w14:textId="77777777" w:rsidR="004C4017" w:rsidRDefault="004C4017" w:rsidP="003D669D">
      <w:pPr>
        <w:autoSpaceDE w:val="0"/>
        <w:autoSpaceDN w:val="0"/>
        <w:adjustRightInd w:val="0"/>
        <w:spacing w:line="276" w:lineRule="auto"/>
        <w:ind w:firstLine="720"/>
        <w:jc w:val="both"/>
        <w:rPr>
          <w:bCs/>
          <w:lang w:eastAsia="lv-LV"/>
        </w:rPr>
      </w:pPr>
    </w:p>
    <w:p w14:paraId="2B3458FA" w14:textId="77777777" w:rsidR="004C4017" w:rsidRPr="00982EFD" w:rsidRDefault="004C4017" w:rsidP="003D669D">
      <w:pPr>
        <w:autoSpaceDE w:val="0"/>
        <w:autoSpaceDN w:val="0"/>
        <w:adjustRightInd w:val="0"/>
        <w:spacing w:line="276" w:lineRule="auto"/>
        <w:ind w:firstLine="720"/>
        <w:jc w:val="both"/>
      </w:pPr>
      <w:r>
        <w:rPr>
          <w:bCs/>
          <w:lang w:eastAsia="lv-LV"/>
        </w:rPr>
        <w:t>[17] Rezumējot</w:t>
      </w:r>
      <w:r w:rsidRPr="0064094F">
        <w:rPr>
          <w:bCs/>
          <w:lang w:eastAsia="lv-LV"/>
        </w:rPr>
        <w:t xml:space="preserve"> </w:t>
      </w:r>
      <w:r w:rsidRPr="002559C7">
        <w:rPr>
          <w:bCs/>
          <w:lang w:eastAsia="lv-LV"/>
        </w:rPr>
        <w:t xml:space="preserve">minēto, Senāts atzīst, ka </w:t>
      </w:r>
      <w:r w:rsidRPr="002559C7">
        <w:t xml:space="preserve">tādā gadījumā kā izskatāmajā lietā, proti, kad </w:t>
      </w:r>
      <w:r>
        <w:rPr>
          <w:bCs/>
        </w:rPr>
        <w:t xml:space="preserve">komercnoslēpumu saturošu informāciju, kas iestādes rīcībā nonākusi publisko iepirkumu procedūras rezultātā, </w:t>
      </w:r>
      <w:r w:rsidRPr="002559C7">
        <w:t xml:space="preserve">pieprasa ar konkrēto publisko iepirkumu nesaistīta persona, ir piemērojams Informācijas atklātības likums. </w:t>
      </w:r>
    </w:p>
    <w:p w14:paraId="12463781" w14:textId="77777777" w:rsidR="004C4017" w:rsidRPr="00982EFD" w:rsidRDefault="004C4017" w:rsidP="003D669D">
      <w:pPr>
        <w:spacing w:line="276" w:lineRule="auto"/>
        <w:ind w:firstLine="720"/>
        <w:jc w:val="both"/>
      </w:pPr>
    </w:p>
    <w:p w14:paraId="2ACC0AAF" w14:textId="77777777" w:rsidR="004C4017" w:rsidRPr="002559C7" w:rsidRDefault="004C4017" w:rsidP="003D669D">
      <w:pPr>
        <w:spacing w:line="276" w:lineRule="auto"/>
        <w:ind w:firstLine="720"/>
        <w:jc w:val="both"/>
      </w:pPr>
      <w:r w:rsidRPr="002559C7">
        <w:lastRenderedPageBreak/>
        <w:t>[1</w:t>
      </w:r>
      <w:r>
        <w:t>8</w:t>
      </w:r>
      <w:r w:rsidRPr="002559C7">
        <w:t xml:space="preserve">] Minētais gan nenozīmē, ka, saskaņā ar Informācijas atklātības likumu lemjot par publiskā iepirkuma procedūras rezultātā iestādes rīcībā nonākuša komercnoslēpuma izsniegšanas pieļaujamību, publisko iepirkumu regulējumam nebūtu nekādas nozīmes. </w:t>
      </w:r>
    </w:p>
    <w:p w14:paraId="70C2A59A" w14:textId="7D6F0BED" w:rsidR="004C4017" w:rsidRPr="002559C7" w:rsidRDefault="004C4017" w:rsidP="003D669D">
      <w:pPr>
        <w:spacing w:line="276" w:lineRule="auto"/>
        <w:ind w:firstLine="720"/>
        <w:jc w:val="both"/>
      </w:pPr>
      <w:r w:rsidRPr="002559C7">
        <w:t>Kā jau minēts, atbilstoši Informācijas atklātības likumam, lemjot par ierobežotas pieejamības informācijas izsniegšanu, jāapsver, kurai no interesēm – tai, kuras aizsardzībai noteikts ierobežotas pieejamības informācijas statuss, vai tai, kura pamato leģitīmu šīs informācijas saņemšanas nepieciešamību, konkrētajos apstākļos ir dodama priekšroka. Savukārt, lai varētu pareizi līdzsvarot pretējās intereses, citstarp ir jāizprot, kādu svaru un kāpēc konkrētā</w:t>
      </w:r>
      <w:r w:rsidR="001A33F4">
        <w:t>m</w:t>
      </w:r>
      <w:r w:rsidRPr="002559C7">
        <w:t xml:space="preserve"> interesēm piešķir speciālās tiesību normas. </w:t>
      </w:r>
    </w:p>
    <w:p w14:paraId="7657F077" w14:textId="7254B78F" w:rsidR="004C4017" w:rsidRDefault="004C4017" w:rsidP="003D669D">
      <w:pPr>
        <w:spacing w:line="276" w:lineRule="auto"/>
        <w:ind w:firstLine="720"/>
        <w:jc w:val="both"/>
        <w:rPr>
          <w:color w:val="000000"/>
        </w:rPr>
      </w:pPr>
      <w:r w:rsidRPr="002559C7">
        <w:t xml:space="preserve">Turklāt arī Eiropas Savienības Tiesa ir uzsvērusi, ka </w:t>
      </w:r>
      <w:r w:rsidRPr="002559C7">
        <w:rPr>
          <w:color w:val="000000"/>
        </w:rPr>
        <w:t xml:space="preserve">dalībvalstīm, īstenojot </w:t>
      </w:r>
      <w:r w:rsidRPr="002559C7">
        <w:t>Direktīvas</w:t>
      </w:r>
      <w:r w:rsidR="001A33F4">
        <w:t xml:space="preserve"> </w:t>
      </w:r>
      <w:r w:rsidRPr="002559C7">
        <w:t>2014/24</w:t>
      </w:r>
      <w:r w:rsidR="001A33F4">
        <w:t>/ES</w:t>
      </w:r>
      <w:r w:rsidRPr="002559C7">
        <w:t xml:space="preserve"> 21.panta 1.punktā</w:t>
      </w:r>
      <w:r w:rsidRPr="002559C7">
        <w:rPr>
          <w:color w:val="000000"/>
        </w:rPr>
        <w:t xml:space="preserve"> atzīto rīcības brīvību tiesību aktos būtisku interešu nodrošināšanas labad paredzēt atkāpes no konfidenciālas informācijas izpaušanas aizlieguma, ir jāatturas no tādu sistēmu ieviešanas, kas nenodrošina pilnīgu šīs tiesību normas mērķa</w:t>
      </w:r>
      <w:r w:rsidR="001A33F4">
        <w:rPr>
          <w:color w:val="000000"/>
        </w:rPr>
        <w:t xml:space="preserve"> </w:t>
      </w:r>
      <w:r w:rsidRPr="002559C7">
        <w:rPr>
          <w:color w:val="000000"/>
        </w:rPr>
        <w:t>(netraucētas konkurences nodrošināšana) ievērošanu, kas kaitē informācijas aizsardzības principa un labas pārvaldības principu aizsargāto interešu līdzsvarošanai vai kas groza publiskošanas jomā saistībā ar piešķirtajām līguma slēgšanas tiesībām pastāvošo sistēmu (</w:t>
      </w:r>
      <w:r w:rsidRPr="00716058">
        <w:rPr>
          <w:i/>
          <w:iCs/>
          <w:color w:val="000000"/>
        </w:rPr>
        <w:t xml:space="preserve">Antea Polska sprieduma </w:t>
      </w:r>
      <w:r>
        <w:rPr>
          <w:i/>
          <w:iCs/>
          <w:color w:val="000000"/>
        </w:rPr>
        <w:t xml:space="preserve">49. un </w:t>
      </w:r>
      <w:r w:rsidRPr="00716058">
        <w:rPr>
          <w:i/>
          <w:iCs/>
          <w:color w:val="000000"/>
        </w:rPr>
        <w:t>58.punkts</w:t>
      </w:r>
      <w:r w:rsidRPr="002559C7">
        <w:rPr>
          <w:color w:val="000000"/>
        </w:rPr>
        <w:t>).</w:t>
      </w:r>
    </w:p>
    <w:p w14:paraId="26B0F83F" w14:textId="77777777" w:rsidR="004C4017" w:rsidRDefault="004C4017" w:rsidP="003D669D">
      <w:pPr>
        <w:spacing w:line="276" w:lineRule="auto"/>
        <w:ind w:firstLine="720"/>
        <w:jc w:val="both"/>
        <w:rPr>
          <w:color w:val="000000"/>
        </w:rPr>
      </w:pPr>
      <w:r>
        <w:rPr>
          <w:color w:val="000000"/>
        </w:rPr>
        <w:t>Tādējādi, atbilstoši Informācijas atklātības likumam lemjot par publiskā iepirkuma procedūras ietvaros iegūtas konfidenciālas informācijas izsniegšanu, nevar neņemt vērā publiskā iepirkuma regulējumā paredzētās konfidencialitātes mērķi.</w:t>
      </w:r>
    </w:p>
    <w:p w14:paraId="6E305BD4" w14:textId="77777777" w:rsidR="004C4017" w:rsidRDefault="004C4017" w:rsidP="003D669D">
      <w:pPr>
        <w:spacing w:line="276" w:lineRule="auto"/>
        <w:ind w:firstLine="720"/>
        <w:jc w:val="both"/>
        <w:rPr>
          <w:color w:val="000000"/>
        </w:rPr>
      </w:pPr>
    </w:p>
    <w:p w14:paraId="503FD724" w14:textId="3216F203" w:rsidR="004C4017" w:rsidRDefault="004C4017" w:rsidP="003D669D">
      <w:pPr>
        <w:spacing w:line="276" w:lineRule="auto"/>
        <w:ind w:firstLine="720"/>
        <w:jc w:val="both"/>
        <w:rPr>
          <w:color w:val="000000"/>
        </w:rPr>
      </w:pPr>
      <w:r>
        <w:rPr>
          <w:shd w:val="clear" w:color="auto" w:fill="FFFFFF"/>
        </w:rPr>
        <w:t xml:space="preserve">[19] </w:t>
      </w:r>
      <w:r w:rsidRPr="00521950">
        <w:rPr>
          <w:shd w:val="clear" w:color="auto" w:fill="FFFFFF"/>
        </w:rPr>
        <w:t>Eiropas Savienības Tiesa par publisko iepirkumu procedūrās pretendentu iesniegtās informācijas konfidencialitātes nepieciešamību</w:t>
      </w:r>
      <w:r>
        <w:rPr>
          <w:shd w:val="clear" w:color="auto" w:fill="FFFFFF"/>
        </w:rPr>
        <w:t xml:space="preserve"> </w:t>
      </w:r>
      <w:r w:rsidRPr="00521950">
        <w:rPr>
          <w:shd w:val="clear" w:color="auto" w:fill="FFFFFF"/>
        </w:rPr>
        <w:t>izteikusies</w:t>
      </w:r>
      <w:r>
        <w:rPr>
          <w:shd w:val="clear" w:color="auto" w:fill="FFFFFF"/>
        </w:rPr>
        <w:t xml:space="preserve"> vairākkārt, konsekventi uzsverot, ka </w:t>
      </w:r>
      <w:r w:rsidRPr="00521950">
        <w:rPr>
          <w:color w:val="000000"/>
        </w:rPr>
        <w:t xml:space="preserve">Savienības tiesību noteikumu publisko iepirkumu jomā galvenais mērķis ir netraucētas konkurences visās </w:t>
      </w:r>
      <w:r w:rsidRPr="00521950">
        <w:t>dalībvalstīs nodrošināšana. Šī mērķa sasniegšanai ir svarīgi, lai līgumslēdzējas iestādes kādā šobrīd notiekošā līguma slēgšanas tiesību piešķiršanas procedūrā</w:t>
      </w:r>
      <w:r>
        <w:t xml:space="preserve"> </w:t>
      </w:r>
      <w:r w:rsidRPr="00E768AC">
        <w:t>vai vēlākās procedūrās</w:t>
      </w:r>
      <w:r w:rsidRPr="00521950">
        <w:t xml:space="preserve"> neizpaustu tādu informāciju saistībā ar publiskā iepirkuma līguma slēgšanas tiesību piešķiršanas procedūru, kuras saturu varētu izmantot konkurences izkropļošanai. Publiskā iepirkuma līguma slēgšanas tiesību piešķiršanas procedūru pamatā ir uzticamības attiecības </w:t>
      </w:r>
      <w:r w:rsidRPr="00521950">
        <w:rPr>
          <w:color w:val="000000"/>
        </w:rPr>
        <w:t xml:space="preserve">starp līgumslēdzējām iestādēm un komersantiem, kas piedalās šajās procedūrās. Komersantiem ir jāvar iesniegt šīm līgumslēdzējām </w:t>
      </w:r>
      <w:r w:rsidRPr="00313665">
        <w:rPr>
          <w:color w:val="000000"/>
        </w:rPr>
        <w:t>iestādēm visu informāciju, kas tām var būt noderīga līguma slēgšanas tiesību piešķiršanas procedūrā, neraizējoties, ka tās nodos treš</w:t>
      </w:r>
      <w:r w:rsidR="007F3DE3">
        <w:rPr>
          <w:color w:val="000000"/>
        </w:rPr>
        <w:t>aj</w:t>
      </w:r>
      <w:r w:rsidRPr="00313665">
        <w:rPr>
          <w:color w:val="000000"/>
        </w:rPr>
        <w:t>ām personām tādu informāciju, kuras izpaušana varētu kaitēt minētajiem komersantiem (</w:t>
      </w:r>
      <w:r w:rsidR="00F7660B" w:rsidRPr="00F7660B">
        <w:rPr>
          <w:i/>
          <w:iCs/>
          <w:color w:val="000000"/>
        </w:rPr>
        <w:t>Eiropas Savienības Tiesas</w:t>
      </w:r>
      <w:r w:rsidR="00F7660B">
        <w:rPr>
          <w:color w:val="000000"/>
        </w:rPr>
        <w:t xml:space="preserve"> </w:t>
      </w:r>
      <w:r w:rsidRPr="00313665">
        <w:rPr>
          <w:i/>
          <w:iCs/>
          <w:shd w:val="clear" w:color="auto" w:fill="FFFFFF"/>
        </w:rPr>
        <w:t xml:space="preserve">2008.gada 14.februāra spriedumā lietā </w:t>
      </w:r>
      <w:r w:rsidR="001D77B0">
        <w:rPr>
          <w:i/>
          <w:iCs/>
          <w:shd w:val="clear" w:color="auto" w:fill="FFFFFF"/>
        </w:rPr>
        <w:t>„</w:t>
      </w:r>
      <w:r w:rsidR="001D77B0" w:rsidRPr="00313665">
        <w:rPr>
          <w:i/>
          <w:iCs/>
          <w:color w:val="000000"/>
        </w:rPr>
        <w:t>Varec</w:t>
      </w:r>
      <w:r w:rsidR="001D77B0">
        <w:rPr>
          <w:i/>
          <w:iCs/>
          <w:shd w:val="clear" w:color="auto" w:fill="FFFFFF"/>
        </w:rPr>
        <w:t>”</w:t>
      </w:r>
      <w:r w:rsidRPr="00313665">
        <w:rPr>
          <w:i/>
          <w:iCs/>
          <w:color w:val="000000"/>
        </w:rPr>
        <w:t>,</w:t>
      </w:r>
      <w:r w:rsidR="001D77B0">
        <w:rPr>
          <w:b/>
          <w:bCs/>
          <w:i/>
          <w:iCs/>
          <w:color w:val="000000"/>
        </w:rPr>
        <w:t xml:space="preserve"> </w:t>
      </w:r>
      <w:r w:rsidRPr="00313665">
        <w:rPr>
          <w:i/>
          <w:iCs/>
          <w:color w:val="000000"/>
        </w:rPr>
        <w:t>C</w:t>
      </w:r>
      <w:r w:rsidRPr="00313665">
        <w:rPr>
          <w:i/>
          <w:iCs/>
          <w:color w:val="000000"/>
        </w:rPr>
        <w:noBreakHyphen/>
        <w:t>450/06,</w:t>
      </w:r>
      <w:r w:rsidR="00E95B76">
        <w:rPr>
          <w:i/>
          <w:iCs/>
          <w:color w:val="000000"/>
        </w:rPr>
        <w:t xml:space="preserve"> </w:t>
      </w:r>
      <w:hyperlink r:id="rId22" w:history="1">
        <w:r w:rsidR="001D77B0" w:rsidRPr="001D77B0">
          <w:rPr>
            <w:rStyle w:val="Hyperlink"/>
            <w:i/>
            <w:iCs/>
          </w:rPr>
          <w:t>ECLI:EU:C:2008:91</w:t>
        </w:r>
      </w:hyperlink>
      <w:r w:rsidR="001D77B0" w:rsidRPr="001D77B0">
        <w:rPr>
          <w:i/>
          <w:iCs/>
          <w:color w:val="000000"/>
        </w:rPr>
        <w:t xml:space="preserve"> </w:t>
      </w:r>
      <w:r w:rsidR="00F571D4" w:rsidRPr="001D77B0">
        <w:rPr>
          <w:color w:val="000000"/>
        </w:rPr>
        <w:t>(</w:t>
      </w:r>
      <w:r w:rsidR="00E95B76" w:rsidRPr="001D77B0">
        <w:rPr>
          <w:color w:val="000000"/>
        </w:rPr>
        <w:t>turpmāk –</w:t>
      </w:r>
      <w:r w:rsidR="00E95B76">
        <w:rPr>
          <w:i/>
          <w:iCs/>
          <w:color w:val="000000"/>
        </w:rPr>
        <w:t xml:space="preserve"> Varec </w:t>
      </w:r>
      <w:r w:rsidR="00E95B76" w:rsidRPr="001D77B0">
        <w:rPr>
          <w:color w:val="000000"/>
        </w:rPr>
        <w:t>spriedums)</w:t>
      </w:r>
      <w:r w:rsidR="001D77B0">
        <w:rPr>
          <w:i/>
          <w:iCs/>
          <w:color w:val="000000"/>
        </w:rPr>
        <w:t>,</w:t>
      </w:r>
      <w:r w:rsidRPr="00313665">
        <w:rPr>
          <w:i/>
          <w:iCs/>
          <w:color w:val="000000"/>
        </w:rPr>
        <w:t xml:space="preserve"> 35., 37.punkts, 2021.gada 7.septembra sprieduma lietā </w:t>
      </w:r>
      <w:r w:rsidR="00066B96">
        <w:rPr>
          <w:i/>
          <w:iCs/>
          <w:color w:val="000000"/>
        </w:rPr>
        <w:t>„</w:t>
      </w:r>
      <w:r w:rsidR="00066B96" w:rsidRPr="00066B96">
        <w:rPr>
          <w:i/>
          <w:iCs/>
          <w:color w:val="000000"/>
        </w:rPr>
        <w:t>Klaipėdos regiono atliekų tvarkymo centras</w:t>
      </w:r>
      <w:r w:rsidR="00066B96">
        <w:rPr>
          <w:i/>
          <w:iCs/>
          <w:color w:val="000000"/>
        </w:rPr>
        <w:t>”</w:t>
      </w:r>
      <w:r w:rsidRPr="00313665">
        <w:rPr>
          <w:i/>
          <w:iCs/>
          <w:color w:val="000000"/>
        </w:rPr>
        <w:t>,</w:t>
      </w:r>
      <w:r w:rsidR="00066B96">
        <w:rPr>
          <w:i/>
          <w:iCs/>
          <w:color w:val="000000"/>
        </w:rPr>
        <w:t xml:space="preserve"> </w:t>
      </w:r>
      <w:r w:rsidRPr="00313665">
        <w:rPr>
          <w:i/>
          <w:iCs/>
          <w:color w:val="000000"/>
        </w:rPr>
        <w:t>C</w:t>
      </w:r>
      <w:r w:rsidRPr="00313665">
        <w:rPr>
          <w:i/>
          <w:iCs/>
          <w:color w:val="000000"/>
        </w:rPr>
        <w:noBreakHyphen/>
        <w:t xml:space="preserve">927/19, </w:t>
      </w:r>
      <w:hyperlink r:id="rId23" w:history="1">
        <w:r w:rsidR="00066B96" w:rsidRPr="00066B96">
          <w:rPr>
            <w:rStyle w:val="Hyperlink"/>
            <w:i/>
            <w:iCs/>
          </w:rPr>
          <w:t>ECLI:EU:C:2021:700</w:t>
        </w:r>
      </w:hyperlink>
      <w:r w:rsidR="00066B96" w:rsidRPr="00066B96">
        <w:rPr>
          <w:i/>
          <w:iCs/>
          <w:color w:val="000000"/>
        </w:rPr>
        <w:t xml:space="preserve"> </w:t>
      </w:r>
      <w:r w:rsidRPr="00066B96">
        <w:rPr>
          <w:color w:val="000000"/>
        </w:rPr>
        <w:t>(turpmāk –</w:t>
      </w:r>
      <w:r w:rsidRPr="00313665">
        <w:rPr>
          <w:i/>
          <w:iCs/>
          <w:color w:val="000000"/>
        </w:rPr>
        <w:t xml:space="preserve"> Klaipedos centras </w:t>
      </w:r>
      <w:r w:rsidRPr="00066B96">
        <w:rPr>
          <w:color w:val="000000"/>
        </w:rPr>
        <w:t>spriedums)</w:t>
      </w:r>
      <w:r w:rsidRPr="00313665">
        <w:rPr>
          <w:i/>
          <w:iCs/>
          <w:color w:val="000000"/>
        </w:rPr>
        <w:t xml:space="preserve"> 115.punkts, Antea Polska sprieduma </w:t>
      </w:r>
      <w:r>
        <w:rPr>
          <w:i/>
          <w:iCs/>
          <w:color w:val="000000"/>
        </w:rPr>
        <w:t>48.</w:t>
      </w:r>
      <w:r w:rsidR="00066B96">
        <w:rPr>
          <w:i/>
          <w:iCs/>
          <w:color w:val="000000"/>
        </w:rPr>
        <w:t>–</w:t>
      </w:r>
      <w:r w:rsidRPr="00313665">
        <w:rPr>
          <w:i/>
          <w:iCs/>
          <w:color w:val="000000"/>
        </w:rPr>
        <w:t>49.punkts</w:t>
      </w:r>
      <w:r w:rsidRPr="00313665">
        <w:rPr>
          <w:color w:val="000000"/>
        </w:rPr>
        <w:t>).</w:t>
      </w:r>
    </w:p>
    <w:p w14:paraId="3C2D551F" w14:textId="4F9E55B3" w:rsidR="004C4017" w:rsidRPr="005A3E48" w:rsidRDefault="004C4017" w:rsidP="003D669D">
      <w:pPr>
        <w:spacing w:line="276" w:lineRule="auto"/>
        <w:ind w:firstLine="720"/>
        <w:jc w:val="both"/>
        <w:rPr>
          <w:rFonts w:eastAsiaTheme="minorHAnsi"/>
          <w:lang w:eastAsia="en-US"/>
          <w14:ligatures w14:val="standardContextual"/>
        </w:rPr>
      </w:pPr>
      <w:r w:rsidRPr="00313665">
        <w:rPr>
          <w:i/>
          <w:iCs/>
          <w:color w:val="000000"/>
        </w:rPr>
        <w:t>Klaipedos centras</w:t>
      </w:r>
      <w:r w:rsidRPr="00313665">
        <w:rPr>
          <w:color w:val="000000"/>
        </w:rPr>
        <w:t xml:space="preserve"> spriedumā Eiropas Savienības Tiesa līdz ar to atzina, ka gadījumā, ja pretendenta iesniegto konfidenciālo informāciju prasa ekonomikas dalībnieks, </w:t>
      </w:r>
      <w:r w:rsidRPr="00313665">
        <w:rPr>
          <w:rFonts w:eastAsiaTheme="minorHAnsi"/>
          <w:lang w:eastAsia="en-US"/>
          <w14:ligatures w14:val="standardContextual"/>
        </w:rPr>
        <w:t>principā šī informācija nav jāsniedz (</w:t>
      </w:r>
      <w:r w:rsidRPr="00313665">
        <w:rPr>
          <w:rFonts w:eastAsiaTheme="minorHAnsi"/>
          <w:i/>
          <w:iCs/>
          <w:lang w:eastAsia="en-US"/>
          <w14:ligatures w14:val="standardContextual"/>
        </w:rPr>
        <w:t>116., 117.punkts</w:t>
      </w:r>
      <w:r w:rsidRPr="00313665">
        <w:rPr>
          <w:rFonts w:eastAsiaTheme="minorHAnsi"/>
          <w:lang w:eastAsia="en-US"/>
          <w14:ligatures w14:val="standardContextual"/>
        </w:rPr>
        <w:t>), savukārt, lai līdzsvarotu konfidenciālas informācijas neizpaušanas principa aizsargātās intereses ar citām būtiskām interesēm – no labas pārvaldības principa izrietošajām tiesībām uz pamatotu iestādes lēmumu un efektīvas tiesību aizsardzības interesēm – līgumslēdzējai iestādei ir ne tikai jāpamato tās</w:t>
      </w:r>
      <w:r>
        <w:rPr>
          <w:rFonts w:eastAsiaTheme="minorHAnsi"/>
          <w:lang w:eastAsia="en-US"/>
          <w14:ligatures w14:val="standardContextual"/>
        </w:rPr>
        <w:t xml:space="preserve"> </w:t>
      </w:r>
      <w:r w:rsidRPr="00313665">
        <w:rPr>
          <w:rFonts w:eastAsiaTheme="minorHAnsi"/>
          <w:lang w:eastAsia="en-US"/>
          <w14:ligatures w14:val="standardContextual"/>
        </w:rPr>
        <w:t xml:space="preserve">lēmums uzskatīt noteiktus datus par konfidenciāliem, bet </w:t>
      </w:r>
      <w:r w:rsidRPr="00313665">
        <w:rPr>
          <w:rFonts w:eastAsiaTheme="minorHAnsi"/>
          <w:lang w:eastAsia="en-US"/>
          <w14:ligatures w14:val="standardContextual"/>
        </w:rPr>
        <w:lastRenderedPageBreak/>
        <w:t>ir arī neitrāli, cik vien iespējams un</w:t>
      </w:r>
      <w:r>
        <w:rPr>
          <w:rFonts w:eastAsiaTheme="minorHAnsi"/>
          <w:lang w:eastAsia="en-US"/>
          <w14:ligatures w14:val="standardContextual"/>
        </w:rPr>
        <w:t xml:space="preserve"> </w:t>
      </w:r>
      <w:r w:rsidRPr="00313665">
        <w:rPr>
          <w:rFonts w:eastAsiaTheme="minorHAnsi"/>
          <w:lang w:eastAsia="en-US"/>
          <w14:ligatures w14:val="standardContextual"/>
        </w:rPr>
        <w:t xml:space="preserve">ciktāl, veicot šādu izpaušanu, var tikt saglabāts šo datu, attiecībā uz kuriem ir pamatota aizsardzība, konfidenciālais raksturs, jāizpauž to būtiskais saturs </w:t>
      </w:r>
      <w:r w:rsidRPr="005A3E48">
        <w:rPr>
          <w:rFonts w:eastAsiaTheme="minorHAnsi"/>
          <w:lang w:eastAsia="en-US"/>
          <w14:ligatures w14:val="standardContextual"/>
        </w:rPr>
        <w:t>(</w:t>
      </w:r>
      <w:r w:rsidRPr="005A3E48">
        <w:rPr>
          <w:rFonts w:eastAsiaTheme="minorHAnsi"/>
          <w:i/>
          <w:iCs/>
          <w:lang w:eastAsia="en-US"/>
          <w14:ligatures w14:val="standardContextual"/>
        </w:rPr>
        <w:t>120.</w:t>
      </w:r>
      <w:r w:rsidR="00230BA0">
        <w:rPr>
          <w:rFonts w:eastAsiaTheme="minorHAnsi"/>
          <w:i/>
          <w:iCs/>
          <w:lang w:eastAsia="en-US"/>
          <w14:ligatures w14:val="standardContextual"/>
        </w:rPr>
        <w:t>–</w:t>
      </w:r>
      <w:r w:rsidRPr="005A3E48">
        <w:rPr>
          <w:rFonts w:eastAsiaTheme="minorHAnsi"/>
          <w:i/>
          <w:iCs/>
          <w:lang w:eastAsia="en-US"/>
          <w14:ligatures w14:val="standardContextual"/>
        </w:rPr>
        <w:t>123.punkts</w:t>
      </w:r>
      <w:r w:rsidRPr="005A3E48">
        <w:rPr>
          <w:rFonts w:eastAsiaTheme="minorHAnsi"/>
          <w:lang w:eastAsia="en-US"/>
          <w14:ligatures w14:val="standardContextual"/>
        </w:rPr>
        <w:t>).</w:t>
      </w:r>
    </w:p>
    <w:p w14:paraId="32276652" w14:textId="4E70F09D" w:rsidR="004C4017" w:rsidRDefault="004C4017" w:rsidP="003D669D">
      <w:pPr>
        <w:spacing w:line="276" w:lineRule="auto"/>
        <w:ind w:firstLine="720"/>
        <w:jc w:val="both"/>
        <w:rPr>
          <w:rFonts w:eastAsiaTheme="minorHAnsi"/>
          <w:lang w:eastAsia="en-US"/>
          <w14:ligatures w14:val="standardContextual"/>
        </w:rPr>
      </w:pPr>
      <w:r w:rsidRPr="005A3E48">
        <w:rPr>
          <w:rFonts w:eastAsiaTheme="minorHAnsi"/>
          <w:i/>
          <w:iCs/>
          <w:lang w:eastAsia="en-US"/>
          <w14:ligatures w14:val="standardContextual"/>
        </w:rPr>
        <w:t>Antea Polska</w:t>
      </w:r>
      <w:r w:rsidRPr="005A3E48">
        <w:rPr>
          <w:rFonts w:eastAsiaTheme="minorHAnsi"/>
          <w:lang w:eastAsia="en-US"/>
          <w14:ligatures w14:val="standardContextual"/>
        </w:rPr>
        <w:t xml:space="preserve"> spriedumā Eiropas Savienības Tiesa turklāt uzsvēra, ka </w:t>
      </w:r>
      <w:r w:rsidRPr="005A3E48">
        <w:rPr>
          <w:color w:val="000000"/>
        </w:rPr>
        <w:t>Direktīvā</w:t>
      </w:r>
      <w:r w:rsidR="00230BA0">
        <w:rPr>
          <w:color w:val="000000"/>
        </w:rPr>
        <w:t xml:space="preserve"> </w:t>
      </w:r>
      <w:r w:rsidRPr="005A3E48">
        <w:rPr>
          <w:color w:val="000000"/>
        </w:rPr>
        <w:t>2014/24</w:t>
      </w:r>
      <w:r w:rsidR="00230BA0">
        <w:rPr>
          <w:color w:val="000000"/>
        </w:rPr>
        <w:t>/ES</w:t>
      </w:r>
      <w:r w:rsidRPr="005A3E48">
        <w:rPr>
          <w:color w:val="000000"/>
        </w:rPr>
        <w:t xml:space="preserve"> paredzētā konfidencialitātes aizsardzība ir plašāka nekā uz komercnoslēpumiem attiecināmā vispārīgā aizsardzība.</w:t>
      </w:r>
      <w:r w:rsidRPr="005A3E48">
        <w:rPr>
          <w:rFonts w:eastAsiaTheme="minorHAnsi"/>
          <w:lang w:eastAsia="en-US"/>
          <w14:ligatures w14:val="standardContextual"/>
        </w:rPr>
        <w:t xml:space="preserve"> Tāpēc valstij būtu jānodrošina, ka ir iespējams aizsargāt informāciju, kuru komersants pamatoti norādījis kā konfidenciālu, pat ja tā neietilpst komercnoslēpuma jēdzienā, ja šāda aizsardzība nepieciešama, lai nodrošinātu mērķa – netraucēta konkurence – sasniegšanu (</w:t>
      </w:r>
      <w:r w:rsidRPr="005A3E48">
        <w:rPr>
          <w:rFonts w:eastAsiaTheme="minorHAnsi"/>
          <w:i/>
          <w:iCs/>
          <w:lang w:eastAsia="en-US"/>
          <w14:ligatures w14:val="standardContextual"/>
        </w:rPr>
        <w:t>55., 62., 63.punkts</w:t>
      </w:r>
      <w:r w:rsidRPr="005A3E48">
        <w:rPr>
          <w:rFonts w:eastAsiaTheme="minorHAnsi"/>
          <w:lang w:eastAsia="en-US"/>
          <w14:ligatures w14:val="standardContextual"/>
        </w:rPr>
        <w:t xml:space="preserve">). Eiropas Savienības Tiesa līdzīgi kā </w:t>
      </w:r>
      <w:r w:rsidRPr="005A3E48">
        <w:rPr>
          <w:rFonts w:eastAsiaTheme="minorHAnsi"/>
          <w:i/>
          <w:iCs/>
          <w:lang w:eastAsia="en-US"/>
          <w14:ligatures w14:val="standardContextual"/>
        </w:rPr>
        <w:t>Klaipedos centras</w:t>
      </w:r>
      <w:r w:rsidRPr="005A3E48">
        <w:rPr>
          <w:rFonts w:eastAsiaTheme="minorHAnsi"/>
          <w:lang w:eastAsia="en-US"/>
          <w14:ligatures w14:val="standardContextual"/>
        </w:rPr>
        <w:t xml:space="preserve"> lietā norādīja, ka, līdzsvarojot informācijas pieejamības jautājumā iesaistītās tiesiskās intereses, ir jāpatur prātā konfidencialitātes prasības mērķis (netraucētas konkurences nodrošināšana). Savukārt informācijas izsniegšanas jautājumā iesaistīto interešu līdzsvarošanas labad, pirmkārt, tiesai jābūt kompetencei pārbaudīt, vai tiešām tas, ko komersants apgalvo kā konfidenciālu, tāds ir, otrkārt, ja pieprasītā informācija tiešām ir konfidenciāla, tad jārod citi samērīgi risinājumi, kā nodrošināt līdzsvarojamās intereses, piemēram, izsniedzot pieprasītās informācijas kopsavilkumu tādā veidā, </w:t>
      </w:r>
      <w:r w:rsidRPr="005A3E48">
        <w:rPr>
          <w:color w:val="000000"/>
        </w:rPr>
        <w:t>lai konfidenciālo informāciju nevarētu identificēt, vai pieprasot ekonomikas dalībniekam, kura piedāvājums ir izraudzīts, iesniegt nekonfidenciālu to dokumentu versiju, kuros ietverta konfidenciālā informācija</w:t>
      </w:r>
      <w:r w:rsidRPr="005A3E48">
        <w:rPr>
          <w:rFonts w:eastAsiaTheme="minorHAnsi"/>
          <w:lang w:eastAsia="en-US"/>
          <w14:ligatures w14:val="standardContextual"/>
        </w:rPr>
        <w:t xml:space="preserve"> (</w:t>
      </w:r>
      <w:r w:rsidRPr="005A3E48">
        <w:rPr>
          <w:rFonts w:eastAsiaTheme="minorHAnsi"/>
          <w:i/>
          <w:iCs/>
          <w:lang w:eastAsia="en-US"/>
          <w14:ligatures w14:val="standardContextual"/>
        </w:rPr>
        <w:t>65., 67</w:t>
      </w:r>
      <w:r w:rsidR="00AB4DA8">
        <w:rPr>
          <w:rFonts w:eastAsiaTheme="minorHAnsi"/>
          <w:i/>
          <w:iCs/>
          <w:lang w:eastAsia="en-US"/>
          <w14:ligatures w14:val="standardContextual"/>
        </w:rPr>
        <w:t>.</w:t>
      </w:r>
      <w:r w:rsidRPr="005A3E48">
        <w:rPr>
          <w:rFonts w:eastAsiaTheme="minorHAnsi"/>
          <w:i/>
          <w:iCs/>
          <w:lang w:eastAsia="en-US"/>
          <w14:ligatures w14:val="standardContextual"/>
        </w:rPr>
        <w:t>, 84.punkts</w:t>
      </w:r>
      <w:r w:rsidRPr="005A3E48">
        <w:rPr>
          <w:rFonts w:eastAsiaTheme="minorHAnsi"/>
          <w:lang w:eastAsia="en-US"/>
          <w14:ligatures w14:val="standardContextual"/>
        </w:rPr>
        <w:t>).</w:t>
      </w:r>
    </w:p>
    <w:p w14:paraId="2C8D2C62" w14:textId="77777777" w:rsidR="004C4017" w:rsidRDefault="004C4017" w:rsidP="003D669D">
      <w:pPr>
        <w:spacing w:line="276" w:lineRule="auto"/>
        <w:ind w:firstLine="720"/>
        <w:jc w:val="both"/>
        <w:rPr>
          <w:rFonts w:eastAsiaTheme="minorHAnsi"/>
          <w:lang w:eastAsia="en-US"/>
          <w14:ligatures w14:val="standardContextual"/>
        </w:rPr>
      </w:pPr>
    </w:p>
    <w:p w14:paraId="3EEC8837" w14:textId="65B4916A" w:rsidR="004C4017" w:rsidRDefault="004C4017" w:rsidP="003D669D">
      <w:pPr>
        <w:spacing w:line="276" w:lineRule="auto"/>
        <w:ind w:firstLine="720"/>
        <w:jc w:val="both"/>
      </w:pPr>
      <w:r>
        <w:rPr>
          <w:rFonts w:eastAsiaTheme="minorHAnsi"/>
          <w:lang w:eastAsia="en-US"/>
          <w14:ligatures w14:val="standardContextual"/>
        </w:rPr>
        <w:t xml:space="preserve">[20] Apkopojot minēto, Senāts secina, ka Eiropas Savienības Tiesa, skaidrojot </w:t>
      </w:r>
      <w:r w:rsidRPr="002559C7">
        <w:t>Direktīvas</w:t>
      </w:r>
      <w:r w:rsidR="00AB4DA8">
        <w:t xml:space="preserve"> </w:t>
      </w:r>
      <w:r w:rsidRPr="002559C7">
        <w:t>2014/24</w:t>
      </w:r>
      <w:r w:rsidR="00AB4DA8">
        <w:t>/ES</w:t>
      </w:r>
      <w:r w:rsidRPr="002559C7">
        <w:t xml:space="preserve"> 21.panta 1.punktā</w:t>
      </w:r>
      <w:r>
        <w:t xml:space="preserve"> paredzētās konfidencialitātes nozīmi, ir uzsvērusi:</w:t>
      </w:r>
    </w:p>
    <w:p w14:paraId="13326CF1" w14:textId="0DD47E7E" w:rsidR="004C4017" w:rsidRPr="005A3E48" w:rsidRDefault="004C4017" w:rsidP="003D669D">
      <w:pPr>
        <w:spacing w:line="276" w:lineRule="auto"/>
        <w:ind w:firstLine="720"/>
        <w:jc w:val="both"/>
      </w:pPr>
      <w:r>
        <w:t xml:space="preserve">1) </w:t>
      </w:r>
      <w:r w:rsidRPr="00521950">
        <w:rPr>
          <w:color w:val="000000"/>
        </w:rPr>
        <w:t xml:space="preserve">Savienības tiesību noteikumu publisko iepirkumu jomā </w:t>
      </w:r>
      <w:r>
        <w:rPr>
          <w:color w:val="000000"/>
        </w:rPr>
        <w:t>par ekonomikas dalībnieku līgumslēdzēj</w:t>
      </w:r>
      <w:r w:rsidR="00AB4DA8">
        <w:rPr>
          <w:color w:val="000000"/>
        </w:rPr>
        <w:t xml:space="preserve">a </w:t>
      </w:r>
      <w:r>
        <w:rPr>
          <w:color w:val="000000"/>
        </w:rPr>
        <w:t xml:space="preserve">iestādēm </w:t>
      </w:r>
      <w:r w:rsidRPr="005A3E48">
        <w:rPr>
          <w:color w:val="000000"/>
        </w:rPr>
        <w:t xml:space="preserve">iesniegtās informācijas konfidencialitāti galvenais mērķis ir netraucētas konkurences visās </w:t>
      </w:r>
      <w:r w:rsidRPr="00EB4436">
        <w:t>dalībvalstīs nodrošināšana; šis mērķis vienmēr paturams prātā, lemjot par informācijas izsniegšanu;</w:t>
      </w:r>
    </w:p>
    <w:p w14:paraId="108A0D8E" w14:textId="35B5A6B3" w:rsidR="004C4017" w:rsidRDefault="004C4017" w:rsidP="003D669D">
      <w:pPr>
        <w:spacing w:line="276" w:lineRule="auto"/>
        <w:ind w:firstLine="720"/>
        <w:jc w:val="both"/>
      </w:pPr>
      <w:r w:rsidRPr="005A3E48">
        <w:t xml:space="preserve">2) dalībvalsts var </w:t>
      </w:r>
      <w:r w:rsidR="002E5188">
        <w:t>normatīvajos</w:t>
      </w:r>
      <w:r w:rsidRPr="005A3E48">
        <w:t xml:space="preserve"> aktos paredzēt atkāpi no konfidenciālās informācijas izpaušanas aizlieguma, ja tas nepieciešams būtisku sabiedrības interešu, jo īpaši – informācijas pieejamības jomā, </w:t>
      </w:r>
      <w:r w:rsidRPr="009D627E">
        <w:t>nodrošināšan</w:t>
      </w:r>
      <w:r>
        <w:t>ai</w:t>
      </w:r>
      <w:r w:rsidRPr="009D627E">
        <w:t xml:space="preserve">, </w:t>
      </w:r>
      <w:r w:rsidRPr="00CE0D76">
        <w:t>tomēr šīs atkāpes nedrīkst būt tādas, kas apdraud pamatmērķi – netraucētas konkurences nodrošināšanu</w:t>
      </w:r>
      <w:r w:rsidRPr="009D627E">
        <w:t>;</w:t>
      </w:r>
    </w:p>
    <w:p w14:paraId="1B36B650" w14:textId="1BF92400" w:rsidR="004C4017" w:rsidRPr="009D627E" w:rsidRDefault="004C4017" w:rsidP="003D669D">
      <w:pPr>
        <w:spacing w:line="276" w:lineRule="auto"/>
        <w:ind w:firstLine="720"/>
        <w:jc w:val="both"/>
        <w:rPr>
          <w:color w:val="000000"/>
        </w:rPr>
      </w:pPr>
      <w:r>
        <w:t>3</w:t>
      </w:r>
      <w:r w:rsidRPr="009D627E">
        <w:t>) iestādei un tiesai ir jābūt iespējām pārbaudīt, vai tiešām ekonomikas dalībnieka norādītā informācija ir uzskatāma par konfidenciālu</w:t>
      </w:r>
      <w:r>
        <w:t>. Š</w:t>
      </w:r>
      <w:r w:rsidRPr="009D627E">
        <w:t xml:space="preserve">ajā sakarā salīdzinājumam norādāms, ka arī Eiropas Savienības Vispārējā Tiesa, izskatot lietas par piekļuvi komerciālai informācijai, ir uzsvērusi: </w:t>
      </w:r>
      <w:r w:rsidRPr="009D627E">
        <w:rPr>
          <w:color w:val="000000"/>
        </w:rPr>
        <w:t>lai piemērotu informācijas izsniegšanas atteikuma pamatu, kas aizsargā komerciālu informāciju, ir jāpierāda, ka strīdīgajos dokumentos ir elementi, kas to izpaušanas dēļ varētu apdraudēt komerciālās intereses (</w:t>
      </w:r>
      <w:r w:rsidR="00290513" w:rsidRPr="00290513">
        <w:rPr>
          <w:rStyle w:val="Hyperlink"/>
          <w:i/>
          <w:iCs/>
          <w:color w:val="auto"/>
          <w:u w:val="none"/>
        </w:rPr>
        <w:t>MSD Animal Health</w:t>
      </w:r>
      <w:r w:rsidR="00290513" w:rsidRPr="00290513">
        <w:rPr>
          <w:i/>
          <w:iCs/>
        </w:rPr>
        <w:t xml:space="preserve"> </w:t>
      </w:r>
      <w:r w:rsidR="00290513">
        <w:rPr>
          <w:i/>
          <w:iCs/>
        </w:rPr>
        <w:t>sprieduma</w:t>
      </w:r>
      <w:r w:rsidR="00761470" w:rsidRPr="00761470">
        <w:rPr>
          <w:i/>
          <w:iCs/>
        </w:rPr>
        <w:t xml:space="preserve"> </w:t>
      </w:r>
      <w:r w:rsidRPr="009D627E">
        <w:rPr>
          <w:i/>
          <w:iCs/>
        </w:rPr>
        <w:t>66.–68.punkts</w:t>
      </w:r>
      <w:r w:rsidRPr="00B931FD">
        <w:t>)</w:t>
      </w:r>
      <w:r w:rsidRPr="00B931FD">
        <w:rPr>
          <w:color w:val="000000"/>
        </w:rPr>
        <w:t>;</w:t>
      </w:r>
      <w:r w:rsidRPr="009D627E">
        <w:rPr>
          <w:color w:val="000000"/>
        </w:rPr>
        <w:t xml:space="preserve"> Eiropas Savienības Vispārējā Tiesa arī norādījusi, ka pastāv vispārēja prezumpcija, ka piekļuve </w:t>
      </w:r>
      <w:r>
        <w:rPr>
          <w:color w:val="000000"/>
        </w:rPr>
        <w:t xml:space="preserve">publiskā iepirkuma procedūrā iesniegtiem </w:t>
      </w:r>
      <w:r w:rsidRPr="009D627E">
        <w:rPr>
          <w:color w:val="000000"/>
        </w:rPr>
        <w:t>pretendentu piedāvājumiem principā kaitē komerciālo interešu aizsardzībai. Tomēr šī vispārējā prezumpcija neizslēdz iespēju pierādīt, ka uz attiecīgo dokumentu, kuru prasīts izpaust, šī prezumpcija neattiecas vai ka pastāv sevišķas sabiedrības intereses, kuras attaisno izpaušanu (</w:t>
      </w:r>
      <w:r w:rsidR="00441F62" w:rsidRPr="00441F62">
        <w:rPr>
          <w:i/>
          <w:iCs/>
          <w:color w:val="000000"/>
        </w:rPr>
        <w:t>Eiropas Savienības Vispārējās tiesas 2016.gada 21.septembra spriedum</w:t>
      </w:r>
      <w:r w:rsidR="00441F62">
        <w:rPr>
          <w:i/>
          <w:iCs/>
          <w:color w:val="000000"/>
        </w:rPr>
        <w:t>a</w:t>
      </w:r>
      <w:r w:rsidR="00441F62" w:rsidRPr="00441F62">
        <w:rPr>
          <w:i/>
          <w:iCs/>
          <w:color w:val="000000"/>
        </w:rPr>
        <w:t xml:space="preserve"> lietā „Secolux v. Eiropas Komisija”, T</w:t>
      </w:r>
      <w:r w:rsidR="00441F62" w:rsidRPr="00441F62">
        <w:rPr>
          <w:i/>
          <w:iCs/>
          <w:color w:val="000000"/>
        </w:rPr>
        <w:noBreakHyphen/>
        <w:t xml:space="preserve">363/14, </w:t>
      </w:r>
      <w:hyperlink r:id="rId24" w:history="1">
        <w:r w:rsidR="00441F62" w:rsidRPr="00441F62">
          <w:rPr>
            <w:rStyle w:val="Hyperlink"/>
            <w:i/>
            <w:iCs/>
          </w:rPr>
          <w:t>ECLI:EU:T:2016:521</w:t>
        </w:r>
      </w:hyperlink>
      <w:r w:rsidR="00441F62" w:rsidRPr="00441F62">
        <w:rPr>
          <w:i/>
          <w:iCs/>
          <w:color w:val="000000"/>
        </w:rPr>
        <w:t xml:space="preserve">, </w:t>
      </w:r>
      <w:r w:rsidRPr="009D627E">
        <w:rPr>
          <w:i/>
          <w:iCs/>
          <w:color w:val="000000"/>
        </w:rPr>
        <w:t>49.</w:t>
      </w:r>
      <w:r w:rsidR="00441F62">
        <w:rPr>
          <w:i/>
          <w:iCs/>
          <w:color w:val="000000"/>
        </w:rPr>
        <w:t>–</w:t>
      </w:r>
      <w:r w:rsidRPr="009D627E">
        <w:rPr>
          <w:i/>
          <w:iCs/>
          <w:color w:val="000000"/>
        </w:rPr>
        <w:t>54.punkts</w:t>
      </w:r>
      <w:r w:rsidRPr="009D627E">
        <w:rPr>
          <w:color w:val="000000"/>
        </w:rPr>
        <w:t>);</w:t>
      </w:r>
    </w:p>
    <w:p w14:paraId="1CFCD79B" w14:textId="77777777" w:rsidR="004C4017" w:rsidRDefault="004C4017" w:rsidP="003D669D">
      <w:pPr>
        <w:spacing w:line="276" w:lineRule="auto"/>
        <w:ind w:firstLine="720"/>
        <w:jc w:val="both"/>
        <w:rPr>
          <w:rFonts w:eastAsiaTheme="minorHAnsi"/>
          <w:lang w:eastAsia="en-US"/>
          <w14:ligatures w14:val="standardContextual"/>
        </w:rPr>
      </w:pPr>
      <w:r w:rsidRPr="009D627E">
        <w:lastRenderedPageBreak/>
        <w:t xml:space="preserve">4) ja pieprasīta konfidenciāla informācija, </w:t>
      </w:r>
      <w:r w:rsidRPr="009D627E">
        <w:rPr>
          <w:rFonts w:eastAsiaTheme="minorHAnsi"/>
          <w:lang w:eastAsia="en-US"/>
          <w14:ligatures w14:val="standardContextual"/>
        </w:rPr>
        <w:t>ir jārod samērīgi risinājumi, kā nodrošināt līdzsvarojamās intereses, piemēram, izsniedzot pieprasītās informācijas kopsavilkumu veidā, kas neļauj identificēt konfidenciālos elementus.</w:t>
      </w:r>
    </w:p>
    <w:p w14:paraId="2AE82628" w14:textId="77777777" w:rsidR="004C4017" w:rsidRDefault="004C4017" w:rsidP="003D669D">
      <w:pPr>
        <w:spacing w:line="276" w:lineRule="auto"/>
        <w:ind w:firstLine="720"/>
        <w:jc w:val="both"/>
        <w:rPr>
          <w:rFonts w:eastAsiaTheme="minorHAnsi"/>
          <w:lang w:eastAsia="en-US"/>
          <w14:ligatures w14:val="standardContextual"/>
        </w:rPr>
      </w:pPr>
    </w:p>
    <w:p w14:paraId="270CA5FF" w14:textId="36CC9641" w:rsidR="004C4017" w:rsidRDefault="004C4017" w:rsidP="003D669D">
      <w:pPr>
        <w:spacing w:line="276" w:lineRule="auto"/>
        <w:ind w:firstLine="720"/>
        <w:jc w:val="both"/>
        <w:rPr>
          <w:shd w:val="clear" w:color="auto" w:fill="FFFFFF"/>
        </w:rPr>
      </w:pPr>
      <w:r>
        <w:rPr>
          <w:color w:val="000000"/>
        </w:rPr>
        <w:t xml:space="preserve">[21] </w:t>
      </w:r>
      <w:r>
        <w:rPr>
          <w:shd w:val="clear" w:color="auto" w:fill="FFFFFF"/>
        </w:rPr>
        <w:t xml:space="preserve">Lai arī minētās lietas, kurās Eiropas Savienības Tiesa skaidrojusi </w:t>
      </w:r>
      <w:r w:rsidRPr="002559C7">
        <w:t>Direktīvas</w:t>
      </w:r>
      <w:r w:rsidR="00E972CF">
        <w:t xml:space="preserve"> </w:t>
      </w:r>
      <w:r w:rsidRPr="002559C7">
        <w:t>2014/24</w:t>
      </w:r>
      <w:r w:rsidR="00E972CF">
        <w:t>/ES</w:t>
      </w:r>
      <w:r w:rsidRPr="002559C7">
        <w:t xml:space="preserve"> 21.panta 1.punktā</w:t>
      </w:r>
      <w:r>
        <w:t xml:space="preserve"> nostiprināto konfidenciālas informācijas izpaušanas aizliegumu</w:t>
      </w:r>
      <w:r>
        <w:rPr>
          <w:shd w:val="clear" w:color="auto" w:fill="FFFFFF"/>
        </w:rPr>
        <w:t>, bija saistītas ar apstākļiem, kuros ar konkursa uzvarētāja piedāvājumā ietvertu informāciju vēlēj</w:t>
      </w:r>
      <w:r w:rsidR="00E972CF">
        <w:rPr>
          <w:shd w:val="clear" w:color="auto" w:fill="FFFFFF"/>
        </w:rPr>
        <w:t>us</w:t>
      </w:r>
      <w:r>
        <w:rPr>
          <w:shd w:val="clear" w:color="auto" w:fill="FFFFFF"/>
        </w:rPr>
        <w:t>ies iepazīties ar konkrēto iepirkumu saistīta persona – cits pretendents, Senāts secina, ka Tiesa ir sniegusi attiecīgās normas vispārīgu skaidrojumu, gan uzsverot vispārīgo mērķi, ar kādu publisko iepirkumu regulējumā direktīvas prasa ievērot iesniegto piedāvājumu konfidencialitāti, gan arī uzsverot, ka informācijas atklātības interešu labad var tikt noteiktas samērīgas atkāpes no informācijas izpaušanas aizlieguma.</w:t>
      </w:r>
    </w:p>
    <w:p w14:paraId="2B48FCD5" w14:textId="77777777" w:rsidR="004C4017" w:rsidRDefault="004C4017" w:rsidP="003D669D">
      <w:pPr>
        <w:spacing w:line="276" w:lineRule="auto"/>
        <w:ind w:firstLine="720"/>
        <w:jc w:val="both"/>
        <w:rPr>
          <w:shd w:val="clear" w:color="auto" w:fill="FFFFFF"/>
        </w:rPr>
      </w:pPr>
      <w:r>
        <w:rPr>
          <w:shd w:val="clear" w:color="auto" w:fill="FFFFFF"/>
        </w:rPr>
        <w:t>Šā iemesla dēļ Senāts atzīst, ka arī izskatāmajā lietā ir aktuālas Eiropas Savienības Tiesas iepriekš minētās atziņas un tās sniedz skaidru priekšstatu par minētās direktīvas normas saturu.</w:t>
      </w:r>
    </w:p>
    <w:p w14:paraId="2A183F03" w14:textId="48BDAEAE" w:rsidR="004C4017" w:rsidRDefault="004C4017" w:rsidP="003D669D">
      <w:pPr>
        <w:spacing w:line="276" w:lineRule="auto"/>
        <w:ind w:firstLine="720"/>
        <w:jc w:val="both"/>
        <w:rPr>
          <w:shd w:val="clear" w:color="auto" w:fill="FFFFFF"/>
        </w:rPr>
      </w:pPr>
      <w:r>
        <w:rPr>
          <w:shd w:val="clear" w:color="auto" w:fill="FFFFFF"/>
        </w:rPr>
        <w:t xml:space="preserve">Līdz ar to Senātam nerodas šaubas par </w:t>
      </w:r>
      <w:r w:rsidRPr="002559C7">
        <w:t>Direktīvas</w:t>
      </w:r>
      <w:r w:rsidR="00E972CF">
        <w:t xml:space="preserve"> </w:t>
      </w:r>
      <w:r w:rsidRPr="002559C7">
        <w:t>2014/24</w:t>
      </w:r>
      <w:r w:rsidR="00E972CF">
        <w:t>/ES</w:t>
      </w:r>
      <w:r w:rsidRPr="002559C7">
        <w:t xml:space="preserve"> 21.panta 1.punkt</w:t>
      </w:r>
      <w:r>
        <w:t xml:space="preserve">a interpretāciju un Senāts nesaskata pamatu vērsties Eiropas Savienības Tiesā ar prejudiciālo jautājumu par šīs normas </w:t>
      </w:r>
      <w:r w:rsidR="00E972CF">
        <w:t>skaidrojumu</w:t>
      </w:r>
      <w:r>
        <w:t>, kā to lūgusi kasatore.</w:t>
      </w:r>
    </w:p>
    <w:p w14:paraId="7F362270" w14:textId="77777777" w:rsidR="004C4017" w:rsidRDefault="004C4017" w:rsidP="003D669D">
      <w:pPr>
        <w:spacing w:line="276" w:lineRule="auto"/>
        <w:ind w:firstLine="720"/>
        <w:jc w:val="both"/>
        <w:rPr>
          <w:rFonts w:eastAsiaTheme="minorHAnsi"/>
          <w:lang w:eastAsia="en-US"/>
          <w14:ligatures w14:val="standardContextual"/>
        </w:rPr>
      </w:pPr>
    </w:p>
    <w:p w14:paraId="5AD42669" w14:textId="77777777" w:rsidR="004C4017" w:rsidRDefault="004C4017" w:rsidP="003D669D">
      <w:pPr>
        <w:spacing w:line="276" w:lineRule="auto"/>
        <w:ind w:firstLine="720"/>
        <w:jc w:val="both"/>
        <w:rPr>
          <w:bCs/>
        </w:rPr>
      </w:pPr>
      <w:r>
        <w:rPr>
          <w:rFonts w:eastAsiaTheme="minorHAnsi"/>
          <w:lang w:eastAsia="en-US"/>
          <w14:ligatures w14:val="standardContextual"/>
        </w:rPr>
        <w:t xml:space="preserve">[22] Ievērojot minēto, Senāts atzīst, ka gadījumos, kad atbilstoši Informācijas atklātības likumam iestādei iesniegts pieprasījums izsniegt </w:t>
      </w:r>
      <w:r>
        <w:rPr>
          <w:bCs/>
        </w:rPr>
        <w:t xml:space="preserve">komercnoslēpumu saturošu informāciju, kas iestādes rīcībā nonākusi publisko iepirkumu procedūras rezultātā: </w:t>
      </w:r>
    </w:p>
    <w:p w14:paraId="17D27093" w14:textId="77777777" w:rsidR="004C4017" w:rsidRDefault="004C4017" w:rsidP="003D669D">
      <w:pPr>
        <w:spacing w:line="276" w:lineRule="auto"/>
        <w:ind w:firstLine="720"/>
        <w:jc w:val="both"/>
        <w:rPr>
          <w:bCs/>
        </w:rPr>
      </w:pPr>
      <w:r>
        <w:rPr>
          <w:bCs/>
        </w:rPr>
        <w:t>1) šāda informācija ir uzskatāma par ierobežotas pieejamības informāciju, kuras aizsardzība ir nepieciešama ne vien konkrēta komersanta komerciālo interešu labad, bet jo īpaši – netraucētas konkurences nodrošināšanas interesēs;</w:t>
      </w:r>
    </w:p>
    <w:p w14:paraId="7F35767D" w14:textId="2FE32706" w:rsidR="004C4017" w:rsidRPr="002559C7" w:rsidRDefault="004C4017" w:rsidP="003D669D">
      <w:pPr>
        <w:spacing w:line="276" w:lineRule="auto"/>
        <w:ind w:firstLine="720"/>
        <w:jc w:val="both"/>
      </w:pPr>
      <w:r>
        <w:rPr>
          <w:bCs/>
        </w:rPr>
        <w:t>2) izsverot informācijas pieprasījuma lietā iesaistītās pretējās intereses, jāpatur prātā, ka netraucētas konkurences nodrošināšana ir galvenais mērķis, kura dēļ publisko iepirkumu procedūrā iesniegtai pretendentu komerciālajai informācijai ir noteikta aizsardzība, un netraucēta konkurence ir arī visas sabiedrības būtiska interese</w:t>
      </w:r>
      <w:r w:rsidR="00E95B76">
        <w:rPr>
          <w:bCs/>
        </w:rPr>
        <w:t xml:space="preserve"> (sal. </w:t>
      </w:r>
      <w:r w:rsidR="00E95B76" w:rsidRPr="00E95B76">
        <w:rPr>
          <w:bCs/>
          <w:i/>
          <w:iCs/>
        </w:rPr>
        <w:t xml:space="preserve">Varec </w:t>
      </w:r>
      <w:r w:rsidR="00E972CF">
        <w:rPr>
          <w:bCs/>
          <w:i/>
          <w:iCs/>
        </w:rPr>
        <w:t xml:space="preserve">sprieduma </w:t>
      </w:r>
      <w:r w:rsidR="00E95B76" w:rsidRPr="00E95B76">
        <w:rPr>
          <w:bCs/>
          <w:i/>
          <w:iCs/>
        </w:rPr>
        <w:t>50.punkts</w:t>
      </w:r>
      <w:r w:rsidR="00E95B76">
        <w:rPr>
          <w:bCs/>
        </w:rPr>
        <w:t>)</w:t>
      </w:r>
      <w:r>
        <w:rPr>
          <w:bCs/>
        </w:rPr>
        <w:t>. Lai arī tiesību normās valsts citstarp būtisku sabiedrības interešu uz piekļuvi informācijai labad var būt paredzējusi atkāpi no šādas informācijas izpaušanas aizlieguma, nedrīkst nenovērtēt netraucētas konkurences nodrošināšanas nozīmi. Līdz ar to interešu līdzsvarošanas ietvaros visupirms jāmeklē risinājumi, kas nerada netraucētas konkurences apdraudējumu;</w:t>
      </w:r>
    </w:p>
    <w:p w14:paraId="410F975D" w14:textId="77777777" w:rsidR="004C4017" w:rsidRDefault="004C4017" w:rsidP="003D669D">
      <w:pPr>
        <w:spacing w:line="276" w:lineRule="auto"/>
        <w:ind w:firstLine="720"/>
        <w:jc w:val="both"/>
        <w:rPr>
          <w:bCs/>
        </w:rPr>
      </w:pPr>
      <w:r>
        <w:rPr>
          <w:bCs/>
        </w:rPr>
        <w:t>3) šādas informācijas izsniegšana varētu būt pieļaujama vien tad, ja to konkrētajā gadījumā attaisno kādas sevišķas sabiedrības intereses nodrošināšanas nepieciešamība.</w:t>
      </w:r>
    </w:p>
    <w:p w14:paraId="0E2EB1AA" w14:textId="77777777" w:rsidR="004C4017" w:rsidRDefault="004C4017" w:rsidP="003D669D">
      <w:pPr>
        <w:spacing w:line="276" w:lineRule="auto"/>
        <w:ind w:firstLine="720"/>
        <w:jc w:val="both"/>
        <w:rPr>
          <w:bCs/>
        </w:rPr>
      </w:pPr>
    </w:p>
    <w:p w14:paraId="3062894C" w14:textId="6D721A03" w:rsidR="004C4017" w:rsidRDefault="004C4017" w:rsidP="003D669D">
      <w:pPr>
        <w:spacing w:line="276" w:lineRule="auto"/>
        <w:ind w:firstLine="720"/>
        <w:jc w:val="both"/>
      </w:pPr>
      <w:r>
        <w:rPr>
          <w:bCs/>
        </w:rPr>
        <w:t>[23] Šajā sakarā Senāts arī norāda, ka g</w:t>
      </w:r>
      <w:r>
        <w:t xml:space="preserve">an Senāts, gan Satversmes tiesa atzinuši, ka tiesībām piekļūt publiskas personas rīcībā esošai informācijai jo īpaši būtiska nozīme ir gadījumā, kad </w:t>
      </w:r>
      <w:r w:rsidRPr="0036770F">
        <w:t>sabiedrība</w:t>
      </w:r>
      <w:r>
        <w:t xml:space="preserve">i ir interese par </w:t>
      </w:r>
      <w:r w:rsidRPr="0036770F">
        <w:t>valsts un pašvaldības budžeta līdzekļu izlietojumu</w:t>
      </w:r>
      <w:r>
        <w:t>.</w:t>
      </w:r>
      <w:r w:rsidRPr="0036770F">
        <w:t xml:space="preserve"> </w:t>
      </w:r>
      <w:r>
        <w:t xml:space="preserve">Minētais pamatojams ar to, ka </w:t>
      </w:r>
      <w:r w:rsidRPr="0036770F">
        <w:t xml:space="preserve">demokrātiskā valstī sabiedrībai </w:t>
      </w:r>
      <w:r>
        <w:t xml:space="preserve">ir </w:t>
      </w:r>
      <w:r w:rsidRPr="0036770F">
        <w:t>jābūt iespējām sekot</w:t>
      </w:r>
      <w:r>
        <w:t xml:space="preserve"> līdzi publisko līdzekļu izlietojumam, </w:t>
      </w:r>
      <w:r w:rsidRPr="0036770F">
        <w:t>lai pārliecinātos, ka šo līdzekļu izlietojums kopumā ir vērsts uz sabiedrības interešu nodrošināšanu</w:t>
      </w:r>
      <w:r>
        <w:t xml:space="preserve"> </w:t>
      </w:r>
      <w:r w:rsidRPr="0036770F">
        <w:t>(</w:t>
      </w:r>
      <w:r w:rsidRPr="0036770F">
        <w:rPr>
          <w:i/>
        </w:rPr>
        <w:t>Satversmes tiesas 2003.gada 5.jūnija sprieduma lietā Nr.</w:t>
      </w:r>
      <w:r>
        <w:rPr>
          <w:i/>
        </w:rPr>
        <w:t> </w:t>
      </w:r>
      <w:hyperlink r:id="rId25" w:anchor="search=2003-02-0106" w:history="1">
        <w:r w:rsidRPr="00A63EE7">
          <w:rPr>
            <w:rStyle w:val="Hyperlink"/>
            <w:i/>
          </w:rPr>
          <w:t>2003-02-0106</w:t>
        </w:r>
      </w:hyperlink>
      <w:r w:rsidRPr="0036770F">
        <w:rPr>
          <w:i/>
        </w:rPr>
        <w:t xml:space="preserve"> </w:t>
      </w:r>
      <w:r w:rsidR="00A63EE7">
        <w:rPr>
          <w:i/>
        </w:rPr>
        <w:t>s</w:t>
      </w:r>
      <w:r w:rsidRPr="0036770F">
        <w:rPr>
          <w:i/>
        </w:rPr>
        <w:t>ecinājumu daļas 1.punkts un 1999.gada 6.jūlija sprieduma lietā Nr. </w:t>
      </w:r>
      <w:hyperlink r:id="rId26" w:anchor="search=04-02(99)" w:history="1">
        <w:r w:rsidRPr="00A63EE7">
          <w:rPr>
            <w:rStyle w:val="Hyperlink"/>
            <w:i/>
          </w:rPr>
          <w:t>04-02(99)</w:t>
        </w:r>
      </w:hyperlink>
      <w:r w:rsidRPr="0036770F">
        <w:rPr>
          <w:i/>
        </w:rPr>
        <w:t xml:space="preserve"> 1. un 3.punkts</w:t>
      </w:r>
      <w:r>
        <w:rPr>
          <w:i/>
        </w:rPr>
        <w:t xml:space="preserve">, Senāta 2019.gada </w:t>
      </w:r>
      <w:r>
        <w:rPr>
          <w:i/>
        </w:rPr>
        <w:lastRenderedPageBreak/>
        <w:t>18.aprīļa spriedum</w:t>
      </w:r>
      <w:r w:rsidR="00A63668">
        <w:rPr>
          <w:i/>
        </w:rPr>
        <w:t>s</w:t>
      </w:r>
      <w:r>
        <w:rPr>
          <w:i/>
        </w:rPr>
        <w:t xml:space="preserve"> lietā Nr.</w:t>
      </w:r>
      <w:r w:rsidR="00A63668">
        <w:rPr>
          <w:i/>
        </w:rPr>
        <w:t> </w:t>
      </w:r>
      <w:r>
        <w:rPr>
          <w:i/>
        </w:rPr>
        <w:t>SKA-917/2019</w:t>
      </w:r>
      <w:r w:rsidR="00A63668">
        <w:rPr>
          <w:i/>
        </w:rPr>
        <w:t xml:space="preserve">, </w:t>
      </w:r>
      <w:hyperlink r:id="rId27" w:history="1">
        <w:r w:rsidR="00A63668" w:rsidRPr="00A63668">
          <w:rPr>
            <w:rStyle w:val="Hyperlink"/>
            <w:i/>
          </w:rPr>
          <w:t>ECLI:LV:AT:2019:0418.A420169118.5.S</w:t>
        </w:r>
      </w:hyperlink>
      <w:r w:rsidR="00A63668" w:rsidRPr="00A63668">
        <w:rPr>
          <w:i/>
        </w:rPr>
        <w:t>,</w:t>
      </w:r>
      <w:r>
        <w:rPr>
          <w:i/>
        </w:rPr>
        <w:t xml:space="preserve"> un </w:t>
      </w:r>
      <w:r w:rsidRPr="00876F40">
        <w:rPr>
          <w:i/>
          <w:iCs/>
        </w:rPr>
        <w:t>2019.gada 29.novembra spriedums lietā</w:t>
      </w:r>
      <w:r w:rsidR="00A63668">
        <w:rPr>
          <w:i/>
          <w:iCs/>
        </w:rPr>
        <w:t xml:space="preserve"> Nr. </w:t>
      </w:r>
      <w:r w:rsidRPr="00876F40">
        <w:rPr>
          <w:i/>
          <w:iCs/>
        </w:rPr>
        <w:t>SKA-428/2019</w:t>
      </w:r>
      <w:r w:rsidR="00474D90">
        <w:rPr>
          <w:i/>
          <w:iCs/>
        </w:rPr>
        <w:t xml:space="preserve">, </w:t>
      </w:r>
      <w:hyperlink r:id="rId28" w:history="1">
        <w:r w:rsidR="00474D90" w:rsidRPr="00474D90">
          <w:rPr>
            <w:rStyle w:val="Hyperlink"/>
            <w:i/>
            <w:iCs/>
          </w:rPr>
          <w:t>ECLI:LV:AT:2019:1129.A420193517.4.S</w:t>
        </w:r>
      </w:hyperlink>
      <w:r w:rsidRPr="0010251A">
        <w:t>).</w:t>
      </w:r>
      <w:r>
        <w:t xml:space="preserve"> </w:t>
      </w:r>
    </w:p>
    <w:p w14:paraId="48FA98BD" w14:textId="5C529749" w:rsidR="000859A6" w:rsidRDefault="004C4017" w:rsidP="003D669D">
      <w:pPr>
        <w:spacing w:line="276" w:lineRule="auto"/>
        <w:ind w:firstLine="720"/>
        <w:contextualSpacing/>
        <w:jc w:val="both"/>
      </w:pPr>
      <w:r>
        <w:t xml:space="preserve">Tomēr tas nenozīmē, ka šī sabiedrības interese automātiski būtu uzskatāma par tādu sevišķu sabiedrības interesi, kas atsver apdraudējumu, ko netraucētas konkurences nodrošināšanai radītu publiskā iepirkuma dokumentācijā ietverta komercnoslēpuma izsniegšana. Minētais pamatojams ar to, ka, līdzsvarojot intereses, kuru dēļ pretendentu iesniegtai publiskā iepirkuma dokumentācijai noteikta konfidencialitāte, ar publisko iepirkumu pārskatāmības nodrošināšanas interesi, gan </w:t>
      </w:r>
      <w:r w:rsidRPr="002559C7">
        <w:t>Direktīv</w:t>
      </w:r>
      <w:r>
        <w:t>ā</w:t>
      </w:r>
      <w:r w:rsidR="00474D90">
        <w:t xml:space="preserve"> </w:t>
      </w:r>
      <w:r w:rsidRPr="002559C7">
        <w:t>2014/24</w:t>
      </w:r>
      <w:r w:rsidR="00474D90">
        <w:t>/ES</w:t>
      </w:r>
      <w:r>
        <w:t xml:space="preserve">, gan secīgi arī Latvijas publisko iepirkumu regulējumā jau ir paredzēts, ka noteikta informācija par rīkoto iepirkumu un tā rezultātiem tiek publiskota. Tādējādi prezumējams, ka </w:t>
      </w:r>
      <w:r w:rsidR="00694FF2">
        <w:t xml:space="preserve">gan </w:t>
      </w:r>
      <w:r w:rsidR="00474D90">
        <w:t>Eiropas Savienības</w:t>
      </w:r>
      <w:r w:rsidR="00694FF2">
        <w:t xml:space="preserve">, gan </w:t>
      </w:r>
      <w:r w:rsidR="00474D90">
        <w:t xml:space="preserve">arī Latvijas nacionālā likumdevēja ieskatā </w:t>
      </w:r>
      <w:r>
        <w:t>sabiedrības pamatvajadzīb</w:t>
      </w:r>
      <w:r w:rsidR="00474D90">
        <w:t>a</w:t>
      </w:r>
      <w:r>
        <w:t xml:space="preserve"> pēc informācijas par publisko resursu izlietošanu šādos gadījumos vispārīgi </w:t>
      </w:r>
      <w:r w:rsidR="00474D90">
        <w:t xml:space="preserve">tiek </w:t>
      </w:r>
      <w:r>
        <w:t>nodrošin</w:t>
      </w:r>
      <w:r w:rsidR="00474D90">
        <w:t>āta</w:t>
      </w:r>
      <w:r>
        <w:t xml:space="preserve"> ar tiesību normās paredzētās informācijas publiskošanu.</w:t>
      </w:r>
    </w:p>
    <w:p w14:paraId="25DECDB7" w14:textId="7F375AF5" w:rsidR="001D681C" w:rsidRDefault="000859A6" w:rsidP="003D669D">
      <w:pPr>
        <w:spacing w:line="276" w:lineRule="auto"/>
        <w:ind w:firstLine="720"/>
        <w:contextualSpacing/>
        <w:jc w:val="both"/>
      </w:pPr>
      <w:r>
        <w:t>Minētais attiecīgi nozīmē:</w:t>
      </w:r>
      <w:r w:rsidR="005E7769">
        <w:t xml:space="preserve"> j</w:t>
      </w:r>
      <w:r w:rsidR="004C4017">
        <w:t xml:space="preserve">a </w:t>
      </w:r>
      <w:r>
        <w:t xml:space="preserve">ir </w:t>
      </w:r>
      <w:r w:rsidR="004C4017">
        <w:t xml:space="preserve">konstatējams, ka plašākas informācijas izsniegšana radītu netraucētas konkurences apdraudējumu, visupirms </w:t>
      </w:r>
      <w:r>
        <w:t xml:space="preserve">ir </w:t>
      </w:r>
      <w:r w:rsidR="004C4017">
        <w:t xml:space="preserve">jāizvērtē, vai intereses var samērīgi līdzsvarot, izsniedzot pieprasītās informācijas kopsavilkumu veidā, kas neļauj identificēt konfidenciālo informāciju. </w:t>
      </w:r>
      <w:r>
        <w:t>Savukārt k</w:t>
      </w:r>
      <w:r w:rsidR="002E5188">
        <w:t>onfidenciālās i</w:t>
      </w:r>
      <w:r w:rsidR="004C4017">
        <w:t xml:space="preserve">nformācijas izsniegšana </w:t>
      </w:r>
      <w:r>
        <w:t xml:space="preserve">ir </w:t>
      </w:r>
      <w:r w:rsidR="004C4017">
        <w:t>pieļaujama tikai tad, ja konkrētajā gadījumā pastāv kādi īpaši apstāk</w:t>
      </w:r>
      <w:r>
        <w:t>ļ</w:t>
      </w:r>
      <w:r w:rsidR="004C4017">
        <w:t xml:space="preserve">i, kuru dēļ konstatējama sevišķa sabiedrības interese, kuras nodrošināšana nav iespējama bez piekļuves konfidenciālajai informācijai. </w:t>
      </w:r>
    </w:p>
    <w:p w14:paraId="7B71F601" w14:textId="77777777" w:rsidR="004C4017" w:rsidRDefault="004C4017" w:rsidP="003D669D">
      <w:pPr>
        <w:spacing w:line="276" w:lineRule="auto"/>
        <w:ind w:firstLine="720"/>
        <w:jc w:val="both"/>
        <w:rPr>
          <w:bCs/>
        </w:rPr>
      </w:pPr>
    </w:p>
    <w:p w14:paraId="5DF77787" w14:textId="78703823" w:rsidR="004C4017" w:rsidRDefault="004C4017" w:rsidP="003D669D">
      <w:pPr>
        <w:spacing w:line="276" w:lineRule="auto"/>
        <w:ind w:firstLine="720"/>
        <w:jc w:val="both"/>
        <w:rPr>
          <w:bCs/>
        </w:rPr>
      </w:pPr>
      <w:r>
        <w:rPr>
          <w:bCs/>
        </w:rPr>
        <w:t xml:space="preserve">[24] Rezumējot minēto, Senāts atzīst: Administratīvā rajona tiesa, aplūkojot piemērojamo tiesisko regulējumu, līdztekus Satversmes 100.pantam un Informācijas atklātības likumam kļūdaini nebija pievērsusi uzmanību publisko iepirkumu regulējumam. Tieši publisko iepirkumu regulējums ir tas, no kura izriet nepieciešamība šādās lietās, līdzsvarojot iesaistītās intereses, īpašu uzmanību pievērst netraucētas konkurences nodrošināšanas nozīmei un ņemt vērā to, ka </w:t>
      </w:r>
      <w:r w:rsidR="00283739">
        <w:rPr>
          <w:bCs/>
        </w:rPr>
        <w:t xml:space="preserve">netraucētu </w:t>
      </w:r>
      <w:r>
        <w:rPr>
          <w:bCs/>
        </w:rPr>
        <w:t>konkurenci apdraudoša</w:t>
      </w:r>
      <w:r w:rsidR="008D77AA">
        <w:rPr>
          <w:bCs/>
        </w:rPr>
        <w:t>s</w:t>
      </w:r>
      <w:r>
        <w:rPr>
          <w:bCs/>
        </w:rPr>
        <w:t xml:space="preserve"> informācijas izsniegšana var tikt attaisnota tikai sevišķu sabiedrības interešu gadījumā.</w:t>
      </w:r>
    </w:p>
    <w:p w14:paraId="79B156EC" w14:textId="2D82E4F6" w:rsidR="004C4017" w:rsidRDefault="004C4017" w:rsidP="003D669D">
      <w:pPr>
        <w:spacing w:line="276" w:lineRule="auto"/>
        <w:ind w:firstLine="720"/>
        <w:contextualSpacing/>
        <w:jc w:val="both"/>
        <w:rPr>
          <w:rFonts w:eastAsiaTheme="minorHAnsi"/>
          <w:lang w:eastAsia="en-US"/>
          <w14:ligatures w14:val="standardContextual"/>
        </w:rPr>
      </w:pPr>
      <w:r>
        <w:rPr>
          <w:bCs/>
        </w:rPr>
        <w:t xml:space="preserve">Vienlaikus Senāts secina, ka tiesas kļūda piemērojamā tiesiskā regulējuma apzināšanā pati par sevi </w:t>
      </w:r>
      <w:r w:rsidR="001D681C">
        <w:rPr>
          <w:bCs/>
        </w:rPr>
        <w:t xml:space="preserve">konkrētajā gadījuma </w:t>
      </w:r>
      <w:r>
        <w:rPr>
          <w:bCs/>
        </w:rPr>
        <w:t xml:space="preserve">nevarēja novest pie nepareiza tiesas sprieduma, jo tiesa būtībā uzskatīja, ka strīdus tāmju izsniegšana nemaz neapdraudētu netraucētas konkurences nodrošināšanu (tiesa secināja, ka strīdus tāmju izsniegšana nevar radīt reālu </w:t>
      </w:r>
      <w:r w:rsidRPr="001B5970">
        <w:rPr>
          <w:rFonts w:eastAsiaTheme="minorHAnsi"/>
          <w:lang w:eastAsia="en-US"/>
          <w14:ligatures w14:val="standardContextual"/>
        </w:rPr>
        <w:t xml:space="preserve">kaitējumu trešās personas </w:t>
      </w:r>
      <w:r>
        <w:rPr>
          <w:rFonts w:eastAsiaTheme="minorHAnsi"/>
          <w:lang w:eastAsia="en-US"/>
          <w14:ligatures w14:val="standardContextual"/>
        </w:rPr>
        <w:t xml:space="preserve">komerciālajām </w:t>
      </w:r>
      <w:r w:rsidRPr="001B5970">
        <w:rPr>
          <w:rFonts w:eastAsiaTheme="minorHAnsi"/>
          <w:lang w:eastAsia="en-US"/>
          <w14:ligatures w14:val="standardContextual"/>
        </w:rPr>
        <w:t>interesēm</w:t>
      </w:r>
      <w:r>
        <w:rPr>
          <w:rFonts w:eastAsiaTheme="minorHAnsi"/>
          <w:lang w:eastAsia="en-US"/>
          <w14:ligatures w14:val="standardContextual"/>
        </w:rPr>
        <w:t>)</w:t>
      </w:r>
      <w:r w:rsidRPr="001B5970">
        <w:rPr>
          <w:rFonts w:eastAsiaTheme="minorHAnsi"/>
          <w:lang w:eastAsia="en-US"/>
          <w14:ligatures w14:val="standardContextual"/>
        </w:rPr>
        <w:t xml:space="preserve">. </w:t>
      </w:r>
    </w:p>
    <w:p w14:paraId="2360969E" w14:textId="77768EF3" w:rsidR="004C4017" w:rsidRDefault="004C4017" w:rsidP="003D669D">
      <w:pPr>
        <w:spacing w:line="276" w:lineRule="auto"/>
        <w:ind w:firstLine="720"/>
        <w:contextualSpacing/>
        <w:jc w:val="both"/>
        <w:rPr>
          <w:rFonts w:eastAsiaTheme="minorHAnsi"/>
          <w:lang w:eastAsia="en-US"/>
          <w14:ligatures w14:val="standardContextual"/>
        </w:rPr>
      </w:pPr>
      <w:r>
        <w:rPr>
          <w:rFonts w:eastAsiaTheme="minorHAnsi"/>
          <w:lang w:eastAsia="en-US"/>
          <w14:ligatures w14:val="standardContextual"/>
        </w:rPr>
        <w:t xml:space="preserve">Šā iemesla dēļ </w:t>
      </w:r>
      <w:r w:rsidR="00D11F7A">
        <w:rPr>
          <w:rFonts w:eastAsiaTheme="minorHAnsi"/>
          <w:lang w:eastAsia="en-US"/>
          <w14:ligatures w14:val="standardContextual"/>
        </w:rPr>
        <w:t xml:space="preserve">izskatāmajā lietā </w:t>
      </w:r>
      <w:r>
        <w:rPr>
          <w:rFonts w:eastAsiaTheme="minorHAnsi"/>
          <w:lang w:eastAsia="en-US"/>
          <w14:ligatures w14:val="standardContextual"/>
        </w:rPr>
        <w:t>izšķiroša nozīme ir tam, vai tiesa nav pieļāvusi tiesību normu piemērošanas pārkāpumus, novērtējot to, vai strīdus tāmes satur konfidenciālu informāciju, kuras izsniegšana varētu radīt trešās personas komerciālo interešu aizskārumu un netraucētas konkurences nodrošināšanas apdraudējumu.</w:t>
      </w:r>
      <w:r w:rsidRPr="001B5970">
        <w:rPr>
          <w:rFonts w:eastAsiaTheme="minorHAnsi"/>
          <w:lang w:eastAsia="en-US"/>
          <w14:ligatures w14:val="standardContextual"/>
        </w:rPr>
        <w:t xml:space="preserve"> </w:t>
      </w:r>
    </w:p>
    <w:p w14:paraId="4B7F010B" w14:textId="77777777" w:rsidR="004C4017" w:rsidRDefault="004C4017" w:rsidP="003D669D">
      <w:pPr>
        <w:spacing w:line="276" w:lineRule="auto"/>
        <w:ind w:firstLine="720"/>
        <w:jc w:val="both"/>
      </w:pPr>
    </w:p>
    <w:p w14:paraId="6257CE13" w14:textId="16E27E9F" w:rsidR="004C4017" w:rsidRDefault="004C4017" w:rsidP="003D669D">
      <w:pPr>
        <w:spacing w:line="276" w:lineRule="auto"/>
        <w:ind w:firstLine="720"/>
        <w:contextualSpacing/>
        <w:jc w:val="both"/>
        <w:rPr>
          <w:lang w:eastAsia="lv-LV"/>
        </w:rPr>
      </w:pPr>
      <w:r>
        <w:rPr>
          <w:rFonts w:eastAsiaTheme="minorHAnsi"/>
          <w:lang w:eastAsia="en-US"/>
          <w14:ligatures w14:val="standardContextual"/>
        </w:rPr>
        <w:t xml:space="preserve">[25] Kasācijas sūdzībā norādīts, ka tiesa nepamatoti nav pievērsusi uzmanību arī </w:t>
      </w:r>
      <w:r>
        <w:t xml:space="preserve">Komercnoslēpuma aizsardzības likumam un ar to ieviestās </w:t>
      </w:r>
      <w:r w:rsidRPr="00B1172E">
        <w:rPr>
          <w:lang w:eastAsia="lv-LV"/>
        </w:rPr>
        <w:t>Direktīva</w:t>
      </w:r>
      <w:r w:rsidRPr="00B1172E">
        <w:t>s</w:t>
      </w:r>
      <w:r w:rsidRPr="00B1172E">
        <w:rPr>
          <w:lang w:eastAsia="lv-LV"/>
        </w:rPr>
        <w:t xml:space="preserve"> 2016/943</w:t>
      </w:r>
      <w:r w:rsidRPr="00B1172E">
        <w:t xml:space="preserve"> </w:t>
      </w:r>
      <w:r w:rsidRPr="00B1172E">
        <w:rPr>
          <w:lang w:eastAsia="lv-LV"/>
        </w:rPr>
        <w:t>18.apsvērum</w:t>
      </w:r>
      <w:r w:rsidR="00D11F7A">
        <w:rPr>
          <w:lang w:eastAsia="lv-LV"/>
        </w:rPr>
        <w:t>ā</w:t>
      </w:r>
      <w:r>
        <w:rPr>
          <w:lang w:eastAsia="lv-LV"/>
        </w:rPr>
        <w:t xml:space="preserve"> noteiktajam, ka </w:t>
      </w:r>
      <w:r w:rsidRPr="009E4764">
        <w:rPr>
          <w:lang w:eastAsia="lv-LV"/>
        </w:rPr>
        <w:t>šai direktīvai jo īpaši nebūtu jāatbrīvo publiskā sektora iestādes no konfidencialitātes pienākumiem, kas tām jāievēro attiecībā uz komercnoslēpumu turētāju sniegto informāciju</w:t>
      </w:r>
      <w:r>
        <w:rPr>
          <w:lang w:eastAsia="lv-LV"/>
        </w:rPr>
        <w:t xml:space="preserve"> atbilstoši publisko iepirkumu regulējumam.</w:t>
      </w:r>
    </w:p>
    <w:p w14:paraId="5D8988E4" w14:textId="77777777" w:rsidR="004C4017" w:rsidRDefault="004C4017" w:rsidP="003D669D">
      <w:pPr>
        <w:spacing w:line="276" w:lineRule="auto"/>
        <w:ind w:firstLine="720"/>
        <w:contextualSpacing/>
        <w:jc w:val="both"/>
        <w:rPr>
          <w:lang w:eastAsia="lv-LV"/>
        </w:rPr>
      </w:pPr>
      <w:r>
        <w:rPr>
          <w:lang w:eastAsia="lv-LV"/>
        </w:rPr>
        <w:lastRenderedPageBreak/>
        <w:t xml:space="preserve">Šis arguments nav pamatots. </w:t>
      </w:r>
    </w:p>
    <w:p w14:paraId="00557271" w14:textId="77777777" w:rsidR="004C4017" w:rsidRDefault="004C4017" w:rsidP="003D669D">
      <w:pPr>
        <w:spacing w:line="276" w:lineRule="auto"/>
        <w:ind w:firstLine="720"/>
        <w:contextualSpacing/>
        <w:jc w:val="both"/>
        <w:rPr>
          <w:lang w:eastAsia="lv-LV"/>
        </w:rPr>
      </w:pPr>
      <w:r>
        <w:rPr>
          <w:lang w:eastAsia="lv-LV"/>
        </w:rPr>
        <w:t xml:space="preserve">Vispirms norādāms, ka, atsaucoties uz Komercnoslēpuma aizsardzības likumu, kasatore nav norādījusi nevienu konkrētu normu, kuru tiesai, kasatores ieskatā, būtu vajadzējis ņemt vērā. </w:t>
      </w:r>
    </w:p>
    <w:p w14:paraId="691403D5" w14:textId="04269DD1" w:rsidR="004C4017" w:rsidRPr="00B1172E" w:rsidRDefault="004C4017" w:rsidP="003D669D">
      <w:pPr>
        <w:spacing w:line="276" w:lineRule="auto"/>
        <w:ind w:firstLine="720"/>
        <w:contextualSpacing/>
        <w:jc w:val="both"/>
        <w:rPr>
          <w:lang w:eastAsia="lv-LV"/>
        </w:rPr>
      </w:pPr>
      <w:r>
        <w:rPr>
          <w:lang w:eastAsia="lv-LV"/>
        </w:rPr>
        <w:t xml:space="preserve">Savukārt attiecībā uz </w:t>
      </w:r>
      <w:r w:rsidRPr="00B1172E">
        <w:rPr>
          <w:rFonts w:eastAsiaTheme="minorHAnsi"/>
          <w:lang w:eastAsia="en-US"/>
          <w14:ligatures w14:val="standardContextual"/>
        </w:rPr>
        <w:t>Direktīvas 2016/943</w:t>
      </w:r>
      <w:r>
        <w:rPr>
          <w:rFonts w:eastAsiaTheme="minorHAnsi"/>
          <w:lang w:eastAsia="en-US"/>
          <w14:ligatures w14:val="standardContextual"/>
        </w:rPr>
        <w:t xml:space="preserve"> 18.apsvērumu </w:t>
      </w:r>
      <w:r w:rsidRPr="00B1172E">
        <w:rPr>
          <w:lang w:eastAsia="lv-LV"/>
        </w:rPr>
        <w:t>jāuzsver E</w:t>
      </w:r>
      <w:r>
        <w:rPr>
          <w:lang w:eastAsia="lv-LV"/>
        </w:rPr>
        <w:t xml:space="preserve">iropas Savienības Tiesas </w:t>
      </w:r>
      <w:r w:rsidR="00283739">
        <w:rPr>
          <w:lang w:eastAsia="lv-LV"/>
        </w:rPr>
        <w:t>atzītais</w:t>
      </w:r>
      <w:r>
        <w:rPr>
          <w:lang w:eastAsia="lv-LV"/>
        </w:rPr>
        <w:t>, ka</w:t>
      </w:r>
      <w:r w:rsidRPr="00B1172E">
        <w:rPr>
          <w:rFonts w:eastAsiaTheme="minorHAnsi"/>
          <w:lang w:eastAsia="en-US"/>
          <w14:ligatures w14:val="standardContextual"/>
        </w:rPr>
        <w:t xml:space="preserve"> šī direktīva ir attiecināma tikai uz komercnoslēpuma </w:t>
      </w:r>
      <w:r w:rsidRPr="00B1172E">
        <w:rPr>
          <w:rFonts w:eastAsiaTheme="minorHAnsi"/>
          <w:i/>
          <w:iCs/>
          <w:lang w:eastAsia="en-US"/>
          <w14:ligatures w14:val="standardContextual"/>
        </w:rPr>
        <w:t>nelikumīgu</w:t>
      </w:r>
      <w:r w:rsidRPr="00B1172E">
        <w:rPr>
          <w:rFonts w:eastAsiaTheme="minorHAnsi"/>
          <w:lang w:eastAsia="en-US"/>
          <w14:ligatures w14:val="standardContextual"/>
        </w:rPr>
        <w:t xml:space="preserve"> iegūšanu, izmantošanu vai izpaušanu un tajā nav paredzēti pasākumi, lai aizsargātu komercnoslēpumu konfidencialitāti citu veidu tiesvedībās, piemēram, ar publisko iepirkumu saistītajās tiesvedībās (</w:t>
      </w:r>
      <w:r w:rsidRPr="00313665">
        <w:rPr>
          <w:i/>
          <w:iCs/>
          <w:color w:val="000000"/>
        </w:rPr>
        <w:t xml:space="preserve">Klaipedos </w:t>
      </w:r>
      <w:r w:rsidRPr="00006A04">
        <w:rPr>
          <w:i/>
          <w:iCs/>
          <w:color w:val="000000"/>
        </w:rPr>
        <w:t xml:space="preserve">centras sprieduma </w:t>
      </w:r>
      <w:r w:rsidRPr="00006A04">
        <w:rPr>
          <w:rFonts w:eastAsiaTheme="minorHAnsi"/>
          <w:i/>
          <w:iCs/>
          <w:lang w:eastAsia="en-US"/>
          <w14:ligatures w14:val="standardContextual"/>
        </w:rPr>
        <w:t>97.punkts</w:t>
      </w:r>
      <w:r w:rsidRPr="00B1172E">
        <w:rPr>
          <w:rFonts w:eastAsiaTheme="minorHAnsi"/>
          <w:lang w:eastAsia="en-US"/>
          <w14:ligatures w14:val="standardContextual"/>
        </w:rPr>
        <w:t xml:space="preserve">). </w:t>
      </w:r>
      <w:r w:rsidRPr="00B1172E">
        <w:t xml:space="preserve">Tādējādi kasatores norādītais </w:t>
      </w:r>
      <w:r w:rsidRPr="00B1172E">
        <w:rPr>
          <w:lang w:eastAsia="lv-LV"/>
        </w:rPr>
        <w:t>Direktīva</w:t>
      </w:r>
      <w:r w:rsidRPr="00B1172E">
        <w:t>s</w:t>
      </w:r>
      <w:r w:rsidRPr="00B1172E">
        <w:rPr>
          <w:lang w:eastAsia="lv-LV"/>
        </w:rPr>
        <w:t xml:space="preserve"> 2016/943</w:t>
      </w:r>
      <w:r w:rsidRPr="00B1172E">
        <w:t xml:space="preserve"> </w:t>
      </w:r>
      <w:r w:rsidRPr="00B1172E">
        <w:rPr>
          <w:lang w:eastAsia="lv-LV"/>
        </w:rPr>
        <w:t>18.apsvērums</w:t>
      </w:r>
      <w:r>
        <w:rPr>
          <w:lang w:eastAsia="lv-LV"/>
        </w:rPr>
        <w:t xml:space="preserve"> </w:t>
      </w:r>
      <w:r w:rsidRPr="00B1172E">
        <w:rPr>
          <w:lang w:eastAsia="lv-LV"/>
        </w:rPr>
        <w:t>nevar būt pamats secināt, ka tiesiskais regulējums par informācijas izsniegšanu būtu interpretējams tādējādi, ka tas nepieļauj publiskā iepirkuma procedūrā iesniegta komercnoslēpuma izsniegšanu. Minētais apsvērums</w:t>
      </w:r>
      <w:r>
        <w:rPr>
          <w:lang w:eastAsia="lv-LV"/>
        </w:rPr>
        <w:t xml:space="preserve">, kā to atzinusi Eiropas Savienības Tiesa, </w:t>
      </w:r>
      <w:r w:rsidRPr="00B1172E">
        <w:rPr>
          <w:lang w:eastAsia="lv-LV"/>
        </w:rPr>
        <w:t xml:space="preserve">saprotams vien tādējādi, ka direktīvas </w:t>
      </w:r>
      <w:r w:rsidRPr="00B1172E">
        <w:rPr>
          <w:rFonts w:eastAsiaTheme="minorHAnsi"/>
          <w:lang w:eastAsia="en-US"/>
          <w14:ligatures w14:val="standardContextual"/>
        </w:rPr>
        <w:t>2016/943 regulējums par komercnoslēpuma nelikumīgu iegūšanu neatbrīvo iestādes no konfidencialitātes pienākumiem, kas izriet no publisko iepirkumu regulējuma. Savukārt</w:t>
      </w:r>
      <w:r w:rsidR="00C470D5">
        <w:rPr>
          <w:rFonts w:eastAsiaTheme="minorHAnsi"/>
          <w:lang w:eastAsia="en-US"/>
          <w14:ligatures w14:val="standardContextual"/>
        </w:rPr>
        <w:t xml:space="preserve"> tas</w:t>
      </w:r>
      <w:r w:rsidRPr="00B1172E">
        <w:rPr>
          <w:rFonts w:eastAsiaTheme="minorHAnsi"/>
          <w:lang w:eastAsia="en-US"/>
          <w14:ligatures w14:val="standardContextual"/>
        </w:rPr>
        <w:t xml:space="preserve">, vai normatīvajos aktos ietvertais tiesiskais regulējums noteiktos gadījumos pieļauj publisko iepirkumu dokumentācijā ietverta komercnoslēpuma izsniegšanu, nosakāms, piemērojot tiesību normas par informācijas pieejamību un speciālās tiesību normas par to dokumentu konfidencialitātes aizsardzību, kuri </w:t>
      </w:r>
      <w:r>
        <w:rPr>
          <w:rFonts w:eastAsiaTheme="minorHAnsi"/>
          <w:lang w:eastAsia="en-US"/>
          <w14:ligatures w14:val="standardContextual"/>
        </w:rPr>
        <w:t xml:space="preserve">iestādēs </w:t>
      </w:r>
      <w:r w:rsidRPr="00B1172E">
        <w:rPr>
          <w:rFonts w:eastAsiaTheme="minorHAnsi"/>
          <w:lang w:eastAsia="en-US"/>
          <w14:ligatures w14:val="standardContextual"/>
        </w:rPr>
        <w:t>ir iesniegti publiskā iepirkuma procedūrās (</w:t>
      </w:r>
      <w:r w:rsidRPr="00313665">
        <w:rPr>
          <w:i/>
          <w:iCs/>
          <w:color w:val="000000"/>
        </w:rPr>
        <w:t xml:space="preserve">Klaipedos </w:t>
      </w:r>
      <w:r w:rsidRPr="00006A04">
        <w:rPr>
          <w:i/>
          <w:iCs/>
          <w:color w:val="000000"/>
        </w:rPr>
        <w:t xml:space="preserve">centras sprieduma </w:t>
      </w:r>
      <w:r w:rsidRPr="00006A04">
        <w:rPr>
          <w:rFonts w:eastAsiaTheme="minorHAnsi"/>
          <w:i/>
          <w:iCs/>
          <w:lang w:eastAsia="en-US"/>
          <w14:ligatures w14:val="standardContextual"/>
        </w:rPr>
        <w:t>99. un 100.</w:t>
      </w:r>
      <w:r w:rsidR="00202BF8">
        <w:rPr>
          <w:rFonts w:eastAsiaTheme="minorHAnsi"/>
          <w:i/>
          <w:iCs/>
          <w:lang w:eastAsia="en-US"/>
          <w14:ligatures w14:val="standardContextual"/>
        </w:rPr>
        <w:t>–</w:t>
      </w:r>
      <w:r w:rsidRPr="00006A04">
        <w:rPr>
          <w:rFonts w:eastAsiaTheme="minorHAnsi"/>
          <w:i/>
          <w:iCs/>
          <w:lang w:eastAsia="en-US"/>
          <w14:ligatures w14:val="standardContextual"/>
        </w:rPr>
        <w:t>102.punkts</w:t>
      </w:r>
      <w:r w:rsidRPr="00B1172E">
        <w:rPr>
          <w:rFonts w:eastAsiaTheme="minorHAnsi"/>
          <w:lang w:eastAsia="en-US"/>
          <w14:ligatures w14:val="standardContextual"/>
        </w:rPr>
        <w:t>).</w:t>
      </w:r>
    </w:p>
    <w:p w14:paraId="3FE3F7B8" w14:textId="77777777" w:rsidR="004C4017" w:rsidRDefault="004C4017" w:rsidP="003D669D">
      <w:pPr>
        <w:spacing w:line="276" w:lineRule="auto"/>
        <w:ind w:firstLine="720"/>
        <w:jc w:val="both"/>
      </w:pPr>
    </w:p>
    <w:p w14:paraId="27A320F1" w14:textId="77777777" w:rsidR="004C4017" w:rsidRDefault="004C4017" w:rsidP="003D669D">
      <w:pPr>
        <w:autoSpaceDE w:val="0"/>
        <w:autoSpaceDN w:val="0"/>
        <w:adjustRightInd w:val="0"/>
        <w:spacing w:line="276" w:lineRule="auto"/>
        <w:ind w:firstLine="720"/>
        <w:jc w:val="both"/>
        <w:rPr>
          <w:bCs/>
        </w:rPr>
      </w:pPr>
      <w:r>
        <w:t>[26] Senāts arī norāda, ka pretēji kasatores uzskatam šajā lietā nav pamata vērsties Eiropas Savienības Tiesā ar prejudiciālo jautājumu par to,</w:t>
      </w:r>
      <w:r w:rsidRPr="000C1C09">
        <w:rPr>
          <w:bCs/>
        </w:rPr>
        <w:t xml:space="preserve"> vai ir pieļaujams tāds valsts</w:t>
      </w:r>
      <w:r w:rsidRPr="009A65D5">
        <w:rPr>
          <w:bCs/>
        </w:rPr>
        <w:t xml:space="preserve"> tiesiskais regulējums, kas paredz, ka ekonomikas dalībnieka publiskā iepirkuma līguma slēgšanas procedūras ietvaros sniegtā informācija, kas satur komercnoslēpumu, automātiski bez ekonomikas dalībnieka piekrišanas zaudē komercnoslēpuma statusu, ja publiskā iepirkuma līguma slēgšanas procedūras rezultātā šis ekonomikas dalībnieks noslēdz publisku līgumu ar līgumslēdzēju iestādi.</w:t>
      </w:r>
    </w:p>
    <w:p w14:paraId="2F6E275F" w14:textId="33C71B6A" w:rsidR="0045282A" w:rsidRDefault="004C4017" w:rsidP="003D669D">
      <w:pPr>
        <w:autoSpaceDE w:val="0"/>
        <w:autoSpaceDN w:val="0"/>
        <w:adjustRightInd w:val="0"/>
        <w:spacing w:line="276" w:lineRule="auto"/>
        <w:ind w:firstLine="720"/>
        <w:jc w:val="both"/>
        <w:rPr>
          <w:bCs/>
        </w:rPr>
      </w:pPr>
      <w:r>
        <w:rPr>
          <w:bCs/>
        </w:rPr>
        <w:t xml:space="preserve">Iepriekš izklāstītā tiesiskā regulējuma analīze apliecina, ka Latvijas tiesiskais regulējums neparedz, ka publiskā iepirkuma ietvaros iestādei iesniegta komercnoslēpumu saturoša informācija </w:t>
      </w:r>
      <w:r w:rsidRPr="009A65D5">
        <w:rPr>
          <w:bCs/>
        </w:rPr>
        <w:t xml:space="preserve">zaudē komercnoslēpuma statusu, ja </w:t>
      </w:r>
      <w:r>
        <w:rPr>
          <w:bCs/>
        </w:rPr>
        <w:t xml:space="preserve">tiek noslēgts iepirkuma līgums. </w:t>
      </w:r>
      <w:r w:rsidR="002D548A">
        <w:rPr>
          <w:bCs/>
        </w:rPr>
        <w:t>Kā jau minēts</w:t>
      </w:r>
      <w:r w:rsidR="00D11F7A">
        <w:rPr>
          <w:bCs/>
        </w:rPr>
        <w:t>,</w:t>
      </w:r>
      <w:r w:rsidR="0045282A">
        <w:rPr>
          <w:bCs/>
        </w:rPr>
        <w:t xml:space="preserve"> tiesiskais regulējums paredz, ka pretendentu un kandidātu piedāvājumos ietvertā informācija ir ierobežotas pieejamības;</w:t>
      </w:r>
      <w:r w:rsidR="00D11F7A">
        <w:rPr>
          <w:bCs/>
        </w:rPr>
        <w:t xml:space="preserve"> </w:t>
      </w:r>
      <w:r w:rsidR="0045282A">
        <w:rPr>
          <w:bCs/>
        </w:rPr>
        <w:t xml:space="preserve">komercnoslēpuma statuss nav attiecināms vien uz to informāciju, kuru pasūtītājam atbilstoši publisko iepirkumu regulējumam ir pienākums publiskot, paziņojot par līguma noslēgšanu (par šādas informācijas publiskošanu lietā strīda nav).  </w:t>
      </w:r>
    </w:p>
    <w:p w14:paraId="383381E3" w14:textId="24A76B3C" w:rsidR="004C4017" w:rsidRDefault="00AB0778" w:rsidP="003D669D">
      <w:pPr>
        <w:autoSpaceDE w:val="0"/>
        <w:autoSpaceDN w:val="0"/>
        <w:adjustRightInd w:val="0"/>
        <w:spacing w:line="276" w:lineRule="auto"/>
        <w:ind w:firstLine="720"/>
        <w:jc w:val="both"/>
        <w:rPr>
          <w:bCs/>
        </w:rPr>
      </w:pPr>
      <w:r>
        <w:rPr>
          <w:bCs/>
        </w:rPr>
        <w:t>Līdz ar to n</w:t>
      </w:r>
      <w:r w:rsidR="004C4017">
        <w:rPr>
          <w:bCs/>
        </w:rPr>
        <w:t>av pamata vērsties Eiropas Savienības Tiesā ar jautājumu par tāda regulējuma saderību ar Eiropas Savienības tiesībām, kāds Latvijā vispār nav.</w:t>
      </w:r>
    </w:p>
    <w:p w14:paraId="2B0AAE1E" w14:textId="77777777" w:rsidR="004C4017" w:rsidRDefault="004C4017" w:rsidP="003D669D">
      <w:pPr>
        <w:autoSpaceDE w:val="0"/>
        <w:autoSpaceDN w:val="0"/>
        <w:adjustRightInd w:val="0"/>
        <w:spacing w:line="276" w:lineRule="auto"/>
        <w:ind w:firstLine="567"/>
        <w:jc w:val="both"/>
        <w:rPr>
          <w:bCs/>
        </w:rPr>
      </w:pPr>
    </w:p>
    <w:p w14:paraId="53C687C5" w14:textId="77777777" w:rsidR="004C4017" w:rsidRPr="00155D4A" w:rsidRDefault="004C4017" w:rsidP="003D669D">
      <w:pPr>
        <w:autoSpaceDE w:val="0"/>
        <w:autoSpaceDN w:val="0"/>
        <w:adjustRightInd w:val="0"/>
        <w:spacing w:line="276" w:lineRule="auto"/>
        <w:jc w:val="center"/>
        <w:rPr>
          <w:b/>
          <w:bCs/>
          <w:shd w:val="clear" w:color="auto" w:fill="FFFFFF"/>
        </w:rPr>
      </w:pPr>
      <w:r w:rsidRPr="00155D4A">
        <w:rPr>
          <w:b/>
          <w:bCs/>
          <w:shd w:val="clear" w:color="auto" w:fill="FFFFFF"/>
        </w:rPr>
        <w:t>II</w:t>
      </w:r>
    </w:p>
    <w:p w14:paraId="0253665D" w14:textId="77777777" w:rsidR="004C4017" w:rsidRPr="00CD475A" w:rsidRDefault="004C4017" w:rsidP="003D669D">
      <w:pPr>
        <w:spacing w:line="276" w:lineRule="auto"/>
        <w:jc w:val="center"/>
        <w:rPr>
          <w:i/>
          <w:iCs/>
        </w:rPr>
      </w:pPr>
      <w:r w:rsidRPr="00CD475A">
        <w:rPr>
          <w:i/>
          <w:iCs/>
        </w:rPr>
        <w:t>Par strīdus tāmēs ietvertās informācijas konfidencialitāti un par kaitējumu, ko radītu šīs informācijas izsniegšana</w:t>
      </w:r>
    </w:p>
    <w:p w14:paraId="679F8A6F" w14:textId="77777777" w:rsidR="004C4017" w:rsidRDefault="004C4017" w:rsidP="003D669D">
      <w:pPr>
        <w:spacing w:line="276" w:lineRule="auto"/>
        <w:jc w:val="both"/>
        <w:rPr>
          <w:rFonts w:ascii="Arial" w:hAnsi="Arial" w:cs="Arial"/>
          <w:color w:val="414142"/>
          <w:sz w:val="20"/>
          <w:szCs w:val="20"/>
        </w:rPr>
      </w:pPr>
    </w:p>
    <w:p w14:paraId="6E8EBBAF" w14:textId="4C7B9BB8" w:rsidR="004C4017" w:rsidRDefault="004C4017" w:rsidP="003D669D">
      <w:pPr>
        <w:autoSpaceDE w:val="0"/>
        <w:autoSpaceDN w:val="0"/>
        <w:adjustRightInd w:val="0"/>
        <w:spacing w:line="276" w:lineRule="auto"/>
        <w:ind w:firstLine="720"/>
        <w:jc w:val="both"/>
        <w:rPr>
          <w:rFonts w:eastAsiaTheme="minorHAnsi"/>
          <w:lang w:eastAsia="en-US"/>
          <w14:ligatures w14:val="standardContextual"/>
        </w:rPr>
      </w:pPr>
      <w:r w:rsidRPr="00B424AD">
        <w:t>[</w:t>
      </w:r>
      <w:r>
        <w:t>27</w:t>
      </w:r>
      <w:r w:rsidRPr="00B424AD">
        <w:t>]</w:t>
      </w:r>
      <w:r w:rsidR="0036263C">
        <w:t xml:space="preserve"> </w:t>
      </w:r>
      <w:r>
        <w:rPr>
          <w:rFonts w:eastAsiaTheme="minorHAnsi"/>
          <w:lang w:eastAsia="en-US"/>
          <w14:ligatures w14:val="standardContextual"/>
        </w:rPr>
        <w:t xml:space="preserve">Kasatore norāda, ka tiesa </w:t>
      </w:r>
      <w:r w:rsidR="00AF7216">
        <w:rPr>
          <w:rFonts w:eastAsiaTheme="minorHAnsi"/>
          <w:lang w:eastAsia="en-US"/>
          <w14:ligatures w14:val="standardContextual"/>
        </w:rPr>
        <w:t xml:space="preserve">ir </w:t>
      </w:r>
      <w:r>
        <w:rPr>
          <w:rFonts w:eastAsiaTheme="minorHAnsi"/>
          <w:lang w:eastAsia="en-US"/>
          <w14:ligatures w14:val="standardContextual"/>
        </w:rPr>
        <w:t xml:space="preserve">kļūdaini atzinusi, ka </w:t>
      </w:r>
      <w:r w:rsidR="00AF7216">
        <w:rPr>
          <w:rFonts w:eastAsiaTheme="minorHAnsi"/>
          <w:lang w:eastAsia="en-US"/>
          <w14:ligatures w14:val="standardContextual"/>
        </w:rPr>
        <w:t>par komercnoslēpumu no visas strīdus tāmēs ietvertās informācijas atzīstama tikai informācija</w:t>
      </w:r>
      <w:r>
        <w:rPr>
          <w:rFonts w:eastAsiaTheme="minorHAnsi"/>
          <w:lang w:eastAsia="en-US"/>
          <w14:ligatures w14:val="standardContextual"/>
        </w:rPr>
        <w:t xml:space="preserve"> par cenām, </w:t>
      </w:r>
      <w:r w:rsidR="00AF7216">
        <w:rPr>
          <w:rFonts w:eastAsiaTheme="minorHAnsi"/>
          <w:lang w:eastAsia="en-US"/>
          <w14:ligatures w14:val="standardContextual"/>
        </w:rPr>
        <w:t>un tiesa</w:t>
      </w:r>
      <w:r>
        <w:rPr>
          <w:rFonts w:eastAsiaTheme="minorHAnsi"/>
          <w:lang w:eastAsia="en-US"/>
          <w14:ligatures w14:val="standardContextual"/>
        </w:rPr>
        <w:t xml:space="preserve"> </w:t>
      </w:r>
      <w:r>
        <w:rPr>
          <w:rFonts w:eastAsiaTheme="minorHAnsi"/>
          <w:lang w:eastAsia="en-US"/>
          <w14:ligatures w14:val="standardContextual"/>
        </w:rPr>
        <w:lastRenderedPageBreak/>
        <w:t>nav pienācīgi novērtējusi kaitējumu, kādu tāmju izsniegšana nodarītu trešās personas konkurētspējai</w:t>
      </w:r>
      <w:r w:rsidR="00B92FD9">
        <w:rPr>
          <w:rFonts w:eastAsiaTheme="minorHAnsi"/>
          <w:lang w:eastAsia="en-US"/>
          <w14:ligatures w14:val="standardContextual"/>
        </w:rPr>
        <w:t>. Šādas kļūdas varēja ietekmēt</w:t>
      </w:r>
      <w:r>
        <w:rPr>
          <w:rFonts w:eastAsiaTheme="minorHAnsi"/>
          <w:lang w:eastAsia="en-US"/>
          <w14:ligatures w14:val="standardContextual"/>
        </w:rPr>
        <w:t xml:space="preserve"> </w:t>
      </w:r>
      <w:r w:rsidR="00B92FD9">
        <w:rPr>
          <w:rFonts w:eastAsiaTheme="minorHAnsi"/>
          <w:lang w:eastAsia="en-US"/>
          <w14:ligatures w14:val="standardContextual"/>
        </w:rPr>
        <w:t>lietā pretstatīto interešu izsvēršanu un secinājumu par to</w:t>
      </w:r>
      <w:r>
        <w:rPr>
          <w:rFonts w:eastAsiaTheme="minorHAnsi"/>
          <w:lang w:eastAsia="en-US"/>
          <w14:ligatures w14:val="standardContextual"/>
        </w:rPr>
        <w:t xml:space="preserve">, kurai interesei </w:t>
      </w:r>
      <w:r w:rsidR="00B92FD9">
        <w:rPr>
          <w:rFonts w:eastAsiaTheme="minorHAnsi"/>
          <w:lang w:eastAsia="en-US"/>
          <w14:ligatures w14:val="standardContextual"/>
        </w:rPr>
        <w:t>konkrētajā gadījumā</w:t>
      </w:r>
      <w:r>
        <w:rPr>
          <w:rFonts w:eastAsiaTheme="minorHAnsi"/>
          <w:lang w:eastAsia="en-US"/>
          <w14:ligatures w14:val="standardContextual"/>
        </w:rPr>
        <w:t xml:space="preserve"> dodama priekšroka.</w:t>
      </w:r>
    </w:p>
    <w:p w14:paraId="3E7C36B5" w14:textId="77777777" w:rsidR="0058187F" w:rsidRDefault="0058187F" w:rsidP="003D669D">
      <w:pPr>
        <w:autoSpaceDE w:val="0"/>
        <w:autoSpaceDN w:val="0"/>
        <w:adjustRightInd w:val="0"/>
        <w:spacing w:line="276" w:lineRule="auto"/>
        <w:ind w:firstLine="720"/>
        <w:jc w:val="both"/>
        <w:rPr>
          <w:rFonts w:eastAsiaTheme="minorHAnsi"/>
          <w:lang w:eastAsia="en-US"/>
          <w14:ligatures w14:val="standardContextual"/>
        </w:rPr>
      </w:pPr>
    </w:p>
    <w:p w14:paraId="7518C803" w14:textId="2C5D06C7" w:rsidR="0058187F" w:rsidRDefault="0058187F" w:rsidP="003D669D">
      <w:pPr>
        <w:autoSpaceDE w:val="0"/>
        <w:autoSpaceDN w:val="0"/>
        <w:adjustRightInd w:val="0"/>
        <w:spacing w:line="276" w:lineRule="auto"/>
        <w:ind w:firstLine="720"/>
        <w:jc w:val="both"/>
        <w:rPr>
          <w:rFonts w:eastAsiaTheme="minorHAnsi"/>
          <w:lang w:eastAsia="en-US"/>
          <w14:ligatures w14:val="standardContextual"/>
        </w:rPr>
      </w:pPr>
      <w:r>
        <w:rPr>
          <w:rFonts w:eastAsiaTheme="minorHAnsi"/>
          <w:lang w:eastAsia="en-US"/>
          <w14:ligatures w14:val="standardContextual"/>
        </w:rPr>
        <w:t>[28] Senāts turpmāk norādīto apsvērumu dēļ atzīst, ka šie kasācijas sūdzības iebildumi ir pamatoti.</w:t>
      </w:r>
    </w:p>
    <w:p w14:paraId="4B4A3F42" w14:textId="77777777" w:rsidR="0058187F" w:rsidRDefault="0058187F" w:rsidP="003D669D">
      <w:pPr>
        <w:autoSpaceDE w:val="0"/>
        <w:autoSpaceDN w:val="0"/>
        <w:adjustRightInd w:val="0"/>
        <w:spacing w:line="276" w:lineRule="auto"/>
        <w:ind w:firstLine="720"/>
        <w:jc w:val="both"/>
        <w:rPr>
          <w:rFonts w:eastAsiaTheme="minorHAnsi"/>
          <w:lang w:eastAsia="en-US"/>
          <w14:ligatures w14:val="standardContextual"/>
        </w:rPr>
      </w:pPr>
    </w:p>
    <w:p w14:paraId="3C5BD355" w14:textId="7AB55A49" w:rsidR="00285EE7" w:rsidRDefault="0058187F" w:rsidP="003D669D">
      <w:pPr>
        <w:autoSpaceDE w:val="0"/>
        <w:autoSpaceDN w:val="0"/>
        <w:adjustRightInd w:val="0"/>
        <w:spacing w:line="276" w:lineRule="auto"/>
        <w:ind w:firstLine="720"/>
        <w:jc w:val="both"/>
        <w:rPr>
          <w:rFonts w:eastAsiaTheme="minorHAnsi"/>
          <w:lang w:eastAsia="en-US"/>
          <w14:ligatures w14:val="standardContextual"/>
        </w:rPr>
      </w:pPr>
      <w:r>
        <w:rPr>
          <w:rFonts w:eastAsiaTheme="minorHAnsi"/>
          <w:lang w:eastAsia="en-US"/>
          <w14:ligatures w14:val="standardContextual"/>
        </w:rPr>
        <w:t xml:space="preserve">[29] </w:t>
      </w:r>
      <w:r w:rsidR="00075C4E">
        <w:rPr>
          <w:rFonts w:eastAsiaTheme="minorHAnsi"/>
          <w:lang w:eastAsia="en-US"/>
          <w14:ligatures w14:val="standardContextual"/>
        </w:rPr>
        <w:t>Tiesa ir atzinusi, ka strīdus tāmēs ietvertās cenas ir atzīstamas par pieteicējas komercnoslēpumu. Vienlaikus tiesa ir secinājusi, ka š</w:t>
      </w:r>
      <w:r w:rsidR="004A72B2">
        <w:rPr>
          <w:rFonts w:eastAsiaTheme="minorHAnsi"/>
          <w:lang w:eastAsia="en-US"/>
          <w14:ligatures w14:val="standardContextual"/>
        </w:rPr>
        <w:t xml:space="preserve">ā komercnoslēpuma </w:t>
      </w:r>
      <w:r>
        <w:rPr>
          <w:rFonts w:eastAsiaTheme="minorHAnsi"/>
          <w:lang w:eastAsia="en-US"/>
          <w14:ligatures w14:val="standardContextual"/>
        </w:rPr>
        <w:t xml:space="preserve">izpaušana </w:t>
      </w:r>
      <w:r w:rsidR="00075C4E">
        <w:rPr>
          <w:rFonts w:eastAsiaTheme="minorHAnsi"/>
          <w:lang w:eastAsia="en-US"/>
          <w14:ligatures w14:val="standardContextual"/>
        </w:rPr>
        <w:t xml:space="preserve">tomēr </w:t>
      </w:r>
      <w:r>
        <w:rPr>
          <w:rFonts w:eastAsiaTheme="minorHAnsi"/>
          <w:lang w:eastAsia="en-US"/>
          <w14:ligatures w14:val="standardContextual"/>
        </w:rPr>
        <w:t xml:space="preserve">nevar radīt </w:t>
      </w:r>
      <w:r w:rsidR="004A72B2">
        <w:rPr>
          <w:rFonts w:eastAsiaTheme="minorHAnsi"/>
          <w:lang w:eastAsia="en-US"/>
          <w14:ligatures w14:val="standardContextual"/>
        </w:rPr>
        <w:t xml:space="preserve">reālu </w:t>
      </w:r>
      <w:r w:rsidR="00075C4E">
        <w:rPr>
          <w:rFonts w:eastAsiaTheme="minorHAnsi"/>
          <w:lang w:eastAsia="en-US"/>
          <w14:ligatures w14:val="standardContextual"/>
        </w:rPr>
        <w:t xml:space="preserve">kaitējumu trešās personas komerciālajām interesēm un </w:t>
      </w:r>
      <w:r>
        <w:rPr>
          <w:rFonts w:eastAsiaTheme="minorHAnsi"/>
          <w:lang w:eastAsia="en-US"/>
          <w14:ligatures w14:val="standardContextual"/>
        </w:rPr>
        <w:t>apdraudējumu konkurencei</w:t>
      </w:r>
      <w:r w:rsidR="00334D05">
        <w:rPr>
          <w:rFonts w:eastAsiaTheme="minorHAnsi"/>
          <w:lang w:eastAsia="en-US"/>
          <w14:ligatures w14:val="standardContextual"/>
        </w:rPr>
        <w:t xml:space="preserve">. Šo secinājumu tiesa balstījusi tajā, ka laika gaitā </w:t>
      </w:r>
      <w:r>
        <w:rPr>
          <w:rFonts w:eastAsiaTheme="minorHAnsi"/>
          <w:lang w:eastAsia="en-US"/>
          <w14:ligatures w14:val="standardContextual"/>
        </w:rPr>
        <w:t>t</w:t>
      </w:r>
      <w:r w:rsidR="00BE46AD">
        <w:rPr>
          <w:rFonts w:eastAsiaTheme="minorHAnsi"/>
          <w:lang w:eastAsia="en-US"/>
          <w14:ligatures w14:val="standardContextual"/>
        </w:rPr>
        <w:t>i</w:t>
      </w:r>
      <w:r>
        <w:rPr>
          <w:rFonts w:eastAsiaTheme="minorHAnsi"/>
          <w:lang w:eastAsia="en-US"/>
          <w14:ligatures w14:val="standardContextual"/>
        </w:rPr>
        <w:t>rgus situācija ir mainījusies</w:t>
      </w:r>
      <w:r w:rsidR="00075C4E">
        <w:rPr>
          <w:rFonts w:eastAsiaTheme="minorHAnsi"/>
          <w:lang w:eastAsia="en-US"/>
          <w14:ligatures w14:val="standardContextual"/>
        </w:rPr>
        <w:t xml:space="preserve"> un attiecīgi ir mainījušās arī cenas būvniecības nozarē.</w:t>
      </w:r>
      <w:r w:rsidR="00285EE7">
        <w:rPr>
          <w:rFonts w:eastAsiaTheme="minorHAnsi"/>
          <w:lang w:eastAsia="en-US"/>
          <w14:ligatures w14:val="standardContextual"/>
        </w:rPr>
        <w:t xml:space="preserve"> </w:t>
      </w:r>
    </w:p>
    <w:p w14:paraId="6F138B75" w14:textId="24787FF7" w:rsidR="00F830A9" w:rsidRPr="00395C90" w:rsidRDefault="004A72B2" w:rsidP="003D669D">
      <w:pPr>
        <w:spacing w:line="276" w:lineRule="auto"/>
        <w:ind w:firstLine="720"/>
        <w:jc w:val="both"/>
      </w:pPr>
      <w:r>
        <w:rPr>
          <w:rFonts w:eastAsiaTheme="minorHAnsi"/>
          <w:lang w:eastAsia="en-US"/>
          <w14:ligatures w14:val="standardContextual"/>
        </w:rPr>
        <w:t xml:space="preserve">Kasatore šajā ziņā norādījusi: tas vien, ka tirgus </w:t>
      </w:r>
      <w:r w:rsidR="00C966FA">
        <w:rPr>
          <w:rFonts w:eastAsiaTheme="minorHAnsi"/>
          <w:lang w:eastAsia="en-US"/>
          <w14:ligatures w14:val="standardContextual"/>
        </w:rPr>
        <w:t>situācijas izmaiņu</w:t>
      </w:r>
      <w:r>
        <w:rPr>
          <w:rFonts w:eastAsiaTheme="minorHAnsi"/>
          <w:lang w:eastAsia="en-US"/>
          <w14:ligatures w14:val="standardContextual"/>
        </w:rPr>
        <w:t xml:space="preserve"> dēļ cenas konkrētā nozarē ir mainījušās, nenozīmē, ka pirms kāda laika aktuālo cenu izpaušana vairs nevar radīt kaitējumu komersanta komerciālajām interesēm un netraucētai konkurencei. </w:t>
      </w:r>
      <w:r w:rsidR="00F830A9">
        <w:rPr>
          <w:bCs/>
        </w:rPr>
        <w:t xml:space="preserve">Cenu </w:t>
      </w:r>
      <w:r w:rsidR="00F830A9" w:rsidRPr="00DD5FC0">
        <w:rPr>
          <w:lang w:eastAsia="lv-LV"/>
        </w:rPr>
        <w:t>izmaiņ</w:t>
      </w:r>
      <w:r w:rsidR="00F830A9">
        <w:rPr>
          <w:lang w:eastAsia="lv-LV"/>
        </w:rPr>
        <w:t xml:space="preserve">u starpības </w:t>
      </w:r>
      <w:r w:rsidR="00F830A9" w:rsidRPr="00DD5FC0">
        <w:rPr>
          <w:lang w:eastAsia="lv-LV"/>
        </w:rPr>
        <w:t>attiecīb</w:t>
      </w:r>
      <w:r w:rsidR="00F830A9">
        <w:rPr>
          <w:lang w:eastAsia="lv-LV"/>
        </w:rPr>
        <w:t>u</w:t>
      </w:r>
      <w:r w:rsidR="00F830A9" w:rsidRPr="00DD5FC0">
        <w:rPr>
          <w:lang w:eastAsia="lv-LV"/>
        </w:rPr>
        <w:t xml:space="preserve"> pret </w:t>
      </w:r>
      <w:r w:rsidR="00334D05">
        <w:rPr>
          <w:lang w:eastAsia="lv-LV"/>
        </w:rPr>
        <w:t>pašreizējām</w:t>
      </w:r>
      <w:r w:rsidR="00F830A9" w:rsidRPr="00DD5FC0">
        <w:rPr>
          <w:lang w:eastAsia="lv-LV"/>
        </w:rPr>
        <w:t xml:space="preserve"> cenām ir iespējams viegli aprēķināt</w:t>
      </w:r>
      <w:r w:rsidR="00334D05">
        <w:rPr>
          <w:lang w:eastAsia="lv-LV"/>
        </w:rPr>
        <w:t xml:space="preserve">, tāpēc </w:t>
      </w:r>
      <w:r w:rsidR="00F830A9" w:rsidRPr="00DD5FC0">
        <w:rPr>
          <w:lang w:eastAsia="lv-LV"/>
        </w:rPr>
        <w:t xml:space="preserve">tāmju atklāšana ļautu </w:t>
      </w:r>
      <w:r w:rsidR="00334D05">
        <w:rPr>
          <w:lang w:eastAsia="lv-LV"/>
        </w:rPr>
        <w:t xml:space="preserve">saprast arī trešās </w:t>
      </w:r>
      <w:r w:rsidR="00AF7216">
        <w:rPr>
          <w:lang w:eastAsia="lv-LV"/>
        </w:rPr>
        <w:t xml:space="preserve">personas </w:t>
      </w:r>
      <w:r w:rsidR="00334D05">
        <w:rPr>
          <w:lang w:eastAsia="lv-LV"/>
        </w:rPr>
        <w:t>aktuālās cenas un cenu veidošanas principus</w:t>
      </w:r>
      <w:r w:rsidR="00F830A9" w:rsidRPr="00395C90">
        <w:rPr>
          <w:lang w:eastAsia="lv-LV"/>
        </w:rPr>
        <w:t xml:space="preserve">. </w:t>
      </w:r>
    </w:p>
    <w:p w14:paraId="552E7D9D" w14:textId="77777777" w:rsidR="00B92FD9" w:rsidRDefault="00334D05" w:rsidP="003D669D">
      <w:pPr>
        <w:autoSpaceDE w:val="0"/>
        <w:autoSpaceDN w:val="0"/>
        <w:adjustRightInd w:val="0"/>
        <w:spacing w:line="276" w:lineRule="auto"/>
        <w:ind w:firstLine="720"/>
        <w:jc w:val="both"/>
        <w:rPr>
          <w:rFonts w:eastAsiaTheme="minorHAnsi"/>
          <w:lang w:eastAsia="en-US"/>
          <w14:ligatures w14:val="standardContextual"/>
        </w:rPr>
      </w:pPr>
      <w:r>
        <w:rPr>
          <w:rFonts w:eastAsiaTheme="minorHAnsi"/>
          <w:lang w:eastAsia="en-US"/>
          <w14:ligatures w14:val="standardContextual"/>
        </w:rPr>
        <w:t>Senāts piekrīt kasa</w:t>
      </w:r>
      <w:r w:rsidR="00AF7216">
        <w:rPr>
          <w:rFonts w:eastAsiaTheme="minorHAnsi"/>
          <w:lang w:eastAsia="en-US"/>
          <w14:ligatures w14:val="standardContextual"/>
        </w:rPr>
        <w:t>t</w:t>
      </w:r>
      <w:r>
        <w:rPr>
          <w:rFonts w:eastAsiaTheme="minorHAnsi"/>
          <w:lang w:eastAsia="en-US"/>
          <w14:ligatures w14:val="standardContextual"/>
        </w:rPr>
        <w:t xml:space="preserve">orei. </w:t>
      </w:r>
      <w:r w:rsidR="00AF7216">
        <w:rPr>
          <w:rFonts w:eastAsiaTheme="minorHAnsi"/>
          <w:lang w:eastAsia="en-US"/>
          <w14:ligatures w14:val="standardContextual"/>
        </w:rPr>
        <w:t>T</w:t>
      </w:r>
      <w:r>
        <w:rPr>
          <w:rFonts w:eastAsiaTheme="minorHAnsi"/>
          <w:lang w:eastAsia="en-US"/>
          <w14:ligatures w14:val="standardContextual"/>
        </w:rPr>
        <w:t>iesa konkrētajā gadījumā nav konstatējusi, ka kādu īpašu, tikai uz trešo personu attiecināmu apstākļu dēļ (piemēram, trešās personas cenu politikas izmaiņu dēļ) būtu mainījušās tikai trešās personas cenas un tāpēc iepriekšējās cenas vairs nevarētu sniegt nekādu lietderīgu informāciju par trešā</w:t>
      </w:r>
      <w:r w:rsidR="00AF7216">
        <w:rPr>
          <w:rFonts w:eastAsiaTheme="minorHAnsi"/>
          <w:lang w:eastAsia="en-US"/>
          <w14:ligatures w14:val="standardContextual"/>
        </w:rPr>
        <w:t>s</w:t>
      </w:r>
      <w:r>
        <w:rPr>
          <w:rFonts w:eastAsiaTheme="minorHAnsi"/>
          <w:lang w:eastAsia="en-US"/>
          <w14:ligatures w14:val="standardContextual"/>
        </w:rPr>
        <w:t xml:space="preserve"> persona</w:t>
      </w:r>
      <w:r w:rsidR="00AF7216">
        <w:rPr>
          <w:rFonts w:eastAsiaTheme="minorHAnsi"/>
          <w:lang w:eastAsia="en-US"/>
          <w14:ligatures w14:val="standardContextual"/>
        </w:rPr>
        <w:t>s</w:t>
      </w:r>
      <w:r>
        <w:rPr>
          <w:rFonts w:eastAsiaTheme="minorHAnsi"/>
          <w:lang w:eastAsia="en-US"/>
          <w14:ligatures w14:val="standardContextual"/>
        </w:rPr>
        <w:t xml:space="preserve"> </w:t>
      </w:r>
      <w:r w:rsidR="00AF7216">
        <w:rPr>
          <w:rFonts w:eastAsiaTheme="minorHAnsi"/>
          <w:lang w:eastAsia="en-US"/>
          <w14:ligatures w14:val="standardContextual"/>
        </w:rPr>
        <w:t>cenām un to noteikšanas principiem</w:t>
      </w:r>
      <w:r>
        <w:rPr>
          <w:rFonts w:eastAsiaTheme="minorHAnsi"/>
          <w:lang w:eastAsia="en-US"/>
          <w14:ligatures w14:val="standardContextual"/>
        </w:rPr>
        <w:t xml:space="preserve">. Tiesa ir konstatējusi vien to, ka vispārēju tirgus izmaiņu dēļ būvniecības cenas ir mainījušās. Tomēr vispārējas tirgus izmaiņas prezumējami salīdzinoši vienlīdzīgi varētu būt skārušas </w:t>
      </w:r>
      <w:r w:rsidR="00A10C40">
        <w:rPr>
          <w:rFonts w:eastAsiaTheme="minorHAnsi"/>
          <w:lang w:eastAsia="en-US"/>
          <w14:ligatures w14:val="standardContextual"/>
        </w:rPr>
        <w:t xml:space="preserve">vairumu konkrētās nozares komersantu. </w:t>
      </w:r>
      <w:r>
        <w:rPr>
          <w:rFonts w:eastAsiaTheme="minorHAnsi"/>
          <w:lang w:eastAsia="en-US"/>
          <w14:ligatures w14:val="standardContextual"/>
        </w:rPr>
        <w:t>Šādos apstākļos Senāts par pašsaprotamu atzīst, ka konkrētās n</w:t>
      </w:r>
      <w:r w:rsidR="00A10C40">
        <w:rPr>
          <w:rFonts w:eastAsiaTheme="minorHAnsi"/>
          <w:lang w:eastAsia="en-US"/>
          <w14:ligatures w14:val="standardContextual"/>
        </w:rPr>
        <w:t>oz</w:t>
      </w:r>
      <w:r>
        <w:rPr>
          <w:rFonts w:eastAsiaTheme="minorHAnsi"/>
          <w:lang w:eastAsia="en-US"/>
          <w14:ligatures w14:val="standardContextual"/>
        </w:rPr>
        <w:t>ares speciālists, zinot, kādas ir bijušas</w:t>
      </w:r>
      <w:r w:rsidR="00A10C40">
        <w:rPr>
          <w:rFonts w:eastAsiaTheme="minorHAnsi"/>
          <w:lang w:eastAsia="en-US"/>
          <w14:ligatures w14:val="standardContextual"/>
        </w:rPr>
        <w:t xml:space="preserve"> tirgus izmaiņas, varētu arī pēc iepriekšējām komersanta cenām iegūt pietiekami izsmeļošu informāciju par to, kā attiecīgais komersants veido cenas. </w:t>
      </w:r>
    </w:p>
    <w:p w14:paraId="4559E44A" w14:textId="04CF27D3" w:rsidR="00E05FF7" w:rsidRDefault="00A10C40" w:rsidP="003D669D">
      <w:pPr>
        <w:autoSpaceDE w:val="0"/>
        <w:autoSpaceDN w:val="0"/>
        <w:adjustRightInd w:val="0"/>
        <w:spacing w:line="276" w:lineRule="auto"/>
        <w:ind w:firstLine="720"/>
        <w:jc w:val="both"/>
        <w:rPr>
          <w:rFonts w:eastAsiaTheme="minorHAnsi"/>
          <w:lang w:eastAsia="en-US"/>
          <w14:ligatures w14:val="standardContextual"/>
        </w:rPr>
      </w:pPr>
      <w:r>
        <w:rPr>
          <w:rFonts w:eastAsiaTheme="minorHAnsi"/>
          <w:lang w:eastAsia="en-US"/>
          <w14:ligatures w14:val="standardContextual"/>
        </w:rPr>
        <w:t>Līdz ar to tiesas sniegtais pamatojums acīmredzami nav pietiekams, lai no tā izdarītu secinājumu, ka strīdus tāmēs ietverto cenu atklāšana vairs nevar radīt trešās personas komerciālo interešu aizskārumu.</w:t>
      </w:r>
      <w:r w:rsidR="00E05FF7">
        <w:rPr>
          <w:rFonts w:eastAsiaTheme="minorHAnsi"/>
          <w:lang w:eastAsia="en-US"/>
          <w14:ligatures w14:val="standardContextual"/>
        </w:rPr>
        <w:t xml:space="preserve"> Tiesa nav pienācīgi pārbaudījusi un izvērtējusi strīdus tāmju izsniegšanas iespējamo ietekmi uz trešās personas komerciālajām interesēm un netraucētas konkurences nodrošināšanu.</w:t>
      </w:r>
      <w:r w:rsidR="00B92FD9">
        <w:rPr>
          <w:rFonts w:eastAsiaTheme="minorHAnsi"/>
          <w:lang w:eastAsia="en-US"/>
          <w14:ligatures w14:val="standardContextual"/>
        </w:rPr>
        <w:t xml:space="preserve"> Turklāt no tiesas sprieduma izriet, ka tiesas uzskats, ka cenu atklāšana nevarētu radīt pieteicējas komerciālo interešu apdraudējumu, ir ietekmējis tiesas secinājumu, ka konkrētajā gadījumā priekšroka dodama pieteicēja interesei saņemt informāciju, nevis trešās personas interesei šo informāciju aizsargāt.</w:t>
      </w:r>
    </w:p>
    <w:p w14:paraId="561947CD" w14:textId="2497C5B3" w:rsidR="00A10C40" w:rsidRDefault="00A10C40" w:rsidP="003D669D">
      <w:pPr>
        <w:autoSpaceDE w:val="0"/>
        <w:autoSpaceDN w:val="0"/>
        <w:adjustRightInd w:val="0"/>
        <w:spacing w:line="276" w:lineRule="auto"/>
        <w:ind w:firstLine="720"/>
        <w:jc w:val="both"/>
        <w:rPr>
          <w:rFonts w:eastAsiaTheme="minorHAnsi"/>
          <w:lang w:eastAsia="en-US"/>
          <w14:ligatures w14:val="standardContextual"/>
        </w:rPr>
      </w:pPr>
    </w:p>
    <w:p w14:paraId="5AED0124" w14:textId="5880FB38" w:rsidR="00FE5779" w:rsidRDefault="00A10C40" w:rsidP="003D669D">
      <w:pPr>
        <w:autoSpaceDE w:val="0"/>
        <w:autoSpaceDN w:val="0"/>
        <w:adjustRightInd w:val="0"/>
        <w:spacing w:line="276" w:lineRule="auto"/>
        <w:ind w:firstLine="720"/>
        <w:jc w:val="both"/>
        <w:rPr>
          <w:rFonts w:eastAsiaTheme="minorHAnsi"/>
          <w:lang w:eastAsia="en-US"/>
          <w14:ligatures w14:val="standardContextual"/>
        </w:rPr>
      </w:pPr>
      <w:r>
        <w:rPr>
          <w:rFonts w:eastAsiaTheme="minorHAnsi"/>
          <w:lang w:eastAsia="en-US"/>
          <w14:ligatures w14:val="standardContextual"/>
        </w:rPr>
        <w:t xml:space="preserve">[30] </w:t>
      </w:r>
      <w:r w:rsidR="00285EE7">
        <w:rPr>
          <w:rFonts w:eastAsiaTheme="minorHAnsi"/>
          <w:lang w:eastAsia="en-US"/>
          <w14:ligatures w14:val="standardContextual"/>
        </w:rPr>
        <w:t xml:space="preserve">Minētais pats par sevi ir pietiekams iemesls atzīt, ka tiesas pieļautā kļūda </w:t>
      </w:r>
      <w:r w:rsidR="00137AAD">
        <w:rPr>
          <w:rFonts w:eastAsiaTheme="minorHAnsi"/>
          <w:lang w:eastAsia="en-US"/>
          <w14:ligatures w14:val="standardContextual"/>
        </w:rPr>
        <w:t xml:space="preserve">ir tāda, kas </w:t>
      </w:r>
      <w:r w:rsidR="00285EE7">
        <w:rPr>
          <w:rFonts w:eastAsiaTheme="minorHAnsi"/>
          <w:lang w:eastAsia="en-US"/>
          <w14:ligatures w14:val="standardContextual"/>
        </w:rPr>
        <w:t xml:space="preserve">varēja novest pie nepareiza tiesas sprieduma. </w:t>
      </w:r>
    </w:p>
    <w:p w14:paraId="3F6B3932" w14:textId="07622333" w:rsidR="0058187F" w:rsidRDefault="00285EE7" w:rsidP="003D669D">
      <w:pPr>
        <w:autoSpaceDE w:val="0"/>
        <w:autoSpaceDN w:val="0"/>
        <w:adjustRightInd w:val="0"/>
        <w:spacing w:line="276" w:lineRule="auto"/>
        <w:ind w:firstLine="720"/>
        <w:jc w:val="both"/>
        <w:rPr>
          <w:rFonts w:eastAsiaTheme="minorHAnsi"/>
          <w:lang w:eastAsia="en-US"/>
          <w14:ligatures w14:val="standardContextual"/>
        </w:rPr>
      </w:pPr>
      <w:r>
        <w:rPr>
          <w:rFonts w:eastAsiaTheme="minorHAnsi"/>
          <w:lang w:eastAsia="en-US"/>
          <w14:ligatures w14:val="standardContextual"/>
        </w:rPr>
        <w:t xml:space="preserve">Tāpēc pārsūdzētais spriedums ir atceļams un lieta nododama jaunai izskatīšanai Administratīvajā rajona tiesā. </w:t>
      </w:r>
    </w:p>
    <w:p w14:paraId="4C0697AB" w14:textId="77777777" w:rsidR="0058187F" w:rsidRDefault="0058187F" w:rsidP="003D669D">
      <w:pPr>
        <w:autoSpaceDE w:val="0"/>
        <w:autoSpaceDN w:val="0"/>
        <w:adjustRightInd w:val="0"/>
        <w:spacing w:line="276" w:lineRule="auto"/>
        <w:ind w:firstLine="720"/>
        <w:jc w:val="both"/>
        <w:rPr>
          <w:rFonts w:eastAsiaTheme="minorHAnsi"/>
          <w:lang w:eastAsia="en-US"/>
          <w14:ligatures w14:val="standardContextual"/>
        </w:rPr>
      </w:pPr>
    </w:p>
    <w:p w14:paraId="02A554C7" w14:textId="2C09E338" w:rsidR="00F830A9" w:rsidRPr="005F06E6" w:rsidRDefault="00C966FA" w:rsidP="003D669D">
      <w:pPr>
        <w:spacing w:line="276" w:lineRule="auto"/>
        <w:ind w:firstLine="720"/>
        <w:jc w:val="both"/>
      </w:pPr>
      <w:r>
        <w:rPr>
          <w:bCs/>
        </w:rPr>
        <w:t xml:space="preserve">[31] Attiecībā uz tiesas atzīto, ka pārējā strīdus tāmēs ietvertā informācija nevar tikt atzīta par </w:t>
      </w:r>
      <w:r w:rsidR="005F06E6">
        <w:rPr>
          <w:bCs/>
        </w:rPr>
        <w:t xml:space="preserve">aizsargājamu </w:t>
      </w:r>
      <w:r>
        <w:rPr>
          <w:bCs/>
        </w:rPr>
        <w:t xml:space="preserve">komercnoslēpumu, kasatore </w:t>
      </w:r>
      <w:r w:rsidR="00FE5779">
        <w:rPr>
          <w:bCs/>
        </w:rPr>
        <w:t>norādījusi</w:t>
      </w:r>
      <w:r>
        <w:rPr>
          <w:bCs/>
        </w:rPr>
        <w:t>, ka t</w:t>
      </w:r>
      <w:r w:rsidR="00F830A9" w:rsidRPr="009E4764">
        <w:rPr>
          <w:bCs/>
        </w:rPr>
        <w:t xml:space="preserve">iesa nav ņēmusi vērā trešās personas rakstveida paskaidrojumos </w:t>
      </w:r>
      <w:r w:rsidR="00FE5779">
        <w:rPr>
          <w:bCs/>
        </w:rPr>
        <w:t xml:space="preserve">un tiem pievienotajā sertificēta tāmētāja skaidrojumā </w:t>
      </w:r>
      <w:r w:rsidR="00F830A9" w:rsidRPr="009E4764">
        <w:rPr>
          <w:bCs/>
        </w:rPr>
        <w:t xml:space="preserve">norādīto, kā arī 2021.gada 22.aprīļa tiesas sēdē </w:t>
      </w:r>
      <w:r w:rsidR="00FE5779">
        <w:rPr>
          <w:bCs/>
        </w:rPr>
        <w:t>uzsvērto</w:t>
      </w:r>
      <w:r w:rsidR="00F830A9" w:rsidRPr="009E4764">
        <w:rPr>
          <w:bCs/>
        </w:rPr>
        <w:t xml:space="preserve">, ka no tāmēm var </w:t>
      </w:r>
      <w:r w:rsidR="00F830A9" w:rsidRPr="009E4764">
        <w:rPr>
          <w:bCs/>
        </w:rPr>
        <w:lastRenderedPageBreak/>
        <w:t xml:space="preserve">izsecināt arī uzņēmuma stratēģiju, finanšu plūsmu, veikto darbu metodes un izmantotos tehnoloģiskos risinājumus, kā arī darījuma attiecības ar citiem komersantiem. </w:t>
      </w:r>
      <w:r>
        <w:rPr>
          <w:bCs/>
        </w:rPr>
        <w:t>Kasatore uzsvērusi, ka b</w:t>
      </w:r>
      <w:r w:rsidR="00F830A9" w:rsidRPr="009E4764">
        <w:rPr>
          <w:lang w:eastAsia="lv-LV"/>
        </w:rPr>
        <w:t xml:space="preserve">ūvniecības nozares speciālistam, iepazīstoties ar tāmēm, būtu iespēja izsecināt ievērojamu informācijas apjomu par tiešajām izmaksām, </w:t>
      </w:r>
      <w:r w:rsidR="00F830A9" w:rsidRPr="004734F8">
        <w:rPr>
          <w:lang w:eastAsia="lv-LV"/>
        </w:rPr>
        <w:t>piemērotajām atlaidēm no piegādātājiem, pakalpojumu cenām, par kādu pakalpojums tiek pirkts no apakšuzņēmējiem, kā arī citu informāciju, tostarp komersanta peļņas daļu un procentuālu sadalījumu, kā uzņēmums organizē savu finanšu plūsmu un kas ir tā izmaksu attiecība, ar kuru ir izdevies uzvarēt publiskajā iepirkumā, piedāvājot zemāko cenu.</w:t>
      </w:r>
      <w:r w:rsidR="00F830A9" w:rsidRPr="004734F8">
        <w:rPr>
          <w:b/>
        </w:rPr>
        <w:t xml:space="preserve"> </w:t>
      </w:r>
      <w:r w:rsidR="00F830A9" w:rsidRPr="004734F8">
        <w:rPr>
          <w:lang w:eastAsia="lv-LV"/>
        </w:rPr>
        <w:t xml:space="preserve">Šādas informācijas apmaiņa mazina tirgus dalībnieku savstarpējo konkurenci, jo faktiski dod iespēju prognozēt tirgus dalībnieka </w:t>
      </w:r>
      <w:r w:rsidR="00F830A9" w:rsidRPr="005F06E6">
        <w:rPr>
          <w:lang w:eastAsia="lv-LV"/>
        </w:rPr>
        <w:t>rīcību un komerciālo stratēģiju.</w:t>
      </w:r>
    </w:p>
    <w:p w14:paraId="5E37181F" w14:textId="48BD5DA5" w:rsidR="00F830A9" w:rsidRPr="004734F8" w:rsidRDefault="00C966FA" w:rsidP="003D669D">
      <w:pPr>
        <w:autoSpaceDE w:val="0"/>
        <w:autoSpaceDN w:val="0"/>
        <w:adjustRightInd w:val="0"/>
        <w:spacing w:line="276" w:lineRule="auto"/>
        <w:ind w:firstLine="720"/>
        <w:jc w:val="both"/>
        <w:rPr>
          <w:rFonts w:eastAsiaTheme="minorHAnsi"/>
          <w:lang w:eastAsia="en-US"/>
          <w14:ligatures w14:val="standardContextual"/>
        </w:rPr>
      </w:pPr>
      <w:r w:rsidRPr="005F06E6">
        <w:rPr>
          <w:rFonts w:eastAsiaTheme="minorHAnsi"/>
          <w:lang w:eastAsia="en-US"/>
          <w14:ligatures w14:val="standardContextual"/>
        </w:rPr>
        <w:t>Senāts šos kasatores argumentus atzīst par pamatotiem.</w:t>
      </w:r>
    </w:p>
    <w:p w14:paraId="46683E7F" w14:textId="77777777" w:rsidR="00C966FA" w:rsidRPr="004734F8" w:rsidRDefault="00C966FA" w:rsidP="003D669D">
      <w:pPr>
        <w:autoSpaceDE w:val="0"/>
        <w:autoSpaceDN w:val="0"/>
        <w:adjustRightInd w:val="0"/>
        <w:spacing w:line="276" w:lineRule="auto"/>
        <w:ind w:firstLine="720"/>
        <w:jc w:val="both"/>
        <w:rPr>
          <w:rFonts w:eastAsiaTheme="minorHAnsi"/>
          <w:lang w:eastAsia="en-US"/>
          <w14:ligatures w14:val="standardContextual"/>
        </w:rPr>
      </w:pPr>
    </w:p>
    <w:p w14:paraId="19F6FCA6" w14:textId="325B6C6D" w:rsidR="005F06E6" w:rsidRDefault="00355121" w:rsidP="003D669D">
      <w:pPr>
        <w:spacing w:line="276" w:lineRule="auto"/>
        <w:ind w:firstLine="720"/>
        <w:jc w:val="both"/>
      </w:pPr>
      <w:r w:rsidRPr="004734F8">
        <w:rPr>
          <w:rFonts w:eastAsiaTheme="minorHAnsi"/>
          <w:lang w:eastAsia="en-US"/>
          <w14:ligatures w14:val="standardContextual"/>
        </w:rPr>
        <w:t>[3</w:t>
      </w:r>
      <w:r w:rsidR="00C966FA" w:rsidRPr="004734F8">
        <w:rPr>
          <w:rFonts w:eastAsiaTheme="minorHAnsi"/>
          <w:lang w:eastAsia="en-US"/>
          <w14:ligatures w14:val="standardContextual"/>
        </w:rPr>
        <w:t>2</w:t>
      </w:r>
      <w:r w:rsidRPr="004734F8">
        <w:rPr>
          <w:rFonts w:eastAsiaTheme="minorHAnsi"/>
          <w:lang w:eastAsia="en-US"/>
          <w14:ligatures w14:val="standardContextual"/>
        </w:rPr>
        <w:t xml:space="preserve">] </w:t>
      </w:r>
      <w:r w:rsidR="00836A6D" w:rsidRPr="004734F8">
        <w:rPr>
          <w:rFonts w:eastAsiaTheme="minorHAnsi"/>
          <w:lang w:eastAsia="en-US"/>
          <w14:ligatures w14:val="standardContextual"/>
        </w:rPr>
        <w:t xml:space="preserve">Laikā, kad tiesa izskatīja konkrēto lietu, </w:t>
      </w:r>
      <w:r w:rsidR="0049189F" w:rsidRPr="004734F8">
        <w:t>Komerclikuma 19.panta pirmajā daļā</w:t>
      </w:r>
      <w:r w:rsidR="0049189F" w:rsidRPr="004734F8">
        <w:rPr>
          <w:rFonts w:eastAsiaTheme="minorHAnsi"/>
          <w:lang w:eastAsia="en-US"/>
          <w14:ligatures w14:val="standardContextual"/>
        </w:rPr>
        <w:t xml:space="preserve"> </w:t>
      </w:r>
      <w:r w:rsidR="00836A6D" w:rsidRPr="004734F8">
        <w:rPr>
          <w:rFonts w:eastAsiaTheme="minorHAnsi"/>
          <w:lang w:eastAsia="en-US"/>
          <w14:ligatures w14:val="standardContextual"/>
        </w:rPr>
        <w:t xml:space="preserve">komercnoslēpuma jēdziens bija </w:t>
      </w:r>
      <w:r w:rsidR="0049189F">
        <w:rPr>
          <w:rFonts w:eastAsiaTheme="minorHAnsi"/>
          <w:lang w:eastAsia="en-US"/>
          <w14:ligatures w14:val="standardContextual"/>
        </w:rPr>
        <w:t>skaidrots šādi</w:t>
      </w:r>
      <w:r w:rsidR="0049189F">
        <w:t>:</w:t>
      </w:r>
      <w:r w:rsidR="00836A6D" w:rsidRPr="004734F8">
        <w:t xml:space="preserve"> komercnoslēpuma statusu komersants var piešķirt tādām saimnieciska, tehniska vai zinātniska rakstura lietām un rakstveidā vai citādā veidā fiksētām vai nefiksētām ziņām, kuras atbilst visām šādām pazīmēm:</w:t>
      </w:r>
      <w:r w:rsidR="005F06E6">
        <w:t xml:space="preserve"> </w:t>
      </w:r>
      <w:r w:rsidR="00836A6D" w:rsidRPr="004734F8">
        <w:t>1) tās ietilpst komersanta uzņēmumā vai ir tieši ar to saistītas; 2) tās nav vispārpieejamas trešajām personām;</w:t>
      </w:r>
      <w:r w:rsidR="005F06E6">
        <w:t xml:space="preserve"> </w:t>
      </w:r>
      <w:r w:rsidR="00836A6D" w:rsidRPr="004734F8">
        <w:t>3) tām ir vai var būt mantiska vai nemantiska vērtība;</w:t>
      </w:r>
      <w:r w:rsidR="005F06E6">
        <w:t xml:space="preserve"> </w:t>
      </w:r>
      <w:r w:rsidR="00836A6D" w:rsidRPr="004734F8">
        <w:t>4) to nonākšana citu personu rīcībā var radīt zaudējumus komersantam; 5) attiecībā uz tām komersants ir veicis konkrētai situācijai atbilstošus saprātīgus komercnoslēpuma saglabāšanas pasākumus.</w:t>
      </w:r>
      <w:r w:rsidR="00D57F31" w:rsidRPr="004734F8">
        <w:t xml:space="preserve"> </w:t>
      </w:r>
    </w:p>
    <w:p w14:paraId="37C1EA0F" w14:textId="77777777" w:rsidR="00573EC2" w:rsidRDefault="0049189F" w:rsidP="003D669D">
      <w:pPr>
        <w:autoSpaceDE w:val="0"/>
        <w:autoSpaceDN w:val="0"/>
        <w:adjustRightInd w:val="0"/>
        <w:spacing w:line="276" w:lineRule="auto"/>
        <w:ind w:firstLine="720"/>
        <w:jc w:val="both"/>
        <w:rPr>
          <w:shd w:val="clear" w:color="auto" w:fill="FFFFFF"/>
        </w:rPr>
      </w:pPr>
      <w:r w:rsidRPr="005F06E6">
        <w:t>Vispārīgāk, bet i</w:t>
      </w:r>
      <w:r w:rsidR="00D57F31" w:rsidRPr="005F06E6">
        <w:t xml:space="preserve">dejiski līdzīgi komercnoslēpuma jēdzienu skaidro arī Informācijas atklātības likuma 7.panta pirmā daļa: </w:t>
      </w:r>
      <w:r w:rsidR="00D57F31" w:rsidRPr="005F06E6">
        <w:rPr>
          <w:shd w:val="clear" w:color="auto" w:fill="FFFFFF"/>
        </w:rPr>
        <w:t>par komercnoslēpumu uzskatāma komersanta radīta vai komersantam piederoša informācija, kuras atklāšana varētu būtiski negatīvi ietekmēt komersanta konkurētspēju.</w:t>
      </w:r>
      <w:r w:rsidRPr="005F06E6">
        <w:rPr>
          <w:shd w:val="clear" w:color="auto" w:fill="FFFFFF"/>
        </w:rPr>
        <w:t xml:space="preserve"> </w:t>
      </w:r>
    </w:p>
    <w:p w14:paraId="00BABEFA" w14:textId="6A00B237" w:rsidR="0049189F" w:rsidRPr="005F06E6" w:rsidRDefault="0049189F" w:rsidP="003D669D">
      <w:pPr>
        <w:autoSpaceDE w:val="0"/>
        <w:autoSpaceDN w:val="0"/>
        <w:adjustRightInd w:val="0"/>
        <w:spacing w:line="276" w:lineRule="auto"/>
        <w:ind w:firstLine="720"/>
        <w:jc w:val="both"/>
      </w:pPr>
      <w:r w:rsidRPr="005F06E6">
        <w:rPr>
          <w:shd w:val="clear" w:color="auto" w:fill="FFFFFF"/>
        </w:rPr>
        <w:t>Pēc būtības līdzīgi komercnoslēpuma jēdziens skaidrots arī spēkā esošajā Komercnoslēpuma aizsardzības likuma 2.panta pirmajā daļā: k</w:t>
      </w:r>
      <w:r w:rsidRPr="005F06E6">
        <w:t>omercnoslēpums ir neizpaužama saimnieciska rakstura informācija, tehnoloģiskās zināšanas un zinātniska vai cita rakstura informācija, kas atbilst visām šādām pazīmēm: 1) tā ir slepena, jo nav vispārzināma vai pieejama personām, kuras parasti izmanto šāda veida informāciju; 2) tai ir faktiska vai potenciāla komerciālā vērtība tādēļ, ka tā ir slepena; 3) komercnoslēpuma turētājs attiecībā uz to ir veicis konkrētajai situācijai atbilstošus un saprātīgus komercnoslēpuma slepenības saglabāšanas pasākumus.</w:t>
      </w:r>
      <w:r w:rsidR="00573EC2">
        <w:t xml:space="preserve"> </w:t>
      </w:r>
      <w:r w:rsidR="00573EC2" w:rsidRPr="00506818">
        <w:t xml:space="preserve">Vienlaikus šā likuma 6.panta pirmā daļa paredz, ka </w:t>
      </w:r>
      <w:r w:rsidR="00573EC2" w:rsidRPr="00506818">
        <w:rPr>
          <w:shd w:val="clear" w:color="auto" w:fill="FFFFFF"/>
        </w:rPr>
        <w:t>komercnoslēpuma turētājs, sniedzot informāciju fiziskajai vai juridiskajai personai, tiesai vai valsts pārvaldes iestādei, norāda, ka informācija ir komercnoslēpums, kā arī informē par nepieciešamību nodrošināt komercnoslēpuma aizsardzību.</w:t>
      </w:r>
      <w:r w:rsidR="00573EC2">
        <w:rPr>
          <w:shd w:val="clear" w:color="auto" w:fill="FFFFFF"/>
        </w:rPr>
        <w:t xml:space="preserve"> </w:t>
      </w:r>
    </w:p>
    <w:p w14:paraId="73361AE1" w14:textId="09A95F18" w:rsidR="00CE1CD9" w:rsidRDefault="00CE1CD9" w:rsidP="003D669D">
      <w:pPr>
        <w:spacing w:line="276" w:lineRule="auto"/>
        <w:ind w:firstLine="720"/>
        <w:jc w:val="both"/>
        <w:rPr>
          <w:shd w:val="clear" w:color="auto" w:fill="FFFFFF"/>
        </w:rPr>
      </w:pPr>
      <w:r>
        <w:rPr>
          <w:shd w:val="clear" w:color="auto" w:fill="FFFFFF"/>
        </w:rPr>
        <w:t xml:space="preserve">Tādējādi </w:t>
      </w:r>
      <w:r w:rsidR="0087680B">
        <w:rPr>
          <w:shd w:val="clear" w:color="auto" w:fill="FFFFFF"/>
        </w:rPr>
        <w:t xml:space="preserve">tiesiskajā regulējumā </w:t>
      </w:r>
      <w:r>
        <w:rPr>
          <w:shd w:val="clear" w:color="auto" w:fill="FFFFFF"/>
        </w:rPr>
        <w:t xml:space="preserve">komercnoslēpums </w:t>
      </w:r>
      <w:r w:rsidR="0087680B">
        <w:rPr>
          <w:shd w:val="clear" w:color="auto" w:fill="FFFFFF"/>
        </w:rPr>
        <w:t xml:space="preserve">būtībā </w:t>
      </w:r>
      <w:r>
        <w:rPr>
          <w:shd w:val="clear" w:color="auto" w:fill="FFFFFF"/>
        </w:rPr>
        <w:t xml:space="preserve">ir </w:t>
      </w:r>
      <w:r w:rsidR="0087680B">
        <w:rPr>
          <w:shd w:val="clear" w:color="auto" w:fill="FFFFFF"/>
        </w:rPr>
        <w:t xml:space="preserve">skaidrots kā </w:t>
      </w:r>
      <w:r>
        <w:rPr>
          <w:shd w:val="clear" w:color="auto" w:fill="FFFFFF"/>
        </w:rPr>
        <w:t>tāda komersanta rīcībā esoša informācij</w:t>
      </w:r>
      <w:r w:rsidR="000C3466">
        <w:rPr>
          <w:shd w:val="clear" w:color="auto" w:fill="FFFFFF"/>
        </w:rPr>
        <w:t>a</w:t>
      </w:r>
      <w:r>
        <w:rPr>
          <w:shd w:val="clear" w:color="auto" w:fill="FFFFFF"/>
        </w:rPr>
        <w:t xml:space="preserve">, kas ir saistīta ar konkrētā komersanta saimniecisko darbību, kas nav vispārpieejama (un komersants par to ir saprātīgi parūpējies) un kuras izpaušana varētu negatīvi </w:t>
      </w:r>
      <w:r w:rsidRPr="004734F8">
        <w:rPr>
          <w:shd w:val="clear" w:color="auto" w:fill="FFFFFF"/>
        </w:rPr>
        <w:t>ietekmēt komersanta konkurētspēju</w:t>
      </w:r>
      <w:r>
        <w:rPr>
          <w:shd w:val="clear" w:color="auto" w:fill="FFFFFF"/>
        </w:rPr>
        <w:t xml:space="preserve">. </w:t>
      </w:r>
    </w:p>
    <w:p w14:paraId="3B32DF47" w14:textId="77777777" w:rsidR="000E34C8" w:rsidRDefault="0087680B" w:rsidP="003D669D">
      <w:pPr>
        <w:spacing w:line="276" w:lineRule="auto"/>
        <w:ind w:firstLine="720"/>
        <w:jc w:val="both"/>
        <w:rPr>
          <w:rFonts w:eastAsiaTheme="minorHAnsi"/>
          <w:lang w:eastAsia="en-US"/>
          <w14:ligatures w14:val="standardContextual"/>
        </w:rPr>
      </w:pPr>
      <w:r>
        <w:rPr>
          <w:shd w:val="clear" w:color="auto" w:fill="FFFFFF"/>
        </w:rPr>
        <w:t xml:space="preserve">Papildus Senāts atgādina: </w:t>
      </w:r>
      <w:r>
        <w:rPr>
          <w:rFonts w:eastAsiaTheme="minorHAnsi"/>
          <w:lang w:eastAsia="en-US"/>
          <w14:ligatures w14:val="standardContextual"/>
        </w:rPr>
        <w:t xml:space="preserve">Eiropas Savienības Tiesa, kā jau iepriekš minēts, ir skaidrojusi, ka publisko iepirkumu tiesības prasa aizsargāt pretendentu iesniegtu konfidenciālu informāciju. Lai noskaidrotu, kas ir konfidenciāla informācija, var izmantot tiesību aktos par komercnoslēpuma aizsardzību lietoto komercnoslēpuma jēdzienu, tomēr vienlaikus jāapzinās, ka par konfidenciālu varētu uzskatīt arī tādu informāciju, kas </w:t>
      </w:r>
      <w:r>
        <w:rPr>
          <w:rFonts w:eastAsiaTheme="minorHAnsi"/>
          <w:lang w:eastAsia="en-US"/>
          <w14:ligatures w14:val="standardContextual"/>
        </w:rPr>
        <w:lastRenderedPageBreak/>
        <w:t>neatbilst komercnoslēpuma kritērijiem, bet kuras neizpaušana tik un tā ir nepieciešama, lai aizsargātu komersanta komerciālās intereses un nodrošinātu netraucētu konkurenci (</w:t>
      </w:r>
      <w:r w:rsidRPr="005F06E6">
        <w:rPr>
          <w:rFonts w:eastAsiaTheme="minorHAnsi"/>
          <w:i/>
          <w:iCs/>
          <w:lang w:eastAsia="en-US"/>
          <w14:ligatures w14:val="standardContextual"/>
        </w:rPr>
        <w:t>Antea Polska sprieduma 55., 62., 63.punkts</w:t>
      </w:r>
      <w:r w:rsidRPr="005F06E6">
        <w:rPr>
          <w:rFonts w:eastAsiaTheme="minorHAnsi"/>
          <w:lang w:eastAsia="en-US"/>
          <w14:ligatures w14:val="standardContextual"/>
        </w:rPr>
        <w:t>).</w:t>
      </w:r>
      <w:r>
        <w:rPr>
          <w:rFonts w:eastAsiaTheme="minorHAnsi"/>
          <w:lang w:eastAsia="en-US"/>
          <w14:ligatures w14:val="standardContextual"/>
        </w:rPr>
        <w:t xml:space="preserve"> </w:t>
      </w:r>
    </w:p>
    <w:p w14:paraId="1FA47F45" w14:textId="1C426BEB" w:rsidR="0087680B" w:rsidRDefault="0087680B" w:rsidP="003D669D">
      <w:pPr>
        <w:spacing w:line="276" w:lineRule="auto"/>
        <w:ind w:firstLine="720"/>
        <w:jc w:val="both"/>
        <w:rPr>
          <w:rFonts w:eastAsiaTheme="minorHAnsi"/>
          <w:lang w:eastAsia="en-US"/>
          <w14:ligatures w14:val="standardContextual"/>
        </w:rPr>
      </w:pPr>
      <w:r>
        <w:rPr>
          <w:rFonts w:eastAsiaTheme="minorHAnsi"/>
          <w:lang w:eastAsia="en-US"/>
          <w14:ligatures w14:val="standardContextual"/>
        </w:rPr>
        <w:t>Līdz ar to, lemjot par tādas informācijas izsniegšanu, kas iestādes rīcībā nonākusi publiskā iepirkuma procedūras rezultātā, ir jāapzinās, ka netraucētas konkurences nodrošināšanas nolūkā nav tik būtiski, vai strīdus informācija ir kvalificējama tieši kā komercnoslēpums, bet gan – vai konkrētā informācija ir tāda, kuras izsniegšana varētu radīt reālu apdraudējumu komersanta komerciālajām interesēm un netraucētai konkurencei.</w:t>
      </w:r>
    </w:p>
    <w:p w14:paraId="66FBD06F" w14:textId="04B33590" w:rsidR="0087680B" w:rsidRPr="004734F8" w:rsidRDefault="0087680B" w:rsidP="003D669D">
      <w:pPr>
        <w:spacing w:line="276" w:lineRule="auto"/>
        <w:ind w:firstLine="720"/>
        <w:jc w:val="both"/>
      </w:pPr>
    </w:p>
    <w:p w14:paraId="4A1C65A7" w14:textId="41B1D963" w:rsidR="00355121" w:rsidRPr="004734F8" w:rsidRDefault="00CE1CD9" w:rsidP="003D669D">
      <w:pPr>
        <w:spacing w:line="276" w:lineRule="auto"/>
        <w:ind w:firstLine="720"/>
        <w:jc w:val="both"/>
        <w:rPr>
          <w:rFonts w:eastAsiaTheme="minorHAnsi"/>
          <w:lang w:eastAsia="en-US"/>
          <w14:ligatures w14:val="standardContextual"/>
        </w:rPr>
      </w:pPr>
      <w:r>
        <w:t xml:space="preserve">[33] </w:t>
      </w:r>
      <w:r w:rsidR="005436E0" w:rsidRPr="004734F8">
        <w:t>Senāta judikatūrā</w:t>
      </w:r>
      <w:r w:rsidR="00836A6D" w:rsidRPr="004734F8">
        <w:t xml:space="preserve"> </w:t>
      </w:r>
      <w:r w:rsidR="005436E0" w:rsidRPr="004734F8">
        <w:t xml:space="preserve">atzīts, ka </w:t>
      </w:r>
      <w:r w:rsidR="00573EC2">
        <w:t xml:space="preserve">vispārīgi </w:t>
      </w:r>
      <w:r w:rsidR="005436E0" w:rsidRPr="004734F8">
        <w:t>komercnoslēpuma statusu lietai vai ziņām piešķir pats komersants, pamatojoties uz savu novērtējumu par to nozīmi, komerciālu vērtību un nepieciešamību to paturēt noslēpumā un aizsargāt no trešajām personām. Šāds regulējums ir noteikts, jo primāri tieši komersants kā rūpīgs un kārtīgs saimnieks vislabāk izprot sava uzņēmuma un nozares, kurā viņš darboj</w:t>
      </w:r>
      <w:r w:rsidR="000C3466">
        <w:t>a</w:t>
      </w:r>
      <w:r w:rsidR="005436E0" w:rsidRPr="004734F8">
        <w:t xml:space="preserve">s, specifiku, vajadzības, konkurences īpatnības un citas svarīgas detaļas. </w:t>
      </w:r>
      <w:r w:rsidR="009A30C2" w:rsidRPr="004734F8">
        <w:t>K</w:t>
      </w:r>
      <w:r w:rsidR="005436E0" w:rsidRPr="004734F8">
        <w:t xml:space="preserve">omercnoslēpuma aizsardzība ir ļoti būtiska komersantam, jo no tā ir atkarīga komersanta uzņēmuma vērtība un tā attīstības iespējas. Komercnoslēpuma neatļauta nonākšana konkurenta rīcībā dod tam saimnieciskas priekšrocības un ir pretēja godīgām saimnieciskās darbības paražām. Tādējādi komersanta tiesības noteikt komercnoslēpuma statusu un prasīt tā aizsardzību ir nozīmīgas un respektējamas. </w:t>
      </w:r>
      <w:r w:rsidR="000A5E83" w:rsidRPr="004734F8">
        <w:t>Vienlaikus m</w:t>
      </w:r>
      <w:r w:rsidR="009A30C2" w:rsidRPr="004734F8">
        <w:t xml:space="preserve">inētais neliedz iestādei un tiesai pārbaudīt komercnoslēpuma statusa noteikšanas pamatotību. </w:t>
      </w:r>
      <w:r w:rsidR="005436E0" w:rsidRPr="004734F8">
        <w:rPr>
          <w:rFonts w:eastAsia="Lucida Sans Unicode"/>
          <w:kern w:val="2"/>
          <w:lang w:eastAsia="hi-IN" w:bidi="hi-IN"/>
        </w:rPr>
        <w:t>Tomēr t</w:t>
      </w:r>
      <w:r w:rsidR="00355121" w:rsidRPr="004734F8">
        <w:rPr>
          <w:rFonts w:eastAsiaTheme="minorHAnsi"/>
          <w:lang w:eastAsia="en-US"/>
          <w14:ligatures w14:val="standardContextual"/>
        </w:rPr>
        <w:t>iesas secinājumam par komercnoslēpuma statusa nepamatotu noteikšanu jābūt labi argumentētam, balstoties, ja nepieciešams, uz konkrētās nozares lietpratēju slēdzienu</w:t>
      </w:r>
      <w:r w:rsidR="000A5E83" w:rsidRPr="004734F8">
        <w:rPr>
          <w:rFonts w:eastAsiaTheme="minorHAnsi"/>
          <w:lang w:eastAsia="en-US"/>
          <w14:ligatures w14:val="standardContextual"/>
        </w:rPr>
        <w:t xml:space="preserve">. Tas prasa </w:t>
      </w:r>
      <w:r w:rsidR="000A5E83" w:rsidRPr="004734F8">
        <w:t xml:space="preserve">katru pieprasīto informācijas daļu analizēt atsevišķi un </w:t>
      </w:r>
      <w:r w:rsidR="000A5E83" w:rsidRPr="004734F8">
        <w:rPr>
          <w:rFonts w:eastAsia="Lucida Sans Unicode"/>
          <w:kern w:val="2"/>
          <w:lang w:eastAsia="hi-IN" w:bidi="hi-IN"/>
        </w:rPr>
        <w:t xml:space="preserve">argumentēt, kāpēc konkrētajā gadījumā, pretēji </w:t>
      </w:r>
      <w:r w:rsidR="000E34C8">
        <w:rPr>
          <w:rFonts w:eastAsia="Lucida Sans Unicode"/>
          <w:kern w:val="2"/>
          <w:lang w:eastAsia="hi-IN" w:bidi="hi-IN"/>
        </w:rPr>
        <w:t>komersanta</w:t>
      </w:r>
      <w:r w:rsidR="000A5E83" w:rsidRPr="004734F8">
        <w:rPr>
          <w:rFonts w:eastAsia="Lucida Sans Unicode"/>
          <w:kern w:val="2"/>
          <w:lang w:eastAsia="hi-IN" w:bidi="hi-IN"/>
        </w:rPr>
        <w:t xml:space="preserve"> apgalvojumiem par komercnoslēpuma statusa esību, katra pieprasītās informācijas daļa </w:t>
      </w:r>
      <w:r w:rsidR="000E34C8">
        <w:rPr>
          <w:rFonts w:eastAsia="Lucida Sans Unicode"/>
          <w:kern w:val="2"/>
          <w:lang w:eastAsia="hi-IN" w:bidi="hi-IN"/>
        </w:rPr>
        <w:t>tomēr</w:t>
      </w:r>
      <w:r w:rsidR="000A5E83" w:rsidRPr="004734F8">
        <w:rPr>
          <w:rFonts w:eastAsia="Lucida Sans Unicode"/>
          <w:kern w:val="2"/>
          <w:lang w:eastAsia="hi-IN" w:bidi="hi-IN"/>
        </w:rPr>
        <w:t xml:space="preserve"> neatbilst komercnoslēpuma statusam </w:t>
      </w:r>
      <w:r w:rsidR="00355121" w:rsidRPr="004734F8">
        <w:rPr>
          <w:rFonts w:eastAsiaTheme="minorHAnsi"/>
          <w:lang w:eastAsia="en-US"/>
          <w14:ligatures w14:val="standardContextual"/>
        </w:rPr>
        <w:t>(</w:t>
      </w:r>
      <w:r w:rsidR="00355121" w:rsidRPr="004734F8">
        <w:rPr>
          <w:rFonts w:eastAsiaTheme="minorHAnsi"/>
          <w:i/>
          <w:iCs/>
          <w:lang w:eastAsia="en-US"/>
          <w14:ligatures w14:val="standardContextual"/>
        </w:rPr>
        <w:t xml:space="preserve">Senāta </w:t>
      </w:r>
      <w:r w:rsidR="005436E0" w:rsidRPr="004734F8">
        <w:rPr>
          <w:rFonts w:eastAsiaTheme="minorHAnsi"/>
          <w:i/>
          <w:iCs/>
          <w:lang w:eastAsia="en-US"/>
          <w14:ligatures w14:val="standardContextual"/>
        </w:rPr>
        <w:t>2017.gada 12.jūlija sprieduma lietā Nr.</w:t>
      </w:r>
      <w:r w:rsidR="000C3466">
        <w:rPr>
          <w:rFonts w:eastAsiaTheme="minorHAnsi"/>
          <w:i/>
          <w:iCs/>
          <w:lang w:eastAsia="en-US"/>
          <w14:ligatures w14:val="standardContextual"/>
        </w:rPr>
        <w:t> </w:t>
      </w:r>
      <w:hyperlink r:id="rId29" w:history="1">
        <w:r w:rsidR="005436E0" w:rsidRPr="00C33413">
          <w:rPr>
            <w:rStyle w:val="Hyperlink"/>
            <w:rFonts w:eastAsiaTheme="minorHAnsi"/>
            <w:i/>
            <w:iCs/>
            <w:lang w:eastAsia="en-US"/>
            <w14:ligatures w14:val="standardContextual"/>
          </w:rPr>
          <w:t>SKA-29/2017</w:t>
        </w:r>
      </w:hyperlink>
      <w:r w:rsidR="000C3466">
        <w:rPr>
          <w:rFonts w:eastAsiaTheme="minorHAnsi"/>
          <w:i/>
          <w:iCs/>
          <w:lang w:eastAsia="en-US"/>
          <w14:ligatures w14:val="standardContextual"/>
        </w:rPr>
        <w:t xml:space="preserve">, </w:t>
      </w:r>
      <w:r w:rsidR="005436E0" w:rsidRPr="004734F8">
        <w:rPr>
          <w:rFonts w:eastAsiaTheme="minorHAnsi"/>
          <w:i/>
          <w:iCs/>
          <w:lang w:eastAsia="en-US"/>
          <w14:ligatures w14:val="standardContextual"/>
        </w:rPr>
        <w:t>A420418311</w:t>
      </w:r>
      <w:r w:rsidR="000C3466">
        <w:rPr>
          <w:rFonts w:eastAsiaTheme="minorHAnsi"/>
          <w:i/>
          <w:iCs/>
          <w:lang w:eastAsia="en-US"/>
          <w14:ligatures w14:val="standardContextual"/>
        </w:rPr>
        <w:t xml:space="preserve">, </w:t>
      </w:r>
      <w:r w:rsidR="005436E0" w:rsidRPr="004734F8">
        <w:rPr>
          <w:rFonts w:eastAsiaTheme="minorHAnsi"/>
          <w:i/>
          <w:iCs/>
          <w:lang w:eastAsia="en-US"/>
          <w14:ligatures w14:val="standardContextual"/>
        </w:rPr>
        <w:t>9.punkts</w:t>
      </w:r>
      <w:r w:rsidR="00355121" w:rsidRPr="004734F8">
        <w:rPr>
          <w:rFonts w:eastAsiaTheme="minorHAnsi"/>
          <w:lang w:eastAsia="en-US"/>
          <w14:ligatures w14:val="standardContextual"/>
        </w:rPr>
        <w:t xml:space="preserve">). </w:t>
      </w:r>
    </w:p>
    <w:p w14:paraId="3AA05DE9" w14:textId="3EF5D605" w:rsidR="000A5E83" w:rsidRDefault="000A5E83" w:rsidP="003D669D">
      <w:pPr>
        <w:autoSpaceDE w:val="0"/>
        <w:autoSpaceDN w:val="0"/>
        <w:adjustRightInd w:val="0"/>
        <w:spacing w:line="276" w:lineRule="auto"/>
        <w:ind w:firstLine="720"/>
        <w:jc w:val="both"/>
        <w:rPr>
          <w:rFonts w:eastAsiaTheme="minorHAnsi"/>
          <w:lang w:eastAsia="en-US"/>
          <w14:ligatures w14:val="standardContextual"/>
        </w:rPr>
      </w:pPr>
      <w:r w:rsidRPr="004734F8">
        <w:rPr>
          <w:rFonts w:eastAsiaTheme="minorHAnsi"/>
          <w:lang w:eastAsia="en-US"/>
          <w14:ligatures w14:val="standardContextual"/>
        </w:rPr>
        <w:t xml:space="preserve">Minētajā Senāta judikatūrā uzsvērtā nepieciešamība </w:t>
      </w:r>
      <w:r w:rsidR="0087680B">
        <w:rPr>
          <w:rFonts w:eastAsiaTheme="minorHAnsi"/>
          <w:lang w:eastAsia="en-US"/>
          <w14:ligatures w14:val="standardContextual"/>
        </w:rPr>
        <w:t xml:space="preserve">tiesai </w:t>
      </w:r>
      <w:r w:rsidRPr="004734F8">
        <w:rPr>
          <w:rFonts w:eastAsiaTheme="minorHAnsi"/>
          <w:lang w:eastAsia="en-US"/>
          <w14:ligatures w14:val="standardContextual"/>
        </w:rPr>
        <w:t>rūpīgi pamatot, kāpēc komersanta apgalvojums par ko</w:t>
      </w:r>
      <w:r w:rsidR="0087680B">
        <w:rPr>
          <w:rFonts w:eastAsiaTheme="minorHAnsi"/>
          <w:lang w:eastAsia="en-US"/>
          <w14:ligatures w14:val="standardContextual"/>
        </w:rPr>
        <w:t>nfidenciālas informācijas</w:t>
      </w:r>
      <w:r w:rsidRPr="004734F8">
        <w:rPr>
          <w:rFonts w:eastAsiaTheme="minorHAnsi"/>
          <w:lang w:eastAsia="en-US"/>
          <w14:ligatures w14:val="standardContextual"/>
        </w:rPr>
        <w:t xml:space="preserve"> esību ir nepamatots, publisko iepirkumu dokumentācijas </w:t>
      </w:r>
      <w:r w:rsidR="0087680B">
        <w:rPr>
          <w:rFonts w:eastAsiaTheme="minorHAnsi"/>
          <w:lang w:eastAsia="en-US"/>
          <w14:ligatures w14:val="standardContextual"/>
        </w:rPr>
        <w:t xml:space="preserve">kontekstā </w:t>
      </w:r>
      <w:r w:rsidRPr="004734F8">
        <w:rPr>
          <w:rFonts w:eastAsiaTheme="minorHAnsi"/>
          <w:lang w:eastAsia="en-US"/>
          <w14:ligatures w14:val="standardContextual"/>
        </w:rPr>
        <w:t>ir saskanīg</w:t>
      </w:r>
      <w:r>
        <w:rPr>
          <w:rFonts w:eastAsiaTheme="minorHAnsi"/>
          <w:lang w:eastAsia="en-US"/>
          <w14:ligatures w14:val="standardContextual"/>
        </w:rPr>
        <w:t xml:space="preserve">s arī ar </w:t>
      </w:r>
      <w:r w:rsidR="00355121" w:rsidRPr="005436E0">
        <w:rPr>
          <w:rFonts w:eastAsiaTheme="minorHAnsi"/>
          <w:lang w:eastAsia="en-US"/>
          <w14:ligatures w14:val="standardContextual"/>
        </w:rPr>
        <w:t>Eiropas Savienības Vispārējā</w:t>
      </w:r>
      <w:r w:rsidR="00C33413">
        <w:rPr>
          <w:rFonts w:eastAsiaTheme="minorHAnsi"/>
          <w:lang w:eastAsia="en-US"/>
          <w14:ligatures w14:val="standardContextual"/>
        </w:rPr>
        <w:t>s</w:t>
      </w:r>
      <w:r w:rsidR="00355121" w:rsidRPr="005436E0">
        <w:rPr>
          <w:rFonts w:eastAsiaTheme="minorHAnsi"/>
          <w:lang w:eastAsia="en-US"/>
          <w14:ligatures w14:val="standardContextual"/>
        </w:rPr>
        <w:t xml:space="preserve"> tiesa</w:t>
      </w:r>
      <w:r>
        <w:rPr>
          <w:rFonts w:eastAsiaTheme="minorHAnsi"/>
          <w:lang w:eastAsia="en-US"/>
          <w14:ligatures w14:val="standardContextual"/>
        </w:rPr>
        <w:t>s atzīto</w:t>
      </w:r>
      <w:r w:rsidR="00355121" w:rsidRPr="005436E0">
        <w:rPr>
          <w:rFonts w:eastAsiaTheme="minorHAnsi"/>
          <w:lang w:eastAsia="en-US"/>
          <w14:ligatures w14:val="standardContextual"/>
        </w:rPr>
        <w:t xml:space="preserve">, ka </w:t>
      </w:r>
      <w:r w:rsidR="00355121" w:rsidRPr="005436E0">
        <w:rPr>
          <w:color w:val="000000"/>
        </w:rPr>
        <w:t xml:space="preserve">pastāv vispārēja (lai arī atspēkojama) prezumpcija, ka piekļuve publiskā iepirkuma procedūrā iesniegtiem pretendentu piedāvājumiem principā kaitē komerciālo interešu aizsardzībai </w:t>
      </w:r>
      <w:r w:rsidR="00355121" w:rsidRPr="005436E0">
        <w:rPr>
          <w:rFonts w:eastAsiaTheme="minorHAnsi"/>
          <w:lang w:eastAsia="en-US"/>
          <w14:ligatures w14:val="standardContextual"/>
        </w:rPr>
        <w:t>(</w:t>
      </w:r>
      <w:r w:rsidR="00C33413" w:rsidRPr="00C33413">
        <w:rPr>
          <w:i/>
          <w:iCs/>
          <w:color w:val="000000"/>
        </w:rPr>
        <w:t>Eiropas Savienības Vispārējās tiesas 2016.gada 21.septembra spriedum</w:t>
      </w:r>
      <w:r w:rsidR="00C33413">
        <w:rPr>
          <w:i/>
          <w:iCs/>
          <w:color w:val="000000"/>
        </w:rPr>
        <w:t>a</w:t>
      </w:r>
      <w:r w:rsidR="00C33413" w:rsidRPr="00C33413">
        <w:rPr>
          <w:i/>
          <w:iCs/>
          <w:color w:val="000000"/>
        </w:rPr>
        <w:t xml:space="preserve"> lietā „Secolux v. Eiropas Komisija”, T</w:t>
      </w:r>
      <w:r w:rsidR="00C33413" w:rsidRPr="00C33413">
        <w:rPr>
          <w:i/>
          <w:iCs/>
          <w:color w:val="000000"/>
        </w:rPr>
        <w:noBreakHyphen/>
        <w:t xml:space="preserve">363/14, </w:t>
      </w:r>
      <w:hyperlink r:id="rId30" w:history="1">
        <w:r w:rsidR="00C33413" w:rsidRPr="00C33413">
          <w:rPr>
            <w:rStyle w:val="Hyperlink"/>
            <w:i/>
            <w:iCs/>
          </w:rPr>
          <w:t>ECLI:EU:T:2016:521</w:t>
        </w:r>
      </w:hyperlink>
      <w:r w:rsidR="00C33413" w:rsidRPr="00C33413">
        <w:rPr>
          <w:i/>
          <w:iCs/>
          <w:color w:val="000000"/>
        </w:rPr>
        <w:t xml:space="preserve">, </w:t>
      </w:r>
      <w:r w:rsidR="00355121" w:rsidRPr="005436E0">
        <w:rPr>
          <w:i/>
          <w:iCs/>
          <w:color w:val="000000"/>
        </w:rPr>
        <w:t>49.</w:t>
      </w:r>
      <w:r w:rsidR="00C33413">
        <w:rPr>
          <w:i/>
          <w:iCs/>
          <w:color w:val="000000"/>
        </w:rPr>
        <w:t>–</w:t>
      </w:r>
      <w:r w:rsidR="00355121" w:rsidRPr="005436E0">
        <w:rPr>
          <w:i/>
          <w:iCs/>
          <w:color w:val="000000"/>
        </w:rPr>
        <w:t>54.punkts</w:t>
      </w:r>
      <w:r w:rsidR="00355121" w:rsidRPr="005436E0">
        <w:rPr>
          <w:rFonts w:eastAsiaTheme="minorHAnsi"/>
          <w:lang w:eastAsia="en-US"/>
          <w14:ligatures w14:val="standardContextual"/>
        </w:rPr>
        <w:t>).</w:t>
      </w:r>
      <w:r>
        <w:rPr>
          <w:rFonts w:eastAsiaTheme="minorHAnsi"/>
          <w:lang w:eastAsia="en-US"/>
          <w14:ligatures w14:val="standardContextual"/>
        </w:rPr>
        <w:t xml:space="preserve"> </w:t>
      </w:r>
    </w:p>
    <w:p w14:paraId="081B3221" w14:textId="24FD4F8E" w:rsidR="00F571D4" w:rsidRDefault="00F571D4" w:rsidP="003D669D">
      <w:pPr>
        <w:autoSpaceDE w:val="0"/>
        <w:autoSpaceDN w:val="0"/>
        <w:adjustRightInd w:val="0"/>
        <w:spacing w:line="276" w:lineRule="auto"/>
        <w:ind w:firstLine="720"/>
        <w:jc w:val="both"/>
        <w:rPr>
          <w:rFonts w:eastAsiaTheme="minorHAnsi"/>
          <w:lang w:eastAsia="en-US"/>
          <w14:ligatures w14:val="standardContextual"/>
        </w:rPr>
      </w:pPr>
      <w:r>
        <w:rPr>
          <w:rFonts w:eastAsiaTheme="minorHAnsi"/>
          <w:lang w:eastAsia="en-US"/>
          <w14:ligatures w14:val="standardContextual"/>
        </w:rPr>
        <w:t xml:space="preserve">Eiropas Savienības Tiesa uzsvērusi, ka </w:t>
      </w:r>
      <w:r w:rsidRPr="00F571D4">
        <w:rPr>
          <w:rFonts w:eastAsiaTheme="minorHAnsi"/>
          <w:lang w:eastAsia="en-US"/>
          <w14:ligatures w14:val="standardContextual"/>
        </w:rPr>
        <w:t>kompetentajai valsts tiesai, pilnībā ņemot vērā gan vajadzību aizsargāt sabiedrības</w:t>
      </w:r>
      <w:r>
        <w:rPr>
          <w:rFonts w:eastAsiaTheme="minorHAnsi"/>
          <w:lang w:eastAsia="en-US"/>
          <w14:ligatures w14:val="standardContextual"/>
        </w:rPr>
        <w:t xml:space="preserve"> </w:t>
      </w:r>
      <w:r w:rsidRPr="00F571D4">
        <w:rPr>
          <w:rFonts w:eastAsiaTheme="minorHAnsi"/>
          <w:lang w:eastAsia="en-US"/>
          <w14:ligatures w14:val="standardContextual"/>
        </w:rPr>
        <w:t>intereses saistībā ar godīgas konkurences saglabāšanu publiskā iepirkuma procedūrās, gan arī</w:t>
      </w:r>
      <w:r>
        <w:rPr>
          <w:rFonts w:eastAsiaTheme="minorHAnsi"/>
          <w:lang w:eastAsia="en-US"/>
          <w14:ligatures w14:val="standardContextual"/>
        </w:rPr>
        <w:t xml:space="preserve"> </w:t>
      </w:r>
      <w:r w:rsidRPr="00F571D4">
        <w:rPr>
          <w:rFonts w:eastAsiaTheme="minorHAnsi"/>
          <w:lang w:eastAsia="en-US"/>
          <w14:ligatures w14:val="standardContextual"/>
        </w:rPr>
        <w:t>vajadzību aizsargāt patiešām konfidenciālu informāciju un it īpaši iepirkuma procedūras</w:t>
      </w:r>
      <w:r>
        <w:rPr>
          <w:rFonts w:eastAsiaTheme="minorHAnsi"/>
          <w:lang w:eastAsia="en-US"/>
          <w14:ligatures w14:val="standardContextual"/>
        </w:rPr>
        <w:t xml:space="preserve"> </w:t>
      </w:r>
      <w:r w:rsidRPr="00F571D4">
        <w:rPr>
          <w:rFonts w:eastAsiaTheme="minorHAnsi"/>
          <w:lang w:eastAsia="en-US"/>
          <w14:ligatures w14:val="standardContextual"/>
        </w:rPr>
        <w:t xml:space="preserve">dalībnieku komercnoslēpumus, ir jāpārbauda, vai informācija, kuru </w:t>
      </w:r>
      <w:r w:rsidR="0087680B">
        <w:rPr>
          <w:rFonts w:eastAsiaTheme="minorHAnsi"/>
          <w:lang w:eastAsia="en-US"/>
          <w14:ligatures w14:val="standardContextual"/>
        </w:rPr>
        <w:t>iestāde atteikusies</w:t>
      </w:r>
      <w:r w:rsidRPr="00F571D4">
        <w:rPr>
          <w:rFonts w:eastAsiaTheme="minorHAnsi"/>
          <w:lang w:eastAsia="en-US"/>
          <w14:ligatures w14:val="standardContextual"/>
        </w:rPr>
        <w:t xml:space="preserve"> izpaust lūguma iesniedzējam, ir konfidenciāla. Šajā nolūkā</w:t>
      </w:r>
      <w:r>
        <w:rPr>
          <w:rFonts w:eastAsiaTheme="minorHAnsi"/>
          <w:lang w:eastAsia="en-US"/>
          <w14:ligatures w14:val="standardContextual"/>
        </w:rPr>
        <w:t xml:space="preserve"> </w:t>
      </w:r>
      <w:r w:rsidRPr="00F571D4">
        <w:rPr>
          <w:rFonts w:eastAsiaTheme="minorHAnsi"/>
          <w:lang w:eastAsia="en-US"/>
          <w14:ligatures w14:val="standardContextual"/>
        </w:rPr>
        <w:t>kompetentajai valsts tiesai ir pilnībā jāpārbauda visi atbilstošie faktiskie un tiesību apstākļi. Tai</w:t>
      </w:r>
      <w:r>
        <w:rPr>
          <w:rFonts w:eastAsiaTheme="minorHAnsi"/>
          <w:lang w:eastAsia="en-US"/>
          <w14:ligatures w14:val="standardContextual"/>
        </w:rPr>
        <w:t xml:space="preserve"> </w:t>
      </w:r>
      <w:r w:rsidRPr="00F571D4">
        <w:rPr>
          <w:rFonts w:eastAsiaTheme="minorHAnsi"/>
          <w:lang w:eastAsia="en-US"/>
          <w14:ligatures w14:val="standardContextual"/>
        </w:rPr>
        <w:t>arī ir jābūt pieejamai nepieciešamajai informācijai, tostarp konfidenciālajai informācijai un</w:t>
      </w:r>
      <w:r>
        <w:rPr>
          <w:rFonts w:eastAsiaTheme="minorHAnsi"/>
          <w:lang w:eastAsia="en-US"/>
          <w14:ligatures w14:val="standardContextual"/>
        </w:rPr>
        <w:t xml:space="preserve"> </w:t>
      </w:r>
      <w:r w:rsidRPr="00F571D4">
        <w:rPr>
          <w:rFonts w:eastAsiaTheme="minorHAnsi"/>
          <w:lang w:eastAsia="en-US"/>
          <w14:ligatures w14:val="standardContextual"/>
        </w:rPr>
        <w:t>komercnoslēpumiem, lai tā varētu pieņemt nolēmumu, pilnībā pārzinot lietas apstākļus (</w:t>
      </w:r>
      <w:r w:rsidRPr="00F571D4">
        <w:rPr>
          <w:rFonts w:eastAsiaTheme="minorHAnsi"/>
          <w:i/>
          <w:iCs/>
          <w:lang w:eastAsia="en-US"/>
          <w14:ligatures w14:val="standardContextual"/>
        </w:rPr>
        <w:t>Klaipedos centras sprieduma 130.punkts</w:t>
      </w:r>
      <w:r w:rsidRPr="00F571D4">
        <w:rPr>
          <w:rFonts w:eastAsiaTheme="minorHAnsi"/>
          <w:lang w:eastAsia="en-US"/>
          <w14:ligatures w14:val="standardContextual"/>
        </w:rPr>
        <w:t>).</w:t>
      </w:r>
      <w:r>
        <w:rPr>
          <w:rFonts w:eastAsiaTheme="minorHAnsi"/>
          <w:lang w:eastAsia="en-US"/>
          <w14:ligatures w14:val="standardContextual"/>
        </w:rPr>
        <w:t xml:space="preserve"> </w:t>
      </w:r>
    </w:p>
    <w:p w14:paraId="75401873" w14:textId="68E788EB" w:rsidR="00506818" w:rsidRDefault="00F571D4" w:rsidP="003D669D">
      <w:pPr>
        <w:autoSpaceDE w:val="0"/>
        <w:autoSpaceDN w:val="0"/>
        <w:adjustRightInd w:val="0"/>
        <w:spacing w:line="276" w:lineRule="auto"/>
        <w:ind w:firstLine="720"/>
        <w:jc w:val="both"/>
        <w:rPr>
          <w:rFonts w:eastAsiaTheme="minorHAnsi"/>
          <w:lang w:eastAsia="en-US"/>
          <w14:ligatures w14:val="standardContextual"/>
        </w:rPr>
      </w:pPr>
      <w:r>
        <w:rPr>
          <w:rFonts w:eastAsiaTheme="minorHAnsi"/>
          <w:lang w:eastAsia="en-US"/>
          <w14:ligatures w14:val="standardContextual"/>
        </w:rPr>
        <w:lastRenderedPageBreak/>
        <w:t>Tādējādi tiesai ir pienākums pilnvērtīgi pārbaudīt to informāciju, kuru komersants norādījis kā konfidenciālu</w:t>
      </w:r>
      <w:r w:rsidR="00573EC2">
        <w:rPr>
          <w:rFonts w:eastAsiaTheme="minorHAnsi"/>
          <w:lang w:eastAsia="en-US"/>
          <w14:ligatures w14:val="standardContextual"/>
        </w:rPr>
        <w:t xml:space="preserve">. Ja tiesa atzīst, ka pieprasītā informācija nav atzīstama par konfidenciālu, tai, analizējot </w:t>
      </w:r>
      <w:r w:rsidR="00573EC2" w:rsidRPr="004734F8">
        <w:t>katru pieprasīto informācijas daļu atsevišķi</w:t>
      </w:r>
      <w:r w:rsidR="00573EC2">
        <w:t>,</w:t>
      </w:r>
      <w:r w:rsidR="00D57F31">
        <w:rPr>
          <w:rFonts w:eastAsiaTheme="minorHAnsi"/>
          <w:lang w:eastAsia="en-US"/>
          <w14:ligatures w14:val="standardContextual"/>
        </w:rPr>
        <w:t xml:space="preserve"> </w:t>
      </w:r>
      <w:r w:rsidR="00573EC2">
        <w:rPr>
          <w:rFonts w:eastAsiaTheme="minorHAnsi"/>
          <w:lang w:eastAsia="en-US"/>
          <w14:ligatures w14:val="standardContextual"/>
        </w:rPr>
        <w:t>ir jāpam</w:t>
      </w:r>
      <w:r w:rsidR="00FE5779">
        <w:rPr>
          <w:rFonts w:eastAsiaTheme="minorHAnsi"/>
          <w:lang w:eastAsia="en-US"/>
          <w14:ligatures w14:val="standardContextual"/>
        </w:rPr>
        <w:t>a</w:t>
      </w:r>
      <w:r w:rsidR="00573EC2">
        <w:rPr>
          <w:rFonts w:eastAsiaTheme="minorHAnsi"/>
          <w:lang w:eastAsia="en-US"/>
          <w14:ligatures w14:val="standardContextual"/>
        </w:rPr>
        <w:t>to</w:t>
      </w:r>
      <w:r w:rsidR="00D57F31">
        <w:rPr>
          <w:rFonts w:eastAsiaTheme="minorHAnsi"/>
          <w:lang w:eastAsia="en-US"/>
          <w14:ligatures w14:val="standardContextual"/>
        </w:rPr>
        <w:t>, kāpēc komersanta norādītā informācija tomēr nav komercnoslēpums</w:t>
      </w:r>
      <w:r w:rsidR="0087680B">
        <w:rPr>
          <w:rFonts w:eastAsiaTheme="minorHAnsi"/>
          <w:lang w:eastAsia="en-US"/>
          <w14:ligatures w14:val="standardContextual"/>
        </w:rPr>
        <w:t>/konfidenciāla informācija</w:t>
      </w:r>
      <w:r w:rsidR="00D57F31">
        <w:rPr>
          <w:rFonts w:eastAsiaTheme="minorHAnsi"/>
          <w:lang w:eastAsia="en-US"/>
          <w14:ligatures w14:val="standardContextual"/>
        </w:rPr>
        <w:t>.</w:t>
      </w:r>
    </w:p>
    <w:p w14:paraId="74DB9E2A" w14:textId="77777777" w:rsidR="00753E31" w:rsidRDefault="00753E31" w:rsidP="003D669D">
      <w:pPr>
        <w:autoSpaceDE w:val="0"/>
        <w:autoSpaceDN w:val="0"/>
        <w:adjustRightInd w:val="0"/>
        <w:spacing w:line="276" w:lineRule="auto"/>
        <w:ind w:firstLine="720"/>
        <w:jc w:val="both"/>
        <w:rPr>
          <w:rFonts w:eastAsiaTheme="minorHAnsi"/>
          <w:lang w:eastAsia="en-US"/>
          <w14:ligatures w14:val="standardContextual"/>
        </w:rPr>
      </w:pPr>
    </w:p>
    <w:p w14:paraId="33E5982C" w14:textId="3479A6DF" w:rsidR="000E34C8" w:rsidRDefault="00753E31" w:rsidP="003D669D">
      <w:pPr>
        <w:spacing w:line="276" w:lineRule="auto"/>
        <w:ind w:firstLine="720"/>
        <w:contextualSpacing/>
        <w:jc w:val="both"/>
      </w:pPr>
      <w:r>
        <w:rPr>
          <w:rFonts w:eastAsiaTheme="minorHAnsi"/>
          <w:lang w:eastAsia="en-US"/>
          <w14:ligatures w14:val="standardContextual"/>
        </w:rPr>
        <w:t>[3</w:t>
      </w:r>
      <w:r w:rsidR="00CE1CD9">
        <w:rPr>
          <w:rFonts w:eastAsiaTheme="minorHAnsi"/>
          <w:lang w:eastAsia="en-US"/>
          <w14:ligatures w14:val="standardContextual"/>
        </w:rPr>
        <w:t>4</w:t>
      </w:r>
      <w:r>
        <w:rPr>
          <w:rFonts w:eastAsiaTheme="minorHAnsi"/>
          <w:lang w:eastAsia="en-US"/>
          <w14:ligatures w14:val="standardContextual"/>
        </w:rPr>
        <w:t xml:space="preserve">] </w:t>
      </w:r>
      <w:r w:rsidR="001D681C">
        <w:rPr>
          <w:rFonts w:eastAsiaTheme="minorHAnsi"/>
          <w:lang w:eastAsia="en-US"/>
          <w14:ligatures w14:val="standardContextual"/>
        </w:rPr>
        <w:t xml:space="preserve">Senāts arī atzīst, ka pieprasītās informācijas </w:t>
      </w:r>
      <w:r w:rsidR="00573EC2">
        <w:rPr>
          <w:rFonts w:eastAsiaTheme="minorHAnsi"/>
          <w:lang w:eastAsia="en-US"/>
          <w14:ligatures w14:val="standardContextual"/>
        </w:rPr>
        <w:t>daļu</w:t>
      </w:r>
      <w:r w:rsidR="001D681C">
        <w:rPr>
          <w:rFonts w:eastAsiaTheme="minorHAnsi"/>
          <w:lang w:eastAsia="en-US"/>
          <w14:ligatures w14:val="standardContextual"/>
        </w:rPr>
        <w:t xml:space="preserve"> atsevišķs novērtējums var būt būtisks ne tikai</w:t>
      </w:r>
      <w:r w:rsidR="000E34C8">
        <w:rPr>
          <w:rFonts w:eastAsiaTheme="minorHAnsi"/>
          <w:lang w:eastAsia="en-US"/>
          <w14:ligatures w14:val="standardContextual"/>
        </w:rPr>
        <w:t xml:space="preserve"> tāpēc</w:t>
      </w:r>
      <w:r w:rsidR="001D681C">
        <w:rPr>
          <w:rFonts w:eastAsiaTheme="minorHAnsi"/>
          <w:lang w:eastAsia="en-US"/>
          <w14:ligatures w14:val="standardContextual"/>
        </w:rPr>
        <w:t>, lai pārbaudītu, vai tiešām konkrēt</w:t>
      </w:r>
      <w:r w:rsidR="00573EC2">
        <w:rPr>
          <w:rFonts w:eastAsiaTheme="minorHAnsi"/>
          <w:lang w:eastAsia="en-US"/>
          <w14:ligatures w14:val="standardContextual"/>
        </w:rPr>
        <w:t>ā informācija</w:t>
      </w:r>
      <w:r w:rsidR="001D681C">
        <w:rPr>
          <w:rFonts w:eastAsiaTheme="minorHAnsi"/>
          <w:lang w:eastAsia="en-US"/>
          <w14:ligatures w14:val="standardContextual"/>
        </w:rPr>
        <w:t xml:space="preserve"> ir konfidenciāla informācija, kuras izpaušana var radīt netraucētas konkurences apdraudējumu. Tas var būt nepieciešams</w:t>
      </w:r>
      <w:r w:rsidR="00DD6203">
        <w:rPr>
          <w:rFonts w:eastAsiaTheme="minorHAnsi"/>
          <w:lang w:eastAsia="en-US"/>
          <w14:ligatures w14:val="standardContextual"/>
        </w:rPr>
        <w:t>,</w:t>
      </w:r>
      <w:r w:rsidR="001D681C">
        <w:rPr>
          <w:rFonts w:eastAsiaTheme="minorHAnsi"/>
          <w:lang w:eastAsia="en-US"/>
          <w14:ligatures w14:val="standardContextual"/>
        </w:rPr>
        <w:t xml:space="preserve"> arī izvērtējot, kāds konkrētajā gadījumā ir samērīgākais interešu līdzsvarošanas veids, </w:t>
      </w:r>
      <w:r w:rsidR="00DD6203">
        <w:rPr>
          <w:rFonts w:eastAsiaTheme="minorHAnsi"/>
          <w:lang w:eastAsia="en-US"/>
          <w14:ligatures w14:val="standardContextual"/>
        </w:rPr>
        <w:t>j</w:t>
      </w:r>
      <w:r w:rsidR="001D681C">
        <w:rPr>
          <w:rFonts w:eastAsiaTheme="minorHAnsi"/>
          <w:lang w:eastAsia="en-US"/>
          <w14:ligatures w14:val="standardContextual"/>
        </w:rPr>
        <w:t>o nevar izslēgt, ka pastāv sevišķas sabiedrības intereses, kas var attaisnot</w:t>
      </w:r>
      <w:r w:rsidR="000E34C8">
        <w:rPr>
          <w:rFonts w:eastAsiaTheme="minorHAnsi"/>
          <w:lang w:eastAsia="en-US"/>
          <w14:ligatures w14:val="standardContextual"/>
        </w:rPr>
        <w:t xml:space="preserve"> </w:t>
      </w:r>
      <w:r w:rsidR="001D681C">
        <w:rPr>
          <w:rFonts w:eastAsiaTheme="minorHAnsi"/>
          <w:lang w:eastAsia="en-US"/>
          <w14:ligatures w14:val="standardContextual"/>
        </w:rPr>
        <w:t>kādas daļas, bet ne visas konfidenciālās informācijas izsniegšanu</w:t>
      </w:r>
      <w:r w:rsidR="001D681C">
        <w:t xml:space="preserve">. </w:t>
      </w:r>
    </w:p>
    <w:p w14:paraId="68D6BC8C" w14:textId="371B785F" w:rsidR="001D681C" w:rsidRDefault="001D681C" w:rsidP="003D669D">
      <w:pPr>
        <w:spacing w:line="276" w:lineRule="auto"/>
        <w:ind w:firstLine="720"/>
        <w:contextualSpacing/>
        <w:jc w:val="both"/>
      </w:pPr>
      <w:r>
        <w:t xml:space="preserve">Piemēram, tiesa konkrētajā gadījumā sabiedrības interešu kontekstā norādīja, ka </w:t>
      </w:r>
      <w:r w:rsidRPr="001B5970">
        <w:rPr>
          <w:rFonts w:eastAsiaTheme="minorHAnsi"/>
          <w:lang w:eastAsia="en-US"/>
          <w14:ligatures w14:val="standardContextual"/>
        </w:rPr>
        <w:t>būvniecības nozarē aizvien ir ļoti liels aplokšņu algu īpatsvars</w:t>
      </w:r>
      <w:r w:rsidR="00753E31">
        <w:rPr>
          <w:rFonts w:eastAsiaTheme="minorHAnsi"/>
          <w:lang w:eastAsia="en-US"/>
          <w14:ligatures w14:val="standardContextual"/>
        </w:rPr>
        <w:t xml:space="preserve"> </w:t>
      </w:r>
      <w:r w:rsidRPr="001B5970">
        <w:rPr>
          <w:rFonts w:eastAsiaTheme="minorHAnsi"/>
          <w:lang w:eastAsia="en-US"/>
          <w14:ligatures w14:val="standardContextual"/>
        </w:rPr>
        <w:t>un tāmes</w:t>
      </w:r>
      <w:r>
        <w:rPr>
          <w:rFonts w:eastAsiaTheme="minorHAnsi"/>
          <w:lang w:eastAsia="en-US"/>
          <w14:ligatures w14:val="standardContextual"/>
        </w:rPr>
        <w:t xml:space="preserve"> </w:t>
      </w:r>
      <w:r w:rsidRPr="001B5970">
        <w:rPr>
          <w:rFonts w:eastAsiaTheme="minorHAnsi"/>
          <w:lang w:eastAsia="en-US"/>
          <w14:ligatures w14:val="standardContextual"/>
        </w:rPr>
        <w:t>atļautu redzēt aptuvenās summas, kādas tiek tērētas darbu veikšanai, lai salīdzinātu, vai tās atbilst</w:t>
      </w:r>
      <w:r>
        <w:rPr>
          <w:rFonts w:eastAsiaTheme="minorHAnsi"/>
          <w:lang w:eastAsia="en-US"/>
          <w14:ligatures w14:val="standardContextual"/>
        </w:rPr>
        <w:t xml:space="preserve"> </w:t>
      </w:r>
      <w:r w:rsidRPr="001B5970">
        <w:rPr>
          <w:rFonts w:eastAsiaTheme="minorHAnsi"/>
          <w:lang w:eastAsia="en-US"/>
          <w14:ligatures w14:val="standardContextual"/>
        </w:rPr>
        <w:t>vidējiem tirgus rādītājiem</w:t>
      </w:r>
      <w:r>
        <w:rPr>
          <w:rFonts w:eastAsiaTheme="minorHAnsi"/>
          <w:lang w:eastAsia="en-US"/>
          <w14:ligatures w14:val="standardContextual"/>
        </w:rPr>
        <w:t xml:space="preserve">. </w:t>
      </w:r>
      <w:r w:rsidR="00753E31">
        <w:rPr>
          <w:rFonts w:eastAsiaTheme="minorHAnsi"/>
          <w:lang w:eastAsia="en-US"/>
          <w14:ligatures w14:val="standardContextual"/>
        </w:rPr>
        <w:t>Līdz ar to, j</w:t>
      </w:r>
      <w:r>
        <w:rPr>
          <w:rFonts w:eastAsiaTheme="minorHAnsi"/>
          <w:lang w:eastAsia="en-US"/>
          <w14:ligatures w14:val="standardContextual"/>
        </w:rPr>
        <w:t>a tiesa konstatētu, ka konkrētajā gadījumā ir sevišķa sabiedrības interese uzzināt, vai trešā persona darbiniekiem godprātīgi maksā algas, tad t</w:t>
      </w:r>
      <w:r w:rsidR="00753E31">
        <w:rPr>
          <w:rFonts w:eastAsiaTheme="minorHAnsi"/>
          <w:lang w:eastAsia="en-US"/>
          <w14:ligatures w14:val="standardContextual"/>
        </w:rPr>
        <w:t>ā</w:t>
      </w:r>
      <w:r>
        <w:rPr>
          <w:rFonts w:eastAsiaTheme="minorHAnsi"/>
          <w:lang w:eastAsia="en-US"/>
          <w14:ligatures w14:val="standardContextual"/>
        </w:rPr>
        <w:t xml:space="preserve"> nodrošināšanai varētu būt pietiekami ar šo tāmes pozīciju atklāšanu.</w:t>
      </w:r>
      <w:r w:rsidR="00753E31">
        <w:rPr>
          <w:rFonts w:eastAsiaTheme="minorHAnsi"/>
          <w:lang w:eastAsia="en-US"/>
          <w14:ligatures w14:val="standardContextual"/>
        </w:rPr>
        <w:t xml:space="preserve"> Vienlaikus Senāts gan norāda, ka vispārīgi</w:t>
      </w:r>
      <w:r w:rsidR="00573EC2">
        <w:rPr>
          <w:rFonts w:eastAsiaTheme="minorHAnsi"/>
          <w:lang w:eastAsia="en-US"/>
          <w14:ligatures w14:val="standardContextual"/>
        </w:rPr>
        <w:t xml:space="preserve"> – </w:t>
      </w:r>
      <w:r w:rsidR="00753E31">
        <w:rPr>
          <w:rFonts w:eastAsiaTheme="minorHAnsi"/>
          <w:lang w:eastAsia="en-US"/>
          <w14:ligatures w14:val="standardContextual"/>
        </w:rPr>
        <w:t>ar</w:t>
      </w:r>
      <w:r w:rsidR="00573EC2">
        <w:rPr>
          <w:rFonts w:eastAsiaTheme="minorHAnsi"/>
          <w:lang w:eastAsia="en-US"/>
          <w14:ligatures w14:val="standardContextual"/>
        </w:rPr>
        <w:t xml:space="preserve"> </w:t>
      </w:r>
      <w:r w:rsidR="00753E31">
        <w:rPr>
          <w:rFonts w:eastAsiaTheme="minorHAnsi"/>
          <w:lang w:eastAsia="en-US"/>
          <w14:ligatures w14:val="standardContextual"/>
        </w:rPr>
        <w:t>attiecīgā komersanta darbību konkrēti nesaistīti</w:t>
      </w:r>
      <w:r w:rsidR="00573EC2">
        <w:rPr>
          <w:rFonts w:eastAsiaTheme="minorHAnsi"/>
          <w:lang w:eastAsia="en-US"/>
          <w14:ligatures w14:val="standardContextual"/>
        </w:rPr>
        <w:t xml:space="preserve"> –</w:t>
      </w:r>
      <w:r w:rsidR="00753E31">
        <w:rPr>
          <w:rFonts w:eastAsiaTheme="minorHAnsi"/>
          <w:lang w:eastAsia="en-US"/>
          <w14:ligatures w14:val="standardContextual"/>
        </w:rPr>
        <w:t xml:space="preserve"> apgalvojumi, ka „mēdz būt tā un tā”</w:t>
      </w:r>
      <w:r w:rsidR="00573EC2">
        <w:rPr>
          <w:rFonts w:eastAsiaTheme="minorHAnsi"/>
          <w:lang w:eastAsia="en-US"/>
          <w14:ligatures w14:val="standardContextual"/>
        </w:rPr>
        <w:t>,</w:t>
      </w:r>
      <w:r w:rsidR="00753E31">
        <w:rPr>
          <w:rFonts w:eastAsiaTheme="minorHAnsi"/>
          <w:lang w:eastAsia="en-US"/>
          <w14:ligatures w14:val="standardContextual"/>
        </w:rPr>
        <w:t xml:space="preserve"> paši par sevi varētu nebūt pietiekami, lai pamatotu sabiedrības sevišķu interesi piekļūt tieši konkrēta komersanta komercnoslēpumam.</w:t>
      </w:r>
    </w:p>
    <w:p w14:paraId="3C6205B1" w14:textId="77777777" w:rsidR="00506818" w:rsidRDefault="00506818" w:rsidP="003D669D">
      <w:pPr>
        <w:autoSpaceDE w:val="0"/>
        <w:autoSpaceDN w:val="0"/>
        <w:adjustRightInd w:val="0"/>
        <w:spacing w:line="276" w:lineRule="auto"/>
        <w:ind w:firstLine="720"/>
        <w:jc w:val="both"/>
        <w:rPr>
          <w:rFonts w:eastAsiaTheme="minorHAnsi"/>
          <w:lang w:eastAsia="en-US"/>
          <w14:ligatures w14:val="standardContextual"/>
        </w:rPr>
      </w:pPr>
    </w:p>
    <w:p w14:paraId="74B868A2" w14:textId="61A55B70" w:rsidR="004F3D60" w:rsidRDefault="004F3D60" w:rsidP="003D669D">
      <w:pPr>
        <w:autoSpaceDE w:val="0"/>
        <w:autoSpaceDN w:val="0"/>
        <w:adjustRightInd w:val="0"/>
        <w:spacing w:line="276" w:lineRule="auto"/>
        <w:ind w:firstLine="720"/>
        <w:jc w:val="both"/>
        <w:rPr>
          <w:rFonts w:eastAsiaTheme="minorHAnsi"/>
          <w:lang w:eastAsia="en-US"/>
          <w14:ligatures w14:val="standardContextual"/>
        </w:rPr>
      </w:pPr>
      <w:r w:rsidRPr="004734F8">
        <w:rPr>
          <w:rFonts w:eastAsiaTheme="minorHAnsi"/>
          <w:lang w:eastAsia="en-US"/>
          <w14:ligatures w14:val="standardContextual"/>
        </w:rPr>
        <w:t>[3</w:t>
      </w:r>
      <w:r w:rsidR="00E42CDF">
        <w:rPr>
          <w:rFonts w:eastAsiaTheme="minorHAnsi"/>
          <w:lang w:eastAsia="en-US"/>
          <w14:ligatures w14:val="standardContextual"/>
        </w:rPr>
        <w:t>5</w:t>
      </w:r>
      <w:r w:rsidRPr="004734F8">
        <w:rPr>
          <w:rFonts w:eastAsiaTheme="minorHAnsi"/>
          <w:lang w:eastAsia="en-US"/>
          <w14:ligatures w14:val="standardContextual"/>
        </w:rPr>
        <w:t xml:space="preserve">] Tiesa spriedumā konstatējusi, ka saskaņā </w:t>
      </w:r>
      <w:r w:rsidR="00E05FF7">
        <w:rPr>
          <w:rFonts w:eastAsiaTheme="minorHAnsi"/>
          <w:lang w:eastAsia="en-US"/>
          <w14:ligatures w14:val="standardContextual"/>
        </w:rPr>
        <w:t>a</w:t>
      </w:r>
      <w:r w:rsidRPr="004734F8">
        <w:rPr>
          <w:rFonts w:eastAsiaTheme="minorHAnsi"/>
          <w:lang w:eastAsia="en-US"/>
          <w14:ligatures w14:val="standardContextual"/>
        </w:rPr>
        <w:t>r trešās personas paskaidrojumiem, izsniedzot pieprasīto informāciju, konkurentiem taps</w:t>
      </w:r>
      <w:r w:rsidR="00E05FF7">
        <w:rPr>
          <w:rFonts w:eastAsiaTheme="minorHAnsi"/>
          <w:lang w:eastAsia="en-US"/>
          <w14:ligatures w14:val="standardContextual"/>
        </w:rPr>
        <w:t xml:space="preserve"> </w:t>
      </w:r>
      <w:r w:rsidRPr="004734F8">
        <w:rPr>
          <w:rFonts w:eastAsiaTheme="minorHAnsi"/>
          <w:lang w:eastAsia="en-US"/>
          <w14:ligatures w14:val="standardContextual"/>
        </w:rPr>
        <w:t>zināmas būvmateriālu, būvdarbu un personāla izmaksas, kā arī informācija par izmantotajiem</w:t>
      </w:r>
      <w:r w:rsidR="00E05FF7">
        <w:rPr>
          <w:rFonts w:eastAsiaTheme="minorHAnsi"/>
          <w:lang w:eastAsia="en-US"/>
          <w14:ligatures w14:val="standardContextual"/>
        </w:rPr>
        <w:t xml:space="preserve"> </w:t>
      </w:r>
      <w:r w:rsidRPr="004734F8">
        <w:rPr>
          <w:rFonts w:eastAsiaTheme="minorHAnsi"/>
          <w:lang w:eastAsia="en-US"/>
          <w14:ligatures w14:val="standardContextual"/>
        </w:rPr>
        <w:t xml:space="preserve">būvmateriāliem, mehānismiem, būvdarbu saturu un būves sastāvu. Tomēr trešā persona tiesas sēdē neesot varējusi precizēt, kādu tieši zinātību, kādus citiem nezināmus tehnoloģiskos risinājumus pieprasītās tāmes aptver. Līdz ar to tiesa atzinusi, ka trešā persona neesot izpildījusi komersanta pienākumu pamatot, kāpēc pieprasītajos dokumentos iekļautā informācija uzskatāma par komercnoslēpumu. Vispārīga norāde par īpašiem tehnoloģiskajiem risinājumiem neesot pietiekama un trešā persona neesot pamatojusi, ka pieprasītā informācija būtu saistīta ar zinātību. </w:t>
      </w:r>
    </w:p>
    <w:p w14:paraId="77213700" w14:textId="02A44102" w:rsidR="00CC0853" w:rsidRPr="00513B3A" w:rsidRDefault="00054A70" w:rsidP="003D669D">
      <w:pPr>
        <w:autoSpaceDE w:val="0"/>
        <w:autoSpaceDN w:val="0"/>
        <w:adjustRightInd w:val="0"/>
        <w:spacing w:line="276" w:lineRule="auto"/>
        <w:ind w:firstLine="720"/>
        <w:jc w:val="both"/>
        <w:rPr>
          <w:rFonts w:eastAsiaTheme="minorHAnsi"/>
          <w:lang w:eastAsia="en-US"/>
          <w14:ligatures w14:val="standardContextual"/>
        </w:rPr>
      </w:pPr>
      <w:r>
        <w:rPr>
          <w:rFonts w:eastAsiaTheme="minorHAnsi"/>
          <w:lang w:eastAsia="en-US"/>
          <w14:ligatures w14:val="standardContextual"/>
        </w:rPr>
        <w:t xml:space="preserve">No </w:t>
      </w:r>
      <w:r w:rsidR="007F1781">
        <w:rPr>
          <w:rFonts w:eastAsiaTheme="minorHAnsi"/>
          <w:lang w:eastAsia="en-US"/>
          <w14:ligatures w14:val="standardContextual"/>
        </w:rPr>
        <w:t>tiesas a</w:t>
      </w:r>
      <w:r>
        <w:rPr>
          <w:rFonts w:eastAsiaTheme="minorHAnsi"/>
          <w:lang w:eastAsia="en-US"/>
          <w14:ligatures w14:val="standardContextual"/>
        </w:rPr>
        <w:t xml:space="preserve">rgumentācijas </w:t>
      </w:r>
      <w:r w:rsidR="007F1781">
        <w:rPr>
          <w:rFonts w:eastAsiaTheme="minorHAnsi"/>
          <w:lang w:eastAsia="en-US"/>
          <w14:ligatures w14:val="standardContextual"/>
        </w:rPr>
        <w:t>rodas priekšstats</w:t>
      </w:r>
      <w:r>
        <w:rPr>
          <w:rFonts w:eastAsiaTheme="minorHAnsi"/>
          <w:lang w:eastAsia="en-US"/>
          <w14:ligatures w14:val="standardContextual"/>
        </w:rPr>
        <w:t xml:space="preserve">, ka tiesa izšķirošu nozīmi piešķīrusi tam, vai trešās personas norādītā strīdus tāmēs ietvertā informācija ir saistīta ar zinātību. </w:t>
      </w:r>
      <w:r w:rsidR="000E34C8">
        <w:rPr>
          <w:rFonts w:eastAsiaTheme="minorHAnsi"/>
          <w:lang w:eastAsia="en-US"/>
          <w14:ligatures w14:val="standardContextual"/>
        </w:rPr>
        <w:t xml:space="preserve">Šajā sakarā vispirms norādāms, ka </w:t>
      </w:r>
      <w:r>
        <w:rPr>
          <w:rFonts w:eastAsiaTheme="minorHAnsi"/>
          <w:lang w:eastAsia="en-US"/>
          <w14:ligatures w14:val="standardContextual"/>
        </w:rPr>
        <w:t xml:space="preserve">no sprieduma nav </w:t>
      </w:r>
      <w:r w:rsidRPr="007F1781">
        <w:rPr>
          <w:rFonts w:eastAsiaTheme="minorHAnsi"/>
          <w:lang w:eastAsia="en-US"/>
          <w14:ligatures w14:val="standardContextual"/>
        </w:rPr>
        <w:t xml:space="preserve">saprotams, ko tieši tiesa saprot ar </w:t>
      </w:r>
      <w:r w:rsidRPr="000E34C8">
        <w:rPr>
          <w:rFonts w:eastAsiaTheme="minorHAnsi"/>
          <w:lang w:eastAsia="en-US"/>
          <w14:ligatures w14:val="standardContextual"/>
        </w:rPr>
        <w:t xml:space="preserve">jēdzienu </w:t>
      </w:r>
      <w:r w:rsidR="000E34C8" w:rsidRPr="000E34C8">
        <w:rPr>
          <w:rFonts w:eastAsiaTheme="minorHAnsi"/>
          <w:lang w:eastAsia="en-US"/>
          <w14:ligatures w14:val="standardContextual"/>
        </w:rPr>
        <w:t>„z</w:t>
      </w:r>
      <w:r w:rsidRPr="000E34C8">
        <w:rPr>
          <w:rFonts w:eastAsiaTheme="minorHAnsi"/>
          <w:lang w:eastAsia="en-US"/>
          <w14:ligatures w14:val="standardContextual"/>
        </w:rPr>
        <w:t>inātība</w:t>
      </w:r>
      <w:r w:rsidR="000E34C8" w:rsidRPr="000E34C8">
        <w:rPr>
          <w:rFonts w:eastAsiaTheme="minorHAnsi"/>
          <w:lang w:eastAsia="en-US"/>
          <w14:ligatures w14:val="standardContextual"/>
        </w:rPr>
        <w:t>”</w:t>
      </w:r>
      <w:r w:rsidRPr="000E34C8">
        <w:rPr>
          <w:rFonts w:eastAsiaTheme="minorHAnsi"/>
          <w:lang w:eastAsia="en-US"/>
          <w14:ligatures w14:val="standardContextual"/>
        </w:rPr>
        <w:t>,</w:t>
      </w:r>
      <w:r w:rsidRPr="007F1781">
        <w:rPr>
          <w:rFonts w:eastAsiaTheme="minorHAnsi"/>
          <w:lang w:eastAsia="en-US"/>
          <w14:ligatures w14:val="standardContextual"/>
        </w:rPr>
        <w:t xml:space="preserve"> jo tiesa to nav izskaidrojusi un nav arī sasaistījusi ar kādām tiesību normām, kurās būtu lietots </w:t>
      </w:r>
      <w:r w:rsidR="007F1781">
        <w:rPr>
          <w:rFonts w:eastAsiaTheme="minorHAnsi"/>
          <w:lang w:eastAsia="en-US"/>
          <w14:ligatures w14:val="standardContextual"/>
        </w:rPr>
        <w:t>šāds</w:t>
      </w:r>
      <w:r w:rsidRPr="007F1781">
        <w:rPr>
          <w:rFonts w:eastAsiaTheme="minorHAnsi"/>
          <w:lang w:eastAsia="en-US"/>
          <w14:ligatures w14:val="standardContextual"/>
        </w:rPr>
        <w:t xml:space="preserve"> jēdziens. No sprieduma motīviem nop</w:t>
      </w:r>
      <w:r w:rsidR="007F1781" w:rsidRPr="007F1781">
        <w:rPr>
          <w:rFonts w:eastAsiaTheme="minorHAnsi"/>
          <w:lang w:eastAsia="en-US"/>
          <w14:ligatures w14:val="standardContextual"/>
        </w:rPr>
        <w:t>r</w:t>
      </w:r>
      <w:r w:rsidRPr="007F1781">
        <w:rPr>
          <w:rFonts w:eastAsiaTheme="minorHAnsi"/>
          <w:lang w:eastAsia="en-US"/>
          <w14:ligatures w14:val="standardContextual"/>
        </w:rPr>
        <w:t>otams, ka</w:t>
      </w:r>
      <w:r w:rsidR="007F1781" w:rsidRPr="007F1781">
        <w:rPr>
          <w:rFonts w:eastAsiaTheme="minorHAnsi"/>
          <w:lang w:eastAsia="en-US"/>
          <w14:ligatures w14:val="standardContextual"/>
        </w:rPr>
        <w:t xml:space="preserve">, iespējams, tiesa ar to domājusi kādus īpašus trešās personas radītus inovatīvus </w:t>
      </w:r>
      <w:r w:rsidR="00F814B3" w:rsidRPr="007F1781">
        <w:rPr>
          <w:rFonts w:eastAsiaTheme="minorHAnsi"/>
          <w:lang w:eastAsia="en-US"/>
          <w14:ligatures w14:val="standardContextual"/>
        </w:rPr>
        <w:t>tehnoloģisk</w:t>
      </w:r>
      <w:r w:rsidR="007F1781" w:rsidRPr="007F1781">
        <w:rPr>
          <w:rFonts w:eastAsiaTheme="minorHAnsi"/>
          <w:lang w:eastAsia="en-US"/>
          <w14:ligatures w14:val="standardContextual"/>
        </w:rPr>
        <w:t>os</w:t>
      </w:r>
      <w:r w:rsidR="00F814B3" w:rsidRPr="007F1781">
        <w:rPr>
          <w:rFonts w:eastAsiaTheme="minorHAnsi"/>
          <w:lang w:eastAsia="en-US"/>
          <w14:ligatures w14:val="standardContextual"/>
        </w:rPr>
        <w:t xml:space="preserve"> risinājum</w:t>
      </w:r>
      <w:r w:rsidR="007F1781" w:rsidRPr="007F1781">
        <w:rPr>
          <w:rFonts w:eastAsiaTheme="minorHAnsi"/>
          <w:lang w:eastAsia="en-US"/>
          <w14:ligatures w14:val="standardContextual"/>
        </w:rPr>
        <w:t>us</w:t>
      </w:r>
      <w:r w:rsidR="00F814B3" w:rsidRPr="007F1781">
        <w:rPr>
          <w:rFonts w:eastAsiaTheme="minorHAnsi"/>
          <w:lang w:eastAsia="en-US"/>
          <w14:ligatures w14:val="standardContextual"/>
        </w:rPr>
        <w:t xml:space="preserve">. </w:t>
      </w:r>
      <w:r w:rsidR="007F1781" w:rsidRPr="007F1781">
        <w:rPr>
          <w:rFonts w:eastAsiaTheme="minorHAnsi"/>
          <w:lang w:eastAsia="en-US"/>
          <w14:ligatures w14:val="standardContextual"/>
        </w:rPr>
        <w:t>T</w:t>
      </w:r>
      <w:r w:rsidR="000E34C8">
        <w:rPr>
          <w:rFonts w:eastAsiaTheme="minorHAnsi"/>
          <w:lang w:eastAsia="en-US"/>
          <w14:ligatures w14:val="standardContextual"/>
        </w:rPr>
        <w:t>omēr šajā sakarā uzsverams, ka n</w:t>
      </w:r>
      <w:r w:rsidR="007F1781" w:rsidRPr="007F1781">
        <w:rPr>
          <w:rFonts w:eastAsiaTheme="minorHAnsi"/>
          <w:lang w:eastAsia="en-US"/>
          <w14:ligatures w14:val="standardContextual"/>
        </w:rPr>
        <w:t>o tiesību normām neizriet, ka komercnoslēpums var būt tikai tāda</w:t>
      </w:r>
      <w:r w:rsidR="00F814B3" w:rsidRPr="007F1781">
        <w:rPr>
          <w:rFonts w:eastAsiaTheme="minorHAnsi"/>
          <w:lang w:eastAsia="en-US"/>
          <w14:ligatures w14:val="standardContextual"/>
        </w:rPr>
        <w:t xml:space="preserve"> informācija, kas saistīta ar komersanta īpašu zinātību</w:t>
      </w:r>
      <w:r w:rsidR="003324D8">
        <w:rPr>
          <w:rFonts w:eastAsiaTheme="minorHAnsi"/>
          <w:lang w:eastAsia="en-US"/>
          <w14:ligatures w14:val="standardContextual"/>
        </w:rPr>
        <w:t xml:space="preserve"> – komersanta paša izstrādātiem unikāliem vai inovatīviem risinājumiem</w:t>
      </w:r>
      <w:r w:rsidR="00F814B3" w:rsidRPr="007F1781">
        <w:rPr>
          <w:rFonts w:eastAsiaTheme="minorHAnsi"/>
          <w:lang w:eastAsia="en-US"/>
          <w14:ligatures w14:val="standardContextual"/>
        </w:rPr>
        <w:t>. Kā jau m</w:t>
      </w:r>
      <w:r w:rsidR="007F1781" w:rsidRPr="007F1781">
        <w:rPr>
          <w:rFonts w:eastAsiaTheme="minorHAnsi"/>
          <w:lang w:eastAsia="en-US"/>
          <w14:ligatures w14:val="standardContextual"/>
        </w:rPr>
        <w:t>inēts</w:t>
      </w:r>
      <w:r w:rsidR="00F814B3" w:rsidRPr="007F1781">
        <w:rPr>
          <w:rFonts w:eastAsiaTheme="minorHAnsi"/>
          <w:lang w:eastAsia="en-US"/>
          <w14:ligatures w14:val="standardContextual"/>
        </w:rPr>
        <w:t xml:space="preserve">, </w:t>
      </w:r>
      <w:r w:rsidR="007F1781">
        <w:rPr>
          <w:rFonts w:eastAsiaTheme="minorHAnsi"/>
          <w:lang w:eastAsia="en-US"/>
          <w14:ligatures w14:val="standardContextual"/>
        </w:rPr>
        <w:t xml:space="preserve">publisko iepirkumu tiesību izpratnē </w:t>
      </w:r>
      <w:r w:rsidR="007F1781" w:rsidRPr="007F1781">
        <w:rPr>
          <w:rFonts w:eastAsiaTheme="minorHAnsi"/>
          <w:lang w:eastAsia="en-US"/>
          <w14:ligatures w14:val="standardContextual"/>
        </w:rPr>
        <w:t xml:space="preserve">komercnoslēpums un konfidenciāla </w:t>
      </w:r>
      <w:r w:rsidR="007F1781" w:rsidRPr="00CC0853">
        <w:rPr>
          <w:rFonts w:eastAsiaTheme="minorHAnsi"/>
          <w:lang w:eastAsia="en-US"/>
          <w14:ligatures w14:val="standardContextual"/>
        </w:rPr>
        <w:t>informācija</w:t>
      </w:r>
      <w:r w:rsidR="00F814B3" w:rsidRPr="00CC0853">
        <w:rPr>
          <w:rFonts w:eastAsiaTheme="minorHAnsi"/>
          <w:lang w:eastAsia="en-US"/>
          <w14:ligatures w14:val="standardContextual"/>
        </w:rPr>
        <w:t xml:space="preserve"> var</w:t>
      </w:r>
      <w:r w:rsidR="007F1781" w:rsidRPr="00CC0853">
        <w:rPr>
          <w:rFonts w:eastAsiaTheme="minorHAnsi"/>
          <w:lang w:eastAsia="en-US"/>
          <w14:ligatures w14:val="standardContextual"/>
        </w:rPr>
        <w:t>ētu</w:t>
      </w:r>
      <w:r w:rsidR="00F814B3" w:rsidRPr="00CC0853">
        <w:rPr>
          <w:rFonts w:eastAsiaTheme="minorHAnsi"/>
          <w:lang w:eastAsia="en-US"/>
          <w14:ligatures w14:val="standardContextual"/>
        </w:rPr>
        <w:t xml:space="preserve"> būt jebkura ar komersanta darbību saistīta informācija, kas nav vispārpieejama un kura</w:t>
      </w:r>
      <w:r w:rsidR="007F1781" w:rsidRPr="00CC0853">
        <w:rPr>
          <w:rFonts w:eastAsiaTheme="minorHAnsi"/>
          <w:lang w:eastAsia="en-US"/>
          <w14:ligatures w14:val="standardContextual"/>
        </w:rPr>
        <w:t>s izpaušana</w:t>
      </w:r>
      <w:r w:rsidR="00F814B3" w:rsidRPr="00CC0853">
        <w:rPr>
          <w:rFonts w:eastAsiaTheme="minorHAnsi"/>
          <w:lang w:eastAsia="en-US"/>
          <w14:ligatures w14:val="standardContextual"/>
        </w:rPr>
        <w:t xml:space="preserve"> var kaitēt k</w:t>
      </w:r>
      <w:r w:rsidR="007F1781" w:rsidRPr="00CC0853">
        <w:rPr>
          <w:rFonts w:eastAsiaTheme="minorHAnsi"/>
          <w:lang w:eastAsia="en-US"/>
          <w14:ligatures w14:val="standardContextual"/>
        </w:rPr>
        <w:t xml:space="preserve">omersanta komerciālajām interesēm </w:t>
      </w:r>
      <w:r w:rsidR="007F1781" w:rsidRPr="00CC0853">
        <w:rPr>
          <w:rFonts w:eastAsiaTheme="minorHAnsi"/>
          <w:lang w:eastAsia="en-US"/>
          <w14:ligatures w14:val="standardContextual"/>
        </w:rPr>
        <w:lastRenderedPageBreak/>
        <w:t xml:space="preserve">tādējādi, </w:t>
      </w:r>
      <w:r w:rsidR="007F1781" w:rsidRPr="00950FF2">
        <w:rPr>
          <w:rFonts w:eastAsiaTheme="minorHAnsi"/>
          <w:lang w:eastAsia="en-US"/>
          <w14:ligatures w14:val="standardContextual"/>
        </w:rPr>
        <w:t xml:space="preserve">ka tās nonākšana </w:t>
      </w:r>
      <w:r w:rsidR="007F1781" w:rsidRPr="00950FF2">
        <w:t xml:space="preserve">konkurenta rīcībā dotu tam saimnieciskas priekšrocības un apdraudētu netraucētu </w:t>
      </w:r>
      <w:r w:rsidR="007F1781" w:rsidRPr="00513B3A">
        <w:t>konkurenci.</w:t>
      </w:r>
      <w:r w:rsidR="00F814B3" w:rsidRPr="00513B3A">
        <w:rPr>
          <w:rFonts w:eastAsiaTheme="minorHAnsi"/>
          <w:lang w:eastAsia="en-US"/>
          <w14:ligatures w14:val="standardContextual"/>
        </w:rPr>
        <w:t xml:space="preserve"> </w:t>
      </w:r>
    </w:p>
    <w:p w14:paraId="403D3B86" w14:textId="4F2442A3" w:rsidR="00E42CDF" w:rsidRPr="00B0546B" w:rsidRDefault="00CC0853" w:rsidP="003D669D">
      <w:pPr>
        <w:autoSpaceDE w:val="0"/>
        <w:autoSpaceDN w:val="0"/>
        <w:adjustRightInd w:val="0"/>
        <w:spacing w:line="276" w:lineRule="auto"/>
        <w:ind w:firstLine="720"/>
        <w:jc w:val="both"/>
        <w:rPr>
          <w:lang w:eastAsia="lv-LV"/>
        </w:rPr>
      </w:pPr>
      <w:r w:rsidRPr="00513B3A">
        <w:rPr>
          <w:rFonts w:eastAsiaTheme="minorHAnsi"/>
          <w:lang w:eastAsia="en-US"/>
          <w14:ligatures w14:val="standardContextual"/>
        </w:rPr>
        <w:t>Kā izriet no lietas materiāliem</w:t>
      </w:r>
      <w:r w:rsidR="00E42CDF" w:rsidRPr="00513B3A">
        <w:rPr>
          <w:rFonts w:eastAsiaTheme="minorHAnsi"/>
          <w:lang w:eastAsia="en-US"/>
          <w14:ligatures w14:val="standardContextual"/>
        </w:rPr>
        <w:t xml:space="preserve"> (</w:t>
      </w:r>
      <w:r w:rsidR="00E878A0" w:rsidRPr="00E878A0">
        <w:rPr>
          <w:rFonts w:eastAsiaTheme="minorHAnsi"/>
          <w:i/>
          <w:iCs/>
          <w:lang w:eastAsia="en-US"/>
          <w14:ligatures w14:val="standardContextual"/>
        </w:rPr>
        <w:t xml:space="preserve">lietas </w:t>
      </w:r>
      <w:r w:rsidR="00E42CDF" w:rsidRPr="00513B3A">
        <w:rPr>
          <w:rFonts w:eastAsiaTheme="minorHAnsi"/>
          <w:i/>
          <w:iCs/>
          <w:lang w:eastAsia="en-US"/>
          <w14:ligatures w14:val="standardContextual"/>
        </w:rPr>
        <w:t>3.sējuma 49., 94.–96.lapa</w:t>
      </w:r>
      <w:r w:rsidR="00513B3A" w:rsidRPr="00513B3A">
        <w:rPr>
          <w:rFonts w:eastAsiaTheme="minorHAnsi"/>
          <w:i/>
          <w:iCs/>
          <w:lang w:eastAsia="en-US"/>
          <w14:ligatures w14:val="standardContextual"/>
        </w:rPr>
        <w:t>, 2021.gada 22.aprīļa tiesas sēdē trešās personas sniegtie paskaidrojumi</w:t>
      </w:r>
      <w:r w:rsidR="00E42CDF" w:rsidRPr="00513B3A">
        <w:rPr>
          <w:rFonts w:eastAsiaTheme="minorHAnsi"/>
          <w:lang w:eastAsia="en-US"/>
          <w14:ligatures w14:val="standardContextual"/>
        </w:rPr>
        <w:t>)</w:t>
      </w:r>
      <w:r w:rsidRPr="00513B3A">
        <w:rPr>
          <w:rFonts w:eastAsiaTheme="minorHAnsi"/>
          <w:lang w:eastAsia="en-US"/>
          <w14:ligatures w14:val="standardContextual"/>
        </w:rPr>
        <w:t>, trešā</w:t>
      </w:r>
      <w:r w:rsidRPr="00FE5779">
        <w:rPr>
          <w:rFonts w:eastAsiaTheme="minorHAnsi"/>
          <w:lang w:eastAsia="en-US"/>
          <w14:ligatures w14:val="standardContextual"/>
        </w:rPr>
        <w:t xml:space="preserve"> persona </w:t>
      </w:r>
      <w:r w:rsidR="00950FF2" w:rsidRPr="00FE5779">
        <w:rPr>
          <w:bCs/>
        </w:rPr>
        <w:t xml:space="preserve">tiesai norādīja uz </w:t>
      </w:r>
      <w:r w:rsidR="00950FF2" w:rsidRPr="00B0546B">
        <w:rPr>
          <w:bCs/>
        </w:rPr>
        <w:t xml:space="preserve">to, ka tāmēs norādītās ziņas </w:t>
      </w:r>
      <w:r w:rsidR="00950FF2" w:rsidRPr="00B0546B">
        <w:t xml:space="preserve">ietver ne tikai būvdarbu tiešās izmaksas, bet </w:t>
      </w:r>
      <w:r w:rsidR="00BA62D0" w:rsidRPr="00B0546B">
        <w:t xml:space="preserve">arī </w:t>
      </w:r>
      <w:r w:rsidR="00950FF2" w:rsidRPr="00B0546B">
        <w:t xml:space="preserve">citas izmaksas, virsizdevumus, peļņu. Trešā persona </w:t>
      </w:r>
      <w:r w:rsidRPr="00B0546B">
        <w:rPr>
          <w:rFonts w:eastAsiaTheme="minorHAnsi"/>
          <w:lang w:eastAsia="en-US"/>
          <w14:ligatures w14:val="standardContextual"/>
        </w:rPr>
        <w:t>tiesai bija skaidrojusi, ka</w:t>
      </w:r>
      <w:r w:rsidRPr="00B0546B">
        <w:rPr>
          <w:bCs/>
        </w:rPr>
        <w:t xml:space="preserve"> </w:t>
      </w:r>
      <w:r w:rsidR="00950FF2" w:rsidRPr="00B0546B">
        <w:rPr>
          <w:bCs/>
        </w:rPr>
        <w:t xml:space="preserve">būvniecības nozares speciālists </w:t>
      </w:r>
      <w:r w:rsidRPr="00B0546B">
        <w:rPr>
          <w:bCs/>
        </w:rPr>
        <w:t>no strīdus tāmēs norādītās informācijas var izsecināt arī uzņēmuma finanšu plūsmu, veikto darbu metodes un izmantotos tehnoloģiskos risinājumus, kā arī darījuma attiecības ar citiem komersantiem</w:t>
      </w:r>
      <w:r w:rsidR="00950FF2" w:rsidRPr="00B0546B">
        <w:rPr>
          <w:bCs/>
        </w:rPr>
        <w:t xml:space="preserve"> (piegādātājiem, apakšuzņēmējiem)</w:t>
      </w:r>
      <w:r w:rsidR="00E42CDF" w:rsidRPr="00B0546B">
        <w:rPr>
          <w:bCs/>
        </w:rPr>
        <w:t>, plānotās peļņas noteikšanas principus</w:t>
      </w:r>
      <w:r w:rsidRPr="00B0546B">
        <w:rPr>
          <w:bCs/>
        </w:rPr>
        <w:t xml:space="preserve">. </w:t>
      </w:r>
      <w:r w:rsidR="00BA62D0" w:rsidRPr="00B0546B">
        <w:rPr>
          <w:bCs/>
        </w:rPr>
        <w:t>Trešā persona uzsvērusi, ka š</w:t>
      </w:r>
      <w:r w:rsidR="00950FF2" w:rsidRPr="00B0546B">
        <w:rPr>
          <w:lang w:eastAsia="lv-LV"/>
        </w:rPr>
        <w:t>āda informācija dod konkurentiem iespēju prognozēt tirgus dalībnieka rīcību</w:t>
      </w:r>
      <w:r w:rsidR="00513B3A">
        <w:rPr>
          <w:lang w:eastAsia="lv-LV"/>
        </w:rPr>
        <w:t>, izmantojamo tehnoloģiju izvēli</w:t>
      </w:r>
      <w:r w:rsidR="00950FF2" w:rsidRPr="00B0546B">
        <w:rPr>
          <w:lang w:eastAsia="lv-LV"/>
        </w:rPr>
        <w:t xml:space="preserve"> un </w:t>
      </w:r>
      <w:r w:rsidR="00B0546B">
        <w:rPr>
          <w:lang w:eastAsia="lv-LV"/>
        </w:rPr>
        <w:t>cenu noteikšanas</w:t>
      </w:r>
      <w:r w:rsidR="00950FF2" w:rsidRPr="00B0546B">
        <w:rPr>
          <w:lang w:eastAsia="lv-LV"/>
        </w:rPr>
        <w:t xml:space="preserve"> stratēģiju. </w:t>
      </w:r>
    </w:p>
    <w:p w14:paraId="3401ABAE" w14:textId="5E9A9FE5" w:rsidR="006C11F7" w:rsidRPr="00FE5779" w:rsidRDefault="00950FF2" w:rsidP="003D669D">
      <w:pPr>
        <w:autoSpaceDE w:val="0"/>
        <w:autoSpaceDN w:val="0"/>
        <w:adjustRightInd w:val="0"/>
        <w:spacing w:line="276" w:lineRule="auto"/>
        <w:ind w:firstLine="720"/>
        <w:jc w:val="both"/>
        <w:rPr>
          <w:rFonts w:eastAsiaTheme="minorHAnsi"/>
          <w:lang w:eastAsia="en-US"/>
          <w14:ligatures w14:val="standardContextual"/>
        </w:rPr>
      </w:pPr>
      <w:r w:rsidRPr="00B0546B">
        <w:rPr>
          <w:bCs/>
        </w:rPr>
        <w:t xml:space="preserve">Tiesa nav spriedumā pamatojusi, kāpēc šāda informācija nebūtu uzskatāma par tādu, kuras nonākšana konkurentu rīcībā varētu apdraudēt netraucētu konkurenci. </w:t>
      </w:r>
      <w:r w:rsidR="003324D8" w:rsidRPr="00B0546B">
        <w:rPr>
          <w:bCs/>
        </w:rPr>
        <w:t>Kā</w:t>
      </w:r>
      <w:r w:rsidR="003324D8">
        <w:rPr>
          <w:bCs/>
        </w:rPr>
        <w:t xml:space="preserve"> jau minēts, tiesa tikai vispārīgi norādījusi, ka trešā persona nav pierādījusi, ka tāmēs ietvertā informācija ir saistīta ar zinātību.</w:t>
      </w:r>
      <w:r w:rsidR="00B0546B">
        <w:rPr>
          <w:bCs/>
        </w:rPr>
        <w:t xml:space="preserve"> Tiesa arī norādījusi, ka trešās personas skaidrojums ir pārāk vispārīgs, bet nav pamatojusi, kāpēc būtu uzskatāms, ka trešās personas skaidrojums par to, ko ir iespējams izsecināt no būvniecības tāmēm, nebūtu attiecināms uz strīdus tāmēm (kāpēc no konkrētajām tāmēm attiecīgā veida informāciju nevarētu izsecināt).</w:t>
      </w:r>
      <w:r w:rsidR="003324D8">
        <w:rPr>
          <w:bCs/>
        </w:rPr>
        <w:t xml:space="preserve"> Līdz ar to tiesas izdarītie secinājumi par konfidenciālas informācijas esību vai neesību un strīdus tāmju izpaušanas iespējamu ietekmi uz konkurenci nav pienācīgi pamatoti.</w:t>
      </w:r>
    </w:p>
    <w:p w14:paraId="74C30FF9" w14:textId="54F86E3A" w:rsidR="004C4017" w:rsidRPr="00B424AD" w:rsidRDefault="003D1264" w:rsidP="003D669D">
      <w:pPr>
        <w:autoSpaceDE w:val="0"/>
        <w:autoSpaceDN w:val="0"/>
        <w:adjustRightInd w:val="0"/>
        <w:spacing w:line="276" w:lineRule="auto"/>
        <w:ind w:firstLine="720"/>
        <w:jc w:val="both"/>
      </w:pPr>
      <w:r w:rsidRPr="00FE5779">
        <w:rPr>
          <w:rFonts w:eastAsiaTheme="minorHAnsi"/>
          <w:lang w:eastAsia="en-US"/>
          <w14:ligatures w14:val="standardContextual"/>
        </w:rPr>
        <w:t xml:space="preserve">Šajā sakarā Senāts </w:t>
      </w:r>
      <w:r w:rsidR="003324D8">
        <w:rPr>
          <w:rFonts w:eastAsiaTheme="minorHAnsi"/>
          <w:lang w:eastAsia="en-US"/>
          <w14:ligatures w14:val="standardContextual"/>
        </w:rPr>
        <w:t xml:space="preserve">arī </w:t>
      </w:r>
      <w:r w:rsidRPr="00FE5779">
        <w:rPr>
          <w:rFonts w:eastAsiaTheme="minorHAnsi"/>
          <w:lang w:eastAsia="en-US"/>
          <w14:ligatures w14:val="standardContextual"/>
        </w:rPr>
        <w:t xml:space="preserve">vērš uzmanību: </w:t>
      </w:r>
      <w:r w:rsidR="003324D8">
        <w:rPr>
          <w:rFonts w:eastAsiaTheme="minorHAnsi"/>
          <w:lang w:eastAsia="en-US"/>
          <w14:ligatures w14:val="standardContextual"/>
        </w:rPr>
        <w:t xml:space="preserve">ja </w:t>
      </w:r>
      <w:r w:rsidR="003324D8" w:rsidRPr="00FE5779">
        <w:rPr>
          <w:bCs/>
        </w:rPr>
        <w:t xml:space="preserve">tiesa uzskatīja, ka trešās personas sniegtais skaidrojums ir pārāk vispārīgs, lai pamatotu, kāpēc šādas informācijas nonākšana konkurentu rokās varētu apdraudēt trešās personas konkurētspēju un netraucētu konkurenci, tiesa </w:t>
      </w:r>
      <w:r w:rsidR="003324D8" w:rsidRPr="00FE5779">
        <w:rPr>
          <w:rFonts w:eastAsiaTheme="minorHAnsi"/>
          <w:lang w:eastAsia="en-US"/>
          <w14:ligatures w14:val="standardContextual"/>
        </w:rPr>
        <w:t>varēja un tai vajadzēja uzdot trešajai personai papildu jautājumus vai, iespējams, piesaistīt lietpratēju.</w:t>
      </w:r>
      <w:r w:rsidR="003324D8">
        <w:rPr>
          <w:rFonts w:eastAsiaTheme="minorHAnsi"/>
          <w:lang w:eastAsia="en-US"/>
          <w14:ligatures w14:val="standardContextual"/>
        </w:rPr>
        <w:t xml:space="preserve"> Vērtējot komersanta sniegtos paskaidrojumus, tiesa nevar neņemt vērā, ka tiesas procesa gaitā, ja klāt ir arī tas procesa dalībnieks, par kura tiesībām piekļūt konfidenciālajai informācijai vēl tikai tiek spriests, komersanta iespējas detalizēti izteikties var būt objektīvi ierobežotas</w:t>
      </w:r>
      <w:r w:rsidR="00B2465C">
        <w:rPr>
          <w:rFonts w:eastAsiaTheme="minorHAnsi"/>
          <w:lang w:eastAsia="en-US"/>
          <w14:ligatures w14:val="standardContextual"/>
        </w:rPr>
        <w:t xml:space="preserve"> un tāpēc komersants savu paskaidrojumu var formulēt vispārīgi, cenšoties neatklāt konfidenciālo informāciju.</w:t>
      </w:r>
      <w:r w:rsidR="003324D8">
        <w:rPr>
          <w:rFonts w:eastAsiaTheme="minorHAnsi"/>
          <w:lang w:eastAsia="en-US"/>
          <w14:ligatures w14:val="standardContextual"/>
        </w:rPr>
        <w:t xml:space="preserve"> Tomēr, l</w:t>
      </w:r>
      <w:r w:rsidRPr="00FE5779">
        <w:rPr>
          <w:rFonts w:eastAsiaTheme="minorHAnsi"/>
          <w:lang w:eastAsia="en-US"/>
          <w14:ligatures w14:val="standardContextual"/>
        </w:rPr>
        <w:t>ai tiesa varētu pilnvērtīgi izvērtēt to, vai komersants</w:t>
      </w:r>
      <w:r>
        <w:rPr>
          <w:rFonts w:eastAsiaTheme="minorHAnsi"/>
          <w:lang w:eastAsia="en-US"/>
          <w14:ligatures w14:val="standardContextual"/>
        </w:rPr>
        <w:t xml:space="preserve"> pamatoti norāda, ka konkrēta strīdus dokumentā ietverta informācija ir tāda konfidenciāla informācija, kuras izpaušana apdraud netraucētas konkurences nodrošināšanu un komersanta komerciālās intereses, var būt nepieciešams uzklausīt komersanta detalizētus paskaidrojumus par </w:t>
      </w:r>
      <w:r w:rsidR="00BE46AD">
        <w:rPr>
          <w:rFonts w:eastAsiaTheme="minorHAnsi"/>
          <w:lang w:eastAsia="en-US"/>
          <w14:ligatures w14:val="standardContextual"/>
        </w:rPr>
        <w:t>strīdus dokumenta saturu</w:t>
      </w:r>
      <w:r>
        <w:rPr>
          <w:rFonts w:eastAsiaTheme="minorHAnsi"/>
          <w:lang w:eastAsia="en-US"/>
          <w14:ligatures w14:val="standardContextual"/>
        </w:rPr>
        <w:t>, kā arī, iespējams, uzdot komersantam precizējošus jautājumus.</w:t>
      </w:r>
      <w:r w:rsidR="00BE46AD">
        <w:rPr>
          <w:rFonts w:eastAsiaTheme="minorHAnsi"/>
          <w:lang w:eastAsia="en-US"/>
          <w14:ligatures w14:val="standardContextual"/>
        </w:rPr>
        <w:t xml:space="preserve"> </w:t>
      </w:r>
      <w:r w:rsidR="00D90032">
        <w:rPr>
          <w:rFonts w:eastAsiaTheme="minorHAnsi"/>
          <w:lang w:eastAsia="en-US"/>
          <w14:ligatures w14:val="standardContextual"/>
        </w:rPr>
        <w:t>Tas var būt pamats</w:t>
      </w:r>
      <w:r w:rsidR="00BE46AD">
        <w:rPr>
          <w:rFonts w:eastAsiaTheme="minorHAnsi"/>
          <w:lang w:eastAsia="en-US"/>
          <w14:ligatures w14:val="standardContextual"/>
        </w:rPr>
        <w:t xml:space="preserve"> konfidenciālo informāciju ar komersantu apspriest, ierobežojot pieteicēja iespēju šādu apspriedi noklausīties vai iepazīties ar to rakstveidā. </w:t>
      </w:r>
      <w:r w:rsidR="00D52903">
        <w:rPr>
          <w:rFonts w:eastAsiaTheme="minorHAnsi"/>
          <w:lang w:eastAsia="en-US"/>
          <w14:ligatures w14:val="standardContextual"/>
        </w:rPr>
        <w:t xml:space="preserve">Šādā gadījumā tiesai, ievērojot Administratīvā procesa likuma 146.panta ceturtajā daļā paredzēto </w:t>
      </w:r>
      <w:r w:rsidR="005E7769">
        <w:rPr>
          <w:rFonts w:eastAsiaTheme="minorHAnsi"/>
          <w:lang w:eastAsia="en-US"/>
          <w14:ligatures w14:val="standardContextual"/>
        </w:rPr>
        <w:t>iespēju</w:t>
      </w:r>
      <w:r w:rsidR="00D52903">
        <w:rPr>
          <w:rFonts w:eastAsiaTheme="minorHAnsi"/>
          <w:lang w:eastAsia="en-US"/>
          <w14:ligatures w14:val="standardContextual"/>
        </w:rPr>
        <w:t xml:space="preserve"> ierobežot kāda procesa dalībnieka tiesības piekļūt informācijai lietā, jāmeklē saprātīgs risinājums, kā to nodrošināt</w:t>
      </w:r>
      <w:r w:rsidR="00D90032">
        <w:rPr>
          <w:rFonts w:eastAsiaTheme="minorHAnsi"/>
          <w:lang w:eastAsia="en-US"/>
          <w14:ligatures w14:val="standardContextual"/>
        </w:rPr>
        <w:t>.</w:t>
      </w:r>
    </w:p>
    <w:p w14:paraId="7A48B6C5" w14:textId="77777777" w:rsidR="004C4017" w:rsidRDefault="004C4017" w:rsidP="003D669D">
      <w:pPr>
        <w:spacing w:line="276" w:lineRule="auto"/>
        <w:ind w:firstLine="567"/>
        <w:jc w:val="both"/>
      </w:pPr>
    </w:p>
    <w:p w14:paraId="1D4ACFF7" w14:textId="77777777" w:rsidR="007C2DBB" w:rsidRDefault="007C2DBB" w:rsidP="003D669D">
      <w:pPr>
        <w:spacing w:line="276" w:lineRule="auto"/>
        <w:ind w:firstLine="567"/>
        <w:jc w:val="both"/>
      </w:pPr>
    </w:p>
    <w:p w14:paraId="312B0B24" w14:textId="77777777" w:rsidR="007C2DBB" w:rsidRDefault="007C2DBB" w:rsidP="003D669D">
      <w:pPr>
        <w:spacing w:line="276" w:lineRule="auto"/>
        <w:ind w:firstLine="567"/>
        <w:jc w:val="both"/>
      </w:pPr>
    </w:p>
    <w:p w14:paraId="264B61F8" w14:textId="77777777" w:rsidR="007C2DBB" w:rsidRDefault="007C2DBB" w:rsidP="003D669D">
      <w:pPr>
        <w:spacing w:line="276" w:lineRule="auto"/>
        <w:ind w:firstLine="567"/>
        <w:jc w:val="both"/>
      </w:pPr>
    </w:p>
    <w:p w14:paraId="155F0D5C" w14:textId="77777777" w:rsidR="007C2DBB" w:rsidRDefault="007C2DBB" w:rsidP="003D669D">
      <w:pPr>
        <w:spacing w:line="276" w:lineRule="auto"/>
        <w:ind w:firstLine="567"/>
        <w:jc w:val="both"/>
      </w:pPr>
    </w:p>
    <w:p w14:paraId="52989262" w14:textId="77777777" w:rsidR="004C4017" w:rsidRDefault="004C4017" w:rsidP="003D669D">
      <w:pPr>
        <w:spacing w:line="276" w:lineRule="auto"/>
        <w:jc w:val="center"/>
        <w:rPr>
          <w:b/>
          <w:bCs/>
        </w:rPr>
      </w:pPr>
      <w:r w:rsidRPr="00CD475A">
        <w:rPr>
          <w:b/>
          <w:bCs/>
        </w:rPr>
        <w:lastRenderedPageBreak/>
        <w:t>III</w:t>
      </w:r>
    </w:p>
    <w:p w14:paraId="0658DFE4" w14:textId="09285BA0" w:rsidR="00C470D5" w:rsidRPr="00C470D5" w:rsidRDefault="00C470D5" w:rsidP="003D669D">
      <w:pPr>
        <w:spacing w:line="276" w:lineRule="auto"/>
        <w:jc w:val="center"/>
        <w:rPr>
          <w:i/>
          <w:iCs/>
        </w:rPr>
      </w:pPr>
      <w:r w:rsidRPr="00C470D5">
        <w:rPr>
          <w:i/>
          <w:iCs/>
        </w:rPr>
        <w:t xml:space="preserve">Par </w:t>
      </w:r>
      <w:r w:rsidR="0056196C" w:rsidRPr="00C470D5">
        <w:rPr>
          <w:i/>
          <w:iCs/>
        </w:rPr>
        <w:t xml:space="preserve">žurnālistu lomu informācijas par publiskajiem iepirkumiem </w:t>
      </w:r>
      <w:r w:rsidR="009273B1">
        <w:rPr>
          <w:i/>
          <w:iCs/>
        </w:rPr>
        <w:t>analizēšanā</w:t>
      </w:r>
      <w:r w:rsidR="0056196C">
        <w:rPr>
          <w:i/>
          <w:iCs/>
        </w:rPr>
        <w:t xml:space="preserve"> un</w:t>
      </w:r>
      <w:r w:rsidR="00D54030">
        <w:rPr>
          <w:i/>
          <w:iCs/>
        </w:rPr>
        <w:t xml:space="preserve"> </w:t>
      </w:r>
      <w:r w:rsidRPr="00C470D5">
        <w:rPr>
          <w:i/>
          <w:iCs/>
        </w:rPr>
        <w:t xml:space="preserve">pieteicēja kā žurnālista statusu </w:t>
      </w:r>
    </w:p>
    <w:p w14:paraId="4234AC51" w14:textId="77777777" w:rsidR="004C4017" w:rsidRDefault="004C4017" w:rsidP="003D669D">
      <w:pPr>
        <w:spacing w:line="276" w:lineRule="auto"/>
        <w:ind w:firstLine="567"/>
        <w:jc w:val="both"/>
      </w:pPr>
    </w:p>
    <w:p w14:paraId="4D7F6833" w14:textId="7ABB9035" w:rsidR="004C4017" w:rsidRDefault="004C4017" w:rsidP="003D669D">
      <w:pPr>
        <w:spacing w:line="276" w:lineRule="auto"/>
        <w:ind w:firstLine="720"/>
        <w:jc w:val="both"/>
      </w:pPr>
      <w:r>
        <w:t>[</w:t>
      </w:r>
      <w:r w:rsidR="00497E65">
        <w:t>3</w:t>
      </w:r>
      <w:r w:rsidR="00FE5779">
        <w:t>6</w:t>
      </w:r>
      <w:r>
        <w:t xml:space="preserve">] </w:t>
      </w:r>
      <w:r w:rsidR="00D54030">
        <w:t xml:space="preserve">No kasācijas sūdzības izriet uzskats, ka situācijā, kad sabiedrībai ir atzīstama interese par publisko iepirkumu rezultātā sniegta pakalpojuma izmaksu pamatotību, šīs </w:t>
      </w:r>
      <w:r>
        <w:t>sabiedrības intereses</w:t>
      </w:r>
      <w:r w:rsidR="00D54030">
        <w:t xml:space="preserve"> var nodrošināt, atstājot šo jautājumu tiesībaizsardzības iestāžu ziņā.</w:t>
      </w:r>
    </w:p>
    <w:p w14:paraId="6714432A" w14:textId="557D2E29" w:rsidR="00D54030" w:rsidRDefault="00D54030" w:rsidP="003D669D">
      <w:pPr>
        <w:spacing w:line="276" w:lineRule="auto"/>
        <w:ind w:firstLine="720"/>
        <w:jc w:val="both"/>
      </w:pPr>
      <w:r>
        <w:t xml:space="preserve">Senāts šādai tēzei nevar piekrist, jo uzskats, ka iespējami nepamatotu vai prettiesisku darbību izvērtējums atstājams tikai tiesībaizsardzības iestāžu ziņā, neatzīstot žurnālistu tiesības to pētīt un informēt sabiedrību, </w:t>
      </w:r>
      <w:r w:rsidR="00F76978">
        <w:t>noniecina</w:t>
      </w:r>
      <w:r>
        <w:t xml:space="preserve"> žurnālistu būtisko lomu demokrātiskā sabiedrībā</w:t>
      </w:r>
      <w:r w:rsidR="00F76978">
        <w:t>.</w:t>
      </w:r>
    </w:p>
    <w:p w14:paraId="157532AE" w14:textId="48C10994" w:rsidR="00706A1A" w:rsidRPr="0036770F" w:rsidRDefault="00F76978" w:rsidP="003D669D">
      <w:pPr>
        <w:spacing w:line="276" w:lineRule="auto"/>
        <w:ind w:firstLine="720"/>
        <w:jc w:val="both"/>
      </w:pPr>
      <w:r>
        <w:t xml:space="preserve">Senāta judikatūrā jau iepriekš atzīts, ka </w:t>
      </w:r>
      <w:r w:rsidR="00706A1A" w:rsidRPr="0036770F">
        <w:t>žurnālistu darbība, īstenojot vārda un preses brīvību, ir fundamentāla vērtība demokrātiskā valstī, jo tieši ar tās palīdzību lielā mērā tiek nodrošinātas sabiedrības tiesības iegūt informāciju par visai sabiedrībai būtiskiem jautājumiem un tostarp sekot līdzi tam, kā valsts pilda tai uzticētās publiskās funkcijas un kā rīkojas ar nodokļu maksātāju budžetā iemaksātajiem līdzekļiem</w:t>
      </w:r>
      <w:r w:rsidR="00706A1A">
        <w:t xml:space="preserve"> (sal. </w:t>
      </w:r>
      <w:r w:rsidR="00706A1A" w:rsidRPr="00E6748B">
        <w:rPr>
          <w:i/>
        </w:rPr>
        <w:t>Eiropas Cilvēktiesību tiesas 2007.gada 12.jūlija sprieduma lietā</w:t>
      </w:r>
      <w:r w:rsidR="001E6D9E">
        <w:rPr>
          <w:i/>
        </w:rPr>
        <w:t xml:space="preserve"> „Diena et Ozoliņš c. Lettonie”, iesnieguma Nr. </w:t>
      </w:r>
      <w:hyperlink r:id="rId31" w:anchor="{%22appno%22:[%2216657/03%22]}" w:tgtFrame="_blank" w:history="1">
        <w:r w:rsidR="001E6D9E" w:rsidRPr="001E6D9E">
          <w:rPr>
            <w:rStyle w:val="Hyperlink"/>
            <w:i/>
            <w:iCs/>
          </w:rPr>
          <w:t>16657/03</w:t>
        </w:r>
      </w:hyperlink>
      <w:r w:rsidR="001E6D9E">
        <w:rPr>
          <w:i/>
        </w:rPr>
        <w:t xml:space="preserve">, </w:t>
      </w:r>
      <w:r w:rsidR="00706A1A" w:rsidRPr="007241C9">
        <w:rPr>
          <w:i/>
        </w:rPr>
        <w:t>76.punkt</w:t>
      </w:r>
      <w:r w:rsidR="00706A1A">
        <w:rPr>
          <w:i/>
        </w:rPr>
        <w:t xml:space="preserve">a </w:t>
      </w:r>
      <w:r w:rsidR="00706A1A" w:rsidRPr="0036770F">
        <w:t>„</w:t>
      </w:r>
      <w:r w:rsidR="00706A1A">
        <w:rPr>
          <w:i/>
        </w:rPr>
        <w:t>b” apakšpunkts</w:t>
      </w:r>
      <w:r w:rsidR="00706A1A">
        <w:t>).</w:t>
      </w:r>
      <w:r w:rsidR="00706A1A" w:rsidRPr="0036770F">
        <w:t xml:space="preserve"> </w:t>
      </w:r>
      <w:r w:rsidR="00706A1A">
        <w:t>I</w:t>
      </w:r>
      <w:r w:rsidR="00706A1A" w:rsidRPr="0036770F">
        <w:t>egūstot un analizējot informāciju</w:t>
      </w:r>
      <w:r w:rsidR="00706A1A">
        <w:t xml:space="preserve"> par sabiedrībai būtiskiem jautājumiem</w:t>
      </w:r>
      <w:r w:rsidR="00A74297">
        <w:t xml:space="preserve"> ar mē</w:t>
      </w:r>
      <w:r w:rsidR="006476D5">
        <w:t>rķ</w:t>
      </w:r>
      <w:r w:rsidR="00A74297">
        <w:t xml:space="preserve">i par to informēt sabiedrību, </w:t>
      </w:r>
      <w:r w:rsidR="00706A1A" w:rsidRPr="0036770F">
        <w:t>prese pilda savu demokrātijas „sargsuņa” funkciju</w:t>
      </w:r>
      <w:r w:rsidR="00761F3B">
        <w:t xml:space="preserve"> </w:t>
      </w:r>
      <w:r w:rsidR="00761F3B" w:rsidRPr="0036770F">
        <w:t>(</w:t>
      </w:r>
      <w:r w:rsidR="00761F3B" w:rsidRPr="0036770F">
        <w:rPr>
          <w:i/>
        </w:rPr>
        <w:t xml:space="preserve">Senāta </w:t>
      </w:r>
      <w:r w:rsidR="005E572A">
        <w:rPr>
          <w:i/>
        </w:rPr>
        <w:t>2019.gada 18.aprīļa sprieduma lietā Nr. SKA-917/2019</w:t>
      </w:r>
      <w:r w:rsidR="001E6D9E">
        <w:rPr>
          <w:i/>
        </w:rPr>
        <w:t xml:space="preserve">, </w:t>
      </w:r>
      <w:hyperlink r:id="rId32" w:history="1">
        <w:r w:rsidR="001E6D9E" w:rsidRPr="001E6D9E">
          <w:rPr>
            <w:rStyle w:val="Hyperlink"/>
            <w:i/>
          </w:rPr>
          <w:t>ECLI:LV:AT:2019:0418.A420169118.5.S</w:t>
        </w:r>
      </w:hyperlink>
      <w:r w:rsidR="001E6D9E" w:rsidRPr="001E6D9E">
        <w:rPr>
          <w:i/>
        </w:rPr>
        <w:t>,</w:t>
      </w:r>
      <w:r w:rsidR="005E572A">
        <w:rPr>
          <w:i/>
        </w:rPr>
        <w:t xml:space="preserve"> 12.punkts,</w:t>
      </w:r>
      <w:r w:rsidR="005E572A" w:rsidRPr="0036770F">
        <w:rPr>
          <w:i/>
        </w:rPr>
        <w:t xml:space="preserve"> </w:t>
      </w:r>
      <w:r w:rsidR="00761F3B" w:rsidRPr="0036770F">
        <w:rPr>
          <w:i/>
        </w:rPr>
        <w:t>2010.gada 1.jūlija sprieduma lietā Nr.</w:t>
      </w:r>
      <w:r w:rsidR="00761F3B">
        <w:rPr>
          <w:i/>
        </w:rPr>
        <w:t> </w:t>
      </w:r>
      <w:hyperlink r:id="rId33" w:history="1">
        <w:r w:rsidR="00761F3B" w:rsidRPr="001E6D9E">
          <w:rPr>
            <w:rStyle w:val="Hyperlink"/>
            <w:i/>
          </w:rPr>
          <w:t>SKA-347/2010</w:t>
        </w:r>
      </w:hyperlink>
      <w:r w:rsidR="001E6D9E">
        <w:rPr>
          <w:i/>
        </w:rPr>
        <w:t xml:space="preserve">, </w:t>
      </w:r>
      <w:r w:rsidR="00761F3B" w:rsidRPr="0036770F">
        <w:rPr>
          <w:i/>
        </w:rPr>
        <w:t>A42404707</w:t>
      </w:r>
      <w:r w:rsidR="001E6D9E">
        <w:rPr>
          <w:i/>
        </w:rPr>
        <w:t>,</w:t>
      </w:r>
      <w:r w:rsidR="00761F3B" w:rsidRPr="0036770F">
        <w:rPr>
          <w:i/>
        </w:rPr>
        <w:t xml:space="preserve"> 17.punkts</w:t>
      </w:r>
      <w:r w:rsidR="00761F3B" w:rsidRPr="0036770F">
        <w:t>).</w:t>
      </w:r>
      <w:r w:rsidR="00761F3B">
        <w:t xml:space="preserve"> </w:t>
      </w:r>
      <w:r w:rsidR="006476D5">
        <w:t>„Sargsuņa” funkcijas</w:t>
      </w:r>
      <w:r w:rsidR="00A74297">
        <w:t xml:space="preserve"> būtība ir sabiedrības interesēs vākt informāciju, to </w:t>
      </w:r>
      <w:r w:rsidR="006476D5">
        <w:t xml:space="preserve">neitrāli, </w:t>
      </w:r>
      <w:r w:rsidR="00A74297">
        <w:t xml:space="preserve">godprātīgi un pilnīgi analizēt un par noskaidroto informēt sabiedrību. </w:t>
      </w:r>
      <w:r w:rsidR="006476D5">
        <w:t>Šādu funkciju demokrātiskā valstī neviens cits pēc būtības pilnvērtīgi neveic un nevar veikt.</w:t>
      </w:r>
    </w:p>
    <w:p w14:paraId="324F1DB1" w14:textId="10F1A01C" w:rsidR="00D54030" w:rsidRDefault="00D54030" w:rsidP="003D669D">
      <w:pPr>
        <w:spacing w:line="276" w:lineRule="auto"/>
        <w:ind w:firstLine="720"/>
        <w:jc w:val="both"/>
      </w:pPr>
      <w:r>
        <w:t xml:space="preserve">Līdz ar to nav pareizi uzskatīt, ka </w:t>
      </w:r>
      <w:r w:rsidR="00706A1A">
        <w:t xml:space="preserve">analītiskās un pētnieciskās </w:t>
      </w:r>
      <w:r>
        <w:t>žurnālist</w:t>
      </w:r>
      <w:r w:rsidR="00706A1A">
        <w:t>ikas</w:t>
      </w:r>
      <w:r>
        <w:t xml:space="preserve"> ieguldījum</w:t>
      </w:r>
      <w:r w:rsidR="006476D5">
        <w:t>u</w:t>
      </w:r>
      <w:r>
        <w:t xml:space="preserve"> sabied</w:t>
      </w:r>
      <w:r w:rsidR="00A74297">
        <w:t>r</w:t>
      </w:r>
      <w:r>
        <w:t xml:space="preserve">ības informēšanā par tai būtiskām tēmām (kāds ir arī iespējams publisku līdzekļu nelietderīgs izlietojums) demokrātiskā sabiedrībā </w:t>
      </w:r>
      <w:r w:rsidR="006476D5">
        <w:t xml:space="preserve">vispārīgi </w:t>
      </w:r>
      <w:r>
        <w:t>var aizstāt ar tiesībaizsardzības iestāžu darbu likumpārkāpumu izmeklēšanā.</w:t>
      </w:r>
    </w:p>
    <w:p w14:paraId="5BD62329" w14:textId="77777777" w:rsidR="005C53B3" w:rsidRDefault="005C53B3" w:rsidP="003D669D">
      <w:pPr>
        <w:spacing w:line="276" w:lineRule="auto"/>
        <w:ind w:firstLine="720"/>
        <w:jc w:val="both"/>
      </w:pPr>
    </w:p>
    <w:p w14:paraId="16A6F1D6" w14:textId="233128B9" w:rsidR="005C53B3" w:rsidRDefault="005C53B3" w:rsidP="003D669D">
      <w:pPr>
        <w:spacing w:line="276" w:lineRule="auto"/>
        <w:ind w:firstLine="720"/>
        <w:jc w:val="both"/>
      </w:pPr>
      <w:r>
        <w:t>[</w:t>
      </w:r>
      <w:r w:rsidR="00497E65">
        <w:t>3</w:t>
      </w:r>
      <w:r w:rsidR="00FE5779">
        <w:t>7</w:t>
      </w:r>
      <w:r>
        <w:t>] Kasatores arguments, ka žurnālista interese par pašvaldības pasūtītas būvniecības izmaksām</w:t>
      </w:r>
      <w:r w:rsidR="0036234D">
        <w:t xml:space="preserve"> </w:t>
      </w:r>
      <w:r w:rsidR="00B22939">
        <w:t xml:space="preserve">nekad </w:t>
      </w:r>
      <w:r>
        <w:t>nevar</w:t>
      </w:r>
      <w:r w:rsidR="0036234D">
        <w:t>ētu</w:t>
      </w:r>
      <w:r>
        <w:t xml:space="preserve"> prevalēt pār kaitējumu, kādu netraucētai konkurencei un komersanta interesēm nodarītu žurnālista piekļuve </w:t>
      </w:r>
      <w:r w:rsidR="00A74297">
        <w:t xml:space="preserve">būvniecības tāmēs ietvertam </w:t>
      </w:r>
      <w:r>
        <w:t xml:space="preserve">komercnoslēpumam, </w:t>
      </w:r>
      <w:r w:rsidR="00B2465C">
        <w:t>citstarp</w:t>
      </w:r>
      <w:r>
        <w:t xml:space="preserve"> balstīts tajā, ka žurnālisti nav būvniecības speciālisti un līdz ar </w:t>
      </w:r>
      <w:r w:rsidR="00535028">
        <w:t xml:space="preserve">to </w:t>
      </w:r>
      <w:r>
        <w:t>nemaz nespētu kompetenti izvērtēt no būvniecības tāmēm izrietošo informāciju.</w:t>
      </w:r>
      <w:r w:rsidR="0036234D">
        <w:t xml:space="preserve"> </w:t>
      </w:r>
    </w:p>
    <w:p w14:paraId="77788DF4" w14:textId="59F975F7" w:rsidR="0036234D" w:rsidRDefault="0036234D" w:rsidP="003D669D">
      <w:pPr>
        <w:spacing w:line="276" w:lineRule="auto"/>
        <w:ind w:firstLine="720"/>
        <w:jc w:val="both"/>
      </w:pPr>
      <w:r>
        <w:t>Senāts nevar piekrist tam, ka žurnālistu darbs ir nozīmīgs vienīgi gadījum</w:t>
      </w:r>
      <w:r w:rsidR="006476D5">
        <w:t>ā</w:t>
      </w:r>
      <w:r>
        <w:t xml:space="preserve">, kad žurnālists pēta jautājumu, </w:t>
      </w:r>
      <w:r w:rsidR="00F13B77">
        <w:t>saistībā ar kuru</w:t>
      </w:r>
      <w:r>
        <w:t xml:space="preserve"> viņam ir īpaša izglītība un specializācija. </w:t>
      </w:r>
      <w:r w:rsidR="00F13B77">
        <w:t>I</w:t>
      </w:r>
      <w:r>
        <w:t xml:space="preserve">kviena profesionāla žurnālista darba specifika </w:t>
      </w:r>
      <w:r w:rsidR="00F13B77">
        <w:t>ir</w:t>
      </w:r>
      <w:r>
        <w:t xml:space="preserve"> godprātīgi un pilnīgi </w:t>
      </w:r>
      <w:r w:rsidR="00F13B77">
        <w:t xml:space="preserve">iedziļināties un </w:t>
      </w:r>
      <w:r>
        <w:t xml:space="preserve">izpētīt analizējamo jautājumu, lai tā rezultātā sabiedrībai varētu sniegt objektīvu un kompetentu </w:t>
      </w:r>
      <w:r w:rsidR="00F13B77">
        <w:t>skatījumu</w:t>
      </w:r>
      <w:r>
        <w:t>.</w:t>
      </w:r>
      <w:r w:rsidR="00124CD5">
        <w:t xml:space="preserve"> </w:t>
      </w:r>
      <w:r w:rsidR="007A0655">
        <w:t xml:space="preserve">Ja atzītu, ka </w:t>
      </w:r>
      <w:r w:rsidR="00124CD5">
        <w:t>žurnālistu darbs faktiski ir nevērtīgs, piemēram, tad, ja par tiesas procesiem raksta žurnālists, kas nav jurists, par ekonomikas procesiem žurnālists</w:t>
      </w:r>
      <w:r w:rsidR="006476D5">
        <w:t>,</w:t>
      </w:r>
      <w:r w:rsidR="00124CD5">
        <w:t xml:space="preserve"> kas nav ekonomists</w:t>
      </w:r>
      <w:r w:rsidR="006476D5">
        <w:t>,</w:t>
      </w:r>
      <w:r w:rsidR="00124CD5">
        <w:t xml:space="preserve"> u.t</w:t>
      </w:r>
      <w:r w:rsidR="00F13B77">
        <w:t>ml</w:t>
      </w:r>
      <w:r w:rsidR="00DD6203">
        <w:t>.</w:t>
      </w:r>
      <w:r w:rsidR="007A0655">
        <w:t>, tas nonāktu pretrunā ar žurnālistu darba specifiku un būtību.</w:t>
      </w:r>
    </w:p>
    <w:p w14:paraId="7B681174" w14:textId="77777777" w:rsidR="00D87DCE" w:rsidRDefault="00D87DCE" w:rsidP="003D669D">
      <w:pPr>
        <w:spacing w:line="276" w:lineRule="auto"/>
        <w:ind w:firstLine="720"/>
        <w:jc w:val="both"/>
      </w:pPr>
    </w:p>
    <w:p w14:paraId="29DD7607" w14:textId="67327832" w:rsidR="005F7E85" w:rsidRDefault="00D87DCE" w:rsidP="003D669D">
      <w:pPr>
        <w:spacing w:line="276" w:lineRule="auto"/>
        <w:ind w:firstLine="720"/>
        <w:jc w:val="both"/>
        <w:rPr>
          <w:shd w:val="clear" w:color="auto" w:fill="FFFFFF"/>
        </w:rPr>
      </w:pPr>
      <w:r>
        <w:lastRenderedPageBreak/>
        <w:t>[</w:t>
      </w:r>
      <w:r w:rsidR="00E42CDF">
        <w:t>3</w:t>
      </w:r>
      <w:r w:rsidR="00FE5779">
        <w:t>8</w:t>
      </w:r>
      <w:r>
        <w:t xml:space="preserve">] Vienlaikus Senāts piekrīt kasatorei, ka gadījumā, ja žurnālists, </w:t>
      </w:r>
      <w:r w:rsidR="006476D5">
        <w:t xml:space="preserve">kuram izsniegta </w:t>
      </w:r>
      <w:r>
        <w:t>komercnoslēpumu saturoš</w:t>
      </w:r>
      <w:r w:rsidR="006476D5">
        <w:t>a</w:t>
      </w:r>
      <w:r>
        <w:t xml:space="preserve"> informācij</w:t>
      </w:r>
      <w:r w:rsidR="006476D5">
        <w:t>a</w:t>
      </w:r>
      <w:r>
        <w:t xml:space="preserve">, </w:t>
      </w:r>
      <w:r w:rsidR="006476D5">
        <w:t xml:space="preserve">lai to izprastu, </w:t>
      </w:r>
      <w:r>
        <w:t>pieaicina kādu citu person</w:t>
      </w:r>
      <w:r w:rsidR="00C82030">
        <w:t>u</w:t>
      </w:r>
      <w:r>
        <w:t>, kas ir attiecīgās jomas speciālists, nev</w:t>
      </w:r>
      <w:r w:rsidR="006476D5">
        <w:t>a</w:t>
      </w:r>
      <w:r>
        <w:t xml:space="preserve">r neņemt vērā to, ka tādējādi konfidenciālā informācija </w:t>
      </w:r>
      <w:r w:rsidR="00C72891">
        <w:t>nonāktu</w:t>
      </w:r>
      <w:r>
        <w:t xml:space="preserve"> ne tikai pie paša žurnālista, bet vēl pie kādām trešajām personām. </w:t>
      </w:r>
      <w:r w:rsidR="00F1302D">
        <w:t>T</w:t>
      </w:r>
      <w:r w:rsidRPr="00C72891">
        <w:t>as var novest pie reāla apdraudējuma konkurencei, tāpēc pret šādu situāciju būtu jāattiecas ar vislielāko nopietnību.</w:t>
      </w:r>
      <w:r w:rsidR="00C72891" w:rsidRPr="00C72891">
        <w:t xml:space="preserve"> Šajā sakarā jāņem vērā, ka Informācijas atklātības likumā paredzētais, ka persona, kas </w:t>
      </w:r>
      <w:r w:rsidR="005F7E85">
        <w:t xml:space="preserve">no iestādes </w:t>
      </w:r>
      <w:r w:rsidR="00C72891" w:rsidRPr="00C72891">
        <w:t xml:space="preserve">saņēmusi </w:t>
      </w:r>
      <w:r w:rsidR="006476D5">
        <w:t>i</w:t>
      </w:r>
      <w:r w:rsidR="00C72891" w:rsidRPr="00C72891">
        <w:t xml:space="preserve">erobežotas pieejamības informāciju, </w:t>
      </w:r>
      <w:r w:rsidR="00C72891" w:rsidRPr="00C72891">
        <w:rPr>
          <w:shd w:val="clear" w:color="auto" w:fill="FFFFFF"/>
        </w:rPr>
        <w:t>uzņemas saistības šo informāciju izmantot tikai tiem mērķiem, kuriem tā pieprasīta (likuma 11.panta ceturtā daļa), ne</w:t>
      </w:r>
      <w:r w:rsidR="00290513">
        <w:rPr>
          <w:shd w:val="clear" w:color="auto" w:fill="FFFFFF"/>
        </w:rPr>
        <w:t xml:space="preserve"> vienmēr var pienācīgi nodrošināt</w:t>
      </w:r>
      <w:r w:rsidR="00C72891" w:rsidRPr="00C72891">
        <w:rPr>
          <w:shd w:val="clear" w:color="auto" w:fill="FFFFFF"/>
        </w:rPr>
        <w:t>, ka šādā situācijā žurnālistam izsniegts komercnoslēpums netiek izplatīts tālāk.</w:t>
      </w:r>
      <w:r w:rsidR="00C72891">
        <w:rPr>
          <w:shd w:val="clear" w:color="auto" w:fill="FFFFFF"/>
        </w:rPr>
        <w:t xml:space="preserve"> </w:t>
      </w:r>
    </w:p>
    <w:p w14:paraId="5D909022" w14:textId="1242DB23" w:rsidR="00D87DCE" w:rsidRPr="00C72891" w:rsidRDefault="00C72891" w:rsidP="003D669D">
      <w:pPr>
        <w:spacing w:line="276" w:lineRule="auto"/>
        <w:ind w:firstLine="720"/>
        <w:jc w:val="both"/>
      </w:pPr>
      <w:r>
        <w:rPr>
          <w:shd w:val="clear" w:color="auto" w:fill="FFFFFF"/>
        </w:rPr>
        <w:t>Tas viss būtu jāņem vērā, līdzsvarojot komercnoslēpumu saturošas informācijas izsniegšanā iesaistītās intereses un meklējot samērīgāko risinājumu šo interešu nodrošināšanai.</w:t>
      </w:r>
    </w:p>
    <w:p w14:paraId="255619C1" w14:textId="77777777" w:rsidR="005E572A" w:rsidRDefault="00C72891" w:rsidP="003D669D">
      <w:pPr>
        <w:spacing w:line="276" w:lineRule="auto"/>
        <w:ind w:firstLine="720"/>
        <w:jc w:val="both"/>
      </w:pPr>
      <w:r>
        <w:t>Šajā sakarā Senāts uzsver, ka šādā lietā var būt nozīme tam, kā žurnālists iecerējis izmantot pieprasīto informāciju, tāpēc var būt nepieciešamība to tiesas procesā noskaidrot.</w:t>
      </w:r>
    </w:p>
    <w:p w14:paraId="72ACA3B6" w14:textId="483D6B99" w:rsidR="00DD75F1" w:rsidRDefault="00C72891" w:rsidP="003D669D">
      <w:pPr>
        <w:spacing w:line="276" w:lineRule="auto"/>
        <w:ind w:firstLine="720"/>
        <w:jc w:val="both"/>
      </w:pPr>
      <w:r>
        <w:t xml:space="preserve">Senāta judikatūrā iepriekš atzīts, ka </w:t>
      </w:r>
      <w:r w:rsidRPr="0036770F">
        <w:t>nav atbalstāms, ka iestāde (un attiecīgi arī tiesa), lemjot par informācijas izsniegšanu, pieprasītu žurnālistam sniegt papildu informāciju par topošo publikāciju. Tas nepamatoti liktu atklāt detaļas par topošo pētījumu un nepamatoti pakļautu iestādes vērtējumam to, vai un kāda informācija konkrētos apstākļos nepieciešama žurnālistikas vajadzībām, tādējādi radot preses brīvības apdraudējumu</w:t>
      </w:r>
      <w:r w:rsidR="005E572A">
        <w:t xml:space="preserve"> </w:t>
      </w:r>
      <w:r>
        <w:t>(</w:t>
      </w:r>
      <w:r w:rsidR="005E572A" w:rsidRPr="0036770F">
        <w:rPr>
          <w:i/>
        </w:rPr>
        <w:t xml:space="preserve">Senāta </w:t>
      </w:r>
      <w:r w:rsidR="005E572A">
        <w:rPr>
          <w:i/>
        </w:rPr>
        <w:t>2019.gada 18.aprīļa sprieduma lietā Nr. SKA-917/2019</w:t>
      </w:r>
      <w:r w:rsidR="001E6D9E">
        <w:rPr>
          <w:i/>
        </w:rPr>
        <w:t xml:space="preserve">, </w:t>
      </w:r>
      <w:hyperlink r:id="rId34" w:history="1">
        <w:r w:rsidR="001E6D9E" w:rsidRPr="001E6D9E">
          <w:rPr>
            <w:rStyle w:val="Hyperlink"/>
            <w:i/>
          </w:rPr>
          <w:t>ECLI:LV:AT:2019:0418.A420169118.5.S</w:t>
        </w:r>
      </w:hyperlink>
      <w:r w:rsidR="001E6D9E" w:rsidRPr="001E6D9E">
        <w:rPr>
          <w:i/>
        </w:rPr>
        <w:t>,</w:t>
      </w:r>
      <w:r w:rsidR="005E572A">
        <w:rPr>
          <w:i/>
        </w:rPr>
        <w:t xml:space="preserve"> 13.punkts</w:t>
      </w:r>
      <w:r>
        <w:t>)</w:t>
      </w:r>
      <w:r w:rsidR="005E572A">
        <w:t xml:space="preserve">. Tāpēc parastos gadījumos būtu pietiekami, ka žurnālists pamato, ka pieprasītā informācija nepieciešama žurnālista norādītā pētījuma veikšanai, un nav pamata </w:t>
      </w:r>
      <w:r w:rsidR="005E572A" w:rsidRPr="0036770F">
        <w:t>apšaubīt, ka pieprasītā informācija patiešām objektīvi varētu būt nepieciešama žurnālistikas vajadzībām</w:t>
      </w:r>
      <w:r w:rsidR="005E572A">
        <w:t xml:space="preserve">. </w:t>
      </w:r>
    </w:p>
    <w:p w14:paraId="29E0A818" w14:textId="163A02BD" w:rsidR="00EC1AD6" w:rsidRDefault="005E572A" w:rsidP="003D669D">
      <w:pPr>
        <w:spacing w:line="276" w:lineRule="auto"/>
        <w:ind w:firstLine="720"/>
        <w:jc w:val="both"/>
      </w:pPr>
      <w:r>
        <w:t>Tomēr a</w:t>
      </w:r>
      <w:r w:rsidR="00F76978">
        <w:t xml:space="preserve">pstākļos, kad pieprasīta konfidenciāla informācija, kurai tiesību normas paredz īpašu aizsardzību, </w:t>
      </w:r>
      <w:r>
        <w:t>kas pieļauj aizsargājamās informācijas izpaušanu tikai sevišķu sabiedrības interešu gadījumā</w:t>
      </w:r>
      <w:r w:rsidR="00EC1AD6">
        <w:t xml:space="preserve"> (kā tas ir gadījumā, kad jālemj par piekļuvi publisko iepirkumu procedūrā iesniegtam piedāvājumam)</w:t>
      </w:r>
      <w:r w:rsidR="00F76978">
        <w:t xml:space="preserve">, ar vispārīgu atsaukšanos </w:t>
      </w:r>
      <w:r>
        <w:t xml:space="preserve">uz interesi veikt pētījumu par publisko līdzekļu izlietojumu </w:t>
      </w:r>
      <w:r w:rsidR="00F76978">
        <w:t>var nebūt pietiekami. Lai pārbaudītu, vai konkrētā gadījumā varētu būt konstatējamas sevišķ</w:t>
      </w:r>
      <w:r w:rsidR="00C82030">
        <w:t>a</w:t>
      </w:r>
      <w:r w:rsidR="00F76978">
        <w:t>s intereses, kas izņēmuma kārtā</w:t>
      </w:r>
      <w:r w:rsidR="006476D5">
        <w:t>, iespējams, varētu atsvērt</w:t>
      </w:r>
      <w:r w:rsidR="00F76978">
        <w:t xml:space="preserve"> netraucētai konkurencei radītu apdraudējumu, var būt nepieciešams lūgt žurnālistam tiesai iesniegt konkrētāku informāciju, kas ir tie apstākļi, kuru dēļ sabiedrībai varētu būt sevišķa interese par konkrēto gadījumu. </w:t>
      </w:r>
      <w:r w:rsidR="006476D5">
        <w:t xml:space="preserve">Tāpat var būt nepieciešams noskaidrot, kā žurnālists </w:t>
      </w:r>
      <w:r w:rsidR="00DD75F1">
        <w:t xml:space="preserve">organizēs pētījuma veikšanu un kā </w:t>
      </w:r>
      <w:r w:rsidR="006476D5">
        <w:t xml:space="preserve">nodrošinās, ka konfidenciālā informācija netiek izplatīta tālāk. </w:t>
      </w:r>
      <w:r w:rsidR="00EC1AD6">
        <w:t xml:space="preserve">Tas var būt nepieciešams arī tādēļ, lai šādā situācijā rastu samērīgāko risinājumu iesaistīto interešu līdzsvarošanai. </w:t>
      </w:r>
    </w:p>
    <w:p w14:paraId="32EFA0FA" w14:textId="5504E075" w:rsidR="00F76978" w:rsidRDefault="00F76978" w:rsidP="003D669D">
      <w:pPr>
        <w:spacing w:line="276" w:lineRule="auto"/>
        <w:ind w:firstLine="720"/>
        <w:jc w:val="both"/>
      </w:pPr>
      <w:r>
        <w:t xml:space="preserve">Senāts vienlaikus vērš uzmanību, ka </w:t>
      </w:r>
      <w:r w:rsidR="007A0655">
        <w:t xml:space="preserve">attiecībā uz </w:t>
      </w:r>
      <w:r>
        <w:t>šād</w:t>
      </w:r>
      <w:r w:rsidR="007A0655">
        <w:t>u</w:t>
      </w:r>
      <w:r>
        <w:t xml:space="preserve"> žurnālista sniegt</w:t>
      </w:r>
      <w:r w:rsidR="007A0655">
        <w:t>u</w:t>
      </w:r>
      <w:r>
        <w:t xml:space="preserve"> papildu informācij</w:t>
      </w:r>
      <w:r w:rsidR="007A0655">
        <w:t>u</w:t>
      </w:r>
      <w:r>
        <w:t xml:space="preserve"> tiesa </w:t>
      </w:r>
      <w:r w:rsidR="005F7E85">
        <w:t xml:space="preserve">nepieciešamības gadījumā </w:t>
      </w:r>
      <w:r>
        <w:t>varētu noteikt, ka pārējo procesa dalībnieku piekļuve tai ir ierobežojama (Administratīvā procesa likuma 145.panta ceturtā daļa</w:t>
      </w:r>
      <w:r w:rsidR="00706A1A">
        <w:t xml:space="preserve"> pieļauj procesa dalībniekam samērīgi ierobežot piekļuvi lietas materiāliem, ja to attaisno nepieciešamība</w:t>
      </w:r>
      <w:r w:rsidR="006476D5">
        <w:t xml:space="preserve"> </w:t>
      </w:r>
      <w:r w:rsidR="00706A1A">
        <w:t>aizsargāt profesionālo noslēpumu vai citu ierobežotas pieejamības informāciju)</w:t>
      </w:r>
      <w:r w:rsidR="00EC1AD6">
        <w:t>.</w:t>
      </w:r>
    </w:p>
    <w:p w14:paraId="4D28CFC0" w14:textId="77777777" w:rsidR="00EC1AD6" w:rsidRDefault="00EC1AD6" w:rsidP="003D669D">
      <w:pPr>
        <w:spacing w:line="276" w:lineRule="auto"/>
        <w:ind w:firstLine="720"/>
        <w:jc w:val="both"/>
      </w:pPr>
    </w:p>
    <w:p w14:paraId="32353EAA" w14:textId="66DB0359" w:rsidR="004C4017" w:rsidRPr="006104D3" w:rsidRDefault="004C4017" w:rsidP="003D669D">
      <w:pPr>
        <w:spacing w:line="276" w:lineRule="auto"/>
        <w:ind w:firstLine="720"/>
        <w:jc w:val="both"/>
      </w:pPr>
      <w:r>
        <w:lastRenderedPageBreak/>
        <w:t>[</w:t>
      </w:r>
      <w:r w:rsidR="00FE5779">
        <w:t>39</w:t>
      </w:r>
      <w:r>
        <w:t xml:space="preserve">] </w:t>
      </w:r>
      <w:r w:rsidR="005F7E85">
        <w:t xml:space="preserve">Kasācijas sūdzībā iebilsts, ka tiesa uz pieteicēju </w:t>
      </w:r>
      <w:r w:rsidR="005F7E85" w:rsidRPr="006104D3">
        <w:t>raudzījusies kā žurnālistu. Kasatore, atsaucoties uz to, ka lietas izskatīšanas laikā pieteicējs vairs nebija darba attiecībā</w:t>
      </w:r>
      <w:r w:rsidR="00C82030">
        <w:t>s</w:t>
      </w:r>
      <w:r w:rsidR="005F7E85" w:rsidRPr="006104D3">
        <w:t xml:space="preserve"> ar </w:t>
      </w:r>
      <w:r w:rsidR="00E07D5C" w:rsidRPr="001B5970">
        <w:rPr>
          <w:rFonts w:eastAsiaTheme="minorHAnsi"/>
          <w:lang w:eastAsia="en-US"/>
          <w14:ligatures w14:val="standardContextual"/>
        </w:rPr>
        <w:t>SIA</w:t>
      </w:r>
      <w:r w:rsidR="00E07D5C">
        <w:rPr>
          <w:rFonts w:eastAsiaTheme="minorHAnsi"/>
          <w:lang w:eastAsia="en-US"/>
          <w14:ligatures w14:val="standardContextual"/>
        </w:rPr>
        <w:t xml:space="preserve"> „</w:t>
      </w:r>
      <w:r w:rsidR="00E07D5C" w:rsidRPr="001B5970">
        <w:rPr>
          <w:rFonts w:eastAsiaTheme="minorHAnsi"/>
          <w:lang w:eastAsia="en-US"/>
          <w14:ligatures w14:val="standardContextual"/>
        </w:rPr>
        <w:t>Latvijas Televīzija”</w:t>
      </w:r>
      <w:r w:rsidR="005F7E85" w:rsidRPr="006104D3">
        <w:t>, uzsver, ka pieteicējs nav uzsakāms par žurnālistu, bet gan tikai par personu ar žurnālistisku interesi.</w:t>
      </w:r>
    </w:p>
    <w:p w14:paraId="6175D8E9" w14:textId="6745F327" w:rsidR="00E74D4B" w:rsidRDefault="006104D3" w:rsidP="003D669D">
      <w:pPr>
        <w:spacing w:line="276" w:lineRule="auto"/>
        <w:ind w:firstLine="720"/>
        <w:jc w:val="both"/>
      </w:pPr>
      <w:r w:rsidRPr="006104D3">
        <w:t xml:space="preserve">Šajā sakarā Senāts </w:t>
      </w:r>
      <w:r>
        <w:t xml:space="preserve">nenoliedz, ka, izsverot ierobežotas pieejamības informācijas izsniegšanā iesaistītās pretējās intereses, var būt </w:t>
      </w:r>
      <w:r w:rsidRPr="006104D3">
        <w:t xml:space="preserve">nozīme tam, vai </w:t>
      </w:r>
      <w:r w:rsidR="00C82030">
        <w:t>informāciju</w:t>
      </w:r>
      <w:r w:rsidR="00C82030" w:rsidRPr="006104D3">
        <w:t xml:space="preserve"> </w:t>
      </w:r>
      <w:r w:rsidRPr="006104D3">
        <w:t xml:space="preserve">pieprasījis profesionāls pētnieciskās žurnālistikas pārstāvis. </w:t>
      </w:r>
    </w:p>
    <w:p w14:paraId="079DAE7B" w14:textId="3D7304CB" w:rsidR="009341A3" w:rsidRDefault="006104D3" w:rsidP="003D669D">
      <w:pPr>
        <w:spacing w:line="276" w:lineRule="auto"/>
        <w:ind w:firstLine="720"/>
        <w:jc w:val="both"/>
        <w:rPr>
          <w:shd w:val="clear" w:color="auto" w:fill="FFFFFF"/>
        </w:rPr>
      </w:pPr>
      <w:r w:rsidRPr="006104D3">
        <w:t>Tomēr jāņem vērā, ka atbilstoši likuma „</w:t>
      </w:r>
      <w:r w:rsidRPr="006104D3">
        <w:rPr>
          <w:shd w:val="clear" w:color="auto" w:fill="FFFFFF"/>
        </w:rPr>
        <w:t xml:space="preserve">Par presi un citiem masu informācijas līdzekļiem” </w:t>
      </w:r>
      <w:r w:rsidR="00DD6203">
        <w:rPr>
          <w:shd w:val="clear" w:color="auto" w:fill="FFFFFF"/>
        </w:rPr>
        <w:t xml:space="preserve">23.pantam </w:t>
      </w:r>
      <w:r w:rsidRPr="006104D3">
        <w:rPr>
          <w:shd w:val="clear" w:color="auto" w:fill="FFFFFF"/>
        </w:rPr>
        <w:t xml:space="preserve">par žurnālistu tiek uzskatīta persona, kura vāc, apkopo, rediģē vai citādā veidā sagatavo materiālus masu informācijas līdzeklim un kura ar to noslēgusi darba līgumu </w:t>
      </w:r>
      <w:r w:rsidRPr="006104D3">
        <w:rPr>
          <w:i/>
          <w:iCs/>
          <w:shd w:val="clear" w:color="auto" w:fill="FFFFFF"/>
        </w:rPr>
        <w:t>vai</w:t>
      </w:r>
      <w:r w:rsidRPr="006104D3">
        <w:rPr>
          <w:shd w:val="clear" w:color="auto" w:fill="FFFFFF"/>
        </w:rPr>
        <w:t xml:space="preserve"> veic šo darbu masu informācijas līdzekļa uzdevumā, kā arī žurnālistu apvienību biedrs.</w:t>
      </w:r>
      <w:r w:rsidR="00E74D4B">
        <w:rPr>
          <w:shd w:val="clear" w:color="auto" w:fill="FFFFFF"/>
        </w:rPr>
        <w:t xml:space="preserve"> </w:t>
      </w:r>
      <w:r w:rsidR="009341A3">
        <w:rPr>
          <w:shd w:val="clear" w:color="auto" w:fill="FFFFFF"/>
        </w:rPr>
        <w:t xml:space="preserve">Tādējādi darba attiecības ar masu informācijas līdzekli nav obligāts priekšnosacījums, lai </w:t>
      </w:r>
      <w:r w:rsidR="009341A3" w:rsidRPr="006104D3">
        <w:t>likuma „</w:t>
      </w:r>
      <w:r w:rsidR="009341A3" w:rsidRPr="006104D3">
        <w:rPr>
          <w:shd w:val="clear" w:color="auto" w:fill="FFFFFF"/>
        </w:rPr>
        <w:t>Par presi un citiem masu informācijas līdzekļiem”</w:t>
      </w:r>
      <w:r w:rsidR="009341A3">
        <w:rPr>
          <w:shd w:val="clear" w:color="auto" w:fill="FFFFFF"/>
        </w:rPr>
        <w:t xml:space="preserve"> izpratnē konstatētu, ka konkrēta persona ir žurnālists. Likums paredz, ka žurnālists ir arī persona, </w:t>
      </w:r>
      <w:r w:rsidR="009341A3" w:rsidRPr="006104D3">
        <w:rPr>
          <w:shd w:val="clear" w:color="auto" w:fill="FFFFFF"/>
        </w:rPr>
        <w:t>kura vāc, apkopo, rediģē vai citādā veidā sagatavo materiālus masu informācijas līdzeklim un veic šo darbu masu informācijas līdzekļa uzdevumā</w:t>
      </w:r>
      <w:r w:rsidR="009341A3">
        <w:rPr>
          <w:shd w:val="clear" w:color="auto" w:fill="FFFFFF"/>
        </w:rPr>
        <w:t>.</w:t>
      </w:r>
    </w:p>
    <w:p w14:paraId="63FACFD8" w14:textId="3BA4696F" w:rsidR="00E74D4B" w:rsidRDefault="0096398B" w:rsidP="003D669D">
      <w:pPr>
        <w:spacing w:line="276" w:lineRule="auto"/>
        <w:ind w:firstLine="720"/>
        <w:contextualSpacing/>
        <w:jc w:val="both"/>
        <w:rPr>
          <w:rFonts w:eastAsiaTheme="minorHAnsi"/>
          <w:lang w:eastAsia="en-US"/>
          <w14:ligatures w14:val="standardContextual"/>
        </w:rPr>
      </w:pPr>
      <w:r>
        <w:rPr>
          <w:shd w:val="clear" w:color="auto" w:fill="FFFFFF"/>
        </w:rPr>
        <w:t xml:space="preserve">Izskatāmajā gadījumā tiesa ir konstatējusi: lai arī pieteicējs ir pārtraucis darba tiesiskās attiecības ar </w:t>
      </w:r>
      <w:r w:rsidR="00E07D5C" w:rsidRPr="001B5970">
        <w:rPr>
          <w:rFonts w:eastAsiaTheme="minorHAnsi"/>
          <w:lang w:eastAsia="en-US"/>
          <w14:ligatures w14:val="standardContextual"/>
        </w:rPr>
        <w:t>SIA</w:t>
      </w:r>
      <w:r w:rsidR="00E07D5C">
        <w:rPr>
          <w:rFonts w:eastAsiaTheme="minorHAnsi"/>
          <w:lang w:eastAsia="en-US"/>
          <w14:ligatures w14:val="standardContextual"/>
        </w:rPr>
        <w:t xml:space="preserve"> „</w:t>
      </w:r>
      <w:r w:rsidR="00E07D5C" w:rsidRPr="001B5970">
        <w:rPr>
          <w:rFonts w:eastAsiaTheme="minorHAnsi"/>
          <w:lang w:eastAsia="en-US"/>
          <w14:ligatures w14:val="standardContextual"/>
        </w:rPr>
        <w:t>Latvijas Televīzija”</w:t>
      </w:r>
      <w:r w:rsidR="00E07D5C">
        <w:rPr>
          <w:rFonts w:eastAsiaTheme="minorHAnsi"/>
          <w:lang w:eastAsia="en-US"/>
          <w14:ligatures w14:val="standardContextual"/>
        </w:rPr>
        <w:t xml:space="preserve"> </w:t>
      </w:r>
      <w:r w:rsidR="00236DC8">
        <w:rPr>
          <w:shd w:val="clear" w:color="auto" w:fill="FFFFFF"/>
        </w:rPr>
        <w:t xml:space="preserve">un </w:t>
      </w:r>
      <w:r w:rsidR="00236DC8" w:rsidRPr="009E4764">
        <w:t>vairs nedarbojas raidījumā „Aizliegtais paņēmiens”</w:t>
      </w:r>
      <w:r w:rsidR="00236DC8">
        <w:t xml:space="preserve">, viņš </w:t>
      </w:r>
      <w:r w:rsidR="00E74D4B">
        <w:t xml:space="preserve">turpina </w:t>
      </w:r>
      <w:r w:rsidR="00236DC8">
        <w:t>darbo</w:t>
      </w:r>
      <w:r w:rsidR="00E74D4B">
        <w:t>ties</w:t>
      </w:r>
      <w:r w:rsidR="00236DC8">
        <w:t xml:space="preserve"> kā neatkarīgais žurnālists un saistībā ar pētījumu par publisko līdzekļu izlietojumu viņam ir </w:t>
      </w:r>
      <w:r w:rsidR="00E74D4B">
        <w:t>sadarbība</w:t>
      </w:r>
      <w:r w:rsidR="00236DC8">
        <w:rPr>
          <w:rFonts w:eastAsiaTheme="minorHAnsi"/>
          <w:lang w:eastAsia="en-US"/>
          <w14:ligatures w14:val="standardContextual"/>
        </w:rPr>
        <w:t xml:space="preserve"> ar </w:t>
      </w:r>
      <w:r w:rsidR="00236DC8" w:rsidRPr="001B5970">
        <w:rPr>
          <w:rFonts w:eastAsiaTheme="minorHAnsi"/>
          <w:lang w:eastAsia="en-US"/>
          <w14:ligatures w14:val="standardContextual"/>
        </w:rPr>
        <w:t>SIA</w:t>
      </w:r>
      <w:r w:rsidR="00236DC8">
        <w:rPr>
          <w:rFonts w:eastAsiaTheme="minorHAnsi"/>
          <w:lang w:eastAsia="en-US"/>
          <w14:ligatures w14:val="standardContextual"/>
        </w:rPr>
        <w:t xml:space="preserve"> „</w:t>
      </w:r>
      <w:r w:rsidR="00236DC8" w:rsidRPr="001B5970">
        <w:rPr>
          <w:rFonts w:eastAsiaTheme="minorHAnsi"/>
          <w:lang w:eastAsia="en-US"/>
          <w14:ligatures w14:val="standardContextual"/>
        </w:rPr>
        <w:t>Latvijas Televīzija”</w:t>
      </w:r>
      <w:r w:rsidR="00236DC8">
        <w:rPr>
          <w:rFonts w:eastAsiaTheme="minorHAnsi"/>
          <w:lang w:eastAsia="en-US"/>
          <w14:ligatures w14:val="standardContextual"/>
        </w:rPr>
        <w:t xml:space="preserve">. Proti, tiesa konstatēja, ka </w:t>
      </w:r>
      <w:r w:rsidR="00236DC8" w:rsidRPr="001B5970">
        <w:rPr>
          <w:rFonts w:eastAsiaTheme="minorHAnsi"/>
          <w:lang w:eastAsia="en-US"/>
          <w14:ligatures w14:val="standardContextual"/>
        </w:rPr>
        <w:t>SIA</w:t>
      </w:r>
      <w:r w:rsidR="00236DC8">
        <w:rPr>
          <w:rFonts w:eastAsiaTheme="minorHAnsi"/>
          <w:lang w:eastAsia="en-US"/>
          <w14:ligatures w14:val="standardContextual"/>
        </w:rPr>
        <w:t xml:space="preserve"> „</w:t>
      </w:r>
      <w:r w:rsidR="00236DC8" w:rsidRPr="001B5970">
        <w:rPr>
          <w:rFonts w:eastAsiaTheme="minorHAnsi"/>
          <w:lang w:eastAsia="en-US"/>
          <w14:ligatures w14:val="standardContextual"/>
        </w:rPr>
        <w:t>Latvijas Televīzija” vēstule</w:t>
      </w:r>
      <w:r w:rsidR="00236DC8">
        <w:rPr>
          <w:rFonts w:eastAsiaTheme="minorHAnsi"/>
          <w:lang w:eastAsia="en-US"/>
          <w14:ligatures w14:val="standardContextual"/>
        </w:rPr>
        <w:t xml:space="preserve"> </w:t>
      </w:r>
      <w:r w:rsidR="00BA62D0">
        <w:rPr>
          <w:rFonts w:eastAsiaTheme="minorHAnsi"/>
          <w:lang w:eastAsia="en-US"/>
          <w14:ligatures w14:val="standardContextual"/>
        </w:rPr>
        <w:t>(</w:t>
      </w:r>
      <w:r w:rsidR="00C82030" w:rsidRPr="00C82030">
        <w:rPr>
          <w:rFonts w:eastAsiaTheme="minorHAnsi"/>
          <w:i/>
          <w:iCs/>
          <w:lang w:eastAsia="en-US"/>
          <w14:ligatures w14:val="standardContextual"/>
        </w:rPr>
        <w:t xml:space="preserve">lietas </w:t>
      </w:r>
      <w:r w:rsidR="00BA62D0" w:rsidRPr="00BA62D0">
        <w:rPr>
          <w:rFonts w:eastAsiaTheme="minorHAnsi"/>
          <w:i/>
          <w:iCs/>
          <w:lang w:eastAsia="en-US"/>
          <w14:ligatures w14:val="standardContextual"/>
        </w:rPr>
        <w:t>3.sējuma 85.lapa</w:t>
      </w:r>
      <w:r w:rsidR="00BA62D0">
        <w:rPr>
          <w:rFonts w:eastAsiaTheme="minorHAnsi"/>
          <w:lang w:eastAsia="en-US"/>
          <w14:ligatures w14:val="standardContextual"/>
        </w:rPr>
        <w:t xml:space="preserve">) </w:t>
      </w:r>
      <w:r w:rsidR="00236DC8">
        <w:rPr>
          <w:rFonts w:eastAsiaTheme="minorHAnsi"/>
          <w:lang w:eastAsia="en-US"/>
          <w14:ligatures w14:val="standardContextual"/>
        </w:rPr>
        <w:t xml:space="preserve">apliecina, ka pieteicējs konkrētajā jautājumā būtībā darbojas </w:t>
      </w:r>
      <w:r w:rsidR="00E07D5C">
        <w:rPr>
          <w:rFonts w:eastAsiaTheme="minorHAnsi"/>
          <w:lang w:eastAsia="en-US"/>
          <w14:ligatures w14:val="standardContextual"/>
        </w:rPr>
        <w:t xml:space="preserve">kā žurnālists </w:t>
      </w:r>
      <w:r w:rsidR="00236DC8" w:rsidRPr="006104D3">
        <w:rPr>
          <w:shd w:val="clear" w:color="auto" w:fill="FFFFFF"/>
        </w:rPr>
        <w:t>masu informācijas līdzekļa uzdevumā</w:t>
      </w:r>
      <w:r w:rsidR="00236DC8" w:rsidRPr="001B5970">
        <w:rPr>
          <w:rFonts w:eastAsiaTheme="minorHAnsi"/>
          <w:lang w:eastAsia="en-US"/>
          <w14:ligatures w14:val="standardContextual"/>
        </w:rPr>
        <w:t>.</w:t>
      </w:r>
      <w:r w:rsidR="00236DC8">
        <w:rPr>
          <w:rFonts w:eastAsiaTheme="minorHAnsi"/>
          <w:lang w:eastAsia="en-US"/>
          <w14:ligatures w14:val="standardContextual"/>
        </w:rPr>
        <w:t xml:space="preserve"> </w:t>
      </w:r>
      <w:r w:rsidR="00BA62D0">
        <w:rPr>
          <w:rFonts w:eastAsiaTheme="minorHAnsi"/>
          <w:lang w:eastAsia="en-US"/>
          <w14:ligatures w14:val="standardContextual"/>
        </w:rPr>
        <w:t>Turklāt lieta</w:t>
      </w:r>
      <w:r w:rsidR="00C82030">
        <w:rPr>
          <w:rFonts w:eastAsiaTheme="minorHAnsi"/>
          <w:lang w:eastAsia="en-US"/>
          <w14:ligatures w14:val="standardContextual"/>
        </w:rPr>
        <w:t>s</w:t>
      </w:r>
      <w:r w:rsidR="00BA62D0">
        <w:rPr>
          <w:rFonts w:eastAsiaTheme="minorHAnsi"/>
          <w:lang w:eastAsia="en-US"/>
          <w14:ligatures w14:val="standardContextual"/>
        </w:rPr>
        <w:t xml:space="preserve"> materiālos ir arī Latvijas žurnālistu asociācijas apliecinājums, ka pieteicējs ir Latvijas žurnālistu asociācijas biedrs (</w:t>
      </w:r>
      <w:r w:rsidR="00C82030">
        <w:rPr>
          <w:rFonts w:eastAsiaTheme="minorHAnsi"/>
          <w:i/>
          <w:iCs/>
          <w:lang w:eastAsia="en-US"/>
          <w14:ligatures w14:val="standardContextual"/>
        </w:rPr>
        <w:t xml:space="preserve">lietas </w:t>
      </w:r>
      <w:r w:rsidR="00BA62D0" w:rsidRPr="00BA62D0">
        <w:rPr>
          <w:rFonts w:eastAsiaTheme="minorHAnsi"/>
          <w:i/>
          <w:iCs/>
          <w:lang w:eastAsia="en-US"/>
          <w14:ligatures w14:val="standardContextual"/>
        </w:rPr>
        <w:t>3.sējuma 86.lapa</w:t>
      </w:r>
      <w:r w:rsidR="00BA62D0">
        <w:rPr>
          <w:rFonts w:eastAsiaTheme="minorHAnsi"/>
          <w:lang w:eastAsia="en-US"/>
          <w14:ligatures w14:val="standardContextual"/>
        </w:rPr>
        <w:t>).</w:t>
      </w:r>
    </w:p>
    <w:p w14:paraId="584C2BFC" w14:textId="3F710992" w:rsidR="005F7E85" w:rsidRDefault="00E74D4B" w:rsidP="003D669D">
      <w:pPr>
        <w:spacing w:line="276" w:lineRule="auto"/>
        <w:ind w:firstLine="720"/>
        <w:contextualSpacing/>
        <w:jc w:val="both"/>
        <w:rPr>
          <w:rFonts w:eastAsiaTheme="minorHAnsi"/>
          <w:lang w:eastAsia="en-US"/>
          <w14:ligatures w14:val="standardContextual"/>
        </w:rPr>
      </w:pPr>
      <w:r>
        <w:rPr>
          <w:rFonts w:eastAsiaTheme="minorHAnsi"/>
          <w:lang w:eastAsia="en-US"/>
          <w14:ligatures w14:val="standardContextual"/>
        </w:rPr>
        <w:t xml:space="preserve">Līdz ar to konkrētais kasatores iebildums ir nepamatots. </w:t>
      </w:r>
      <w:r w:rsidR="00236DC8">
        <w:rPr>
          <w:rFonts w:eastAsiaTheme="minorHAnsi"/>
          <w:lang w:eastAsia="en-US"/>
          <w14:ligatures w14:val="standardContextual"/>
        </w:rPr>
        <w:t xml:space="preserve">Vienlaikus Senāts vērš tiesas uzmanību, ka, izskatot lietu </w:t>
      </w:r>
      <w:r w:rsidR="00944979">
        <w:rPr>
          <w:rFonts w:eastAsiaTheme="minorHAnsi"/>
          <w:lang w:eastAsia="en-US"/>
          <w14:ligatures w14:val="standardContextual"/>
        </w:rPr>
        <w:t>no jauna</w:t>
      </w:r>
      <w:r w:rsidR="00236DC8">
        <w:rPr>
          <w:rFonts w:eastAsiaTheme="minorHAnsi"/>
          <w:lang w:eastAsia="en-US"/>
          <w14:ligatures w14:val="standardContextual"/>
        </w:rPr>
        <w:t>, tiesai jāizvērtē, vai pieteicējs joprojām darbojas kā žurnālists konkrētā pētījuma veikšanā.</w:t>
      </w:r>
    </w:p>
    <w:p w14:paraId="28C8DF4E" w14:textId="77777777" w:rsidR="00236DC8" w:rsidRDefault="00236DC8" w:rsidP="003D669D">
      <w:pPr>
        <w:spacing w:line="276" w:lineRule="auto"/>
        <w:ind w:firstLine="567"/>
        <w:contextualSpacing/>
        <w:jc w:val="both"/>
        <w:rPr>
          <w:rFonts w:eastAsiaTheme="minorHAnsi"/>
          <w:lang w:eastAsia="en-US"/>
          <w14:ligatures w14:val="standardContextual"/>
        </w:rPr>
      </w:pPr>
    </w:p>
    <w:p w14:paraId="57484819" w14:textId="77777777" w:rsidR="004C4017" w:rsidRPr="00B424AD" w:rsidRDefault="004C4017" w:rsidP="003D669D">
      <w:pPr>
        <w:spacing w:line="276" w:lineRule="auto"/>
        <w:contextualSpacing/>
        <w:jc w:val="center"/>
        <w:rPr>
          <w:b/>
        </w:rPr>
      </w:pPr>
      <w:r w:rsidRPr="00B424AD">
        <w:rPr>
          <w:b/>
        </w:rPr>
        <w:t>Rezolutīvā daļa</w:t>
      </w:r>
    </w:p>
    <w:p w14:paraId="18401BCC" w14:textId="77777777" w:rsidR="005A43B5" w:rsidRPr="00E40ED2" w:rsidRDefault="005A43B5" w:rsidP="003D669D">
      <w:pPr>
        <w:shd w:val="clear" w:color="auto" w:fill="FFFFFF"/>
        <w:spacing w:line="276" w:lineRule="auto"/>
        <w:rPr>
          <w:b/>
        </w:rPr>
      </w:pPr>
    </w:p>
    <w:p w14:paraId="6E771914" w14:textId="77777777" w:rsidR="005A43B5" w:rsidRPr="00E40ED2" w:rsidRDefault="005A43B5" w:rsidP="003D669D">
      <w:pPr>
        <w:shd w:val="clear" w:color="auto" w:fill="FFFFFF"/>
        <w:spacing w:line="276" w:lineRule="auto"/>
        <w:ind w:firstLine="720"/>
        <w:jc w:val="both"/>
      </w:pPr>
      <w:r w:rsidRPr="00E40ED2">
        <w:t>Pamatojoties uz Administratīvā procesa likuma 129.</w:t>
      </w:r>
      <w:r w:rsidRPr="00E40ED2">
        <w:rPr>
          <w:vertAlign w:val="superscript"/>
        </w:rPr>
        <w:t>1</w:t>
      </w:r>
      <w:r w:rsidRPr="00E40ED2">
        <w:t>panta pirmās daļas 1.punktu, 348.panta pirmās daļas 2.punktu un 351.pantu, Senāts</w:t>
      </w:r>
    </w:p>
    <w:p w14:paraId="6A0A0867" w14:textId="77777777" w:rsidR="005A43B5" w:rsidRPr="00E40ED2" w:rsidRDefault="005A43B5" w:rsidP="003D669D">
      <w:pPr>
        <w:shd w:val="clear" w:color="auto" w:fill="FFFFFF"/>
        <w:spacing w:line="276" w:lineRule="auto"/>
        <w:jc w:val="center"/>
        <w:rPr>
          <w:b/>
        </w:rPr>
      </w:pPr>
    </w:p>
    <w:p w14:paraId="1DF1463D" w14:textId="77777777" w:rsidR="005A43B5" w:rsidRPr="00E40ED2" w:rsidRDefault="005A43B5" w:rsidP="003D669D">
      <w:pPr>
        <w:shd w:val="clear" w:color="auto" w:fill="FFFFFF"/>
        <w:spacing w:line="276" w:lineRule="auto"/>
        <w:jc w:val="center"/>
        <w:rPr>
          <w:b/>
        </w:rPr>
      </w:pPr>
      <w:r w:rsidRPr="00E40ED2">
        <w:rPr>
          <w:b/>
        </w:rPr>
        <w:t>nosprieda</w:t>
      </w:r>
    </w:p>
    <w:p w14:paraId="4C205E70" w14:textId="77777777" w:rsidR="005A43B5" w:rsidRPr="00E40ED2" w:rsidRDefault="005A43B5" w:rsidP="003D669D">
      <w:pPr>
        <w:shd w:val="clear" w:color="auto" w:fill="FFFFFF"/>
        <w:spacing w:line="276" w:lineRule="auto"/>
        <w:jc w:val="center"/>
        <w:rPr>
          <w:b/>
        </w:rPr>
      </w:pPr>
    </w:p>
    <w:p w14:paraId="10D3C515" w14:textId="6E88F922" w:rsidR="005A43B5" w:rsidRPr="00E40ED2" w:rsidRDefault="005A43B5" w:rsidP="003D669D">
      <w:pPr>
        <w:spacing w:line="276" w:lineRule="auto"/>
        <w:ind w:firstLine="720"/>
        <w:jc w:val="both"/>
      </w:pPr>
      <w:r w:rsidRPr="00E40ED2">
        <w:rPr>
          <w:lang w:eastAsia="lv-LV"/>
        </w:rPr>
        <w:t xml:space="preserve">atcelt Administratīvās </w:t>
      </w:r>
      <w:r>
        <w:rPr>
          <w:lang w:eastAsia="lv-LV"/>
        </w:rPr>
        <w:t>rajona tiesas</w:t>
      </w:r>
      <w:r w:rsidRPr="00E40ED2">
        <w:rPr>
          <w:lang w:eastAsia="lv-LV"/>
        </w:rPr>
        <w:t xml:space="preserve"> </w:t>
      </w:r>
      <w:r w:rsidRPr="00B424AD">
        <w:t xml:space="preserve">2021.gada </w:t>
      </w:r>
      <w:r>
        <w:t>13.maija</w:t>
      </w:r>
      <w:r w:rsidRPr="00B424AD">
        <w:t xml:space="preserve"> spriedumu</w:t>
      </w:r>
      <w:r w:rsidRPr="00E40ED2">
        <w:t xml:space="preserve"> un nosūtīt lietu Administratīvajai </w:t>
      </w:r>
      <w:r w:rsidR="00AB09C9">
        <w:t>rajona tiesai</w:t>
      </w:r>
      <w:r w:rsidR="00AB09C9" w:rsidRPr="00E40ED2">
        <w:t xml:space="preserve"> </w:t>
      </w:r>
      <w:r w:rsidRPr="00E40ED2">
        <w:t>jaunai izskatīšanai;</w:t>
      </w:r>
    </w:p>
    <w:p w14:paraId="273C7AAA" w14:textId="4F9CEAD8" w:rsidR="005A43B5" w:rsidRPr="00E40ED2" w:rsidRDefault="005A43B5" w:rsidP="003D669D">
      <w:pPr>
        <w:spacing w:line="276" w:lineRule="auto"/>
        <w:ind w:firstLine="720"/>
        <w:jc w:val="both"/>
      </w:pPr>
      <w:r w:rsidRPr="00E40ED2">
        <w:t xml:space="preserve">atmaksāt </w:t>
      </w:r>
      <w:r w:rsidRPr="00476DBA">
        <w:rPr>
          <w:rFonts w:eastAsiaTheme="minorHAnsi"/>
          <w:lang w:eastAsia="en-US"/>
          <w14:ligatures w14:val="standardContextual"/>
        </w:rPr>
        <w:t xml:space="preserve">pilnsabiedrībai „LNK, RERE” </w:t>
      </w:r>
      <w:r w:rsidRPr="00476DBA">
        <w:t>drošības naudu 70 </w:t>
      </w:r>
      <w:r w:rsidRPr="00476DBA">
        <w:rPr>
          <w:i/>
        </w:rPr>
        <w:t>euro</w:t>
      </w:r>
      <w:r w:rsidRPr="00476DBA">
        <w:t>.</w:t>
      </w:r>
    </w:p>
    <w:p w14:paraId="563AA2E6" w14:textId="77777777" w:rsidR="005A43B5" w:rsidRPr="00E40ED2" w:rsidRDefault="005A43B5" w:rsidP="003D669D">
      <w:pPr>
        <w:spacing w:line="276" w:lineRule="auto"/>
        <w:ind w:firstLine="720"/>
        <w:jc w:val="both"/>
      </w:pPr>
    </w:p>
    <w:p w14:paraId="228834E9" w14:textId="77777777" w:rsidR="005A43B5" w:rsidRPr="00E40ED2" w:rsidRDefault="005A43B5" w:rsidP="003D669D">
      <w:pPr>
        <w:spacing w:line="276" w:lineRule="auto"/>
        <w:ind w:firstLine="720"/>
      </w:pPr>
      <w:r w:rsidRPr="00E40ED2">
        <w:t>Spriedums nav pārsūdzams.</w:t>
      </w:r>
    </w:p>
    <w:p w14:paraId="68879F70" w14:textId="77777777" w:rsidR="004C4017" w:rsidRPr="00B424AD" w:rsidRDefault="004C4017" w:rsidP="00E42CDF">
      <w:pPr>
        <w:spacing w:line="276" w:lineRule="auto"/>
        <w:ind w:firstLine="567"/>
        <w:contextualSpacing/>
        <w:jc w:val="both"/>
      </w:pPr>
    </w:p>
    <w:p w14:paraId="35FC69B9" w14:textId="77777777" w:rsidR="004C4017" w:rsidRPr="00B424AD" w:rsidRDefault="004C4017" w:rsidP="00E42CDF">
      <w:pPr>
        <w:spacing w:line="276" w:lineRule="auto"/>
        <w:ind w:firstLine="567"/>
        <w:contextualSpacing/>
        <w:jc w:val="both"/>
      </w:pPr>
    </w:p>
    <w:p w14:paraId="2F70B679" w14:textId="77777777" w:rsidR="004C4017" w:rsidRPr="00B424AD" w:rsidRDefault="004C4017" w:rsidP="00E42CDF">
      <w:pPr>
        <w:spacing w:line="276" w:lineRule="auto"/>
        <w:ind w:firstLine="567"/>
        <w:contextualSpacing/>
        <w:jc w:val="both"/>
      </w:pPr>
    </w:p>
    <w:bookmarkEnd w:id="0"/>
    <w:p w14:paraId="78E6FE2C" w14:textId="77777777" w:rsidR="004C4017" w:rsidRPr="0060708C" w:rsidRDefault="004C4017" w:rsidP="002041F8">
      <w:pPr>
        <w:tabs>
          <w:tab w:val="center" w:pos="1701"/>
          <w:tab w:val="center" w:pos="4536"/>
          <w:tab w:val="center" w:pos="7371"/>
        </w:tabs>
        <w:spacing w:line="276" w:lineRule="auto"/>
        <w:contextualSpacing/>
        <w:jc w:val="both"/>
        <w:rPr>
          <w:lang w:val="en-US"/>
        </w:rPr>
      </w:pPr>
    </w:p>
    <w:sectPr w:rsidR="004C4017" w:rsidRPr="0060708C" w:rsidSect="000435F6">
      <w:footerReference w:type="default" r:id="rId35"/>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55881B" w14:textId="77777777" w:rsidR="008A25D5" w:rsidRDefault="008A25D5" w:rsidP="00461BB8">
      <w:r>
        <w:separator/>
      </w:r>
    </w:p>
  </w:endnote>
  <w:endnote w:type="continuationSeparator" w:id="0">
    <w:p w14:paraId="124617E5" w14:textId="77777777" w:rsidR="008A25D5" w:rsidRDefault="008A25D5" w:rsidP="00461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F8C20" w14:textId="07794DA6" w:rsidR="00461BB8" w:rsidRPr="00461BB8" w:rsidRDefault="00461BB8" w:rsidP="00461BB8">
    <w:pPr>
      <w:pStyle w:val="Footer"/>
      <w:jc w:val="center"/>
      <w:rPr>
        <w:sz w:val="20"/>
        <w:szCs w:val="20"/>
      </w:rPr>
    </w:pPr>
    <w:r w:rsidRPr="00461BB8">
      <w:rPr>
        <w:rStyle w:val="PageNumber"/>
        <w:sz w:val="20"/>
        <w:szCs w:val="20"/>
      </w:rPr>
      <w:fldChar w:fldCharType="begin"/>
    </w:r>
    <w:r w:rsidRPr="00461BB8">
      <w:rPr>
        <w:rStyle w:val="PageNumber"/>
        <w:sz w:val="20"/>
        <w:szCs w:val="20"/>
      </w:rPr>
      <w:instrText xml:space="preserve">PAGE  </w:instrText>
    </w:r>
    <w:r w:rsidRPr="00461BB8">
      <w:rPr>
        <w:rStyle w:val="PageNumber"/>
        <w:sz w:val="20"/>
        <w:szCs w:val="20"/>
      </w:rPr>
      <w:fldChar w:fldCharType="separate"/>
    </w:r>
    <w:r w:rsidRPr="00461BB8">
      <w:rPr>
        <w:rStyle w:val="PageNumber"/>
        <w:sz w:val="20"/>
        <w:szCs w:val="20"/>
      </w:rPr>
      <w:t>1</w:t>
    </w:r>
    <w:r w:rsidRPr="00461BB8">
      <w:rPr>
        <w:rStyle w:val="PageNumber"/>
        <w:sz w:val="20"/>
        <w:szCs w:val="20"/>
      </w:rPr>
      <w:fldChar w:fldCharType="end"/>
    </w:r>
    <w:r w:rsidRPr="00461BB8">
      <w:rPr>
        <w:rStyle w:val="PageNumber"/>
        <w:sz w:val="20"/>
        <w:szCs w:val="20"/>
      </w:rPr>
      <w:t xml:space="preserve"> no </w:t>
    </w:r>
    <w:r w:rsidRPr="00461BB8">
      <w:rPr>
        <w:rStyle w:val="PageNumber"/>
        <w:noProof/>
        <w:sz w:val="20"/>
        <w:szCs w:val="20"/>
      </w:rPr>
      <w:fldChar w:fldCharType="begin"/>
    </w:r>
    <w:r w:rsidRPr="00461BB8">
      <w:rPr>
        <w:rStyle w:val="PageNumber"/>
        <w:noProof/>
        <w:sz w:val="20"/>
        <w:szCs w:val="20"/>
      </w:rPr>
      <w:instrText xml:space="preserve"> SECTIONPAGES   \* MERGEFORMAT </w:instrText>
    </w:r>
    <w:r w:rsidRPr="00461BB8">
      <w:rPr>
        <w:rStyle w:val="PageNumber"/>
        <w:noProof/>
        <w:sz w:val="20"/>
        <w:szCs w:val="20"/>
      </w:rPr>
      <w:fldChar w:fldCharType="separate"/>
    </w:r>
    <w:r w:rsidR="000A329F">
      <w:rPr>
        <w:rStyle w:val="PageNumber"/>
        <w:noProof/>
        <w:sz w:val="20"/>
        <w:szCs w:val="20"/>
      </w:rPr>
      <w:t>24</w:t>
    </w:r>
    <w:r w:rsidRPr="00461BB8">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585FF" w14:textId="77777777" w:rsidR="008A25D5" w:rsidRDefault="008A25D5" w:rsidP="00461BB8">
      <w:r>
        <w:separator/>
      </w:r>
    </w:p>
  </w:footnote>
  <w:footnote w:type="continuationSeparator" w:id="0">
    <w:p w14:paraId="6D471DF9" w14:textId="77777777" w:rsidR="008A25D5" w:rsidRDefault="008A25D5" w:rsidP="00461B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10803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CE53518"/>
    <w:multiLevelType w:val="hybridMultilevel"/>
    <w:tmpl w:val="70F8561A"/>
    <w:lvl w:ilvl="0" w:tplc="898C3EFC">
      <w:start w:val="2"/>
      <w:numFmt w:val="decimal"/>
      <w:lvlText w:val="%1."/>
      <w:lvlJc w:val="left"/>
      <w:pPr>
        <w:ind w:left="2880" w:hanging="360"/>
      </w:pPr>
      <w:rPr>
        <w:rFonts w:eastAsia="Times New Roman" w:cs="Times New Roman" w:hint="default"/>
        <w:b/>
        <w:bCs/>
      </w:rPr>
    </w:lvl>
    <w:lvl w:ilvl="1" w:tplc="04260019">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2" w15:restartNumberingAfterBreak="0">
    <w:nsid w:val="7A3507E8"/>
    <w:multiLevelType w:val="hybridMultilevel"/>
    <w:tmpl w:val="52B8AE90"/>
    <w:lvl w:ilvl="0" w:tplc="4D9A5EC4">
      <w:start w:val="1"/>
      <w:numFmt w:val="decimal"/>
      <w:lvlText w:val="[%1]"/>
      <w:lvlJc w:val="left"/>
      <w:pPr>
        <w:ind w:left="1070" w:hanging="360"/>
      </w:pPr>
      <w:rPr>
        <w:rFonts w:ascii="Verdana" w:hAnsi="Verdana" w:hint="default"/>
        <w:b w:val="0"/>
        <w:i w:val="0"/>
        <w:sz w:val="16"/>
        <w:szCs w:val="16"/>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636B7F4">
      <w:start w:val="1"/>
      <w:numFmt w:val="decimal"/>
      <w:lvlText w:val="%4."/>
      <w:lvlJc w:val="left"/>
      <w:pPr>
        <w:ind w:left="2880" w:hanging="360"/>
      </w:pPr>
      <w:rPr>
        <w:rFonts w:ascii="Verdana" w:hAnsi="Verdana" w:hint="default"/>
        <w:sz w:val="20"/>
        <w:szCs w:val="20"/>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315376858">
    <w:abstractNumId w:val="2"/>
  </w:num>
  <w:num w:numId="2" w16cid:durableId="367686549">
    <w:abstractNumId w:val="1"/>
  </w:num>
  <w:num w:numId="3" w16cid:durableId="1893419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017"/>
    <w:rsid w:val="000435F6"/>
    <w:rsid w:val="00054A70"/>
    <w:rsid w:val="00066B96"/>
    <w:rsid w:val="00075C4E"/>
    <w:rsid w:val="0008350A"/>
    <w:rsid w:val="000859A6"/>
    <w:rsid w:val="00093D6D"/>
    <w:rsid w:val="000A329F"/>
    <w:rsid w:val="000A53D7"/>
    <w:rsid w:val="000A5E83"/>
    <w:rsid w:val="000C3466"/>
    <w:rsid w:val="000E34C8"/>
    <w:rsid w:val="000E7AA7"/>
    <w:rsid w:val="00124CD5"/>
    <w:rsid w:val="00137AAD"/>
    <w:rsid w:val="0017066C"/>
    <w:rsid w:val="00197427"/>
    <w:rsid w:val="001A33F4"/>
    <w:rsid w:val="001D681C"/>
    <w:rsid w:val="001D77B0"/>
    <w:rsid w:val="001E6D9E"/>
    <w:rsid w:val="001F2099"/>
    <w:rsid w:val="00202BF8"/>
    <w:rsid w:val="002041F8"/>
    <w:rsid w:val="00211291"/>
    <w:rsid w:val="002124F2"/>
    <w:rsid w:val="00225629"/>
    <w:rsid w:val="00230BA0"/>
    <w:rsid w:val="00236DC8"/>
    <w:rsid w:val="00283739"/>
    <w:rsid w:val="00285EE7"/>
    <w:rsid w:val="00290513"/>
    <w:rsid w:val="002960D9"/>
    <w:rsid w:val="002C635B"/>
    <w:rsid w:val="002D548A"/>
    <w:rsid w:val="002E5188"/>
    <w:rsid w:val="0032793E"/>
    <w:rsid w:val="003324D8"/>
    <w:rsid w:val="00334D05"/>
    <w:rsid w:val="00335935"/>
    <w:rsid w:val="00355121"/>
    <w:rsid w:val="0036234D"/>
    <w:rsid w:val="0036263C"/>
    <w:rsid w:val="003D1264"/>
    <w:rsid w:val="003D669D"/>
    <w:rsid w:val="004026FF"/>
    <w:rsid w:val="004042FC"/>
    <w:rsid w:val="00417D1F"/>
    <w:rsid w:val="00421B0C"/>
    <w:rsid w:val="00441F62"/>
    <w:rsid w:val="0045282A"/>
    <w:rsid w:val="00452DA0"/>
    <w:rsid w:val="00461BB8"/>
    <w:rsid w:val="004734F8"/>
    <w:rsid w:val="004738EE"/>
    <w:rsid w:val="00474D90"/>
    <w:rsid w:val="00476DBA"/>
    <w:rsid w:val="0049189F"/>
    <w:rsid w:val="00497E65"/>
    <w:rsid w:val="004A2D7D"/>
    <w:rsid w:val="004A72B2"/>
    <w:rsid w:val="004C4017"/>
    <w:rsid w:val="004C7DE9"/>
    <w:rsid w:val="004F3D60"/>
    <w:rsid w:val="00506818"/>
    <w:rsid w:val="00513B3A"/>
    <w:rsid w:val="00535028"/>
    <w:rsid w:val="005436E0"/>
    <w:rsid w:val="0056196C"/>
    <w:rsid w:val="00573EC2"/>
    <w:rsid w:val="00577057"/>
    <w:rsid w:val="0058187F"/>
    <w:rsid w:val="005A43B5"/>
    <w:rsid w:val="005C53B3"/>
    <w:rsid w:val="005D57C4"/>
    <w:rsid w:val="005E572A"/>
    <w:rsid w:val="005E7769"/>
    <w:rsid w:val="005F06E6"/>
    <w:rsid w:val="005F7E85"/>
    <w:rsid w:val="006104D3"/>
    <w:rsid w:val="006476D5"/>
    <w:rsid w:val="00657E6F"/>
    <w:rsid w:val="00666714"/>
    <w:rsid w:val="00694FF2"/>
    <w:rsid w:val="006C11F7"/>
    <w:rsid w:val="006F1324"/>
    <w:rsid w:val="00706A1A"/>
    <w:rsid w:val="00712ACC"/>
    <w:rsid w:val="007440F0"/>
    <w:rsid w:val="00752489"/>
    <w:rsid w:val="00753E31"/>
    <w:rsid w:val="00757825"/>
    <w:rsid w:val="00761470"/>
    <w:rsid w:val="00761F3B"/>
    <w:rsid w:val="007A0655"/>
    <w:rsid w:val="007C2DBB"/>
    <w:rsid w:val="007E2CF0"/>
    <w:rsid w:val="007F1781"/>
    <w:rsid w:val="007F3DE3"/>
    <w:rsid w:val="00806079"/>
    <w:rsid w:val="00820F48"/>
    <w:rsid w:val="00836A6D"/>
    <w:rsid w:val="0087680B"/>
    <w:rsid w:val="00896C11"/>
    <w:rsid w:val="008A25D5"/>
    <w:rsid w:val="008D77AA"/>
    <w:rsid w:val="008D7BFD"/>
    <w:rsid w:val="008E2EB9"/>
    <w:rsid w:val="00913CEA"/>
    <w:rsid w:val="009273B1"/>
    <w:rsid w:val="009341A3"/>
    <w:rsid w:val="00944979"/>
    <w:rsid w:val="00950FF2"/>
    <w:rsid w:val="009552C3"/>
    <w:rsid w:val="0096398B"/>
    <w:rsid w:val="00976874"/>
    <w:rsid w:val="00976E4F"/>
    <w:rsid w:val="00983CAE"/>
    <w:rsid w:val="009A30C2"/>
    <w:rsid w:val="00A10C40"/>
    <w:rsid w:val="00A43EA6"/>
    <w:rsid w:val="00A63668"/>
    <w:rsid w:val="00A63EE7"/>
    <w:rsid w:val="00A74297"/>
    <w:rsid w:val="00AB0778"/>
    <w:rsid w:val="00AB09C9"/>
    <w:rsid w:val="00AB4DA8"/>
    <w:rsid w:val="00AD6490"/>
    <w:rsid w:val="00AE71E2"/>
    <w:rsid w:val="00AF7216"/>
    <w:rsid w:val="00B0546B"/>
    <w:rsid w:val="00B22939"/>
    <w:rsid w:val="00B2465C"/>
    <w:rsid w:val="00B524DA"/>
    <w:rsid w:val="00B80A32"/>
    <w:rsid w:val="00B92FD9"/>
    <w:rsid w:val="00B931FD"/>
    <w:rsid w:val="00BA62D0"/>
    <w:rsid w:val="00BA6A95"/>
    <w:rsid w:val="00BC097C"/>
    <w:rsid w:val="00BC0B47"/>
    <w:rsid w:val="00BE46AD"/>
    <w:rsid w:val="00BE7460"/>
    <w:rsid w:val="00BF3124"/>
    <w:rsid w:val="00C0351C"/>
    <w:rsid w:val="00C33413"/>
    <w:rsid w:val="00C470D5"/>
    <w:rsid w:val="00C72891"/>
    <w:rsid w:val="00C82030"/>
    <w:rsid w:val="00C966FA"/>
    <w:rsid w:val="00CC0853"/>
    <w:rsid w:val="00CE1CD9"/>
    <w:rsid w:val="00D0743E"/>
    <w:rsid w:val="00D11F7A"/>
    <w:rsid w:val="00D2515B"/>
    <w:rsid w:val="00D4135F"/>
    <w:rsid w:val="00D464F2"/>
    <w:rsid w:val="00D52903"/>
    <w:rsid w:val="00D54030"/>
    <w:rsid w:val="00D57F31"/>
    <w:rsid w:val="00D73CB7"/>
    <w:rsid w:val="00D87DCE"/>
    <w:rsid w:val="00D90032"/>
    <w:rsid w:val="00D95FD2"/>
    <w:rsid w:val="00DA1A12"/>
    <w:rsid w:val="00DB7143"/>
    <w:rsid w:val="00DD6203"/>
    <w:rsid w:val="00DD75F1"/>
    <w:rsid w:val="00DE227E"/>
    <w:rsid w:val="00E05FF7"/>
    <w:rsid w:val="00E07D5C"/>
    <w:rsid w:val="00E20665"/>
    <w:rsid w:val="00E23008"/>
    <w:rsid w:val="00E42CDF"/>
    <w:rsid w:val="00E6776C"/>
    <w:rsid w:val="00E74D4B"/>
    <w:rsid w:val="00E75EC3"/>
    <w:rsid w:val="00E878A0"/>
    <w:rsid w:val="00E909B8"/>
    <w:rsid w:val="00E95B76"/>
    <w:rsid w:val="00E972CF"/>
    <w:rsid w:val="00EB01D6"/>
    <w:rsid w:val="00EC1AD6"/>
    <w:rsid w:val="00ED64E4"/>
    <w:rsid w:val="00F1302D"/>
    <w:rsid w:val="00F13B77"/>
    <w:rsid w:val="00F16630"/>
    <w:rsid w:val="00F1708B"/>
    <w:rsid w:val="00F25721"/>
    <w:rsid w:val="00F50F3E"/>
    <w:rsid w:val="00F571D4"/>
    <w:rsid w:val="00F72EF2"/>
    <w:rsid w:val="00F7660B"/>
    <w:rsid w:val="00F76978"/>
    <w:rsid w:val="00F814B3"/>
    <w:rsid w:val="00F830A9"/>
    <w:rsid w:val="00FE577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7920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017"/>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C4017"/>
    <w:pPr>
      <w:spacing w:after="120" w:line="480" w:lineRule="auto"/>
    </w:pPr>
    <w:rPr>
      <w:lang w:val="x-none"/>
    </w:rPr>
  </w:style>
  <w:style w:type="character" w:customStyle="1" w:styleId="BodyText2Char">
    <w:name w:val="Body Text 2 Char"/>
    <w:basedOn w:val="DefaultParagraphFont"/>
    <w:link w:val="BodyText2"/>
    <w:rsid w:val="004C4017"/>
    <w:rPr>
      <w:rFonts w:ascii="Times New Roman" w:eastAsia="Times New Roman" w:hAnsi="Times New Roman" w:cs="Times New Roman"/>
      <w:kern w:val="0"/>
      <w:sz w:val="24"/>
      <w:szCs w:val="24"/>
      <w:lang w:val="x-none" w:eastAsia="ru-RU"/>
      <w14:ligatures w14:val="none"/>
    </w:rPr>
  </w:style>
  <w:style w:type="paragraph" w:customStyle="1" w:styleId="ATvirsraksts">
    <w:name w:val="AT virsraksts"/>
    <w:basedOn w:val="Normal"/>
    <w:link w:val="ATvirsrakstsChar"/>
    <w:qFormat/>
    <w:rsid w:val="004C4017"/>
    <w:pPr>
      <w:spacing w:line="276" w:lineRule="auto"/>
      <w:jc w:val="center"/>
      <w:outlineLvl w:val="0"/>
    </w:pPr>
    <w:rPr>
      <w:b/>
    </w:rPr>
  </w:style>
  <w:style w:type="character" w:customStyle="1" w:styleId="ATvirsrakstsChar">
    <w:name w:val="AT virsraksts Char"/>
    <w:basedOn w:val="DefaultParagraphFont"/>
    <w:link w:val="ATvirsraksts"/>
    <w:rsid w:val="004C4017"/>
    <w:rPr>
      <w:rFonts w:ascii="Times New Roman" w:eastAsia="Times New Roman" w:hAnsi="Times New Roman" w:cs="Times New Roman"/>
      <w:b/>
      <w:kern w:val="0"/>
      <w:sz w:val="24"/>
      <w:szCs w:val="24"/>
      <w:lang w:eastAsia="ru-RU"/>
      <w14:ligatures w14:val="none"/>
    </w:rPr>
  </w:style>
  <w:style w:type="table" w:styleId="TableGrid">
    <w:name w:val="Table Grid"/>
    <w:basedOn w:val="TableNormal"/>
    <w:uiPriority w:val="39"/>
    <w:rsid w:val="004C40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sts1">
    <w:name w:val="Parasts1"/>
    <w:basedOn w:val="Normal"/>
    <w:rsid w:val="004C4017"/>
    <w:pPr>
      <w:spacing w:before="100" w:beforeAutospacing="1" w:after="100" w:afterAutospacing="1"/>
    </w:pPr>
    <w:rPr>
      <w:lang w:val="en-US" w:eastAsia="en-US"/>
    </w:rPr>
  </w:style>
  <w:style w:type="character" w:customStyle="1" w:styleId="normal--char">
    <w:name w:val="normal--char"/>
    <w:basedOn w:val="DefaultParagraphFont"/>
    <w:rsid w:val="004C4017"/>
  </w:style>
  <w:style w:type="paragraph" w:styleId="ListParagraph">
    <w:name w:val="List Paragraph"/>
    <w:basedOn w:val="Normal"/>
    <w:uiPriority w:val="34"/>
    <w:qFormat/>
    <w:rsid w:val="004C4017"/>
    <w:pPr>
      <w:spacing w:after="200" w:line="276" w:lineRule="auto"/>
      <w:ind w:left="720"/>
      <w:contextualSpacing/>
    </w:pPr>
    <w:rPr>
      <w:rFonts w:asciiTheme="minorHAnsi" w:eastAsiaTheme="minorHAnsi" w:hAnsiTheme="minorHAnsi" w:cstheme="minorBidi"/>
      <w:sz w:val="22"/>
      <w:szCs w:val="22"/>
      <w:lang w:eastAsia="en-US"/>
    </w:rPr>
  </w:style>
  <w:style w:type="paragraph" w:styleId="Revision">
    <w:name w:val="Revision"/>
    <w:hidden/>
    <w:uiPriority w:val="99"/>
    <w:semiHidden/>
    <w:rsid w:val="004C4017"/>
    <w:pPr>
      <w:spacing w:after="0" w:line="240" w:lineRule="auto"/>
    </w:pPr>
    <w:rPr>
      <w:rFonts w:ascii="Times New Roman" w:eastAsia="Times New Roman" w:hAnsi="Times New Roman" w:cs="Times New Roman"/>
      <w:kern w:val="0"/>
      <w:sz w:val="24"/>
      <w:szCs w:val="24"/>
      <w:lang w:eastAsia="ru-RU"/>
      <w14:ligatures w14:val="none"/>
    </w:rPr>
  </w:style>
  <w:style w:type="character" w:styleId="CommentReference">
    <w:name w:val="annotation reference"/>
    <w:basedOn w:val="DefaultParagraphFont"/>
    <w:uiPriority w:val="99"/>
    <w:semiHidden/>
    <w:unhideWhenUsed/>
    <w:rsid w:val="004C4017"/>
    <w:rPr>
      <w:sz w:val="16"/>
      <w:szCs w:val="16"/>
    </w:rPr>
  </w:style>
  <w:style w:type="paragraph" w:styleId="CommentText">
    <w:name w:val="annotation text"/>
    <w:basedOn w:val="Normal"/>
    <w:link w:val="CommentTextChar"/>
    <w:uiPriority w:val="99"/>
    <w:semiHidden/>
    <w:unhideWhenUsed/>
    <w:rsid w:val="004C4017"/>
    <w:rPr>
      <w:sz w:val="20"/>
      <w:szCs w:val="20"/>
    </w:rPr>
  </w:style>
  <w:style w:type="character" w:customStyle="1" w:styleId="CommentTextChar">
    <w:name w:val="Comment Text Char"/>
    <w:basedOn w:val="DefaultParagraphFont"/>
    <w:link w:val="CommentText"/>
    <w:uiPriority w:val="99"/>
    <w:semiHidden/>
    <w:rsid w:val="004C4017"/>
    <w:rPr>
      <w:rFonts w:ascii="Times New Roman" w:eastAsia="Times New Roman" w:hAnsi="Times New Roman" w:cs="Times New Roman"/>
      <w:kern w:val="0"/>
      <w:sz w:val="20"/>
      <w:szCs w:val="20"/>
      <w:lang w:eastAsia="ru-RU"/>
      <w14:ligatures w14:val="none"/>
    </w:rPr>
  </w:style>
  <w:style w:type="paragraph" w:styleId="CommentSubject">
    <w:name w:val="annotation subject"/>
    <w:basedOn w:val="CommentText"/>
    <w:next w:val="CommentText"/>
    <w:link w:val="CommentSubjectChar"/>
    <w:uiPriority w:val="99"/>
    <w:semiHidden/>
    <w:unhideWhenUsed/>
    <w:rsid w:val="004C4017"/>
    <w:rPr>
      <w:b/>
      <w:bCs/>
    </w:rPr>
  </w:style>
  <w:style w:type="character" w:customStyle="1" w:styleId="CommentSubjectChar">
    <w:name w:val="Comment Subject Char"/>
    <w:basedOn w:val="CommentTextChar"/>
    <w:link w:val="CommentSubject"/>
    <w:uiPriority w:val="99"/>
    <w:semiHidden/>
    <w:rsid w:val="004C4017"/>
    <w:rPr>
      <w:rFonts w:ascii="Times New Roman" w:eastAsia="Times New Roman" w:hAnsi="Times New Roman" w:cs="Times New Roman"/>
      <w:b/>
      <w:bCs/>
      <w:kern w:val="0"/>
      <w:sz w:val="20"/>
      <w:szCs w:val="20"/>
      <w:lang w:eastAsia="ru-RU"/>
      <w14:ligatures w14:val="none"/>
    </w:rPr>
  </w:style>
  <w:style w:type="character" w:styleId="FootnoteReference">
    <w:name w:val="footnote reference"/>
    <w:uiPriority w:val="99"/>
    <w:unhideWhenUsed/>
    <w:rsid w:val="004C4017"/>
    <w:rPr>
      <w:vertAlign w:val="superscript"/>
    </w:rPr>
  </w:style>
  <w:style w:type="paragraph" w:customStyle="1" w:styleId="Default">
    <w:name w:val="Default"/>
    <w:rsid w:val="004C4017"/>
    <w:pPr>
      <w:autoSpaceDE w:val="0"/>
      <w:autoSpaceDN w:val="0"/>
      <w:adjustRightInd w:val="0"/>
      <w:spacing w:after="0" w:line="240" w:lineRule="auto"/>
    </w:pPr>
    <w:rPr>
      <w:rFonts w:ascii="Verdana" w:hAnsi="Verdana" w:cs="Verdana"/>
      <w:color w:val="000000"/>
      <w:kern w:val="0"/>
      <w:sz w:val="24"/>
      <w:szCs w:val="24"/>
    </w:rPr>
  </w:style>
  <w:style w:type="paragraph" w:customStyle="1" w:styleId="tv213">
    <w:name w:val="tv213"/>
    <w:basedOn w:val="Normal"/>
    <w:rsid w:val="004C4017"/>
    <w:pPr>
      <w:spacing w:before="100" w:beforeAutospacing="1" w:after="100" w:afterAutospacing="1"/>
    </w:pPr>
    <w:rPr>
      <w:lang w:eastAsia="lv-LV"/>
    </w:rPr>
  </w:style>
  <w:style w:type="paragraph" w:customStyle="1" w:styleId="c01pointnumerotealtn">
    <w:name w:val="c01pointnumerotealtn"/>
    <w:basedOn w:val="Normal"/>
    <w:rsid w:val="004C4017"/>
    <w:pPr>
      <w:spacing w:before="100" w:beforeAutospacing="1" w:after="100" w:afterAutospacing="1"/>
    </w:pPr>
    <w:rPr>
      <w:lang w:eastAsia="lv-LV"/>
    </w:rPr>
  </w:style>
  <w:style w:type="paragraph" w:customStyle="1" w:styleId="Parasts2">
    <w:name w:val="Parasts2"/>
    <w:basedOn w:val="Normal"/>
    <w:rsid w:val="004C4017"/>
    <w:pPr>
      <w:spacing w:before="100" w:beforeAutospacing="1" w:after="100" w:afterAutospacing="1"/>
    </w:pPr>
    <w:rPr>
      <w:lang w:eastAsia="lv-LV"/>
    </w:rPr>
  </w:style>
  <w:style w:type="character" w:styleId="Hyperlink">
    <w:name w:val="Hyperlink"/>
    <w:basedOn w:val="DefaultParagraphFont"/>
    <w:uiPriority w:val="99"/>
    <w:unhideWhenUsed/>
    <w:rsid w:val="004C4017"/>
    <w:rPr>
      <w:color w:val="0000FF"/>
      <w:u w:val="single"/>
    </w:rPr>
  </w:style>
  <w:style w:type="paragraph" w:styleId="NormalWeb">
    <w:name w:val="Normal (Web)"/>
    <w:basedOn w:val="Normal"/>
    <w:uiPriority w:val="99"/>
    <w:unhideWhenUsed/>
    <w:rsid w:val="004C4017"/>
    <w:pPr>
      <w:spacing w:before="100" w:beforeAutospacing="1" w:after="100" w:afterAutospacing="1"/>
    </w:pPr>
    <w:rPr>
      <w:lang w:eastAsia="lv-LV"/>
    </w:rPr>
  </w:style>
  <w:style w:type="paragraph" w:customStyle="1" w:styleId="c02alineaalta">
    <w:name w:val="c02alineaalta"/>
    <w:basedOn w:val="Normal"/>
    <w:rsid w:val="004C4017"/>
    <w:pPr>
      <w:spacing w:before="100" w:beforeAutospacing="1" w:after="100" w:afterAutospacing="1"/>
    </w:pPr>
    <w:rPr>
      <w:lang w:eastAsia="lv-LV"/>
    </w:rPr>
  </w:style>
  <w:style w:type="paragraph" w:customStyle="1" w:styleId="ti-art">
    <w:name w:val="ti-art"/>
    <w:basedOn w:val="Normal"/>
    <w:rsid w:val="004C4017"/>
    <w:pPr>
      <w:spacing w:before="100" w:beforeAutospacing="1" w:after="100" w:afterAutospacing="1"/>
    </w:pPr>
    <w:rPr>
      <w:lang w:eastAsia="lv-LV"/>
    </w:rPr>
  </w:style>
  <w:style w:type="paragraph" w:customStyle="1" w:styleId="sti-art">
    <w:name w:val="sti-art"/>
    <w:basedOn w:val="Normal"/>
    <w:rsid w:val="004C4017"/>
    <w:pPr>
      <w:spacing w:before="100" w:beforeAutospacing="1" w:after="100" w:afterAutospacing="1"/>
    </w:pPr>
    <w:rPr>
      <w:lang w:eastAsia="lv-LV"/>
    </w:rPr>
  </w:style>
  <w:style w:type="paragraph" w:customStyle="1" w:styleId="Parasts3">
    <w:name w:val="Parasts3"/>
    <w:basedOn w:val="Normal"/>
    <w:rsid w:val="004C4017"/>
    <w:pPr>
      <w:spacing w:before="100" w:beforeAutospacing="1" w:after="100" w:afterAutospacing="1"/>
    </w:pPr>
    <w:rPr>
      <w:lang w:eastAsia="lv-LV"/>
    </w:rPr>
  </w:style>
  <w:style w:type="paragraph" w:customStyle="1" w:styleId="norm">
    <w:name w:val="norm"/>
    <w:basedOn w:val="Normal"/>
    <w:rsid w:val="004C4017"/>
    <w:pPr>
      <w:spacing w:before="100" w:beforeAutospacing="1" w:after="100" w:afterAutospacing="1"/>
    </w:pPr>
    <w:rPr>
      <w:lang w:eastAsia="lv-LV"/>
    </w:rPr>
  </w:style>
  <w:style w:type="paragraph" w:customStyle="1" w:styleId="modref">
    <w:name w:val="modref"/>
    <w:basedOn w:val="Normal"/>
    <w:rsid w:val="004C4017"/>
    <w:pPr>
      <w:spacing w:before="100" w:beforeAutospacing="1" w:after="100" w:afterAutospacing="1"/>
    </w:pPr>
    <w:rPr>
      <w:lang w:eastAsia="lv-LV"/>
    </w:rPr>
  </w:style>
  <w:style w:type="character" w:customStyle="1" w:styleId="spelle">
    <w:name w:val="spelle"/>
    <w:basedOn w:val="DefaultParagraphFont"/>
    <w:rsid w:val="004C4017"/>
  </w:style>
  <w:style w:type="character" w:styleId="UnresolvedMention">
    <w:name w:val="Unresolved Mention"/>
    <w:basedOn w:val="DefaultParagraphFont"/>
    <w:uiPriority w:val="99"/>
    <w:semiHidden/>
    <w:unhideWhenUsed/>
    <w:rsid w:val="004C4017"/>
    <w:rPr>
      <w:color w:val="605E5C"/>
      <w:shd w:val="clear" w:color="auto" w:fill="E1DFDD"/>
    </w:rPr>
  </w:style>
  <w:style w:type="paragraph" w:styleId="Header">
    <w:name w:val="header"/>
    <w:basedOn w:val="Normal"/>
    <w:link w:val="HeaderChar"/>
    <w:uiPriority w:val="99"/>
    <w:unhideWhenUsed/>
    <w:rsid w:val="00461BB8"/>
    <w:pPr>
      <w:tabs>
        <w:tab w:val="center" w:pos="4513"/>
        <w:tab w:val="right" w:pos="9026"/>
      </w:tabs>
    </w:pPr>
  </w:style>
  <w:style w:type="character" w:customStyle="1" w:styleId="HeaderChar">
    <w:name w:val="Header Char"/>
    <w:basedOn w:val="DefaultParagraphFont"/>
    <w:link w:val="Header"/>
    <w:uiPriority w:val="99"/>
    <w:rsid w:val="00461BB8"/>
    <w:rPr>
      <w:rFonts w:ascii="Times New Roman" w:eastAsia="Times New Roman" w:hAnsi="Times New Roman" w:cs="Times New Roman"/>
      <w:kern w:val="0"/>
      <w:sz w:val="24"/>
      <w:szCs w:val="24"/>
      <w:lang w:eastAsia="ru-RU"/>
      <w14:ligatures w14:val="none"/>
    </w:rPr>
  </w:style>
  <w:style w:type="paragraph" w:styleId="Footer">
    <w:name w:val="footer"/>
    <w:basedOn w:val="Normal"/>
    <w:link w:val="FooterChar"/>
    <w:unhideWhenUsed/>
    <w:rsid w:val="00461BB8"/>
    <w:pPr>
      <w:tabs>
        <w:tab w:val="center" w:pos="4513"/>
        <w:tab w:val="right" w:pos="9026"/>
      </w:tabs>
    </w:pPr>
  </w:style>
  <w:style w:type="character" w:customStyle="1" w:styleId="FooterChar">
    <w:name w:val="Footer Char"/>
    <w:basedOn w:val="DefaultParagraphFont"/>
    <w:link w:val="Footer"/>
    <w:rsid w:val="00461BB8"/>
    <w:rPr>
      <w:rFonts w:ascii="Times New Roman" w:eastAsia="Times New Roman" w:hAnsi="Times New Roman" w:cs="Times New Roman"/>
      <w:kern w:val="0"/>
      <w:sz w:val="24"/>
      <w:szCs w:val="24"/>
      <w:lang w:eastAsia="ru-RU"/>
      <w14:ligatures w14:val="none"/>
    </w:rPr>
  </w:style>
  <w:style w:type="character" w:styleId="PageNumber">
    <w:name w:val="page number"/>
    <w:basedOn w:val="DefaultParagraphFont"/>
    <w:rsid w:val="00461BB8"/>
  </w:style>
  <w:style w:type="character" w:styleId="FollowedHyperlink">
    <w:name w:val="FollowedHyperlink"/>
    <w:basedOn w:val="DefaultParagraphFont"/>
    <w:uiPriority w:val="99"/>
    <w:semiHidden/>
    <w:unhideWhenUsed/>
    <w:rsid w:val="00913C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604536">
      <w:bodyDiv w:val="1"/>
      <w:marLeft w:val="0"/>
      <w:marRight w:val="0"/>
      <w:marTop w:val="0"/>
      <w:marBottom w:val="0"/>
      <w:divBdr>
        <w:top w:val="none" w:sz="0" w:space="0" w:color="auto"/>
        <w:left w:val="none" w:sz="0" w:space="0" w:color="auto"/>
        <w:bottom w:val="none" w:sz="0" w:space="0" w:color="auto"/>
        <w:right w:val="none" w:sz="0" w:space="0" w:color="auto"/>
      </w:divBdr>
    </w:div>
    <w:div w:id="500658003">
      <w:bodyDiv w:val="1"/>
      <w:marLeft w:val="0"/>
      <w:marRight w:val="0"/>
      <w:marTop w:val="0"/>
      <w:marBottom w:val="0"/>
      <w:divBdr>
        <w:top w:val="none" w:sz="0" w:space="0" w:color="auto"/>
        <w:left w:val="none" w:sz="0" w:space="0" w:color="auto"/>
        <w:bottom w:val="none" w:sz="0" w:space="0" w:color="auto"/>
        <w:right w:val="none" w:sz="0" w:space="0" w:color="auto"/>
      </w:divBdr>
    </w:div>
    <w:div w:id="1373649571">
      <w:bodyDiv w:val="1"/>
      <w:marLeft w:val="0"/>
      <w:marRight w:val="0"/>
      <w:marTop w:val="0"/>
      <w:marBottom w:val="0"/>
      <w:divBdr>
        <w:top w:val="none" w:sz="0" w:space="0" w:color="auto"/>
        <w:left w:val="none" w:sz="0" w:space="0" w:color="auto"/>
        <w:bottom w:val="none" w:sz="0" w:space="0" w:color="auto"/>
        <w:right w:val="none" w:sz="0" w:space="0" w:color="auto"/>
      </w:divBdr>
    </w:div>
    <w:div w:id="187885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nas.tiesas.lv/eTiesasMvc/eclinolemumi/ECLI:LV:AT:2019:0418.A420169118.5.S" TargetMode="External"/><Relationship Id="rId18" Type="http://schemas.openxmlformats.org/officeDocument/2006/relationships/hyperlink" Target="https://curia.europa.eu/juris/document/document.jsf?text=&amp;docid=183581&amp;pageIndex=0&amp;doclang=LV&amp;mode=lst&amp;dir=&amp;occ=first&amp;part=1&amp;cid=3504810" TargetMode="External"/><Relationship Id="rId26" Type="http://schemas.openxmlformats.org/officeDocument/2006/relationships/hyperlink" Target="https://www.satv.tiesa.gov.lv/web/viewer.html?file=/wp-content/uploads/2016/02/04-0299_Spriedums.pdf" TargetMode="External"/><Relationship Id="rId21" Type="http://schemas.openxmlformats.org/officeDocument/2006/relationships/hyperlink" Target="https://titania.saeima.lv/LIVS12/SaeimaLIVS12.nsf/0/99779194A91FDD20C2257E11003EDBFC?OpenDocument" TargetMode="External"/><Relationship Id="rId34" Type="http://schemas.openxmlformats.org/officeDocument/2006/relationships/hyperlink" Target="https://manas.tiesas.lv/eTiesasMvc/eclinolemumi/ECLI:LV:AT:2019:0418.A420169118.5.S" TargetMode="External"/><Relationship Id="rId7" Type="http://schemas.openxmlformats.org/officeDocument/2006/relationships/hyperlink" Target="https://manas.tiesas.lv/eTiesasMvc/nolemumi/pdf/519394.pdf" TargetMode="External"/><Relationship Id="rId12" Type="http://schemas.openxmlformats.org/officeDocument/2006/relationships/hyperlink" Target="https://curia.europa.eu/juris/document/document.jsf;jsessionid=D57B1336C4A86591BA462DA55A9BDE96?text=&amp;docid=199042&amp;pageIndex=0&amp;doclang=LV&amp;mode=lst&amp;dir=&amp;occ=first&amp;part=1&amp;cid=3526091" TargetMode="External"/><Relationship Id="rId17" Type="http://schemas.openxmlformats.org/officeDocument/2006/relationships/hyperlink" Target="https://curia.europa.eu/juris/document/document.jsf?text=&amp;docid=268028&amp;pageIndex=0&amp;doclang=LV&amp;mode=req&amp;dir=&amp;occ=first&amp;part=1&amp;cid=3503981" TargetMode="External"/><Relationship Id="rId25" Type="http://schemas.openxmlformats.org/officeDocument/2006/relationships/hyperlink" Target="https://www.satv.tiesa.gov.lv/web/viewer.html?file=/wp-content/uploads/2016/02/2003-02-0106_Spriedums.pdf" TargetMode="External"/><Relationship Id="rId33" Type="http://schemas.openxmlformats.org/officeDocument/2006/relationships/hyperlink" Target="https://manas.tiesas.lv/eTiesasMvc/nolemumi/pdf/18779.pdf" TargetMode="External"/><Relationship Id="rId2" Type="http://schemas.openxmlformats.org/officeDocument/2006/relationships/styles" Target="styles.xml"/><Relationship Id="rId16" Type="http://schemas.openxmlformats.org/officeDocument/2006/relationships/hyperlink" Target="https://curia.europa.eu/juris/document/document.jsf;jsessionid=90285C8BB462D7698E85DB536913FC10?text=&amp;docid=121166&amp;pageIndex=0&amp;doclang=LV&amp;mode=lst&amp;dir=&amp;occ=first&amp;part=1&amp;cid=3498308" TargetMode="External"/><Relationship Id="rId20" Type="http://schemas.openxmlformats.org/officeDocument/2006/relationships/hyperlink" Target="http://eur-lex.europa.eu/legal-content/LV/TXT/?uri=CELEX%3A32013L0037&amp;qid=1396609858209" TargetMode="External"/><Relationship Id="rId29" Type="http://schemas.openxmlformats.org/officeDocument/2006/relationships/hyperlink" Target="https://manas.tiesas.lv/eTiesasMvc/nolemumi/pdf/325924.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nas.tiesas.lv/eTiesasMvc/nolemumi/pdf/128550.pdf" TargetMode="External"/><Relationship Id="rId24" Type="http://schemas.openxmlformats.org/officeDocument/2006/relationships/hyperlink" Target="https://curia.europa.eu/juris/document/document.jsf?text=&amp;docid=183581&amp;pageIndex=0&amp;doclang=LV&amp;mode=lst&amp;dir=&amp;occ=first&amp;part=1&amp;cid=3504810" TargetMode="External"/><Relationship Id="rId32" Type="http://schemas.openxmlformats.org/officeDocument/2006/relationships/hyperlink" Target="https://manas.tiesas.lv/eTiesasMvc/eclinolemumi/ECLI:LV:AT:2019:0418.A420169118.5.S"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manas.tiesas.lv/eTiesasMvc/nolemumi/pdf/329385.pdf" TargetMode="External"/><Relationship Id="rId23" Type="http://schemas.openxmlformats.org/officeDocument/2006/relationships/hyperlink" Target="https://curia.europa.eu/juris/document/document.jsf?text=&amp;docid=245661&amp;pageIndex=0&amp;doclang=LV&amp;mode=lst&amp;dir=&amp;occ=first&amp;part=1&amp;cid=3507791" TargetMode="External"/><Relationship Id="rId28" Type="http://schemas.openxmlformats.org/officeDocument/2006/relationships/hyperlink" Target="https://manas.tiesas.lv/eTiesasMvc/eclinolemumi/ECLI:LV:AT:2019:1129.A420193517.4.S" TargetMode="External"/><Relationship Id="rId36" Type="http://schemas.openxmlformats.org/officeDocument/2006/relationships/fontTable" Target="fontTable.xml"/><Relationship Id="rId10" Type="http://schemas.openxmlformats.org/officeDocument/2006/relationships/hyperlink" Target="https://curia.europa.eu/juris/document/document.jsf;jsessionid=2AE5C8F58E4504C24054020440F89CE7?text=&amp;docid=222504&amp;pageIndex=0&amp;doclang=LV&amp;mode=lst&amp;dir=&amp;occ=first&amp;part=1&amp;cid=3492834" TargetMode="External"/><Relationship Id="rId19" Type="http://schemas.openxmlformats.org/officeDocument/2006/relationships/hyperlink" Target="https://curia.europa.eu/juris/document/document.jsf?text=&amp;docid=133102&amp;pageIndex=0&amp;doclang=LV&amp;mode=lst&amp;dir=&amp;occ=first&amp;part=1&amp;cid=3505141" TargetMode="External"/><Relationship Id="rId31" Type="http://schemas.openxmlformats.org/officeDocument/2006/relationships/hyperlink" Target="https://hudoc.echr.coe.int/eng" TargetMode="External"/><Relationship Id="rId4" Type="http://schemas.openxmlformats.org/officeDocument/2006/relationships/webSettings" Target="webSettings.xml"/><Relationship Id="rId9" Type="http://schemas.openxmlformats.org/officeDocument/2006/relationships/hyperlink" Target="https://www.satv.tiesa.gov.lv/web/viewer.html?file=/wp-content/uploads/2016/02/2003-02-0106_Spriedums.pdf" TargetMode="External"/><Relationship Id="rId14" Type="http://schemas.openxmlformats.org/officeDocument/2006/relationships/hyperlink" Target="https://manas.tiesas.lv/eTiesasMvc/eclinolemumi/ECLI:LV:AT:2019:0607.A420236517.5.S" TargetMode="External"/><Relationship Id="rId22" Type="http://schemas.openxmlformats.org/officeDocument/2006/relationships/hyperlink" Target="https://curia.europa.eu/juris/document/document.jsf?text=&amp;docid=71573&amp;pageIndex=0&amp;doclang=LV&amp;mode=lst&amp;dir=&amp;occ=first&amp;part=1&amp;cid=3507265" TargetMode="External"/><Relationship Id="rId27" Type="http://schemas.openxmlformats.org/officeDocument/2006/relationships/hyperlink" Target="https://manas.tiesas.lv/eTiesasMvc/eclinolemumi/ECLI:LV:AT:2019:0418.A420169118.5.S" TargetMode="External"/><Relationship Id="rId30" Type="http://schemas.openxmlformats.org/officeDocument/2006/relationships/hyperlink" Target="https://curia.europa.eu/juris/document/document.jsf?text=&amp;docid=183581&amp;pageIndex=0&amp;doclang=LV&amp;mode=lst&amp;dir=&amp;occ=first&amp;part=1&amp;cid=3504810" TargetMode="External"/><Relationship Id="rId35" Type="http://schemas.openxmlformats.org/officeDocument/2006/relationships/footer" Target="footer1.xml"/><Relationship Id="rId8" Type="http://schemas.openxmlformats.org/officeDocument/2006/relationships/hyperlink" Target="https://www.satv.tiesa.gov.lv/web/viewer.html?file=/wp-content/uploads/2016/02/04-0299_Spriedums.pdf" TargetMode="External"/><Relationship Id="rId3"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53501</Words>
  <Characters>30496</Characters>
  <Application>Microsoft Office Word</Application>
  <DocSecurity>0</DocSecurity>
  <Lines>254</Lines>
  <Paragraphs>167</Paragraphs>
  <ScaleCrop>false</ScaleCrop>
  <Company/>
  <LinksUpToDate>false</LinksUpToDate>
  <CharactersWithSpaces>83830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2024-05-28T07:29:00Z</dcterms:created>
  <dcterms:modified xsi:type="dcterms:W3CDTF">2024-05-28T07:29:00Z</dcterms:modified>
</cp:coreProperties>
</file>