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34A95" w14:textId="77777777" w:rsidR="00DD3D65" w:rsidRDefault="00DD3D65" w:rsidP="00DD3D65">
      <w:pPr>
        <w:jc w:val="center"/>
        <w:rPr>
          <w:bCs/>
          <w:szCs w:val="24"/>
          <w:lang w:val="en-US"/>
        </w:rPr>
      </w:pPr>
      <w:r>
        <w:rPr>
          <w:bCs/>
          <w:szCs w:val="24"/>
          <w:lang w:val="en-US"/>
        </w:rPr>
        <w:t>EIROPAS PADOME</w:t>
      </w:r>
    </w:p>
    <w:p w14:paraId="2B71221A" w14:textId="77777777" w:rsidR="00DD3D65" w:rsidRDefault="00DD3D65" w:rsidP="00DD3D65">
      <w:pPr>
        <w:jc w:val="center"/>
        <w:rPr>
          <w:bCs/>
          <w:szCs w:val="24"/>
          <w:lang w:val="en-GB"/>
        </w:rPr>
      </w:pPr>
      <w:r>
        <w:rPr>
          <w:bCs/>
          <w:szCs w:val="24"/>
          <w:lang w:val="en-GB"/>
        </w:rPr>
        <w:t>EIROPAS CILVĒKTIESĪBU TIESA</w:t>
      </w:r>
    </w:p>
    <w:p w14:paraId="2E360F8C" w14:textId="77777777" w:rsidR="00DD3D65" w:rsidRDefault="00DD3D65" w:rsidP="00DD3D65">
      <w:pPr>
        <w:jc w:val="center"/>
        <w:rPr>
          <w:bCs/>
          <w:szCs w:val="24"/>
          <w:lang w:val="en-GB"/>
        </w:rPr>
      </w:pPr>
      <w:r>
        <w:rPr>
          <w:bCs/>
          <w:szCs w:val="24"/>
          <w:lang w:val="en-GB"/>
        </w:rPr>
        <w:t>LIELĀ PALĀTA</w:t>
      </w:r>
    </w:p>
    <w:p w14:paraId="6AFF2800" w14:textId="77777777" w:rsidR="00DD3D65" w:rsidRDefault="00DD3D65" w:rsidP="00DD3D65">
      <w:pPr>
        <w:jc w:val="center"/>
        <w:rPr>
          <w:b/>
          <w:bCs/>
          <w:szCs w:val="24"/>
        </w:rPr>
      </w:pPr>
      <w:proofErr w:type="spellStart"/>
      <w:r>
        <w:rPr>
          <w:b/>
          <w:bCs/>
          <w:szCs w:val="24"/>
          <w:lang w:val="en-US"/>
        </w:rPr>
        <w:t>Lietā</w:t>
      </w:r>
      <w:proofErr w:type="spellEnd"/>
      <w:r>
        <w:rPr>
          <w:b/>
          <w:bCs/>
          <w:szCs w:val="24"/>
          <w:lang w:val="en-US"/>
        </w:rPr>
        <w:t xml:space="preserve"> </w:t>
      </w:r>
      <w:r>
        <w:rPr>
          <w:b/>
          <w:bCs/>
          <w:iCs/>
          <w:szCs w:val="24"/>
        </w:rPr>
        <w:t>“</w:t>
      </w:r>
      <w:proofErr w:type="spellStart"/>
      <w:r w:rsidRPr="00DD3D65">
        <w:rPr>
          <w:b/>
          <w:bCs/>
          <w:iCs/>
          <w:szCs w:val="24"/>
        </w:rPr>
        <w:t>Nicolae</w:t>
      </w:r>
      <w:proofErr w:type="spellEnd"/>
      <w:r w:rsidRPr="00DD3D65">
        <w:rPr>
          <w:b/>
          <w:bCs/>
          <w:iCs/>
          <w:szCs w:val="24"/>
        </w:rPr>
        <w:t xml:space="preserve"> </w:t>
      </w:r>
      <w:proofErr w:type="spellStart"/>
      <w:r w:rsidRPr="00DD3D65">
        <w:rPr>
          <w:b/>
          <w:bCs/>
          <w:iCs/>
          <w:szCs w:val="24"/>
        </w:rPr>
        <w:t>Virgiliu</w:t>
      </w:r>
      <w:proofErr w:type="spellEnd"/>
      <w:r w:rsidRPr="00DD3D65">
        <w:rPr>
          <w:b/>
          <w:bCs/>
          <w:iCs/>
          <w:szCs w:val="24"/>
        </w:rPr>
        <w:t xml:space="preserve"> </w:t>
      </w:r>
      <w:proofErr w:type="spellStart"/>
      <w:r w:rsidRPr="00DD3D65">
        <w:rPr>
          <w:b/>
          <w:bCs/>
          <w:iCs/>
          <w:szCs w:val="24"/>
        </w:rPr>
        <w:t>Tănase</w:t>
      </w:r>
      <w:proofErr w:type="spellEnd"/>
      <w:r w:rsidRPr="00DD3D65">
        <w:rPr>
          <w:b/>
          <w:bCs/>
          <w:iCs/>
          <w:szCs w:val="24"/>
        </w:rPr>
        <w:t xml:space="preserve"> v. </w:t>
      </w:r>
      <w:proofErr w:type="spellStart"/>
      <w:r w:rsidRPr="00DD3D65">
        <w:rPr>
          <w:b/>
          <w:bCs/>
          <w:iCs/>
          <w:szCs w:val="24"/>
        </w:rPr>
        <w:t>Romania</w:t>
      </w:r>
      <w:proofErr w:type="spellEnd"/>
      <w:r>
        <w:rPr>
          <w:b/>
          <w:bCs/>
          <w:iCs/>
          <w:szCs w:val="24"/>
        </w:rPr>
        <w:t>”</w:t>
      </w:r>
    </w:p>
    <w:p w14:paraId="59AE8667" w14:textId="77777777" w:rsidR="00DD3D65" w:rsidRDefault="00DD3D65" w:rsidP="00DD3D65">
      <w:pPr>
        <w:jc w:val="center"/>
        <w:rPr>
          <w:b/>
          <w:bCs/>
          <w:szCs w:val="24"/>
        </w:rPr>
      </w:pPr>
      <w:r>
        <w:rPr>
          <w:b/>
          <w:bCs/>
          <w:szCs w:val="24"/>
        </w:rPr>
        <w:t>(</w:t>
      </w:r>
      <w:hyperlink r:id="rId7" w:history="1">
        <w:r w:rsidRPr="00865034">
          <w:rPr>
            <w:rStyle w:val="Hyperlink"/>
            <w:rFonts w:cs="Times New Roman"/>
            <w:b/>
            <w:szCs w:val="24"/>
          </w:rPr>
          <w:t>41720/13</w:t>
        </w:r>
      </w:hyperlink>
      <w:r>
        <w:rPr>
          <w:b/>
          <w:bCs/>
          <w:szCs w:val="24"/>
        </w:rPr>
        <w:t>)</w:t>
      </w:r>
    </w:p>
    <w:p w14:paraId="176707BE" w14:textId="77777777" w:rsidR="00DD3D65" w:rsidRDefault="00DD3D65" w:rsidP="00DD3D65">
      <w:pPr>
        <w:jc w:val="center"/>
        <w:rPr>
          <w:b/>
          <w:bCs/>
          <w:szCs w:val="24"/>
        </w:rPr>
      </w:pPr>
      <w:r>
        <w:rPr>
          <w:b/>
          <w:bCs/>
          <w:szCs w:val="24"/>
        </w:rPr>
        <w:t>SPRIEDUMS</w:t>
      </w:r>
    </w:p>
    <w:p w14:paraId="66A0D432" w14:textId="77777777" w:rsidR="00DD3D65" w:rsidRDefault="00DD3D65" w:rsidP="00DD3D65">
      <w:pPr>
        <w:jc w:val="center"/>
        <w:rPr>
          <w:b/>
          <w:bCs/>
          <w:szCs w:val="24"/>
        </w:rPr>
      </w:pPr>
    </w:p>
    <w:p w14:paraId="42F969A4" w14:textId="77777777" w:rsidR="00DD3D65" w:rsidRDefault="00DD3D65" w:rsidP="00DD3D65">
      <w:pPr>
        <w:jc w:val="center"/>
        <w:rPr>
          <w:bCs/>
          <w:szCs w:val="24"/>
        </w:rPr>
      </w:pPr>
      <w:r>
        <w:rPr>
          <w:bCs/>
          <w:szCs w:val="24"/>
        </w:rPr>
        <w:t>STRASBŪRA</w:t>
      </w:r>
    </w:p>
    <w:p w14:paraId="75568C7F" w14:textId="77777777" w:rsidR="00DD3D65" w:rsidRDefault="00DD3D65" w:rsidP="00DD3D65">
      <w:pPr>
        <w:jc w:val="center"/>
        <w:rPr>
          <w:bCs/>
          <w:szCs w:val="24"/>
        </w:rPr>
      </w:pPr>
      <w:r>
        <w:rPr>
          <w:bCs/>
          <w:szCs w:val="24"/>
        </w:rPr>
        <w:t>2019. </w:t>
      </w:r>
      <w:r w:rsidRPr="00DD3D65">
        <w:rPr>
          <w:bCs/>
          <w:szCs w:val="24"/>
        </w:rPr>
        <w:t>gada</w:t>
      </w:r>
      <w:r>
        <w:rPr>
          <w:bCs/>
          <w:szCs w:val="24"/>
        </w:rPr>
        <w:t xml:space="preserve"> 25. jūnijā</w:t>
      </w:r>
    </w:p>
    <w:p w14:paraId="1458CEC3" w14:textId="68BAF105" w:rsidR="00541B88" w:rsidRDefault="00DD3D65" w:rsidP="00DD3D65">
      <w:pPr>
        <w:jc w:val="both"/>
        <w:rPr>
          <w:rFonts w:cstheme="minorHAnsi"/>
        </w:rPr>
      </w:pPr>
      <w:r>
        <w:rPr>
          <w:rFonts w:cstheme="minorHAnsi"/>
          <w:b/>
        </w:rPr>
        <w:t>Kopsavilkums</w:t>
      </w:r>
      <w:r>
        <w:rPr>
          <w:rFonts w:cstheme="minorHAnsi"/>
        </w:rPr>
        <w:t>: Šajā lietā iesniedzējs bija cietis ceļu satiksmes negadījumā</w:t>
      </w:r>
      <w:r w:rsidR="001E2C96">
        <w:rPr>
          <w:rFonts w:cstheme="minorHAnsi"/>
        </w:rPr>
        <w:t xml:space="preserve"> un</w:t>
      </w:r>
      <w:r>
        <w:rPr>
          <w:rFonts w:cstheme="minorHAnsi"/>
        </w:rPr>
        <w:t xml:space="preserve"> </w:t>
      </w:r>
      <w:r w:rsidR="001E2C96">
        <w:rPr>
          <w:rFonts w:cstheme="minorHAnsi"/>
        </w:rPr>
        <w:t xml:space="preserve">guvis </w:t>
      </w:r>
      <w:r>
        <w:rPr>
          <w:rFonts w:cstheme="minorHAnsi"/>
        </w:rPr>
        <w:t>nopietnus, dzīvībai bīstamus miesas bojājumus. Negadījumā bija iesaistīti divi citi autovadītāji. Valsts varas iestādes bija uzsākušas izmeklēšanu krimināllietā pret iesniedzēju un pārējām negadījumā iesaistītajām personām. Izmeklēšana saistībā ar šo personu atbildību tika pārtraukta</w:t>
      </w:r>
      <w:r w:rsidR="00E2794A">
        <w:rPr>
          <w:rFonts w:cstheme="minorHAnsi"/>
        </w:rPr>
        <w:t xml:space="preserve"> pēc 8 gadiem</w:t>
      </w:r>
      <w:r>
        <w:rPr>
          <w:rFonts w:cstheme="minorHAnsi"/>
        </w:rPr>
        <w:t xml:space="preserve">, to pamatojot ar </w:t>
      </w:r>
      <w:r w:rsidR="00CC3B10">
        <w:rPr>
          <w:rFonts w:cstheme="minorHAnsi"/>
        </w:rPr>
        <w:t xml:space="preserve">kriminālatbildību konstituējošo elementu trūkumu. Iesniedzējs, atsaucoties uz Konvencijas 3. pantu, sūdzējās, ka lieta nav tikusi izskatīta pēc būtības un ka lieta pret negadījuma izraisītāju izbeigta nepamatoti. </w:t>
      </w:r>
      <w:r w:rsidR="00E2794A">
        <w:rPr>
          <w:rFonts w:cstheme="minorHAnsi"/>
        </w:rPr>
        <w:t>Iesniedzējs norādīja, ka krimināllietā izmeklēšana bijusi neefektīva un pārāk ilga, kā arī</w:t>
      </w:r>
      <w:r w:rsidR="001E2C96">
        <w:rPr>
          <w:rFonts w:cstheme="minorHAnsi"/>
        </w:rPr>
        <w:t xml:space="preserve"> to</w:t>
      </w:r>
      <w:r w:rsidR="00E2794A">
        <w:rPr>
          <w:rFonts w:cstheme="minorHAnsi"/>
        </w:rPr>
        <w:t xml:space="preserve">, ka viņam bija liegtas tiesības uz civilprasības izskatīšanu. </w:t>
      </w:r>
    </w:p>
    <w:p w14:paraId="2E00D499" w14:textId="66BD3E7B" w:rsidR="00DD3D65" w:rsidRDefault="00CC3B10" w:rsidP="00DD3D65">
      <w:pPr>
        <w:jc w:val="both"/>
        <w:rPr>
          <w:rFonts w:cstheme="minorHAnsi"/>
        </w:rPr>
      </w:pPr>
      <w:r>
        <w:rPr>
          <w:rFonts w:cstheme="minorHAnsi"/>
        </w:rPr>
        <w:t xml:space="preserve">Eiropas Cilvēktiesību tiesa atzina, ka miesas bojājumi un garīgās ciešanas, kas personai rodas neuzmanīgas rīcības radīta ceļu satiksmes negadījuma rezultātā, nevar tikt uzskatīti par “apiešanos”, kam kāds ir “pakļauts”, Konvencijas 3. panta izpratnē, tāpēc </w:t>
      </w:r>
      <w:r w:rsidR="00541B88">
        <w:rPr>
          <w:rFonts w:cstheme="minorHAnsi"/>
        </w:rPr>
        <w:t xml:space="preserve">iesniegumu </w:t>
      </w:r>
      <w:r>
        <w:rPr>
          <w:rFonts w:cstheme="minorHAnsi"/>
        </w:rPr>
        <w:t>pēc šī Konvencija panta atzina par nepieņemamu. Tāpat ar</w:t>
      </w:r>
      <w:r w:rsidR="00541B88">
        <w:rPr>
          <w:rFonts w:cstheme="minorHAnsi"/>
        </w:rPr>
        <w:t xml:space="preserve">ī, nesaskatot nekādu rīcību, kas varētu būt par pamatu tiesību uz privātās dzīves neaizskaramību aizskārumam, </w:t>
      </w:r>
      <w:r>
        <w:rPr>
          <w:rFonts w:cstheme="minorHAnsi"/>
        </w:rPr>
        <w:t xml:space="preserve">tiesa par nepieņemamu atzina </w:t>
      </w:r>
      <w:r w:rsidR="00541B88">
        <w:rPr>
          <w:rFonts w:cstheme="minorHAnsi"/>
        </w:rPr>
        <w:t>iesniegumu</w:t>
      </w:r>
      <w:r>
        <w:rPr>
          <w:rFonts w:cstheme="minorHAnsi"/>
        </w:rPr>
        <w:t xml:space="preserve"> par Konvencijas 8. panta pārk</w:t>
      </w:r>
      <w:r w:rsidR="00541B88">
        <w:rPr>
          <w:rFonts w:cstheme="minorHAnsi"/>
        </w:rPr>
        <w:t xml:space="preserve">āpumu. Vienlaikus tiesa atzina, ka uz šīs lietas apstākļiem ir attiecināms Konvencijas 2. pants (tiesības uz dzīvību), tomēr konkrētajā lietā tiesa </w:t>
      </w:r>
      <w:r w:rsidR="00541B88" w:rsidRPr="009E73C4">
        <w:rPr>
          <w:rFonts w:cs="Times New Roman"/>
          <w:szCs w:val="24"/>
        </w:rPr>
        <w:t>nekonstatēja šī panta pārkāpumu, atzīstot, ka izmeklēšana krimināllietā saistībā ar ceļu satiksmes negadījum</w:t>
      </w:r>
      <w:r w:rsidR="00541B88">
        <w:rPr>
          <w:rFonts w:cs="Times New Roman"/>
          <w:szCs w:val="24"/>
        </w:rPr>
        <w:t>u</w:t>
      </w:r>
      <w:r w:rsidR="00541B88" w:rsidRPr="009E73C4">
        <w:rPr>
          <w:rFonts w:cs="Times New Roman"/>
          <w:szCs w:val="24"/>
        </w:rPr>
        <w:t xml:space="preserve">, kurā bija cietis iesniedzējs, </w:t>
      </w:r>
      <w:r w:rsidR="00541B88">
        <w:rPr>
          <w:rFonts w:cs="Times New Roman"/>
          <w:szCs w:val="24"/>
        </w:rPr>
        <w:t xml:space="preserve">tikusi </w:t>
      </w:r>
      <w:r w:rsidR="00541B88" w:rsidRPr="009E73C4">
        <w:rPr>
          <w:rFonts w:cs="Times New Roman"/>
          <w:szCs w:val="24"/>
        </w:rPr>
        <w:t>veikta atbilstoši</w:t>
      </w:r>
      <w:r w:rsidR="00E2794A">
        <w:rPr>
          <w:rFonts w:cstheme="minorHAnsi"/>
        </w:rPr>
        <w:t xml:space="preserve">, jo pieteicējam bija pieejami visi lietas materiāli un viņš varēja izmantot </w:t>
      </w:r>
      <w:r w:rsidR="009B478B">
        <w:rPr>
          <w:rFonts w:cstheme="minorHAnsi"/>
        </w:rPr>
        <w:t>iespēju apstrīdēt nacionālos lēmumus un pieprasīt papildu pierādījumus.</w:t>
      </w:r>
    </w:p>
    <w:p w14:paraId="70E8CF8A" w14:textId="77777777" w:rsidR="00541B88" w:rsidRDefault="009B478B" w:rsidP="00DD3D65">
      <w:pPr>
        <w:jc w:val="both"/>
        <w:rPr>
          <w:rFonts w:cstheme="minorHAnsi"/>
        </w:rPr>
      </w:pPr>
      <w:r>
        <w:rPr>
          <w:rFonts w:cstheme="minorHAnsi"/>
        </w:rPr>
        <w:t xml:space="preserve">Eiropas Cilvēktiesību tiesa nekonstatēja Konvencijas 6. panta pirmās daļas pārkāpumu attiecībā uz tiesībām uz piekļuvi tiesai, jo, lai gan pieteicēja civilprasība netika skatīta krimināllietas ietvaros, jo kompetentās iestādes neturpināja kriminālprocesu pret diviem citiem transportlīdzekļu vadītājiem, pieteicējam bija iespēja izmantot citus procesuālos līdzekļus savu civilo tiesību aizsardzībai. </w:t>
      </w:r>
    </w:p>
    <w:p w14:paraId="2E6ED8CB" w14:textId="5540485B" w:rsidR="009B478B" w:rsidRDefault="009B478B" w:rsidP="00DD3D65">
      <w:pPr>
        <w:jc w:val="both"/>
        <w:rPr>
          <w:rFonts w:cstheme="minorHAnsi"/>
        </w:rPr>
      </w:pPr>
      <w:r>
        <w:rPr>
          <w:rFonts w:cstheme="minorHAnsi"/>
        </w:rPr>
        <w:t>Tāpat Eiropas Cilvēktiesību tiesa neatzina, ka 8 gadus ilgā izmeklēšana, ņemot vērā tās sarežģītību, būtu pārlieku ilga, kā arī konstatēja, ka atbildīgās iestādes bija pastāvīgi veikušas procesuālās darbības lietas apstākļu noskaidrošanā, proti, netika konstatēts Konvencijas 6. panta pirmās daļas pārkāpums attiecībā uz lietas izskatīšanu</w:t>
      </w:r>
      <w:r w:rsidR="001E2C96">
        <w:rPr>
          <w:rFonts w:cstheme="minorHAnsi"/>
        </w:rPr>
        <w:t xml:space="preserve"> </w:t>
      </w:r>
      <w:r w:rsidR="00903A8C">
        <w:rPr>
          <w:rFonts w:cstheme="minorHAnsi"/>
        </w:rPr>
        <w:t>saprātīgā termiņā</w:t>
      </w:r>
      <w:r>
        <w:rPr>
          <w:rFonts w:cstheme="minorHAnsi"/>
        </w:rPr>
        <w:t>.</w:t>
      </w:r>
    </w:p>
    <w:p w14:paraId="6D7FC0BB" w14:textId="77777777" w:rsidR="00E2794A" w:rsidRDefault="00E2794A" w:rsidP="00DD3D65">
      <w:pPr>
        <w:jc w:val="both"/>
        <w:rPr>
          <w:rFonts w:cstheme="minorHAnsi"/>
        </w:rPr>
      </w:pPr>
    </w:p>
    <w:p w14:paraId="5911AFBB" w14:textId="77777777" w:rsidR="00E2794A" w:rsidRPr="009B478B" w:rsidRDefault="00E2794A" w:rsidP="00DD3D65">
      <w:pPr>
        <w:jc w:val="both"/>
        <w:rPr>
          <w:rFonts w:cstheme="minorHAnsi"/>
          <w:i/>
          <w:iCs/>
        </w:rPr>
      </w:pPr>
      <w:r w:rsidRPr="009B478B">
        <w:rPr>
          <w:rFonts w:cstheme="minorHAnsi"/>
          <w:i/>
          <w:iCs/>
        </w:rPr>
        <w:t xml:space="preserve">Izvilkumi attiecībā uz Konvencijas </w:t>
      </w:r>
      <w:r w:rsidR="009B478B" w:rsidRPr="009B478B">
        <w:rPr>
          <w:rFonts w:cstheme="minorHAnsi"/>
          <w:i/>
          <w:iCs/>
        </w:rPr>
        <w:t>2</w:t>
      </w:r>
      <w:r w:rsidRPr="009B478B">
        <w:rPr>
          <w:rFonts w:cstheme="minorHAnsi"/>
          <w:i/>
          <w:iCs/>
        </w:rPr>
        <w:t>.</w:t>
      </w:r>
      <w:r w:rsidR="009B478B" w:rsidRPr="009B478B">
        <w:rPr>
          <w:rFonts w:cstheme="minorHAnsi"/>
          <w:i/>
          <w:iCs/>
        </w:rPr>
        <w:t> </w:t>
      </w:r>
      <w:r w:rsidRPr="009B478B">
        <w:rPr>
          <w:rFonts w:cstheme="minorHAnsi"/>
          <w:i/>
          <w:iCs/>
        </w:rPr>
        <w:t>pant</w:t>
      </w:r>
      <w:r w:rsidR="009B478B" w:rsidRPr="009B478B">
        <w:rPr>
          <w:rFonts w:cstheme="minorHAnsi"/>
          <w:i/>
          <w:iCs/>
        </w:rPr>
        <w:t>a interpretāciju</w:t>
      </w:r>
    </w:p>
    <w:p w14:paraId="168F850F" w14:textId="77777777" w:rsidR="00DD3D65" w:rsidRPr="00541B88" w:rsidRDefault="00541B88" w:rsidP="00541B88">
      <w:pPr>
        <w:pStyle w:val="s38073f5f"/>
        <w:keepNext/>
        <w:shd w:val="clear" w:color="auto" w:fill="FFFFFF"/>
        <w:spacing w:beforeAutospacing="0" w:after="120" w:afterAutospacing="0" w:line="270" w:lineRule="atLeast"/>
        <w:rPr>
          <w:i/>
          <w:color w:val="000000"/>
        </w:rPr>
      </w:pPr>
      <w:r w:rsidRPr="00541B88">
        <w:rPr>
          <w:rStyle w:val="sd6dac599"/>
          <w:i/>
          <w:color w:val="000000"/>
        </w:rPr>
        <w:sym w:font="Symbol" w:char="F028"/>
      </w:r>
      <w:r w:rsidRPr="00541B88">
        <w:rPr>
          <w:rStyle w:val="sd6dac599"/>
          <w:i/>
          <w:color w:val="000000"/>
        </w:rPr>
        <w:sym w:font="Symbol" w:char="F064"/>
      </w:r>
      <w:r w:rsidRPr="00541B88">
        <w:rPr>
          <w:rStyle w:val="sd6dac599"/>
          <w:i/>
          <w:color w:val="000000"/>
        </w:rPr>
        <w:sym w:font="Symbol" w:char="F029"/>
      </w:r>
      <w:r w:rsidRPr="00541B88">
        <w:rPr>
          <w:rStyle w:val="s52c23de3"/>
          <w:i/>
          <w:color w:val="000000"/>
        </w:rPr>
        <w:t>  </w:t>
      </w:r>
      <w:r w:rsidRPr="00541B88">
        <w:rPr>
          <w:rStyle w:val="apple-converted-space"/>
          <w:i/>
          <w:color w:val="000000"/>
        </w:rPr>
        <w:t> </w:t>
      </w:r>
      <w:r>
        <w:rPr>
          <w:rStyle w:val="sfbbfee58"/>
          <w:i/>
          <w:color w:val="000000"/>
        </w:rPr>
        <w:t>2. pants</w:t>
      </w:r>
    </w:p>
    <w:p w14:paraId="1AF0480C" w14:textId="77777777" w:rsidR="00DD3D65" w:rsidRPr="00865034" w:rsidRDefault="00DD3D65" w:rsidP="00DD3D65">
      <w:pPr>
        <w:jc w:val="both"/>
        <w:rPr>
          <w:rFonts w:cs="Times New Roman"/>
          <w:iCs/>
          <w:szCs w:val="24"/>
        </w:rPr>
      </w:pPr>
      <w:r w:rsidRPr="00865034">
        <w:rPr>
          <w:rFonts w:cs="Times New Roman"/>
          <w:iCs/>
          <w:szCs w:val="24"/>
        </w:rPr>
        <w:t>133. Tiesa norāda, ka lieta attiecas uz iespējamu nolaidību saistībā ar ceļu satiksmes negadījumu, kurā iesniedzējs guvis miesas bojājumus. Saistībā ar iesniedzēja argumentiem Tiesai ir jānosaka, vai uz šo lietu attiecas 2. panta procesuālais aspekts. Tā vispirms izklāstīs vispārīgos principus, kas nosaka 2. panta piemērošanu, jo īpaši saistībā ar nelaimes gadījumiem un nolaidību, un pēc tam novērtēs šo principu piemērošanu konkrētajā lietā.</w:t>
      </w:r>
    </w:p>
    <w:p w14:paraId="0F08C5A9" w14:textId="7355DD5C" w:rsidR="00DD3D65" w:rsidRPr="00865034" w:rsidRDefault="00DD3D65" w:rsidP="00DD3D65">
      <w:pPr>
        <w:jc w:val="both"/>
        <w:rPr>
          <w:rFonts w:cs="Times New Roman"/>
          <w:iCs/>
          <w:szCs w:val="24"/>
        </w:rPr>
      </w:pPr>
      <w:r w:rsidRPr="00865034">
        <w:rPr>
          <w:rFonts w:cs="Times New Roman"/>
          <w:iCs/>
          <w:szCs w:val="24"/>
        </w:rPr>
        <w:t xml:space="preserve">134. Tiesa atkārtoti uzsver, ka 2. panta pirmais teikums, kas ir viens no nozīmīgākajiem Konvencijas noteikumiem un kas iekļauj arī vienu no Eiropas Padomi veidojošo demokrātisko sabiedrību pamatvērtībām, </w:t>
      </w:r>
      <w:r w:rsidRPr="00DD3D65">
        <w:rPr>
          <w:rFonts w:cs="Times New Roman"/>
          <w:iCs/>
          <w:szCs w:val="24"/>
        </w:rPr>
        <w:t>pieprasa valstīm ne vien atturēties no “tīšas” dzīvības atņemšanas, bet arī veikt atbilstošus pasākumus, lai aizsargātu tās jurisdikcijai pakļauto cilvēku dzīvības</w:t>
      </w:r>
      <w:r w:rsidRPr="00865034">
        <w:rPr>
          <w:rFonts w:cs="Times New Roman"/>
          <w:iCs/>
          <w:szCs w:val="24"/>
        </w:rPr>
        <w:t xml:space="preserve"> </w:t>
      </w:r>
      <w:proofErr w:type="gramStart"/>
      <w:r w:rsidRPr="00865034">
        <w:rPr>
          <w:rFonts w:cs="Times New Roman"/>
          <w:iCs/>
          <w:szCs w:val="24"/>
        </w:rPr>
        <w:t>(</w:t>
      </w:r>
      <w:proofErr w:type="gramEnd"/>
      <w:r w:rsidRPr="00865034">
        <w:rPr>
          <w:rFonts w:cs="Times New Roman"/>
          <w:i/>
          <w:iCs/>
          <w:szCs w:val="24"/>
        </w:rPr>
        <w:t xml:space="preserve">sk. 1998. gada 9. jūnija sprieduma lietā “L.C.B. v. </w:t>
      </w:r>
      <w:proofErr w:type="spellStart"/>
      <w:r w:rsidRPr="00865034">
        <w:rPr>
          <w:rFonts w:cs="Times New Roman"/>
          <w:i/>
          <w:iCs/>
          <w:szCs w:val="24"/>
        </w:rPr>
        <w:t>the</w:t>
      </w:r>
      <w:proofErr w:type="spellEnd"/>
      <w:r w:rsidRPr="00865034">
        <w:rPr>
          <w:rFonts w:cs="Times New Roman"/>
          <w:i/>
          <w:iCs/>
          <w:szCs w:val="24"/>
        </w:rPr>
        <w:t xml:space="preserve"> </w:t>
      </w:r>
      <w:proofErr w:type="spellStart"/>
      <w:r w:rsidRPr="00865034">
        <w:rPr>
          <w:rFonts w:cs="Times New Roman"/>
          <w:i/>
          <w:iCs/>
          <w:szCs w:val="24"/>
        </w:rPr>
        <w:t>United</w:t>
      </w:r>
      <w:proofErr w:type="spellEnd"/>
      <w:r w:rsidRPr="00865034">
        <w:rPr>
          <w:rFonts w:cs="Times New Roman"/>
          <w:i/>
          <w:iCs/>
          <w:szCs w:val="24"/>
        </w:rPr>
        <w:t xml:space="preserve"> </w:t>
      </w:r>
      <w:proofErr w:type="spellStart"/>
      <w:r w:rsidRPr="00865034">
        <w:rPr>
          <w:rFonts w:cs="Times New Roman"/>
          <w:i/>
          <w:iCs/>
          <w:szCs w:val="24"/>
        </w:rPr>
        <w:t>Kingdom</w:t>
      </w:r>
      <w:proofErr w:type="spellEnd"/>
      <w:r w:rsidRPr="00865034">
        <w:rPr>
          <w:rFonts w:cs="Times New Roman"/>
          <w:i/>
          <w:iCs/>
          <w:szCs w:val="24"/>
        </w:rPr>
        <w:t>”, iesnieguma Nr. </w:t>
      </w:r>
      <w:hyperlink r:id="rId8" w:history="1">
        <w:r w:rsidRPr="00865034">
          <w:rPr>
            <w:rStyle w:val="Hyperlink"/>
            <w:rFonts w:cs="Times New Roman"/>
            <w:i/>
            <w:iCs/>
            <w:szCs w:val="24"/>
          </w:rPr>
          <w:t>23413/94</w:t>
        </w:r>
      </w:hyperlink>
      <w:r w:rsidRPr="00865034">
        <w:rPr>
          <w:rFonts w:cs="Times New Roman"/>
          <w:i/>
          <w:iCs/>
          <w:szCs w:val="24"/>
        </w:rPr>
        <w:t>, 36. punktu, 2002. gada 17. janvāra sprieduma [Lielā palāta] lietā “</w:t>
      </w:r>
      <w:proofErr w:type="spellStart"/>
      <w:r w:rsidRPr="00865034">
        <w:rPr>
          <w:rFonts w:cs="Times New Roman"/>
          <w:i/>
          <w:iCs/>
          <w:szCs w:val="24"/>
        </w:rPr>
        <w:t>Calvelli</w:t>
      </w:r>
      <w:proofErr w:type="spellEnd"/>
      <w:r w:rsidRPr="00865034">
        <w:rPr>
          <w:rFonts w:cs="Times New Roman"/>
          <w:i/>
          <w:iCs/>
          <w:szCs w:val="24"/>
        </w:rPr>
        <w:t xml:space="preserve"> </w:t>
      </w:r>
      <w:proofErr w:type="spellStart"/>
      <w:r w:rsidRPr="00865034">
        <w:rPr>
          <w:rFonts w:cs="Times New Roman"/>
          <w:i/>
          <w:iCs/>
          <w:szCs w:val="24"/>
        </w:rPr>
        <w:t>and</w:t>
      </w:r>
      <w:proofErr w:type="spellEnd"/>
      <w:r w:rsidRPr="00865034">
        <w:rPr>
          <w:rFonts w:cs="Times New Roman"/>
          <w:i/>
          <w:iCs/>
          <w:szCs w:val="24"/>
        </w:rPr>
        <w:t xml:space="preserve"> </w:t>
      </w:r>
      <w:proofErr w:type="spellStart"/>
      <w:r w:rsidRPr="00865034">
        <w:rPr>
          <w:rFonts w:cs="Times New Roman"/>
          <w:i/>
          <w:iCs/>
          <w:szCs w:val="24"/>
        </w:rPr>
        <w:t>Ciglio</w:t>
      </w:r>
      <w:proofErr w:type="spellEnd"/>
      <w:r w:rsidRPr="00865034">
        <w:rPr>
          <w:rFonts w:cs="Times New Roman"/>
          <w:i/>
          <w:iCs/>
          <w:szCs w:val="24"/>
        </w:rPr>
        <w:t xml:space="preserve"> v. </w:t>
      </w:r>
      <w:proofErr w:type="spellStart"/>
      <w:r w:rsidRPr="00865034">
        <w:rPr>
          <w:rFonts w:cs="Times New Roman"/>
          <w:i/>
          <w:iCs/>
          <w:szCs w:val="24"/>
        </w:rPr>
        <w:t>Italy</w:t>
      </w:r>
      <w:proofErr w:type="spellEnd"/>
      <w:r w:rsidRPr="00865034">
        <w:rPr>
          <w:rFonts w:cs="Times New Roman"/>
          <w:i/>
          <w:iCs/>
          <w:szCs w:val="24"/>
        </w:rPr>
        <w:t>”, iesnieguma Nr. </w:t>
      </w:r>
      <w:hyperlink r:id="rId9" w:history="1">
        <w:r w:rsidRPr="00865034">
          <w:rPr>
            <w:rStyle w:val="Hyperlink"/>
            <w:rFonts w:cs="Times New Roman"/>
            <w:i/>
            <w:iCs/>
            <w:szCs w:val="24"/>
          </w:rPr>
          <w:t>32967/96</w:t>
        </w:r>
      </w:hyperlink>
      <w:r w:rsidRPr="00865034">
        <w:rPr>
          <w:rFonts w:cs="Times New Roman"/>
          <w:i/>
          <w:iCs/>
          <w:szCs w:val="24"/>
        </w:rPr>
        <w:t>, 48. punktu un 2919. gada 31. janvāra sprieduma [Lielā palāta] lietā “</w:t>
      </w:r>
      <w:proofErr w:type="spellStart"/>
      <w:r w:rsidRPr="00865034">
        <w:rPr>
          <w:rFonts w:cs="Times New Roman"/>
          <w:i/>
          <w:iCs/>
          <w:szCs w:val="24"/>
        </w:rPr>
        <w:t>Fernandes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Oliveira</w:t>
      </w:r>
      <w:proofErr w:type="spellEnd"/>
      <w:r w:rsidRPr="00865034">
        <w:rPr>
          <w:rFonts w:cs="Times New Roman"/>
          <w:i/>
          <w:iCs/>
          <w:szCs w:val="24"/>
        </w:rPr>
        <w:t xml:space="preserve"> v. </w:t>
      </w:r>
      <w:proofErr w:type="spellStart"/>
      <w:r w:rsidRPr="00865034">
        <w:rPr>
          <w:rFonts w:cs="Times New Roman"/>
          <w:i/>
          <w:iCs/>
          <w:szCs w:val="24"/>
        </w:rPr>
        <w:t>Portugal</w:t>
      </w:r>
      <w:proofErr w:type="spellEnd"/>
      <w:r w:rsidRPr="00865034">
        <w:rPr>
          <w:rFonts w:cs="Times New Roman"/>
          <w:i/>
          <w:iCs/>
          <w:szCs w:val="24"/>
        </w:rPr>
        <w:t>”, iesnieguma Nr. </w:t>
      </w:r>
      <w:hyperlink r:id="rId10" w:history="1">
        <w:r w:rsidRPr="00865034">
          <w:rPr>
            <w:rStyle w:val="Hyperlink"/>
            <w:rFonts w:cs="Times New Roman"/>
            <w:i/>
            <w:iCs/>
            <w:szCs w:val="24"/>
          </w:rPr>
          <w:t>78103/14</w:t>
        </w:r>
      </w:hyperlink>
      <w:r w:rsidRPr="00865034">
        <w:rPr>
          <w:rFonts w:cs="Times New Roman"/>
          <w:i/>
          <w:iCs/>
          <w:szCs w:val="24"/>
        </w:rPr>
        <w:t>, 104. punktu</w:t>
      </w:r>
      <w:r w:rsidRPr="00865034">
        <w:rPr>
          <w:rFonts w:cs="Times New Roman"/>
          <w:iCs/>
          <w:szCs w:val="24"/>
        </w:rPr>
        <w:t>).</w:t>
      </w:r>
    </w:p>
    <w:p w14:paraId="5E939AF1" w14:textId="3764A4AE" w:rsidR="00DD3D65" w:rsidRPr="00865034" w:rsidRDefault="00DD3D65" w:rsidP="00DD3D65">
      <w:pPr>
        <w:jc w:val="both"/>
        <w:rPr>
          <w:rFonts w:cs="Times New Roman"/>
          <w:iCs/>
          <w:szCs w:val="24"/>
        </w:rPr>
      </w:pPr>
      <w:r w:rsidRPr="00865034">
        <w:rPr>
          <w:rFonts w:cs="Times New Roman"/>
          <w:iCs/>
          <w:szCs w:val="24"/>
        </w:rPr>
        <w:t xml:space="preserve">135. Šis </w:t>
      </w:r>
      <w:r>
        <w:rPr>
          <w:rFonts w:cs="Times New Roman"/>
          <w:iCs/>
          <w:szCs w:val="24"/>
        </w:rPr>
        <w:t>materiālais</w:t>
      </w:r>
      <w:r w:rsidRPr="00865034">
        <w:rPr>
          <w:rFonts w:cs="Times New Roman"/>
          <w:iCs/>
          <w:szCs w:val="24"/>
        </w:rPr>
        <w:t xml:space="preserve"> pozitīvais pienākums </w:t>
      </w:r>
      <w:r w:rsidRPr="00DD3D65">
        <w:rPr>
          <w:rFonts w:cs="Times New Roman"/>
          <w:iCs/>
          <w:szCs w:val="24"/>
        </w:rPr>
        <w:t>ietver valsts primāro pienākumu ieviest normatīvo un administratīvo sistēmu, kas nodrošinātu efektīvu atturošu iedarbību pret tiesību uz dzīvību apdraudējumu</w:t>
      </w:r>
      <w:r w:rsidRPr="00865034">
        <w:rPr>
          <w:rFonts w:cs="Times New Roman"/>
          <w:iCs/>
          <w:szCs w:val="24"/>
        </w:rPr>
        <w:t xml:space="preserve"> </w:t>
      </w:r>
      <w:proofErr w:type="gramStart"/>
      <w:r w:rsidRPr="00865034">
        <w:rPr>
          <w:rFonts w:cs="Times New Roman"/>
          <w:iCs/>
          <w:szCs w:val="24"/>
        </w:rPr>
        <w:t>(</w:t>
      </w:r>
      <w:proofErr w:type="gramEnd"/>
      <w:r w:rsidRPr="00865034">
        <w:rPr>
          <w:rFonts w:cs="Times New Roman"/>
          <w:i/>
          <w:iCs/>
          <w:szCs w:val="24"/>
        </w:rPr>
        <w:t>sk. 2004. gada 30. novembra sprieduma [Lielā palāta] lietā “</w:t>
      </w:r>
      <w:proofErr w:type="spellStart"/>
      <w:r w:rsidRPr="00865034">
        <w:rPr>
          <w:rFonts w:cs="Times New Roman"/>
          <w:i/>
          <w:iCs/>
          <w:szCs w:val="24"/>
        </w:rPr>
        <w:t>Öneryıldız</w:t>
      </w:r>
      <w:proofErr w:type="spellEnd"/>
      <w:r w:rsidRPr="00865034">
        <w:rPr>
          <w:rFonts w:cs="Times New Roman"/>
          <w:i/>
          <w:iCs/>
          <w:szCs w:val="24"/>
        </w:rPr>
        <w:t xml:space="preserve"> v. </w:t>
      </w:r>
      <w:proofErr w:type="spellStart"/>
      <w:r w:rsidRPr="00865034">
        <w:rPr>
          <w:rFonts w:cs="Times New Roman"/>
          <w:i/>
          <w:iCs/>
          <w:szCs w:val="24"/>
        </w:rPr>
        <w:t>Turkey</w:t>
      </w:r>
      <w:proofErr w:type="spellEnd"/>
      <w:r w:rsidRPr="00865034">
        <w:rPr>
          <w:rFonts w:cs="Times New Roman"/>
          <w:i/>
          <w:iCs/>
          <w:szCs w:val="24"/>
        </w:rPr>
        <w:t>”, iesnieguma Nr. </w:t>
      </w:r>
      <w:hyperlink r:id="rId11" w:history="1">
        <w:r w:rsidRPr="00865034">
          <w:rPr>
            <w:rStyle w:val="Hyperlink"/>
            <w:rFonts w:cs="Times New Roman"/>
            <w:i/>
            <w:iCs/>
            <w:szCs w:val="24"/>
          </w:rPr>
          <w:t>48939/99</w:t>
        </w:r>
      </w:hyperlink>
      <w:r w:rsidRPr="00865034">
        <w:rPr>
          <w:rFonts w:cs="Times New Roman"/>
          <w:i/>
          <w:iCs/>
          <w:szCs w:val="24"/>
        </w:rPr>
        <w:t xml:space="preserve">, 89. punktu, 2008. gada 20. marta </w:t>
      </w:r>
      <w:r w:rsidR="001E2C96" w:rsidRPr="00865034">
        <w:rPr>
          <w:rFonts w:cs="Times New Roman"/>
          <w:i/>
          <w:iCs/>
          <w:szCs w:val="24"/>
        </w:rPr>
        <w:t>spriedum</w:t>
      </w:r>
      <w:r w:rsidR="001E2C96">
        <w:rPr>
          <w:rFonts w:cs="Times New Roman"/>
          <w:i/>
          <w:iCs/>
          <w:szCs w:val="24"/>
        </w:rPr>
        <w:t>a</w:t>
      </w:r>
      <w:r w:rsidR="001E2C96" w:rsidRPr="00865034">
        <w:rPr>
          <w:rFonts w:cs="Times New Roman"/>
          <w:i/>
          <w:iCs/>
          <w:szCs w:val="24"/>
        </w:rPr>
        <w:t xml:space="preserve"> </w:t>
      </w:r>
      <w:r w:rsidRPr="00865034">
        <w:rPr>
          <w:rFonts w:cs="Times New Roman"/>
          <w:i/>
          <w:iCs/>
          <w:szCs w:val="24"/>
        </w:rPr>
        <w:t>apvienotajās lietās “</w:t>
      </w:r>
      <w:proofErr w:type="spellStart"/>
      <w:r w:rsidRPr="00865034">
        <w:rPr>
          <w:rFonts w:cs="Times New Roman"/>
          <w:i/>
          <w:iCs/>
          <w:szCs w:val="24"/>
        </w:rPr>
        <w:t>Budayeva</w:t>
      </w:r>
      <w:proofErr w:type="spellEnd"/>
      <w:r w:rsidRPr="00865034">
        <w:rPr>
          <w:rFonts w:cs="Times New Roman"/>
          <w:i/>
          <w:iCs/>
          <w:szCs w:val="24"/>
        </w:rPr>
        <w:t xml:space="preserve"> </w:t>
      </w:r>
      <w:proofErr w:type="spellStart"/>
      <w:r w:rsidRPr="00865034">
        <w:rPr>
          <w:rFonts w:cs="Times New Roman"/>
          <w:i/>
          <w:iCs/>
          <w:szCs w:val="24"/>
        </w:rPr>
        <w:t>and</w:t>
      </w:r>
      <w:proofErr w:type="spellEnd"/>
      <w:r w:rsidRPr="00865034">
        <w:rPr>
          <w:rFonts w:cs="Times New Roman"/>
          <w:i/>
          <w:iCs/>
          <w:szCs w:val="24"/>
        </w:rPr>
        <w:t xml:space="preserve"> </w:t>
      </w:r>
      <w:proofErr w:type="spellStart"/>
      <w:r w:rsidRPr="00865034">
        <w:rPr>
          <w:rFonts w:cs="Times New Roman"/>
          <w:i/>
          <w:iCs/>
          <w:szCs w:val="24"/>
        </w:rPr>
        <w:t>Others</w:t>
      </w:r>
      <w:proofErr w:type="spellEnd"/>
      <w:r w:rsidRPr="00865034">
        <w:rPr>
          <w:rFonts w:cs="Times New Roman"/>
          <w:i/>
          <w:iCs/>
          <w:szCs w:val="24"/>
        </w:rPr>
        <w:t xml:space="preserve"> v. </w:t>
      </w:r>
      <w:proofErr w:type="spellStart"/>
      <w:r w:rsidRPr="00865034">
        <w:rPr>
          <w:rFonts w:cs="Times New Roman"/>
          <w:i/>
          <w:iCs/>
          <w:szCs w:val="24"/>
        </w:rPr>
        <w:t>Russia</w:t>
      </w:r>
      <w:proofErr w:type="spellEnd"/>
      <w:r w:rsidRPr="00865034">
        <w:rPr>
          <w:rFonts w:cs="Times New Roman"/>
          <w:i/>
          <w:iCs/>
          <w:szCs w:val="24"/>
        </w:rPr>
        <w:t>", Nr. </w:t>
      </w:r>
      <w:hyperlink r:id="rId12" w:history="1">
        <w:r w:rsidRPr="00865034">
          <w:rPr>
            <w:rStyle w:val="Hyperlink"/>
            <w:rFonts w:cs="Times New Roman"/>
            <w:i/>
            <w:iCs/>
            <w:szCs w:val="24"/>
          </w:rPr>
          <w:t>15339/02</w:t>
        </w:r>
      </w:hyperlink>
      <w:r w:rsidRPr="00865034">
        <w:rPr>
          <w:rFonts w:cs="Times New Roman"/>
          <w:i/>
          <w:iCs/>
          <w:szCs w:val="24"/>
        </w:rPr>
        <w:t xml:space="preserve"> un citi, 129. punktu, 2012. gada 28. februāra sprieduma apvienotajās lietās “</w:t>
      </w:r>
      <w:proofErr w:type="spellStart"/>
      <w:r w:rsidRPr="00865034">
        <w:rPr>
          <w:rFonts w:cs="Times New Roman"/>
          <w:i/>
          <w:iCs/>
          <w:szCs w:val="24"/>
        </w:rPr>
        <w:t>Kolyadenko</w:t>
      </w:r>
      <w:proofErr w:type="spellEnd"/>
      <w:r w:rsidRPr="00865034">
        <w:rPr>
          <w:rFonts w:cs="Times New Roman"/>
          <w:i/>
          <w:iCs/>
          <w:szCs w:val="24"/>
        </w:rPr>
        <w:t xml:space="preserve"> </w:t>
      </w:r>
      <w:proofErr w:type="spellStart"/>
      <w:r w:rsidRPr="00865034">
        <w:rPr>
          <w:rFonts w:cs="Times New Roman"/>
          <w:i/>
          <w:iCs/>
          <w:szCs w:val="24"/>
        </w:rPr>
        <w:t>and</w:t>
      </w:r>
      <w:proofErr w:type="spellEnd"/>
      <w:r w:rsidRPr="00865034">
        <w:rPr>
          <w:rFonts w:cs="Times New Roman"/>
          <w:i/>
          <w:iCs/>
          <w:szCs w:val="24"/>
        </w:rPr>
        <w:t xml:space="preserve"> </w:t>
      </w:r>
      <w:proofErr w:type="spellStart"/>
      <w:r w:rsidRPr="00865034">
        <w:rPr>
          <w:rFonts w:cs="Times New Roman"/>
          <w:i/>
          <w:iCs/>
          <w:szCs w:val="24"/>
        </w:rPr>
        <w:t>Others</w:t>
      </w:r>
      <w:proofErr w:type="spellEnd"/>
      <w:r w:rsidRPr="00865034">
        <w:rPr>
          <w:rFonts w:cs="Times New Roman"/>
          <w:i/>
          <w:iCs/>
          <w:szCs w:val="24"/>
        </w:rPr>
        <w:t xml:space="preserve"> v. </w:t>
      </w:r>
      <w:proofErr w:type="spellStart"/>
      <w:r w:rsidRPr="00865034">
        <w:rPr>
          <w:rFonts w:cs="Times New Roman"/>
          <w:i/>
          <w:iCs/>
          <w:szCs w:val="24"/>
        </w:rPr>
        <w:t>Russia</w:t>
      </w:r>
      <w:proofErr w:type="spellEnd"/>
      <w:r w:rsidRPr="00865034">
        <w:rPr>
          <w:rFonts w:cs="Times New Roman"/>
          <w:i/>
          <w:iCs/>
          <w:szCs w:val="24"/>
        </w:rPr>
        <w:t>”, iesnieguma Nr. </w:t>
      </w:r>
      <w:hyperlink r:id="rId13" w:history="1">
        <w:r w:rsidRPr="00865034">
          <w:rPr>
            <w:rStyle w:val="Hyperlink"/>
            <w:rFonts w:cs="Times New Roman"/>
            <w:i/>
            <w:iCs/>
            <w:szCs w:val="24"/>
          </w:rPr>
          <w:t>17423/05</w:t>
        </w:r>
      </w:hyperlink>
      <w:r w:rsidRPr="00865034">
        <w:rPr>
          <w:rFonts w:cs="Times New Roman"/>
          <w:i/>
          <w:iCs/>
          <w:szCs w:val="24"/>
        </w:rPr>
        <w:t xml:space="preserve"> un citi, 157. punktu un iepriekš citētā “</w:t>
      </w:r>
      <w:proofErr w:type="spellStart"/>
      <w:r w:rsidRPr="00865034">
        <w:rPr>
          <w:rFonts w:cs="Times New Roman"/>
          <w:i/>
          <w:iCs/>
          <w:szCs w:val="24"/>
        </w:rPr>
        <w:t>Fernandes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Oliveira</w:t>
      </w:r>
      <w:proofErr w:type="spellEnd"/>
      <w:r w:rsidRPr="00865034">
        <w:rPr>
          <w:rFonts w:cs="Times New Roman"/>
          <w:i/>
          <w:iCs/>
          <w:szCs w:val="24"/>
        </w:rPr>
        <w:t>” 103. un 105.–107. punktu</w:t>
      </w:r>
      <w:r w:rsidRPr="00865034">
        <w:rPr>
          <w:rFonts w:cs="Times New Roman"/>
          <w:iCs/>
          <w:szCs w:val="24"/>
        </w:rPr>
        <w:t xml:space="preserve">). Tas </w:t>
      </w:r>
      <w:r w:rsidRPr="00DD3D65">
        <w:rPr>
          <w:rFonts w:cs="Times New Roman"/>
          <w:iCs/>
          <w:szCs w:val="24"/>
        </w:rPr>
        <w:t>attiecas uz ikvienu gadījumu, kurā ir apdraudētas tiesības uz dzīvību, neatkarīgi no tā, vai tas ir publiska rakstura vai nav</w:t>
      </w:r>
      <w:r w:rsidRPr="00865034">
        <w:rPr>
          <w:rFonts w:cs="Times New Roman"/>
          <w:iCs/>
          <w:szCs w:val="24"/>
        </w:rPr>
        <w:t xml:space="preserve"> </w:t>
      </w:r>
      <w:proofErr w:type="gramStart"/>
      <w:r w:rsidRPr="00865034">
        <w:rPr>
          <w:rFonts w:cs="Times New Roman"/>
          <w:iCs/>
          <w:szCs w:val="24"/>
        </w:rPr>
        <w:t>(</w:t>
      </w:r>
      <w:proofErr w:type="gramEnd"/>
      <w:r w:rsidRPr="00865034">
        <w:rPr>
          <w:rFonts w:cs="Times New Roman"/>
          <w:i/>
          <w:iCs/>
          <w:szCs w:val="24"/>
        </w:rPr>
        <w:t>2014. gada 17. jūlija sprieduma [Lielā palāta] lietā “</w:t>
      </w:r>
      <w:proofErr w:type="spellStart"/>
      <w:r w:rsidRPr="00865034">
        <w:rPr>
          <w:rFonts w:cs="Times New Roman"/>
          <w:i/>
          <w:iCs/>
          <w:szCs w:val="24"/>
        </w:rPr>
        <w:t>Centre</w:t>
      </w:r>
      <w:proofErr w:type="spellEnd"/>
      <w:r w:rsidRPr="00865034">
        <w:rPr>
          <w:rFonts w:cs="Times New Roman"/>
          <w:i/>
          <w:iCs/>
          <w:szCs w:val="24"/>
        </w:rPr>
        <w:t xml:space="preserve"> </w:t>
      </w:r>
      <w:proofErr w:type="spellStart"/>
      <w:r w:rsidRPr="00865034">
        <w:rPr>
          <w:rFonts w:cs="Times New Roman"/>
          <w:i/>
          <w:iCs/>
          <w:szCs w:val="24"/>
        </w:rPr>
        <w:t>for</w:t>
      </w:r>
      <w:proofErr w:type="spellEnd"/>
      <w:r w:rsidRPr="00865034">
        <w:rPr>
          <w:rFonts w:cs="Times New Roman"/>
          <w:i/>
          <w:iCs/>
          <w:szCs w:val="24"/>
        </w:rPr>
        <w:t xml:space="preserve"> </w:t>
      </w:r>
      <w:proofErr w:type="spellStart"/>
      <w:r w:rsidRPr="00865034">
        <w:rPr>
          <w:rFonts w:cs="Times New Roman"/>
          <w:i/>
          <w:iCs/>
          <w:szCs w:val="24"/>
        </w:rPr>
        <w:t>Legal</w:t>
      </w:r>
      <w:proofErr w:type="spellEnd"/>
      <w:r w:rsidRPr="00865034">
        <w:rPr>
          <w:rFonts w:cs="Times New Roman"/>
          <w:i/>
          <w:iCs/>
          <w:szCs w:val="24"/>
        </w:rPr>
        <w:t xml:space="preserve"> </w:t>
      </w:r>
      <w:proofErr w:type="spellStart"/>
      <w:r w:rsidRPr="00865034">
        <w:rPr>
          <w:rFonts w:cs="Times New Roman"/>
          <w:i/>
          <w:iCs/>
          <w:szCs w:val="24"/>
        </w:rPr>
        <w:t>Resources</w:t>
      </w:r>
      <w:proofErr w:type="spellEnd"/>
      <w:r w:rsidRPr="00865034">
        <w:rPr>
          <w:rFonts w:cs="Times New Roman"/>
          <w:i/>
          <w:iCs/>
          <w:szCs w:val="24"/>
        </w:rPr>
        <w:t xml:space="preserve"> </w:t>
      </w:r>
      <w:proofErr w:type="spellStart"/>
      <w:r w:rsidRPr="00865034">
        <w:rPr>
          <w:rFonts w:cs="Times New Roman"/>
          <w:i/>
          <w:iCs/>
          <w:szCs w:val="24"/>
        </w:rPr>
        <w:t>on</w:t>
      </w:r>
      <w:proofErr w:type="spellEnd"/>
      <w:r w:rsidRPr="00865034">
        <w:rPr>
          <w:rFonts w:cs="Times New Roman"/>
          <w:i/>
          <w:iCs/>
          <w:szCs w:val="24"/>
        </w:rPr>
        <w:t xml:space="preserve"> </w:t>
      </w:r>
      <w:proofErr w:type="spellStart"/>
      <w:r w:rsidRPr="00865034">
        <w:rPr>
          <w:rFonts w:cs="Times New Roman"/>
          <w:i/>
          <w:iCs/>
          <w:szCs w:val="24"/>
        </w:rPr>
        <w:t>behalf</w:t>
      </w:r>
      <w:proofErr w:type="spellEnd"/>
      <w:r w:rsidRPr="00865034">
        <w:rPr>
          <w:rFonts w:cs="Times New Roman"/>
          <w:i/>
          <w:iCs/>
          <w:szCs w:val="24"/>
        </w:rPr>
        <w:t xml:space="preserve"> </w:t>
      </w:r>
      <w:proofErr w:type="spellStart"/>
      <w:r w:rsidRPr="00865034">
        <w:rPr>
          <w:rFonts w:cs="Times New Roman"/>
          <w:i/>
          <w:iCs/>
          <w:szCs w:val="24"/>
        </w:rPr>
        <w:t>of</w:t>
      </w:r>
      <w:proofErr w:type="spellEnd"/>
      <w:r w:rsidRPr="00865034">
        <w:rPr>
          <w:rFonts w:cs="Times New Roman"/>
          <w:i/>
          <w:iCs/>
          <w:szCs w:val="24"/>
        </w:rPr>
        <w:t xml:space="preserve"> </w:t>
      </w:r>
      <w:proofErr w:type="spellStart"/>
      <w:r w:rsidRPr="00865034">
        <w:rPr>
          <w:rFonts w:cs="Times New Roman"/>
          <w:i/>
          <w:iCs/>
          <w:szCs w:val="24"/>
        </w:rPr>
        <w:t>Valentin</w:t>
      </w:r>
      <w:proofErr w:type="spellEnd"/>
      <w:r w:rsidRPr="00865034">
        <w:rPr>
          <w:rFonts w:cs="Times New Roman"/>
          <w:i/>
          <w:iCs/>
          <w:szCs w:val="24"/>
        </w:rPr>
        <w:t xml:space="preserve"> </w:t>
      </w:r>
      <w:proofErr w:type="spellStart"/>
      <w:r w:rsidRPr="00865034">
        <w:rPr>
          <w:rFonts w:cs="Times New Roman"/>
          <w:i/>
          <w:iCs/>
          <w:szCs w:val="24"/>
        </w:rPr>
        <w:t>Câmpeanu</w:t>
      </w:r>
      <w:proofErr w:type="spellEnd"/>
      <w:r w:rsidRPr="00865034">
        <w:rPr>
          <w:rFonts w:cs="Times New Roman"/>
          <w:i/>
          <w:iCs/>
          <w:szCs w:val="24"/>
        </w:rPr>
        <w:t xml:space="preserve"> v. </w:t>
      </w:r>
      <w:proofErr w:type="spellStart"/>
      <w:r w:rsidRPr="00865034">
        <w:rPr>
          <w:rFonts w:cs="Times New Roman"/>
          <w:i/>
          <w:iCs/>
          <w:szCs w:val="24"/>
        </w:rPr>
        <w:t>Romania</w:t>
      </w:r>
      <w:proofErr w:type="spellEnd"/>
      <w:r w:rsidRPr="00865034">
        <w:rPr>
          <w:rFonts w:cs="Times New Roman"/>
          <w:i/>
          <w:iCs/>
          <w:szCs w:val="24"/>
        </w:rPr>
        <w:t>”, iesnieguma Nr. </w:t>
      </w:r>
      <w:hyperlink r:id="rId14" w:history="1">
        <w:r w:rsidRPr="00865034">
          <w:rPr>
            <w:rStyle w:val="Hyperlink"/>
            <w:rFonts w:cs="Times New Roman"/>
            <w:i/>
            <w:iCs/>
            <w:szCs w:val="24"/>
          </w:rPr>
          <w:t>47848/08</w:t>
        </w:r>
      </w:hyperlink>
      <w:r w:rsidRPr="00865034">
        <w:rPr>
          <w:rFonts w:cs="Times New Roman"/>
          <w:i/>
          <w:iCs/>
          <w:szCs w:val="24"/>
        </w:rPr>
        <w:t>, 130. punkts un 2017. gada 19. decembra sprieduma [Lielā palāta] lietā “</w:t>
      </w:r>
      <w:proofErr w:type="spellStart"/>
      <w:r w:rsidRPr="00865034">
        <w:rPr>
          <w:rFonts w:cs="Times New Roman"/>
          <w:i/>
          <w:iCs/>
          <w:szCs w:val="24"/>
        </w:rPr>
        <w:t>Lopes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Sousa</w:t>
      </w:r>
      <w:proofErr w:type="spellEnd"/>
      <w:r w:rsidRPr="00865034">
        <w:rPr>
          <w:rFonts w:cs="Times New Roman"/>
          <w:i/>
          <w:iCs/>
          <w:szCs w:val="24"/>
        </w:rPr>
        <w:t xml:space="preserve"> </w:t>
      </w:r>
      <w:proofErr w:type="spellStart"/>
      <w:r w:rsidRPr="00865034">
        <w:rPr>
          <w:rFonts w:cs="Times New Roman"/>
          <w:i/>
          <w:iCs/>
          <w:szCs w:val="24"/>
        </w:rPr>
        <w:t>Fernandes</w:t>
      </w:r>
      <w:proofErr w:type="spellEnd"/>
      <w:r w:rsidRPr="00865034">
        <w:rPr>
          <w:rFonts w:cs="Times New Roman"/>
          <w:i/>
          <w:iCs/>
          <w:szCs w:val="24"/>
        </w:rPr>
        <w:t xml:space="preserve"> v. </w:t>
      </w:r>
      <w:proofErr w:type="spellStart"/>
      <w:r w:rsidRPr="00865034">
        <w:rPr>
          <w:rFonts w:cs="Times New Roman"/>
          <w:i/>
          <w:iCs/>
          <w:szCs w:val="24"/>
        </w:rPr>
        <w:t>Portugal</w:t>
      </w:r>
      <w:proofErr w:type="spellEnd"/>
      <w:r w:rsidRPr="00865034">
        <w:rPr>
          <w:rFonts w:cs="Times New Roman"/>
          <w:i/>
          <w:iCs/>
          <w:szCs w:val="24"/>
        </w:rPr>
        <w:t>”, iesnieguma Nr. </w:t>
      </w:r>
      <w:hyperlink r:id="rId15" w:history="1">
        <w:r w:rsidRPr="00865034">
          <w:rPr>
            <w:rStyle w:val="Hyperlink"/>
            <w:rFonts w:cs="Times New Roman"/>
            <w:i/>
            <w:iCs/>
            <w:szCs w:val="24"/>
          </w:rPr>
          <w:t>56080/13</w:t>
        </w:r>
      </w:hyperlink>
      <w:r w:rsidRPr="00865034">
        <w:rPr>
          <w:rFonts w:cs="Times New Roman"/>
          <w:i/>
          <w:iCs/>
          <w:szCs w:val="24"/>
        </w:rPr>
        <w:t>, 165. punkts</w:t>
      </w:r>
      <w:r w:rsidRPr="00865034">
        <w:rPr>
          <w:rFonts w:cs="Times New Roman"/>
          <w:iCs/>
          <w:szCs w:val="24"/>
        </w:rPr>
        <w:t xml:space="preserve">). Tas arī paredz, ka </w:t>
      </w:r>
      <w:r w:rsidRPr="00DD3D65">
        <w:rPr>
          <w:rFonts w:cs="Times New Roman"/>
          <w:iCs/>
          <w:szCs w:val="24"/>
        </w:rPr>
        <w:t>valstij ir jāpieņem noteikum</w:t>
      </w:r>
      <w:r w:rsidR="001E2C96">
        <w:rPr>
          <w:rFonts w:cs="Times New Roman"/>
          <w:iCs/>
          <w:szCs w:val="24"/>
        </w:rPr>
        <w:t>i</w:t>
      </w:r>
      <w:r w:rsidRPr="00DD3D65">
        <w:rPr>
          <w:rFonts w:cs="Times New Roman"/>
          <w:iCs/>
          <w:szCs w:val="24"/>
        </w:rPr>
        <w:t>, kas uzliek par pienākumu privātām un publiskām institūcijām veikt atbilstošus pasākumus cilvēku dzīvību aizsardzībai</w:t>
      </w:r>
      <w:r w:rsidRPr="00865034">
        <w:rPr>
          <w:rFonts w:cs="Times New Roman"/>
          <w:iCs/>
          <w:szCs w:val="24"/>
        </w:rPr>
        <w:t xml:space="preserve"> </w:t>
      </w:r>
      <w:proofErr w:type="gramStart"/>
      <w:r w:rsidRPr="00865034">
        <w:rPr>
          <w:rFonts w:cs="Times New Roman"/>
          <w:iCs/>
          <w:szCs w:val="24"/>
        </w:rPr>
        <w:t>(</w:t>
      </w:r>
      <w:proofErr w:type="gramEnd"/>
      <w:r w:rsidRPr="00865034">
        <w:rPr>
          <w:rFonts w:cs="Times New Roman"/>
          <w:i/>
          <w:iCs/>
          <w:szCs w:val="24"/>
        </w:rPr>
        <w:t>saistībā ar valsts pārstāvju spēka lietošanu sk. 1995. gada 27. septembra sprieduma [Lielā palāta] lietā “</w:t>
      </w:r>
      <w:proofErr w:type="spellStart"/>
      <w:r w:rsidRPr="00865034">
        <w:rPr>
          <w:rFonts w:cs="Times New Roman"/>
          <w:i/>
          <w:iCs/>
          <w:szCs w:val="24"/>
        </w:rPr>
        <w:t>McCann</w:t>
      </w:r>
      <w:proofErr w:type="spellEnd"/>
      <w:r w:rsidRPr="00865034">
        <w:rPr>
          <w:rFonts w:cs="Times New Roman"/>
          <w:i/>
          <w:iCs/>
          <w:szCs w:val="24"/>
        </w:rPr>
        <w:t xml:space="preserve"> </w:t>
      </w:r>
      <w:proofErr w:type="spellStart"/>
      <w:r w:rsidRPr="00865034">
        <w:rPr>
          <w:rFonts w:cs="Times New Roman"/>
          <w:i/>
          <w:iCs/>
          <w:szCs w:val="24"/>
        </w:rPr>
        <w:t>and</w:t>
      </w:r>
      <w:proofErr w:type="spellEnd"/>
      <w:r w:rsidRPr="00865034">
        <w:rPr>
          <w:rFonts w:cs="Times New Roman"/>
          <w:i/>
          <w:iCs/>
          <w:szCs w:val="24"/>
        </w:rPr>
        <w:t xml:space="preserve"> </w:t>
      </w:r>
      <w:proofErr w:type="spellStart"/>
      <w:r w:rsidRPr="00865034">
        <w:rPr>
          <w:rFonts w:cs="Times New Roman"/>
          <w:i/>
          <w:iCs/>
          <w:szCs w:val="24"/>
        </w:rPr>
        <w:t>Others</w:t>
      </w:r>
      <w:proofErr w:type="spellEnd"/>
      <w:r w:rsidRPr="00865034">
        <w:rPr>
          <w:rFonts w:cs="Times New Roman"/>
          <w:i/>
          <w:iCs/>
          <w:szCs w:val="24"/>
        </w:rPr>
        <w:t xml:space="preserve"> v. </w:t>
      </w:r>
      <w:proofErr w:type="spellStart"/>
      <w:r w:rsidRPr="00865034">
        <w:rPr>
          <w:rFonts w:cs="Times New Roman"/>
          <w:i/>
          <w:iCs/>
          <w:szCs w:val="24"/>
        </w:rPr>
        <w:t>the</w:t>
      </w:r>
      <w:proofErr w:type="spellEnd"/>
      <w:r w:rsidRPr="00865034">
        <w:rPr>
          <w:rFonts w:cs="Times New Roman"/>
          <w:i/>
          <w:iCs/>
          <w:szCs w:val="24"/>
        </w:rPr>
        <w:t xml:space="preserve"> </w:t>
      </w:r>
      <w:proofErr w:type="spellStart"/>
      <w:r w:rsidRPr="00865034">
        <w:rPr>
          <w:rFonts w:cs="Times New Roman"/>
          <w:i/>
          <w:iCs/>
          <w:szCs w:val="24"/>
        </w:rPr>
        <w:t>United</w:t>
      </w:r>
      <w:proofErr w:type="spellEnd"/>
      <w:r w:rsidRPr="00865034">
        <w:rPr>
          <w:rFonts w:cs="Times New Roman"/>
          <w:i/>
          <w:iCs/>
          <w:szCs w:val="24"/>
        </w:rPr>
        <w:t xml:space="preserve"> </w:t>
      </w:r>
      <w:proofErr w:type="spellStart"/>
      <w:r w:rsidRPr="00865034">
        <w:rPr>
          <w:rFonts w:cs="Times New Roman"/>
          <w:i/>
          <w:iCs/>
          <w:szCs w:val="24"/>
        </w:rPr>
        <w:t>Kingdom</w:t>
      </w:r>
      <w:proofErr w:type="spellEnd"/>
      <w:r w:rsidRPr="00865034">
        <w:rPr>
          <w:rFonts w:cs="Times New Roman"/>
          <w:i/>
          <w:iCs/>
          <w:szCs w:val="24"/>
        </w:rPr>
        <w:t>”, iesnieguma Nr. </w:t>
      </w:r>
      <w:hyperlink r:id="rId16" w:history="1">
        <w:r w:rsidRPr="00865034">
          <w:rPr>
            <w:rStyle w:val="Hyperlink"/>
            <w:rFonts w:cs="Times New Roman"/>
            <w:i/>
            <w:iCs/>
            <w:szCs w:val="24"/>
          </w:rPr>
          <w:t>18984/91</w:t>
        </w:r>
      </w:hyperlink>
      <w:r w:rsidRPr="00865034">
        <w:rPr>
          <w:rFonts w:cs="Times New Roman"/>
          <w:i/>
          <w:iCs/>
          <w:szCs w:val="24"/>
        </w:rPr>
        <w:t>, 151. punktu, 2004. gada 20. decembra sprieduma [Lielā palāta] lietā “</w:t>
      </w:r>
      <w:proofErr w:type="spellStart"/>
      <w:r w:rsidRPr="00865034">
        <w:rPr>
          <w:rFonts w:cs="Times New Roman"/>
          <w:i/>
          <w:iCs/>
          <w:szCs w:val="24"/>
        </w:rPr>
        <w:t>Makaratzis</w:t>
      </w:r>
      <w:proofErr w:type="spellEnd"/>
      <w:r w:rsidRPr="00865034">
        <w:rPr>
          <w:rFonts w:cs="Times New Roman"/>
          <w:i/>
          <w:iCs/>
          <w:szCs w:val="24"/>
        </w:rPr>
        <w:t xml:space="preserve"> v. </w:t>
      </w:r>
      <w:proofErr w:type="spellStart"/>
      <w:r w:rsidRPr="00865034">
        <w:rPr>
          <w:rFonts w:cs="Times New Roman"/>
          <w:i/>
          <w:iCs/>
          <w:szCs w:val="24"/>
        </w:rPr>
        <w:t>Greece</w:t>
      </w:r>
      <w:proofErr w:type="spellEnd"/>
      <w:r w:rsidRPr="00865034">
        <w:rPr>
          <w:rFonts w:cs="Times New Roman"/>
          <w:i/>
          <w:iCs/>
          <w:szCs w:val="24"/>
        </w:rPr>
        <w:t>”, iesnieguma Nr. </w:t>
      </w:r>
      <w:hyperlink r:id="rId17" w:history="1">
        <w:r w:rsidRPr="00865034">
          <w:rPr>
            <w:rStyle w:val="Hyperlink"/>
            <w:rFonts w:cs="Times New Roman"/>
            <w:i/>
            <w:iCs/>
            <w:szCs w:val="24"/>
          </w:rPr>
          <w:t>50385/99</w:t>
        </w:r>
      </w:hyperlink>
      <w:r w:rsidRPr="00865034">
        <w:rPr>
          <w:rFonts w:cs="Times New Roman"/>
          <w:i/>
          <w:iCs/>
          <w:szCs w:val="24"/>
        </w:rPr>
        <w:t>, 58., 59.</w:t>
      </w:r>
      <w:r w:rsidR="001E2C96">
        <w:rPr>
          <w:rFonts w:cs="Times New Roman"/>
          <w:i/>
          <w:iCs/>
          <w:szCs w:val="24"/>
        </w:rPr>
        <w:t>,</w:t>
      </w:r>
      <w:r w:rsidRPr="00865034">
        <w:rPr>
          <w:rFonts w:cs="Times New Roman"/>
          <w:i/>
          <w:iCs/>
          <w:szCs w:val="24"/>
        </w:rPr>
        <w:t xml:space="preserve"> 62. punktu, 2010. gada 20. maija sprieduma lietā “</w:t>
      </w:r>
      <w:proofErr w:type="spellStart"/>
      <w:r w:rsidRPr="00865034">
        <w:rPr>
          <w:rFonts w:cs="Times New Roman"/>
          <w:i/>
          <w:iCs/>
          <w:szCs w:val="24"/>
        </w:rPr>
        <w:t>Perişan</w:t>
      </w:r>
      <w:proofErr w:type="spellEnd"/>
      <w:r w:rsidRPr="00865034">
        <w:rPr>
          <w:rFonts w:cs="Times New Roman"/>
          <w:i/>
          <w:iCs/>
          <w:szCs w:val="24"/>
        </w:rPr>
        <w:t xml:space="preserve"> </w:t>
      </w:r>
      <w:proofErr w:type="spellStart"/>
      <w:r w:rsidRPr="00865034">
        <w:rPr>
          <w:rFonts w:cs="Times New Roman"/>
          <w:i/>
          <w:iCs/>
          <w:szCs w:val="24"/>
        </w:rPr>
        <w:t>et</w:t>
      </w:r>
      <w:proofErr w:type="spellEnd"/>
      <w:r w:rsidRPr="00865034">
        <w:rPr>
          <w:rFonts w:cs="Times New Roman"/>
          <w:i/>
          <w:iCs/>
          <w:szCs w:val="24"/>
        </w:rPr>
        <w:t xml:space="preserve"> </w:t>
      </w:r>
      <w:proofErr w:type="spellStart"/>
      <w:r w:rsidRPr="00865034">
        <w:rPr>
          <w:rFonts w:cs="Times New Roman"/>
          <w:i/>
          <w:iCs/>
          <w:szCs w:val="24"/>
        </w:rPr>
        <w:t>autres</w:t>
      </w:r>
      <w:proofErr w:type="spellEnd"/>
      <w:r w:rsidRPr="00865034">
        <w:rPr>
          <w:rFonts w:cs="Times New Roman"/>
          <w:i/>
          <w:iCs/>
          <w:szCs w:val="24"/>
        </w:rPr>
        <w:t xml:space="preserve"> c. </w:t>
      </w:r>
      <w:proofErr w:type="spellStart"/>
      <w:r w:rsidRPr="00865034">
        <w:rPr>
          <w:rFonts w:cs="Times New Roman"/>
          <w:i/>
          <w:iCs/>
          <w:szCs w:val="24"/>
        </w:rPr>
        <w:t>Turquie</w:t>
      </w:r>
      <w:proofErr w:type="spellEnd"/>
      <w:r w:rsidRPr="00865034">
        <w:rPr>
          <w:rFonts w:cs="Times New Roman"/>
          <w:i/>
          <w:iCs/>
          <w:szCs w:val="24"/>
        </w:rPr>
        <w:t>”, iesnieguma Nr. </w:t>
      </w:r>
      <w:hyperlink r:id="rId18" w:history="1">
        <w:r w:rsidRPr="00865034">
          <w:rPr>
            <w:rStyle w:val="Hyperlink"/>
            <w:rFonts w:cs="Times New Roman"/>
            <w:i/>
            <w:iCs/>
            <w:szCs w:val="24"/>
          </w:rPr>
          <w:t>12336/03</w:t>
        </w:r>
      </w:hyperlink>
      <w:r w:rsidRPr="00865034">
        <w:rPr>
          <w:rFonts w:cs="Times New Roman"/>
          <w:i/>
          <w:iCs/>
          <w:szCs w:val="24"/>
        </w:rPr>
        <w:t>, 85. punktu; saistībā ar veselības aprūpi sk. iepriekš citētā “</w:t>
      </w:r>
      <w:proofErr w:type="spellStart"/>
      <w:r w:rsidRPr="00865034">
        <w:rPr>
          <w:rFonts w:cs="Times New Roman"/>
          <w:i/>
          <w:iCs/>
          <w:szCs w:val="24"/>
        </w:rPr>
        <w:t>Centre</w:t>
      </w:r>
      <w:proofErr w:type="spellEnd"/>
      <w:r w:rsidRPr="00865034">
        <w:rPr>
          <w:rFonts w:cs="Times New Roman"/>
          <w:i/>
          <w:iCs/>
          <w:szCs w:val="24"/>
        </w:rPr>
        <w:t xml:space="preserve"> </w:t>
      </w:r>
      <w:proofErr w:type="spellStart"/>
      <w:r w:rsidRPr="00865034">
        <w:rPr>
          <w:rFonts w:cs="Times New Roman"/>
          <w:i/>
          <w:iCs/>
          <w:szCs w:val="24"/>
        </w:rPr>
        <w:t>for</w:t>
      </w:r>
      <w:proofErr w:type="spellEnd"/>
      <w:r w:rsidRPr="00865034">
        <w:rPr>
          <w:rFonts w:cs="Times New Roman"/>
          <w:i/>
          <w:iCs/>
          <w:szCs w:val="24"/>
        </w:rPr>
        <w:t xml:space="preserve"> </w:t>
      </w:r>
      <w:proofErr w:type="spellStart"/>
      <w:r w:rsidRPr="00865034">
        <w:rPr>
          <w:rFonts w:cs="Times New Roman"/>
          <w:i/>
          <w:iCs/>
          <w:szCs w:val="24"/>
        </w:rPr>
        <w:t>Legal</w:t>
      </w:r>
      <w:proofErr w:type="spellEnd"/>
      <w:r w:rsidRPr="00865034">
        <w:rPr>
          <w:rFonts w:cs="Times New Roman"/>
          <w:i/>
          <w:iCs/>
          <w:szCs w:val="24"/>
        </w:rPr>
        <w:t xml:space="preserve"> </w:t>
      </w:r>
      <w:proofErr w:type="spellStart"/>
      <w:r w:rsidRPr="00865034">
        <w:rPr>
          <w:rFonts w:cs="Times New Roman"/>
          <w:i/>
          <w:iCs/>
          <w:szCs w:val="24"/>
        </w:rPr>
        <w:t>Resources</w:t>
      </w:r>
      <w:proofErr w:type="spellEnd"/>
      <w:r w:rsidRPr="00865034">
        <w:rPr>
          <w:rFonts w:cs="Times New Roman"/>
          <w:i/>
          <w:iCs/>
          <w:szCs w:val="24"/>
        </w:rPr>
        <w:t xml:space="preserve"> </w:t>
      </w:r>
      <w:proofErr w:type="spellStart"/>
      <w:r w:rsidRPr="00865034">
        <w:rPr>
          <w:rFonts w:cs="Times New Roman"/>
          <w:i/>
          <w:iCs/>
          <w:szCs w:val="24"/>
        </w:rPr>
        <w:t>on</w:t>
      </w:r>
      <w:proofErr w:type="spellEnd"/>
      <w:r w:rsidRPr="00865034">
        <w:rPr>
          <w:rFonts w:cs="Times New Roman"/>
          <w:i/>
          <w:iCs/>
          <w:szCs w:val="24"/>
        </w:rPr>
        <w:t xml:space="preserve"> </w:t>
      </w:r>
      <w:proofErr w:type="spellStart"/>
      <w:r w:rsidRPr="00865034">
        <w:rPr>
          <w:rFonts w:cs="Times New Roman"/>
          <w:i/>
          <w:iCs/>
          <w:szCs w:val="24"/>
        </w:rPr>
        <w:t>behalf</w:t>
      </w:r>
      <w:proofErr w:type="spellEnd"/>
      <w:r w:rsidRPr="00865034">
        <w:rPr>
          <w:rFonts w:cs="Times New Roman"/>
          <w:i/>
          <w:iCs/>
          <w:szCs w:val="24"/>
        </w:rPr>
        <w:t xml:space="preserve"> </w:t>
      </w:r>
      <w:proofErr w:type="spellStart"/>
      <w:r w:rsidRPr="00865034">
        <w:rPr>
          <w:rFonts w:cs="Times New Roman"/>
          <w:i/>
          <w:iCs/>
          <w:szCs w:val="24"/>
        </w:rPr>
        <w:t>of</w:t>
      </w:r>
      <w:proofErr w:type="spellEnd"/>
      <w:r w:rsidRPr="00865034">
        <w:rPr>
          <w:rFonts w:cs="Times New Roman"/>
          <w:i/>
          <w:iCs/>
          <w:szCs w:val="24"/>
        </w:rPr>
        <w:t xml:space="preserve"> </w:t>
      </w:r>
      <w:proofErr w:type="spellStart"/>
      <w:r w:rsidRPr="00865034">
        <w:rPr>
          <w:rFonts w:cs="Times New Roman"/>
          <w:i/>
          <w:iCs/>
          <w:szCs w:val="24"/>
        </w:rPr>
        <w:t>Valentin</w:t>
      </w:r>
      <w:proofErr w:type="spellEnd"/>
      <w:r w:rsidRPr="00865034">
        <w:rPr>
          <w:rFonts w:cs="Times New Roman"/>
          <w:i/>
          <w:iCs/>
          <w:szCs w:val="24"/>
        </w:rPr>
        <w:t xml:space="preserve"> </w:t>
      </w:r>
      <w:proofErr w:type="spellStart"/>
      <w:r w:rsidRPr="00865034">
        <w:rPr>
          <w:rFonts w:cs="Times New Roman"/>
          <w:i/>
          <w:iCs/>
          <w:szCs w:val="24"/>
        </w:rPr>
        <w:t>Câmpeanu</w:t>
      </w:r>
      <w:proofErr w:type="spellEnd"/>
      <w:r w:rsidRPr="00865034">
        <w:rPr>
          <w:rFonts w:cs="Times New Roman"/>
          <w:i/>
          <w:iCs/>
          <w:szCs w:val="24"/>
        </w:rPr>
        <w:t xml:space="preserve">” 130. punktu, 2015. gada 5. jūnija sprieduma [Lielā palāta] lietā “Lambert </w:t>
      </w:r>
      <w:proofErr w:type="spellStart"/>
      <w:r w:rsidRPr="00865034">
        <w:rPr>
          <w:rFonts w:cs="Times New Roman"/>
          <w:i/>
          <w:iCs/>
          <w:szCs w:val="24"/>
        </w:rPr>
        <w:t>and</w:t>
      </w:r>
      <w:proofErr w:type="spellEnd"/>
      <w:r w:rsidRPr="00865034">
        <w:rPr>
          <w:rFonts w:cs="Times New Roman"/>
          <w:i/>
          <w:iCs/>
          <w:szCs w:val="24"/>
        </w:rPr>
        <w:t xml:space="preserve"> </w:t>
      </w:r>
      <w:proofErr w:type="spellStart"/>
      <w:r w:rsidRPr="00865034">
        <w:rPr>
          <w:rFonts w:cs="Times New Roman"/>
          <w:i/>
          <w:iCs/>
          <w:szCs w:val="24"/>
        </w:rPr>
        <w:t>Others</w:t>
      </w:r>
      <w:proofErr w:type="spellEnd"/>
      <w:r w:rsidRPr="00865034">
        <w:rPr>
          <w:rFonts w:cs="Times New Roman"/>
          <w:i/>
          <w:iCs/>
          <w:szCs w:val="24"/>
        </w:rPr>
        <w:t xml:space="preserve"> v. </w:t>
      </w:r>
      <w:proofErr w:type="spellStart"/>
      <w:r w:rsidRPr="00865034">
        <w:rPr>
          <w:rFonts w:cs="Times New Roman"/>
          <w:i/>
          <w:iCs/>
          <w:szCs w:val="24"/>
        </w:rPr>
        <w:t>France</w:t>
      </w:r>
      <w:proofErr w:type="spellEnd"/>
      <w:r w:rsidRPr="00865034">
        <w:rPr>
          <w:rFonts w:cs="Times New Roman"/>
          <w:i/>
          <w:iCs/>
          <w:szCs w:val="24"/>
        </w:rPr>
        <w:t>”, iesnieguma Nr. </w:t>
      </w:r>
      <w:hyperlink r:id="rId19" w:history="1">
        <w:r w:rsidRPr="00865034">
          <w:rPr>
            <w:rStyle w:val="Hyperlink"/>
            <w:rFonts w:cs="Times New Roman"/>
            <w:i/>
            <w:iCs/>
            <w:szCs w:val="24"/>
          </w:rPr>
          <w:t>46043/14</w:t>
        </w:r>
      </w:hyperlink>
      <w:r w:rsidRPr="00865034">
        <w:rPr>
          <w:rFonts w:cs="Times New Roman"/>
          <w:i/>
          <w:iCs/>
          <w:szCs w:val="24"/>
        </w:rPr>
        <w:t>, 140. punktu, iepriekš citēt</w:t>
      </w:r>
      <w:r w:rsidR="001E2C96">
        <w:rPr>
          <w:rFonts w:cs="Times New Roman"/>
          <w:i/>
          <w:iCs/>
          <w:szCs w:val="24"/>
        </w:rPr>
        <w:t xml:space="preserve">ā </w:t>
      </w:r>
      <w:r w:rsidRPr="00865034">
        <w:rPr>
          <w:rFonts w:cs="Times New Roman"/>
          <w:i/>
          <w:iCs/>
          <w:szCs w:val="24"/>
        </w:rPr>
        <w:t>“</w:t>
      </w:r>
      <w:proofErr w:type="spellStart"/>
      <w:r w:rsidRPr="00865034">
        <w:rPr>
          <w:rFonts w:cs="Times New Roman"/>
          <w:i/>
          <w:iCs/>
          <w:szCs w:val="24"/>
        </w:rPr>
        <w:t>Lopes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Sousa</w:t>
      </w:r>
      <w:proofErr w:type="spellEnd"/>
      <w:r w:rsidRPr="00865034">
        <w:rPr>
          <w:rFonts w:cs="Times New Roman"/>
          <w:i/>
          <w:iCs/>
          <w:szCs w:val="24"/>
        </w:rPr>
        <w:t xml:space="preserve"> </w:t>
      </w:r>
      <w:proofErr w:type="spellStart"/>
      <w:r w:rsidRPr="00865034">
        <w:rPr>
          <w:rFonts w:cs="Times New Roman"/>
          <w:i/>
          <w:iCs/>
          <w:szCs w:val="24"/>
        </w:rPr>
        <w:t>Fernandez</w:t>
      </w:r>
      <w:proofErr w:type="spellEnd"/>
      <w:r w:rsidRPr="00865034">
        <w:rPr>
          <w:rFonts w:cs="Times New Roman"/>
          <w:i/>
          <w:iCs/>
          <w:szCs w:val="24"/>
        </w:rPr>
        <w:t>” 166. punktu un “</w:t>
      </w:r>
      <w:proofErr w:type="spellStart"/>
      <w:r w:rsidRPr="00865034">
        <w:rPr>
          <w:rFonts w:cs="Times New Roman"/>
          <w:i/>
          <w:iCs/>
          <w:szCs w:val="24"/>
        </w:rPr>
        <w:t>Fernandes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Oliveira</w:t>
      </w:r>
      <w:proofErr w:type="spellEnd"/>
      <w:r w:rsidRPr="00865034">
        <w:rPr>
          <w:rFonts w:cs="Times New Roman"/>
          <w:i/>
          <w:iCs/>
          <w:szCs w:val="24"/>
        </w:rPr>
        <w:t>” 105. punktu; saistībā ar rūpniecisko darbību sk. iepriekš citēt</w:t>
      </w:r>
      <w:r w:rsidR="001E2C96">
        <w:rPr>
          <w:rFonts w:cs="Times New Roman"/>
          <w:i/>
          <w:iCs/>
          <w:szCs w:val="24"/>
        </w:rPr>
        <w:t xml:space="preserve">ā </w:t>
      </w:r>
      <w:r w:rsidRPr="00865034">
        <w:rPr>
          <w:rFonts w:cs="Times New Roman"/>
          <w:i/>
          <w:iCs/>
          <w:szCs w:val="24"/>
        </w:rPr>
        <w:t>“</w:t>
      </w:r>
      <w:proofErr w:type="spellStart"/>
      <w:r w:rsidRPr="00865034">
        <w:rPr>
          <w:rFonts w:cs="Times New Roman"/>
          <w:i/>
          <w:iCs/>
          <w:szCs w:val="24"/>
        </w:rPr>
        <w:t>Öneryıldız</w:t>
      </w:r>
      <w:proofErr w:type="spellEnd"/>
      <w:r w:rsidRPr="00865034">
        <w:rPr>
          <w:rFonts w:cs="Times New Roman"/>
          <w:i/>
          <w:iCs/>
          <w:szCs w:val="24"/>
        </w:rPr>
        <w:t>” 71. un 90. punktu un “</w:t>
      </w:r>
      <w:proofErr w:type="spellStart"/>
      <w:r w:rsidRPr="00865034">
        <w:rPr>
          <w:rFonts w:cs="Times New Roman"/>
          <w:i/>
          <w:iCs/>
          <w:szCs w:val="24"/>
        </w:rPr>
        <w:t>Kolyadenko</w:t>
      </w:r>
      <w:proofErr w:type="spellEnd"/>
      <w:r w:rsidRPr="00865034">
        <w:rPr>
          <w:rFonts w:cs="Times New Roman"/>
          <w:i/>
          <w:iCs/>
          <w:szCs w:val="24"/>
        </w:rPr>
        <w:t xml:space="preserve"> </w:t>
      </w:r>
      <w:proofErr w:type="spellStart"/>
      <w:r w:rsidRPr="00865034">
        <w:rPr>
          <w:rFonts w:cs="Times New Roman"/>
          <w:i/>
          <w:iCs/>
          <w:szCs w:val="24"/>
        </w:rPr>
        <w:t>and</w:t>
      </w:r>
      <w:proofErr w:type="spellEnd"/>
      <w:r w:rsidRPr="00865034">
        <w:rPr>
          <w:rFonts w:cs="Times New Roman"/>
          <w:i/>
          <w:iCs/>
          <w:szCs w:val="24"/>
        </w:rPr>
        <w:t xml:space="preserve"> </w:t>
      </w:r>
      <w:proofErr w:type="spellStart"/>
      <w:r w:rsidRPr="00865034">
        <w:rPr>
          <w:rFonts w:cs="Times New Roman"/>
          <w:i/>
          <w:iCs/>
          <w:szCs w:val="24"/>
        </w:rPr>
        <w:t>Others</w:t>
      </w:r>
      <w:proofErr w:type="spellEnd"/>
      <w:r w:rsidRPr="00865034">
        <w:rPr>
          <w:rFonts w:cs="Times New Roman"/>
          <w:i/>
          <w:iCs/>
          <w:szCs w:val="24"/>
        </w:rPr>
        <w:t>” 158. punktu</w:t>
      </w:r>
      <w:r w:rsidRPr="00865034">
        <w:rPr>
          <w:rFonts w:cs="Times New Roman"/>
          <w:iCs/>
          <w:szCs w:val="24"/>
        </w:rPr>
        <w:t xml:space="preserve">). Šajā sakarā </w:t>
      </w:r>
      <w:r w:rsidRPr="00DD3D65">
        <w:rPr>
          <w:rFonts w:cs="Times New Roman"/>
          <w:iCs/>
          <w:szCs w:val="24"/>
        </w:rPr>
        <w:t>apstāklis, ka valsts nav tieši atbildīga par personas bojāeju vai par personas dzīvības apdraudējumu</w:t>
      </w:r>
      <w:r w:rsidR="001E2C96">
        <w:rPr>
          <w:rFonts w:cs="Times New Roman"/>
          <w:iCs/>
          <w:szCs w:val="24"/>
        </w:rPr>
        <w:t>,</w:t>
      </w:r>
      <w:r w:rsidRPr="00DD3D65">
        <w:rPr>
          <w:rFonts w:cs="Times New Roman"/>
          <w:iCs/>
          <w:szCs w:val="24"/>
        </w:rPr>
        <w:t xml:space="preserve"> neizslēdz 2. panta piemērojamību</w:t>
      </w:r>
      <w:r w:rsidRPr="00865034">
        <w:rPr>
          <w:rFonts w:cs="Times New Roman"/>
          <w:iCs/>
          <w:szCs w:val="24"/>
        </w:rPr>
        <w:t xml:space="preserve"> (</w:t>
      </w:r>
      <w:r w:rsidRPr="00865034">
        <w:rPr>
          <w:rFonts w:cs="Times New Roman"/>
          <w:i/>
          <w:iCs/>
          <w:szCs w:val="24"/>
        </w:rPr>
        <w:t>sk. 2016. gada 2. februāra sprieduma lietā “</w:t>
      </w:r>
      <w:proofErr w:type="spellStart"/>
      <w:r w:rsidRPr="00865034">
        <w:rPr>
          <w:rFonts w:cs="Times New Roman"/>
          <w:i/>
          <w:iCs/>
          <w:szCs w:val="24"/>
        </w:rPr>
        <w:t>Cavit</w:t>
      </w:r>
      <w:proofErr w:type="spellEnd"/>
      <w:r w:rsidRPr="00865034">
        <w:rPr>
          <w:rFonts w:cs="Times New Roman"/>
          <w:i/>
          <w:iCs/>
          <w:szCs w:val="24"/>
        </w:rPr>
        <w:t xml:space="preserve"> </w:t>
      </w:r>
      <w:proofErr w:type="spellStart"/>
      <w:r w:rsidRPr="00865034">
        <w:rPr>
          <w:rFonts w:cs="Times New Roman"/>
          <w:i/>
          <w:iCs/>
          <w:szCs w:val="24"/>
        </w:rPr>
        <w:t>Tınarlıoğlu</w:t>
      </w:r>
      <w:proofErr w:type="spellEnd"/>
      <w:r w:rsidRPr="00865034">
        <w:rPr>
          <w:rFonts w:cs="Times New Roman"/>
          <w:i/>
          <w:iCs/>
          <w:szCs w:val="24"/>
        </w:rPr>
        <w:t xml:space="preserve"> c. </w:t>
      </w:r>
      <w:proofErr w:type="spellStart"/>
      <w:r w:rsidRPr="00865034">
        <w:rPr>
          <w:rFonts w:cs="Times New Roman"/>
          <w:i/>
          <w:iCs/>
          <w:szCs w:val="24"/>
        </w:rPr>
        <w:t>Turquie</w:t>
      </w:r>
      <w:proofErr w:type="spellEnd"/>
      <w:r w:rsidRPr="00865034">
        <w:rPr>
          <w:rFonts w:cs="Times New Roman"/>
          <w:i/>
          <w:iCs/>
          <w:szCs w:val="24"/>
        </w:rPr>
        <w:t>”, iesnieguma Nr. </w:t>
      </w:r>
      <w:hyperlink r:id="rId20" w:history="1">
        <w:r w:rsidRPr="00865034">
          <w:rPr>
            <w:rStyle w:val="Hyperlink"/>
            <w:rFonts w:cs="Times New Roman"/>
            <w:i/>
            <w:iCs/>
            <w:szCs w:val="24"/>
          </w:rPr>
          <w:t>3648/04</w:t>
        </w:r>
      </w:hyperlink>
      <w:r w:rsidRPr="00865034">
        <w:rPr>
          <w:rFonts w:cs="Times New Roman"/>
          <w:i/>
          <w:iCs/>
          <w:szCs w:val="24"/>
        </w:rPr>
        <w:t>, 61. punktu</w:t>
      </w:r>
      <w:r w:rsidRPr="00865034">
        <w:rPr>
          <w:rFonts w:cs="Times New Roman"/>
          <w:iCs/>
          <w:szCs w:val="24"/>
        </w:rPr>
        <w:t xml:space="preserve">). Tiesa uzsver, ka saistībā ar ceļu satiksmi </w:t>
      </w:r>
      <w:r w:rsidRPr="00DD3D65">
        <w:rPr>
          <w:rFonts w:cs="Times New Roman"/>
          <w:iCs/>
          <w:szCs w:val="24"/>
        </w:rPr>
        <w:t>valsts varas iestāžu pienākumos ietilpst arī atbilstošu preventīvu pasākumu kopuma ieviešana, lai</w:t>
      </w:r>
      <w:r w:rsidRPr="00865034">
        <w:rPr>
          <w:rFonts w:cs="Times New Roman"/>
          <w:iCs/>
          <w:szCs w:val="24"/>
        </w:rPr>
        <w:t xml:space="preserve"> nodrošinātu sabiedrisko drošību un ceļu satiksmes negadījumu skaita samazināšanu.</w:t>
      </w:r>
    </w:p>
    <w:p w14:paraId="5FABF261" w14:textId="2C6264BF" w:rsidR="00DD3D65" w:rsidRPr="00865034" w:rsidRDefault="00DD3D65" w:rsidP="00DD3D65">
      <w:pPr>
        <w:jc w:val="both"/>
        <w:rPr>
          <w:rFonts w:cs="Times New Roman"/>
          <w:b/>
          <w:iCs/>
          <w:szCs w:val="24"/>
        </w:rPr>
      </w:pPr>
      <w:r w:rsidRPr="00865034">
        <w:rPr>
          <w:rFonts w:cs="Times New Roman"/>
          <w:iCs/>
          <w:szCs w:val="24"/>
        </w:rPr>
        <w:t xml:space="preserve">136. Otrkārt, pastāv vēl viens </w:t>
      </w:r>
      <w:r>
        <w:rPr>
          <w:rFonts w:cs="Times New Roman"/>
          <w:iCs/>
          <w:szCs w:val="24"/>
        </w:rPr>
        <w:t>materiālais</w:t>
      </w:r>
      <w:r w:rsidRPr="00865034">
        <w:rPr>
          <w:rFonts w:cs="Times New Roman"/>
          <w:iCs/>
          <w:szCs w:val="24"/>
        </w:rPr>
        <w:t xml:space="preserve"> pozitīv</w:t>
      </w:r>
      <w:r>
        <w:rPr>
          <w:rFonts w:cs="Times New Roman"/>
          <w:iCs/>
          <w:szCs w:val="24"/>
        </w:rPr>
        <w:t>ai</w:t>
      </w:r>
      <w:r w:rsidRPr="00865034">
        <w:rPr>
          <w:rFonts w:cs="Times New Roman"/>
          <w:iCs/>
          <w:szCs w:val="24"/>
        </w:rPr>
        <w:t>s pienākums veikt preventīvus operatīvus pasākumus, lai aizsargātu vienu identificējamu personu no citas personas (</w:t>
      </w:r>
      <w:r w:rsidRPr="00865034">
        <w:rPr>
          <w:rFonts w:cs="Times New Roman"/>
          <w:i/>
          <w:iCs/>
          <w:szCs w:val="24"/>
        </w:rPr>
        <w:t>sk. 1998. gada 28. oktobra sprieduma lietā “</w:t>
      </w:r>
      <w:proofErr w:type="spellStart"/>
      <w:r w:rsidRPr="00865034">
        <w:rPr>
          <w:rFonts w:cs="Times New Roman"/>
          <w:i/>
          <w:iCs/>
          <w:szCs w:val="24"/>
        </w:rPr>
        <w:t>Osman</w:t>
      </w:r>
      <w:proofErr w:type="spellEnd"/>
      <w:r w:rsidRPr="00865034">
        <w:rPr>
          <w:rFonts w:cs="Times New Roman"/>
          <w:i/>
          <w:iCs/>
          <w:szCs w:val="24"/>
        </w:rPr>
        <w:t xml:space="preserve"> v. </w:t>
      </w:r>
      <w:proofErr w:type="spellStart"/>
      <w:r w:rsidRPr="00865034">
        <w:rPr>
          <w:rFonts w:cs="Times New Roman"/>
          <w:i/>
          <w:iCs/>
          <w:szCs w:val="24"/>
        </w:rPr>
        <w:t>the</w:t>
      </w:r>
      <w:proofErr w:type="spellEnd"/>
      <w:r w:rsidRPr="00865034">
        <w:rPr>
          <w:rFonts w:cs="Times New Roman"/>
          <w:i/>
          <w:iCs/>
          <w:szCs w:val="24"/>
        </w:rPr>
        <w:t xml:space="preserve"> </w:t>
      </w:r>
      <w:proofErr w:type="spellStart"/>
      <w:r w:rsidRPr="00865034">
        <w:rPr>
          <w:rFonts w:cs="Times New Roman"/>
          <w:i/>
          <w:iCs/>
          <w:szCs w:val="24"/>
        </w:rPr>
        <w:t>United</w:t>
      </w:r>
      <w:proofErr w:type="spellEnd"/>
      <w:r w:rsidRPr="00865034">
        <w:rPr>
          <w:rFonts w:cs="Times New Roman"/>
          <w:i/>
          <w:iCs/>
          <w:szCs w:val="24"/>
        </w:rPr>
        <w:t xml:space="preserve"> </w:t>
      </w:r>
      <w:proofErr w:type="spellStart"/>
      <w:r w:rsidRPr="00865034">
        <w:rPr>
          <w:rFonts w:cs="Times New Roman"/>
          <w:i/>
          <w:iCs/>
          <w:szCs w:val="24"/>
        </w:rPr>
        <w:t>Kingdom</w:t>
      </w:r>
      <w:proofErr w:type="spellEnd"/>
      <w:r w:rsidRPr="00865034">
        <w:rPr>
          <w:rFonts w:cs="Times New Roman"/>
          <w:i/>
          <w:iCs/>
          <w:szCs w:val="24"/>
        </w:rPr>
        <w:t>”, iesni</w:t>
      </w:r>
      <w:r w:rsidR="001E2C96">
        <w:rPr>
          <w:rFonts w:cs="Times New Roman"/>
          <w:i/>
          <w:iCs/>
          <w:szCs w:val="24"/>
        </w:rPr>
        <w:t>e</w:t>
      </w:r>
      <w:r w:rsidRPr="00865034">
        <w:rPr>
          <w:rFonts w:cs="Times New Roman"/>
          <w:i/>
          <w:iCs/>
          <w:szCs w:val="24"/>
        </w:rPr>
        <w:t>guma Nr. </w:t>
      </w:r>
      <w:hyperlink r:id="rId21" w:history="1">
        <w:r w:rsidRPr="00865034">
          <w:rPr>
            <w:rStyle w:val="Hyperlink"/>
            <w:rFonts w:cs="Times New Roman"/>
            <w:i/>
            <w:iCs/>
            <w:szCs w:val="24"/>
          </w:rPr>
          <w:t>23452/94</w:t>
        </w:r>
      </w:hyperlink>
      <w:r w:rsidRPr="00865034">
        <w:rPr>
          <w:rFonts w:cs="Times New Roman"/>
          <w:i/>
          <w:iCs/>
          <w:szCs w:val="24"/>
        </w:rPr>
        <w:t>, 115. punktu</w:t>
      </w:r>
      <w:r w:rsidRPr="00865034">
        <w:rPr>
          <w:rFonts w:cs="Times New Roman"/>
          <w:iCs/>
          <w:szCs w:val="24"/>
        </w:rPr>
        <w:t>) vai, īpašos apstākļos, no sevis paša (</w:t>
      </w:r>
      <w:r w:rsidRPr="00865034">
        <w:rPr>
          <w:rFonts w:cs="Times New Roman"/>
          <w:i/>
          <w:iCs/>
          <w:szCs w:val="24"/>
        </w:rPr>
        <w:t>sk. 2008. gada 16. oktobra sprieduma lietā “</w:t>
      </w:r>
      <w:proofErr w:type="spellStart"/>
      <w:r w:rsidRPr="00865034">
        <w:rPr>
          <w:rFonts w:cs="Times New Roman"/>
          <w:i/>
          <w:iCs/>
          <w:szCs w:val="24"/>
        </w:rPr>
        <w:t>Renolde</w:t>
      </w:r>
      <w:proofErr w:type="spellEnd"/>
      <w:r w:rsidRPr="00865034">
        <w:rPr>
          <w:rFonts w:cs="Times New Roman"/>
          <w:i/>
          <w:iCs/>
          <w:szCs w:val="24"/>
        </w:rPr>
        <w:t xml:space="preserve"> v. </w:t>
      </w:r>
      <w:proofErr w:type="spellStart"/>
      <w:r w:rsidRPr="00865034">
        <w:rPr>
          <w:rFonts w:cs="Times New Roman"/>
          <w:i/>
          <w:iCs/>
          <w:szCs w:val="24"/>
        </w:rPr>
        <w:t>France</w:t>
      </w:r>
      <w:proofErr w:type="spellEnd"/>
      <w:r w:rsidRPr="00865034">
        <w:rPr>
          <w:rFonts w:cs="Times New Roman"/>
          <w:i/>
          <w:iCs/>
          <w:szCs w:val="24"/>
        </w:rPr>
        <w:t>”, iesnieguma Nr. </w:t>
      </w:r>
      <w:hyperlink r:id="rId22" w:history="1">
        <w:r w:rsidRPr="00865034">
          <w:rPr>
            <w:rStyle w:val="Hyperlink"/>
            <w:rFonts w:cs="Times New Roman"/>
            <w:i/>
            <w:iCs/>
            <w:szCs w:val="24"/>
          </w:rPr>
          <w:t>5608/05</w:t>
        </w:r>
      </w:hyperlink>
      <w:r w:rsidRPr="00865034">
        <w:rPr>
          <w:rFonts w:cs="Times New Roman"/>
          <w:i/>
          <w:iCs/>
          <w:szCs w:val="24"/>
        </w:rPr>
        <w:t>, 81. punktu, 2011. gada 20. janvāra sprieduma lietā “</w:t>
      </w:r>
      <w:proofErr w:type="spellStart"/>
      <w:r w:rsidRPr="00865034">
        <w:rPr>
          <w:rFonts w:cs="Times New Roman"/>
          <w:i/>
          <w:iCs/>
          <w:szCs w:val="24"/>
        </w:rPr>
        <w:t>Haas</w:t>
      </w:r>
      <w:proofErr w:type="spellEnd"/>
      <w:r w:rsidRPr="00865034">
        <w:rPr>
          <w:rFonts w:cs="Times New Roman"/>
          <w:i/>
          <w:iCs/>
          <w:szCs w:val="24"/>
        </w:rPr>
        <w:t xml:space="preserve"> v. </w:t>
      </w:r>
      <w:proofErr w:type="spellStart"/>
      <w:r w:rsidRPr="00865034">
        <w:rPr>
          <w:rFonts w:cs="Times New Roman"/>
          <w:i/>
          <w:iCs/>
          <w:szCs w:val="24"/>
        </w:rPr>
        <w:t>Switzerland</w:t>
      </w:r>
      <w:proofErr w:type="spellEnd"/>
      <w:r w:rsidRPr="00865034">
        <w:rPr>
          <w:rFonts w:cs="Times New Roman"/>
          <w:i/>
          <w:iCs/>
          <w:szCs w:val="24"/>
        </w:rPr>
        <w:t>”, iesnieguma Nr. </w:t>
      </w:r>
      <w:hyperlink r:id="rId23" w:history="1">
        <w:r w:rsidRPr="00865034">
          <w:rPr>
            <w:rStyle w:val="Hyperlink"/>
            <w:rFonts w:cs="Times New Roman"/>
            <w:i/>
            <w:iCs/>
            <w:szCs w:val="24"/>
          </w:rPr>
          <w:t>31322/07</w:t>
        </w:r>
      </w:hyperlink>
      <w:r w:rsidRPr="00865034">
        <w:rPr>
          <w:rFonts w:cs="Times New Roman"/>
          <w:i/>
          <w:iCs/>
          <w:szCs w:val="24"/>
        </w:rPr>
        <w:t>, 54. punktu un iepriekš citētā “</w:t>
      </w:r>
      <w:proofErr w:type="spellStart"/>
      <w:r w:rsidRPr="00865034">
        <w:rPr>
          <w:rFonts w:cs="Times New Roman"/>
          <w:i/>
          <w:iCs/>
          <w:szCs w:val="24"/>
        </w:rPr>
        <w:t>Fernandes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Oliveira</w:t>
      </w:r>
      <w:proofErr w:type="spellEnd"/>
      <w:r w:rsidRPr="00865034">
        <w:rPr>
          <w:rFonts w:cs="Times New Roman"/>
          <w:i/>
          <w:iCs/>
          <w:szCs w:val="24"/>
        </w:rPr>
        <w:t>” 103. un 108.–115. punktu</w:t>
      </w:r>
      <w:r w:rsidRPr="00865034">
        <w:rPr>
          <w:rFonts w:cs="Times New Roman"/>
          <w:iCs/>
          <w:szCs w:val="24"/>
        </w:rPr>
        <w:t>). Tiesa ir nospriedusi, ka šis pienākums ir jāiztulko tā, lai valsts varas iestādēm nebūtu uzlikts nepanesams un nesamērīgs slogs. Ne katrs dzīvības apdraudējums rada valsts iestādēm pienākumu saskaņā ar Konvenciju veikt operatīvus pasākumus, lai novērstu šī apdraudējuma īstenošanos. Lai rastos šis pozitīvais pienākumus, ir jāpārliecinās, ka valsts varas iestādes attiecīgajā brīdī zināja vai tām vajadzēja zināt, ka pastāvēja patiess un tūlītējs identificējamas personas vai personu dzīvības apdraudējums, ko rada trešo personu noziedzīga rīcība, un ka tās nav veikušas to kompetencē ietilpstošus pasākumus, ko, saprātīgi spriežot, varēja sagaidīt, lai tiktu novērsts šis apdraudējums (</w:t>
      </w:r>
      <w:r w:rsidRPr="00865034">
        <w:rPr>
          <w:rFonts w:cs="Times New Roman"/>
          <w:i/>
          <w:iCs/>
          <w:szCs w:val="24"/>
        </w:rPr>
        <w:t>sk. iepriekš citēt</w:t>
      </w:r>
      <w:r w:rsidR="00E60997">
        <w:rPr>
          <w:rFonts w:cs="Times New Roman"/>
          <w:i/>
          <w:iCs/>
          <w:szCs w:val="24"/>
        </w:rPr>
        <w:t>ā</w:t>
      </w:r>
      <w:r w:rsidRPr="00865034">
        <w:rPr>
          <w:rFonts w:cs="Times New Roman"/>
          <w:i/>
          <w:iCs/>
          <w:szCs w:val="24"/>
        </w:rPr>
        <w:t xml:space="preserve"> “</w:t>
      </w:r>
      <w:proofErr w:type="spellStart"/>
      <w:r w:rsidRPr="00865034">
        <w:rPr>
          <w:rFonts w:cs="Times New Roman"/>
          <w:i/>
          <w:iCs/>
          <w:szCs w:val="24"/>
        </w:rPr>
        <w:t>Osman</w:t>
      </w:r>
      <w:proofErr w:type="spellEnd"/>
      <w:r w:rsidRPr="00865034">
        <w:rPr>
          <w:rFonts w:cs="Times New Roman"/>
          <w:i/>
          <w:iCs/>
          <w:szCs w:val="24"/>
        </w:rPr>
        <w:t>” 115.–116. punk</w:t>
      </w:r>
      <w:r w:rsidR="00036AA1">
        <w:rPr>
          <w:rFonts w:cs="Times New Roman"/>
          <w:i/>
          <w:iCs/>
          <w:szCs w:val="24"/>
        </w:rPr>
        <w:t>t</w:t>
      </w:r>
      <w:r w:rsidRPr="00865034">
        <w:rPr>
          <w:rFonts w:cs="Times New Roman"/>
          <w:i/>
          <w:iCs/>
          <w:szCs w:val="24"/>
        </w:rPr>
        <w:t>u, “</w:t>
      </w:r>
      <w:proofErr w:type="spellStart"/>
      <w:r w:rsidRPr="00865034">
        <w:rPr>
          <w:rFonts w:cs="Times New Roman"/>
          <w:i/>
          <w:iCs/>
          <w:szCs w:val="24"/>
        </w:rPr>
        <w:t>Öneryıldız</w:t>
      </w:r>
      <w:proofErr w:type="spellEnd"/>
      <w:r w:rsidRPr="00865034">
        <w:rPr>
          <w:rFonts w:cs="Times New Roman"/>
          <w:i/>
          <w:iCs/>
          <w:szCs w:val="24"/>
        </w:rPr>
        <w:t xml:space="preserve">” 74. un 101. punktu, 2005. gada 1. marta </w:t>
      </w:r>
      <w:r w:rsidR="00036AA1" w:rsidRPr="00865034">
        <w:rPr>
          <w:rFonts w:cs="Times New Roman"/>
          <w:i/>
          <w:iCs/>
          <w:szCs w:val="24"/>
        </w:rPr>
        <w:t>lēmum</w:t>
      </w:r>
      <w:r w:rsidR="00036AA1">
        <w:rPr>
          <w:rFonts w:cs="Times New Roman"/>
          <w:i/>
          <w:iCs/>
          <w:szCs w:val="24"/>
        </w:rPr>
        <w:t>u</w:t>
      </w:r>
      <w:r w:rsidR="00036AA1" w:rsidRPr="00865034">
        <w:rPr>
          <w:rFonts w:cs="Times New Roman"/>
          <w:i/>
          <w:iCs/>
          <w:szCs w:val="24"/>
        </w:rPr>
        <w:t xml:space="preserve"> </w:t>
      </w:r>
      <w:r w:rsidRPr="00865034">
        <w:rPr>
          <w:rFonts w:cs="Times New Roman"/>
          <w:i/>
          <w:iCs/>
          <w:szCs w:val="24"/>
        </w:rPr>
        <w:t>lietā “</w:t>
      </w:r>
      <w:proofErr w:type="spellStart"/>
      <w:r w:rsidRPr="00865034">
        <w:rPr>
          <w:rFonts w:cs="Times New Roman"/>
          <w:i/>
          <w:iCs/>
          <w:szCs w:val="24"/>
        </w:rPr>
        <w:t>Bone</w:t>
      </w:r>
      <w:proofErr w:type="spellEnd"/>
      <w:r w:rsidRPr="00865034">
        <w:rPr>
          <w:rFonts w:cs="Times New Roman"/>
          <w:i/>
          <w:iCs/>
          <w:szCs w:val="24"/>
        </w:rPr>
        <w:t xml:space="preserve"> </w:t>
      </w:r>
      <w:proofErr w:type="spellStart"/>
      <w:r w:rsidRPr="00865034">
        <w:rPr>
          <w:rFonts w:cs="Times New Roman"/>
          <w:i/>
          <w:iCs/>
          <w:szCs w:val="24"/>
        </w:rPr>
        <w:t>contre</w:t>
      </w:r>
      <w:proofErr w:type="spellEnd"/>
      <w:r w:rsidRPr="00865034">
        <w:rPr>
          <w:rFonts w:cs="Times New Roman"/>
          <w:i/>
          <w:iCs/>
          <w:szCs w:val="24"/>
        </w:rPr>
        <w:t xml:space="preserve"> la </w:t>
      </w:r>
      <w:proofErr w:type="spellStart"/>
      <w:r w:rsidRPr="00865034">
        <w:rPr>
          <w:rFonts w:cs="Times New Roman"/>
          <w:i/>
          <w:iCs/>
          <w:szCs w:val="24"/>
        </w:rPr>
        <w:t>France</w:t>
      </w:r>
      <w:proofErr w:type="spellEnd"/>
      <w:r w:rsidRPr="00865034">
        <w:rPr>
          <w:rFonts w:cs="Times New Roman"/>
          <w:i/>
          <w:iCs/>
          <w:szCs w:val="24"/>
        </w:rPr>
        <w:t>”, iesnieguma Nr. </w:t>
      </w:r>
      <w:hyperlink r:id="rId24" w:history="1">
        <w:r w:rsidRPr="00865034">
          <w:rPr>
            <w:rStyle w:val="Hyperlink"/>
            <w:rFonts w:cs="Times New Roman"/>
            <w:i/>
            <w:iCs/>
            <w:szCs w:val="24"/>
          </w:rPr>
          <w:t>69869/01</w:t>
        </w:r>
      </w:hyperlink>
      <w:r w:rsidR="00036AA1">
        <w:rPr>
          <w:rStyle w:val="Hyperlink"/>
          <w:rFonts w:cs="Times New Roman"/>
          <w:i/>
          <w:iCs/>
          <w:szCs w:val="24"/>
        </w:rPr>
        <w:t>,</w:t>
      </w:r>
      <w:r w:rsidRPr="00865034">
        <w:rPr>
          <w:rFonts w:cs="Times New Roman"/>
          <w:i/>
          <w:iCs/>
          <w:szCs w:val="24"/>
        </w:rPr>
        <w:t xml:space="preserve"> iepriekš citēt</w:t>
      </w:r>
      <w:r w:rsidR="00E60997">
        <w:rPr>
          <w:rFonts w:cs="Times New Roman"/>
          <w:i/>
          <w:iCs/>
          <w:szCs w:val="24"/>
        </w:rPr>
        <w:t>ā</w:t>
      </w:r>
      <w:r w:rsidRPr="00865034">
        <w:rPr>
          <w:rFonts w:cs="Times New Roman"/>
          <w:i/>
          <w:iCs/>
          <w:szCs w:val="24"/>
        </w:rPr>
        <w:t xml:space="preserve"> “</w:t>
      </w:r>
      <w:proofErr w:type="spellStart"/>
      <w:r w:rsidRPr="00865034">
        <w:rPr>
          <w:rFonts w:cs="Times New Roman"/>
          <w:i/>
          <w:iCs/>
          <w:szCs w:val="24"/>
        </w:rPr>
        <w:t>Cavit</w:t>
      </w:r>
      <w:proofErr w:type="spellEnd"/>
      <w:r w:rsidRPr="00865034">
        <w:rPr>
          <w:rFonts w:cs="Times New Roman"/>
          <w:i/>
          <w:iCs/>
          <w:szCs w:val="24"/>
        </w:rPr>
        <w:t xml:space="preserve"> </w:t>
      </w:r>
      <w:proofErr w:type="spellStart"/>
      <w:r w:rsidRPr="00865034">
        <w:rPr>
          <w:rFonts w:cs="Times New Roman"/>
          <w:i/>
          <w:iCs/>
          <w:szCs w:val="24"/>
        </w:rPr>
        <w:t>Tınarlıoğlu</w:t>
      </w:r>
      <w:proofErr w:type="spellEnd"/>
      <w:r w:rsidRPr="00865034">
        <w:rPr>
          <w:rFonts w:cs="Times New Roman"/>
          <w:i/>
          <w:iCs/>
          <w:szCs w:val="24"/>
        </w:rPr>
        <w:t>” 91.–92. punktu un “</w:t>
      </w:r>
      <w:proofErr w:type="spellStart"/>
      <w:r w:rsidRPr="00865034">
        <w:rPr>
          <w:rFonts w:cs="Times New Roman"/>
          <w:i/>
          <w:iCs/>
          <w:szCs w:val="24"/>
        </w:rPr>
        <w:t>Fernandes</w:t>
      </w:r>
      <w:proofErr w:type="spellEnd"/>
      <w:r w:rsidRPr="00865034">
        <w:rPr>
          <w:rFonts w:cs="Times New Roman"/>
          <w:i/>
          <w:iCs/>
          <w:szCs w:val="24"/>
        </w:rPr>
        <w:t xml:space="preserve"> </w:t>
      </w:r>
      <w:proofErr w:type="spellStart"/>
      <w:r w:rsidRPr="00865034">
        <w:rPr>
          <w:rFonts w:cs="Times New Roman"/>
          <w:i/>
          <w:iCs/>
          <w:szCs w:val="24"/>
        </w:rPr>
        <w:t>de</w:t>
      </w:r>
      <w:proofErr w:type="spellEnd"/>
      <w:r w:rsidRPr="00865034">
        <w:rPr>
          <w:rFonts w:cs="Times New Roman"/>
          <w:i/>
          <w:iCs/>
          <w:szCs w:val="24"/>
        </w:rPr>
        <w:t xml:space="preserve"> </w:t>
      </w:r>
      <w:proofErr w:type="spellStart"/>
      <w:r w:rsidRPr="00865034">
        <w:rPr>
          <w:rFonts w:cs="Times New Roman"/>
          <w:i/>
          <w:iCs/>
          <w:szCs w:val="24"/>
        </w:rPr>
        <w:t>Oliveira</w:t>
      </w:r>
      <w:proofErr w:type="spellEnd"/>
      <w:r w:rsidRPr="00865034">
        <w:rPr>
          <w:rFonts w:cs="Times New Roman"/>
          <w:i/>
          <w:iCs/>
          <w:szCs w:val="24"/>
        </w:rPr>
        <w:t>” 109. punktu</w:t>
      </w:r>
      <w:r w:rsidRPr="00865034">
        <w:rPr>
          <w:rFonts w:cs="Times New Roman"/>
          <w:iCs/>
          <w:szCs w:val="24"/>
        </w:rPr>
        <w:t xml:space="preserve">). Tiesa uzskata, ka noteiktos apstākļos šis pienākums ietver neatliekamās medicīniskās palīdzības sniegšanu, ja noticis dzīvībai bīstams nelaimes gadījums. </w:t>
      </w:r>
    </w:p>
    <w:p w14:paraId="627E637B" w14:textId="55BFAF7A" w:rsidR="00DD3D65" w:rsidRPr="00865034" w:rsidRDefault="00DD3D65" w:rsidP="00DD3D65">
      <w:pPr>
        <w:jc w:val="both"/>
        <w:rPr>
          <w:rFonts w:cs="Times New Roman"/>
          <w:szCs w:val="24"/>
        </w:rPr>
      </w:pPr>
      <w:r w:rsidRPr="00865034">
        <w:rPr>
          <w:rFonts w:cs="Times New Roman"/>
          <w:szCs w:val="24"/>
        </w:rPr>
        <w:t>137. Treškārt, Tiesa atkārtoti uzsver, ka ir jāuzskata</w:t>
      </w:r>
      <w:r w:rsidR="00036AA1">
        <w:rPr>
          <w:rFonts w:cs="Times New Roman"/>
          <w:szCs w:val="24"/>
        </w:rPr>
        <w:t>:</w:t>
      </w:r>
      <w:r w:rsidRPr="00865034">
        <w:rPr>
          <w:rFonts w:cs="Times New Roman"/>
          <w:szCs w:val="24"/>
        </w:rPr>
        <w:t xml:space="preserve"> valsts pienākums aizsargāt tiesības uz dzīvību ietver ne tikai šos </w:t>
      </w:r>
      <w:r>
        <w:rPr>
          <w:rFonts w:cs="Times New Roman"/>
          <w:szCs w:val="24"/>
        </w:rPr>
        <w:t xml:space="preserve">materiālos </w:t>
      </w:r>
      <w:r w:rsidRPr="00865034">
        <w:rPr>
          <w:rFonts w:cs="Times New Roman"/>
          <w:szCs w:val="24"/>
        </w:rPr>
        <w:t xml:space="preserve">pozitīvos pienākumus, bet bojāejas gadījumā </w:t>
      </w:r>
      <w:r w:rsidRPr="00DD3D65">
        <w:rPr>
          <w:rFonts w:cs="Times New Roman"/>
          <w:szCs w:val="24"/>
        </w:rPr>
        <w:t>arī pozitīvo procesuālo pienākumu nodrošināt efektīvu un neatkarīgu tiesu sistēmu. Šī sistēma var atšķirties atkarībā no apstākļiem (</w:t>
      </w:r>
      <w:r w:rsidRPr="00DD3D65">
        <w:rPr>
          <w:rFonts w:cs="Times New Roman"/>
          <w:i/>
          <w:szCs w:val="24"/>
        </w:rPr>
        <w:t>sk. 158. punktu</w:t>
      </w:r>
      <w:r w:rsidRPr="00DD3D65">
        <w:rPr>
          <w:rFonts w:cs="Times New Roman"/>
          <w:szCs w:val="24"/>
        </w:rPr>
        <w:t xml:space="preserve">). Tomēr tai ir jābūt tādai, kas ļauj ātri noskaidrot faktus, saucot pie atbildības vainīgos un sniedzot atbilstošu atlīdzību cietušajam </w:t>
      </w:r>
      <w:r w:rsidRPr="00865034">
        <w:rPr>
          <w:rFonts w:cs="Times New Roman"/>
          <w:szCs w:val="24"/>
        </w:rPr>
        <w:t>(</w:t>
      </w:r>
      <w:r w:rsidRPr="00865034">
        <w:rPr>
          <w:rFonts w:cs="Times New Roman"/>
          <w:i/>
          <w:szCs w:val="24"/>
        </w:rPr>
        <w:t>sal. iepriekš citētā “</w:t>
      </w:r>
      <w:proofErr w:type="spellStart"/>
      <w:r w:rsidRPr="00865034">
        <w:rPr>
          <w:rFonts w:cs="Times New Roman"/>
          <w:i/>
          <w:szCs w:val="24"/>
        </w:rPr>
        <w:t>Calvelli</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Ciglio</w:t>
      </w:r>
      <w:proofErr w:type="spellEnd"/>
      <w:r w:rsidRPr="00865034">
        <w:rPr>
          <w:rFonts w:cs="Times New Roman"/>
          <w:i/>
          <w:szCs w:val="24"/>
        </w:rPr>
        <w:t>” 49. punktu, 2004. gada 8. jūlija sprieduma [Lielā palāta] lietā “</w:t>
      </w:r>
      <w:proofErr w:type="spellStart"/>
      <w:r w:rsidRPr="00865034">
        <w:rPr>
          <w:rFonts w:cs="Times New Roman"/>
          <w:i/>
          <w:szCs w:val="24"/>
        </w:rPr>
        <w:t>Vo</w:t>
      </w:r>
      <w:proofErr w:type="spellEnd"/>
      <w:r w:rsidRPr="00865034">
        <w:rPr>
          <w:rFonts w:cs="Times New Roman"/>
          <w:i/>
          <w:szCs w:val="24"/>
        </w:rPr>
        <w:t xml:space="preserve"> v. </w:t>
      </w:r>
      <w:proofErr w:type="spellStart"/>
      <w:r w:rsidRPr="00865034">
        <w:rPr>
          <w:rFonts w:cs="Times New Roman"/>
          <w:i/>
          <w:szCs w:val="24"/>
        </w:rPr>
        <w:t>France</w:t>
      </w:r>
      <w:proofErr w:type="spellEnd"/>
      <w:r w:rsidRPr="00865034">
        <w:rPr>
          <w:rFonts w:cs="Times New Roman"/>
          <w:i/>
          <w:szCs w:val="24"/>
        </w:rPr>
        <w:t>”, iesnieguma Nr. </w:t>
      </w:r>
      <w:hyperlink r:id="rId25" w:history="1">
        <w:r w:rsidRPr="00865034">
          <w:rPr>
            <w:rStyle w:val="Hyperlink"/>
            <w:rFonts w:cs="Times New Roman"/>
            <w:i/>
            <w:szCs w:val="24"/>
          </w:rPr>
          <w:t>53924/00</w:t>
        </w:r>
      </w:hyperlink>
      <w:r w:rsidRPr="00865034">
        <w:rPr>
          <w:rFonts w:cs="Times New Roman"/>
          <w:i/>
          <w:szCs w:val="24"/>
        </w:rPr>
        <w:t>, 89. punktu, 2009. gada 9. aprīļa sprieduma [Lielā palāta] lietā “</w:t>
      </w:r>
      <w:proofErr w:type="spellStart"/>
      <w:r w:rsidRPr="00865034">
        <w:rPr>
          <w:rFonts w:cs="Times New Roman"/>
          <w:i/>
          <w:szCs w:val="24"/>
        </w:rPr>
        <w:t>Šilih</w:t>
      </w:r>
      <w:proofErr w:type="spellEnd"/>
      <w:r w:rsidRPr="00865034">
        <w:rPr>
          <w:rFonts w:cs="Times New Roman"/>
          <w:i/>
          <w:szCs w:val="24"/>
        </w:rPr>
        <w:t xml:space="preserve"> v. </w:t>
      </w:r>
      <w:proofErr w:type="spellStart"/>
      <w:r w:rsidRPr="00865034">
        <w:rPr>
          <w:rFonts w:cs="Times New Roman"/>
          <w:i/>
          <w:szCs w:val="24"/>
        </w:rPr>
        <w:t>Slovenia</w:t>
      </w:r>
      <w:proofErr w:type="spellEnd"/>
      <w:r w:rsidRPr="00865034">
        <w:rPr>
          <w:rFonts w:cs="Times New Roman"/>
          <w:i/>
          <w:szCs w:val="24"/>
        </w:rPr>
        <w:t>”, iesnieguma Nr. </w:t>
      </w:r>
      <w:hyperlink r:id="rId26" w:history="1">
        <w:r w:rsidRPr="00865034">
          <w:rPr>
            <w:rStyle w:val="Hyperlink"/>
            <w:rFonts w:cs="Times New Roman"/>
            <w:i/>
            <w:szCs w:val="24"/>
          </w:rPr>
          <w:t>71463/01</w:t>
        </w:r>
      </w:hyperlink>
      <w:r w:rsidRPr="00865034">
        <w:rPr>
          <w:rFonts w:cs="Times New Roman"/>
          <w:i/>
          <w:szCs w:val="24"/>
        </w:rPr>
        <w:t>, 155. un 192. punktu un iepriekš citētā “</w:t>
      </w:r>
      <w:proofErr w:type="spellStart"/>
      <w:r w:rsidRPr="00865034">
        <w:rPr>
          <w:rFonts w:cs="Times New Roman"/>
          <w:i/>
          <w:szCs w:val="24"/>
        </w:rPr>
        <w:t>Lopes</w:t>
      </w:r>
      <w:proofErr w:type="spellEnd"/>
      <w:r w:rsidRPr="00865034">
        <w:rPr>
          <w:rFonts w:cs="Times New Roman"/>
          <w:i/>
          <w:szCs w:val="24"/>
        </w:rPr>
        <w:t xml:space="preserve"> </w:t>
      </w:r>
      <w:proofErr w:type="spellStart"/>
      <w:r w:rsidRPr="00865034">
        <w:rPr>
          <w:rFonts w:cs="Times New Roman"/>
          <w:i/>
          <w:szCs w:val="24"/>
        </w:rPr>
        <w:t>de</w:t>
      </w:r>
      <w:proofErr w:type="spellEnd"/>
      <w:r w:rsidRPr="00865034">
        <w:rPr>
          <w:rFonts w:cs="Times New Roman"/>
          <w:i/>
          <w:szCs w:val="24"/>
        </w:rPr>
        <w:t xml:space="preserve"> </w:t>
      </w:r>
      <w:proofErr w:type="spellStart"/>
      <w:r w:rsidRPr="00865034">
        <w:rPr>
          <w:rFonts w:cs="Times New Roman"/>
          <w:i/>
          <w:szCs w:val="24"/>
        </w:rPr>
        <w:t>Sousa</w:t>
      </w:r>
      <w:proofErr w:type="spellEnd"/>
      <w:r w:rsidRPr="00865034">
        <w:rPr>
          <w:rFonts w:cs="Times New Roman"/>
          <w:i/>
          <w:szCs w:val="24"/>
        </w:rPr>
        <w:t xml:space="preserve"> </w:t>
      </w:r>
      <w:proofErr w:type="spellStart"/>
      <w:r w:rsidRPr="00865034">
        <w:rPr>
          <w:rFonts w:cs="Times New Roman"/>
          <w:i/>
          <w:szCs w:val="24"/>
        </w:rPr>
        <w:t>Fernandes</w:t>
      </w:r>
      <w:proofErr w:type="spellEnd"/>
      <w:r w:rsidRPr="00865034">
        <w:rPr>
          <w:rFonts w:cs="Times New Roman"/>
          <w:i/>
          <w:szCs w:val="24"/>
        </w:rPr>
        <w:t>” 214. punktu</w:t>
      </w:r>
      <w:r w:rsidRPr="00865034">
        <w:rPr>
          <w:rFonts w:cs="Times New Roman"/>
          <w:szCs w:val="24"/>
        </w:rPr>
        <w:t>).</w:t>
      </w:r>
    </w:p>
    <w:p w14:paraId="25BB4345" w14:textId="01044AD3" w:rsidR="00DD3D65" w:rsidRPr="00865034" w:rsidRDefault="00DD3D65" w:rsidP="00DD3D65">
      <w:pPr>
        <w:jc w:val="both"/>
        <w:rPr>
          <w:rFonts w:cs="Times New Roman"/>
          <w:szCs w:val="24"/>
        </w:rPr>
      </w:pPr>
      <w:r w:rsidRPr="00865034">
        <w:rPr>
          <w:rFonts w:cs="Times New Roman"/>
          <w:szCs w:val="24"/>
        </w:rPr>
        <w:t>138. Šis procesuālais pienākums nav atkarīgs no tā, vai beigās tiek atzīta valsts atbildība par bojāeju no materiālo tiesību viedokļa, bet gan ir atsevišķs un autonoms pienākums (</w:t>
      </w:r>
      <w:r w:rsidRPr="00865034">
        <w:rPr>
          <w:rFonts w:cs="Times New Roman"/>
          <w:i/>
          <w:szCs w:val="24"/>
        </w:rPr>
        <w:t>sk. iepriekš citētā “</w:t>
      </w:r>
      <w:proofErr w:type="spellStart"/>
      <w:r w:rsidRPr="00865034">
        <w:rPr>
          <w:rFonts w:cs="Times New Roman"/>
          <w:i/>
          <w:szCs w:val="24"/>
        </w:rPr>
        <w:t>Šilih</w:t>
      </w:r>
      <w:proofErr w:type="spellEnd"/>
      <w:r w:rsidRPr="00865034">
        <w:rPr>
          <w:rFonts w:cs="Times New Roman"/>
          <w:i/>
          <w:szCs w:val="24"/>
        </w:rPr>
        <w:t>” 156. un 159. punktu</w:t>
      </w:r>
      <w:r w:rsidRPr="00865034">
        <w:rPr>
          <w:rFonts w:cs="Times New Roman"/>
          <w:szCs w:val="24"/>
        </w:rPr>
        <w:t xml:space="preserve">). Tas rada pienākumu veikt efektīvu izmeklēšanu, ja indivīdi ir nogalināti spēka pielietošanas rezultātā, bet var tikt attiecināts arī uz nelaimes gadījumiem, kuru rezultātā cilvēks gājis bojā. Šajā sakarā Tiesa atzinusi, ka 2. pants ir vienlīdz piemērojams arī nelaimes gadījumiem, kuros tiešais cietušais gājis bojā </w:t>
      </w:r>
      <w:proofErr w:type="gramStart"/>
      <w:r w:rsidRPr="00865034">
        <w:rPr>
          <w:rFonts w:cs="Times New Roman"/>
          <w:szCs w:val="24"/>
        </w:rPr>
        <w:t>(</w:t>
      </w:r>
      <w:proofErr w:type="gramEnd"/>
      <w:r w:rsidRPr="00865034">
        <w:rPr>
          <w:rFonts w:cs="Times New Roman"/>
          <w:i/>
          <w:szCs w:val="24"/>
        </w:rPr>
        <w:t>sk., piemēram</w:t>
      </w:r>
      <w:r w:rsidR="00FB35F6">
        <w:rPr>
          <w:rFonts w:cs="Times New Roman"/>
          <w:i/>
          <w:szCs w:val="24"/>
        </w:rPr>
        <w:t>,</w:t>
      </w:r>
      <w:r w:rsidRPr="00865034">
        <w:rPr>
          <w:rFonts w:cs="Times New Roman"/>
          <w:i/>
          <w:szCs w:val="24"/>
        </w:rPr>
        <w:t xml:space="preserve"> 2011. gada 24. maija spriedumu lietā “Anna </w:t>
      </w:r>
      <w:proofErr w:type="spellStart"/>
      <w:r w:rsidRPr="00865034">
        <w:rPr>
          <w:rFonts w:cs="Times New Roman"/>
          <w:i/>
          <w:szCs w:val="24"/>
        </w:rPr>
        <w:t>Todorova</w:t>
      </w:r>
      <w:proofErr w:type="spellEnd"/>
      <w:r w:rsidRPr="00865034">
        <w:rPr>
          <w:rFonts w:cs="Times New Roman"/>
          <w:i/>
          <w:szCs w:val="24"/>
        </w:rPr>
        <w:t xml:space="preserve"> v. </w:t>
      </w:r>
      <w:proofErr w:type="spellStart"/>
      <w:r w:rsidRPr="00865034">
        <w:rPr>
          <w:rFonts w:cs="Times New Roman"/>
          <w:i/>
          <w:szCs w:val="24"/>
        </w:rPr>
        <w:t>Bulgaria</w:t>
      </w:r>
      <w:proofErr w:type="spellEnd"/>
      <w:r w:rsidRPr="00865034">
        <w:rPr>
          <w:rFonts w:cs="Times New Roman"/>
          <w:i/>
          <w:szCs w:val="24"/>
        </w:rPr>
        <w:t>”, iesnieguma Nr. </w:t>
      </w:r>
      <w:hyperlink r:id="rId27" w:history="1">
        <w:r w:rsidRPr="00865034">
          <w:rPr>
            <w:rStyle w:val="Hyperlink"/>
            <w:rFonts w:cs="Times New Roman"/>
            <w:i/>
            <w:szCs w:val="24"/>
          </w:rPr>
          <w:t>23302/03</w:t>
        </w:r>
      </w:hyperlink>
      <w:r w:rsidRPr="00865034">
        <w:rPr>
          <w:rFonts w:cs="Times New Roman"/>
          <w:i/>
          <w:szCs w:val="24"/>
        </w:rPr>
        <w:t>, 2012. gada 31. jūlija spriedumu lietā “</w:t>
      </w:r>
      <w:proofErr w:type="spellStart"/>
      <w:r w:rsidRPr="00865034">
        <w:rPr>
          <w:rFonts w:cs="Times New Roman"/>
          <w:i/>
          <w:szCs w:val="24"/>
        </w:rPr>
        <w:t>Prynda</w:t>
      </w:r>
      <w:proofErr w:type="spellEnd"/>
      <w:r w:rsidRPr="00865034">
        <w:rPr>
          <w:rFonts w:cs="Times New Roman"/>
          <w:i/>
          <w:szCs w:val="24"/>
        </w:rPr>
        <w:t xml:space="preserve"> v. </w:t>
      </w:r>
      <w:proofErr w:type="spellStart"/>
      <w:r w:rsidRPr="00865034">
        <w:rPr>
          <w:rFonts w:cs="Times New Roman"/>
          <w:i/>
          <w:szCs w:val="24"/>
        </w:rPr>
        <w:t>Ukraine</w:t>
      </w:r>
      <w:proofErr w:type="spellEnd"/>
      <w:r w:rsidRPr="00865034">
        <w:rPr>
          <w:rFonts w:cs="Times New Roman"/>
          <w:i/>
          <w:szCs w:val="24"/>
        </w:rPr>
        <w:t>”, iesnieguma Nr. </w:t>
      </w:r>
      <w:hyperlink r:id="rId28" w:history="1">
        <w:r w:rsidRPr="00865034">
          <w:rPr>
            <w:rStyle w:val="Hyperlink"/>
            <w:rFonts w:cs="Times New Roman"/>
            <w:i/>
            <w:szCs w:val="24"/>
          </w:rPr>
          <w:t>10904/05</w:t>
        </w:r>
      </w:hyperlink>
      <w:r w:rsidR="00036AA1">
        <w:rPr>
          <w:rStyle w:val="Hyperlink"/>
          <w:rFonts w:cs="Times New Roman"/>
          <w:i/>
          <w:szCs w:val="24"/>
        </w:rPr>
        <w:t>,</w:t>
      </w:r>
      <w:r w:rsidRPr="00865034">
        <w:rPr>
          <w:rFonts w:cs="Times New Roman"/>
          <w:i/>
          <w:szCs w:val="24"/>
        </w:rPr>
        <w:t xml:space="preserve"> un 2018. gada 5. jūnija </w:t>
      </w:r>
      <w:r w:rsidR="00036AA1" w:rsidRPr="00865034">
        <w:rPr>
          <w:rFonts w:cs="Times New Roman"/>
          <w:i/>
          <w:szCs w:val="24"/>
        </w:rPr>
        <w:t>spriedum</w:t>
      </w:r>
      <w:r w:rsidR="00036AA1">
        <w:rPr>
          <w:rFonts w:cs="Times New Roman"/>
          <w:i/>
          <w:szCs w:val="24"/>
        </w:rPr>
        <w:t>a</w:t>
      </w:r>
      <w:r w:rsidR="00036AA1" w:rsidRPr="00865034">
        <w:rPr>
          <w:rFonts w:cs="Times New Roman"/>
          <w:i/>
          <w:szCs w:val="24"/>
        </w:rPr>
        <w:t xml:space="preserve"> </w:t>
      </w:r>
      <w:r w:rsidRPr="00865034">
        <w:rPr>
          <w:rFonts w:cs="Times New Roman"/>
          <w:i/>
          <w:szCs w:val="24"/>
        </w:rPr>
        <w:t>lietā “</w:t>
      </w:r>
      <w:proofErr w:type="spellStart"/>
      <w:r w:rsidRPr="00865034">
        <w:rPr>
          <w:rFonts w:cs="Times New Roman"/>
          <w:i/>
          <w:szCs w:val="24"/>
        </w:rPr>
        <w:t>Fatih</w:t>
      </w:r>
      <w:proofErr w:type="spellEnd"/>
      <w:r w:rsidRPr="00865034">
        <w:rPr>
          <w:rFonts w:cs="Times New Roman"/>
          <w:i/>
          <w:szCs w:val="24"/>
        </w:rPr>
        <w:t xml:space="preserve"> </w:t>
      </w:r>
      <w:proofErr w:type="spellStart"/>
      <w:r w:rsidRPr="00865034">
        <w:rPr>
          <w:rFonts w:cs="Times New Roman"/>
          <w:i/>
          <w:szCs w:val="24"/>
        </w:rPr>
        <w:t>Çakır</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Merve</w:t>
      </w:r>
      <w:proofErr w:type="spellEnd"/>
      <w:r w:rsidRPr="00865034">
        <w:rPr>
          <w:rFonts w:cs="Times New Roman"/>
          <w:i/>
          <w:szCs w:val="24"/>
        </w:rPr>
        <w:t xml:space="preserve"> </w:t>
      </w:r>
      <w:proofErr w:type="spellStart"/>
      <w:r w:rsidRPr="00865034">
        <w:rPr>
          <w:rFonts w:cs="Times New Roman"/>
          <w:i/>
          <w:szCs w:val="24"/>
        </w:rPr>
        <w:t>Nisa</w:t>
      </w:r>
      <w:proofErr w:type="spellEnd"/>
      <w:r w:rsidRPr="00865034">
        <w:rPr>
          <w:rFonts w:cs="Times New Roman"/>
          <w:i/>
          <w:szCs w:val="24"/>
        </w:rPr>
        <w:t xml:space="preserve"> </w:t>
      </w:r>
      <w:proofErr w:type="spellStart"/>
      <w:r w:rsidRPr="00865034">
        <w:rPr>
          <w:rFonts w:cs="Times New Roman"/>
          <w:i/>
          <w:szCs w:val="24"/>
        </w:rPr>
        <w:t>Çakır</w:t>
      </w:r>
      <w:proofErr w:type="spellEnd"/>
      <w:r w:rsidRPr="00865034">
        <w:rPr>
          <w:rFonts w:cs="Times New Roman"/>
          <w:i/>
          <w:szCs w:val="24"/>
        </w:rPr>
        <w:t xml:space="preserve"> v. </w:t>
      </w:r>
      <w:proofErr w:type="spellStart"/>
      <w:r w:rsidRPr="00865034">
        <w:rPr>
          <w:rFonts w:cs="Times New Roman"/>
          <w:i/>
          <w:szCs w:val="24"/>
        </w:rPr>
        <w:t>Turkey</w:t>
      </w:r>
      <w:proofErr w:type="spellEnd"/>
      <w:r w:rsidRPr="00865034">
        <w:rPr>
          <w:rFonts w:cs="Times New Roman"/>
          <w:i/>
          <w:szCs w:val="24"/>
        </w:rPr>
        <w:t>”, iesnieguma Nr. </w:t>
      </w:r>
      <w:hyperlink r:id="rId29" w:history="1">
        <w:r w:rsidRPr="00865034">
          <w:rPr>
            <w:rStyle w:val="Hyperlink"/>
            <w:rFonts w:cs="Times New Roman"/>
            <w:i/>
            <w:szCs w:val="24"/>
          </w:rPr>
          <w:t>54558/11</w:t>
        </w:r>
      </w:hyperlink>
      <w:r w:rsidRPr="00865034">
        <w:rPr>
          <w:rFonts w:cs="Times New Roman"/>
          <w:i/>
          <w:szCs w:val="24"/>
        </w:rPr>
        <w:t>, 41. punktu</w:t>
      </w:r>
      <w:r w:rsidRPr="00865034">
        <w:rPr>
          <w:rFonts w:cs="Times New Roman"/>
          <w:szCs w:val="24"/>
        </w:rPr>
        <w:t>).</w:t>
      </w:r>
    </w:p>
    <w:p w14:paraId="1C1082E3" w14:textId="1C9E39CB" w:rsidR="00DD3D65" w:rsidRPr="00865034" w:rsidRDefault="00DD3D65" w:rsidP="00DD3D65">
      <w:pPr>
        <w:jc w:val="both"/>
        <w:rPr>
          <w:rFonts w:cs="Times New Roman"/>
          <w:szCs w:val="24"/>
        </w:rPr>
      </w:pPr>
      <w:r w:rsidRPr="00865034">
        <w:rPr>
          <w:rFonts w:cs="Times New Roman"/>
          <w:szCs w:val="24"/>
        </w:rPr>
        <w:t xml:space="preserve">139. Noteiktos apstākļos Tiesa ir atzinusi, ka šis </w:t>
      </w:r>
      <w:r w:rsidRPr="00DD3D65">
        <w:rPr>
          <w:rFonts w:cs="Times New Roman"/>
          <w:szCs w:val="24"/>
        </w:rPr>
        <w:t>procesuālais pienākums, kas izriet no 2. panta, ir piemērojams arī nelaimes gadījumiem, kuros persona, kuras tiesības uz dzīvību ir aizskartas, nav gājusi bojā. Šajos gadījumos Tiesa uzskatījusi par būtisku, ka cietušais ir guvis dzīvībai bīstamus miesas bojājumus</w:t>
      </w:r>
      <w:r w:rsidRPr="00865034">
        <w:rPr>
          <w:rFonts w:cs="Times New Roman"/>
          <w:szCs w:val="24"/>
        </w:rPr>
        <w:t xml:space="preserve"> </w:t>
      </w:r>
      <w:proofErr w:type="gramStart"/>
      <w:r w:rsidRPr="00865034">
        <w:rPr>
          <w:rFonts w:cs="Times New Roman"/>
          <w:szCs w:val="24"/>
        </w:rPr>
        <w:t>(</w:t>
      </w:r>
      <w:proofErr w:type="gramEnd"/>
      <w:r w:rsidRPr="00865034">
        <w:rPr>
          <w:rFonts w:cs="Times New Roman"/>
          <w:i/>
          <w:szCs w:val="24"/>
        </w:rPr>
        <w:t xml:space="preserve">sk. 2012. gada 12. janvāra spriedumu lietā “Igor </w:t>
      </w:r>
      <w:proofErr w:type="spellStart"/>
      <w:r w:rsidRPr="00865034">
        <w:rPr>
          <w:rFonts w:cs="Times New Roman"/>
          <w:i/>
          <w:szCs w:val="24"/>
        </w:rPr>
        <w:t>Shevchenko</w:t>
      </w:r>
      <w:proofErr w:type="spellEnd"/>
      <w:r w:rsidRPr="00865034">
        <w:rPr>
          <w:rFonts w:cs="Times New Roman"/>
          <w:i/>
          <w:szCs w:val="24"/>
        </w:rPr>
        <w:t xml:space="preserve"> v. </w:t>
      </w:r>
      <w:proofErr w:type="spellStart"/>
      <w:r w:rsidRPr="00865034">
        <w:rPr>
          <w:rFonts w:cs="Times New Roman"/>
          <w:i/>
          <w:szCs w:val="24"/>
        </w:rPr>
        <w:t>Ukraine</w:t>
      </w:r>
      <w:proofErr w:type="spellEnd"/>
      <w:r w:rsidRPr="00865034">
        <w:rPr>
          <w:rFonts w:cs="Times New Roman"/>
          <w:i/>
          <w:szCs w:val="24"/>
        </w:rPr>
        <w:t>”, iesnieguma Nr. </w:t>
      </w:r>
      <w:hyperlink r:id="rId30" w:history="1">
        <w:r w:rsidRPr="00865034">
          <w:rPr>
            <w:rStyle w:val="Hyperlink"/>
            <w:rFonts w:cs="Times New Roman"/>
            <w:i/>
            <w:szCs w:val="24"/>
          </w:rPr>
          <w:t>22737/04</w:t>
        </w:r>
      </w:hyperlink>
      <w:r w:rsidR="00036AA1">
        <w:rPr>
          <w:rStyle w:val="Hyperlink"/>
          <w:rFonts w:cs="Times New Roman"/>
          <w:i/>
          <w:szCs w:val="24"/>
        </w:rPr>
        <w:t>,</w:t>
      </w:r>
      <w:r w:rsidRPr="00865034">
        <w:rPr>
          <w:rFonts w:cs="Times New Roman"/>
          <w:i/>
          <w:szCs w:val="24"/>
        </w:rPr>
        <w:t xml:space="preserve"> un 2016. gada 12. jūlija spriedumu lietā “</w:t>
      </w:r>
      <w:proofErr w:type="spellStart"/>
      <w:r w:rsidRPr="00865034">
        <w:rPr>
          <w:rFonts w:cs="Times New Roman"/>
          <w:i/>
          <w:szCs w:val="24"/>
        </w:rPr>
        <w:t>Kotelnikov</w:t>
      </w:r>
      <w:proofErr w:type="spellEnd"/>
      <w:r w:rsidRPr="00865034">
        <w:rPr>
          <w:rFonts w:cs="Times New Roman"/>
          <w:i/>
          <w:szCs w:val="24"/>
        </w:rPr>
        <w:t xml:space="preserve"> v. </w:t>
      </w:r>
      <w:proofErr w:type="spellStart"/>
      <w:r w:rsidRPr="00865034">
        <w:rPr>
          <w:rFonts w:cs="Times New Roman"/>
          <w:i/>
          <w:szCs w:val="24"/>
        </w:rPr>
        <w:t>Russia</w:t>
      </w:r>
      <w:proofErr w:type="spellEnd"/>
      <w:r w:rsidRPr="00865034">
        <w:rPr>
          <w:rFonts w:cs="Times New Roman"/>
          <w:i/>
          <w:szCs w:val="24"/>
        </w:rPr>
        <w:t>”, iesnieguma Nr. </w:t>
      </w:r>
      <w:hyperlink r:id="rId31" w:history="1">
        <w:r w:rsidRPr="00865034">
          <w:rPr>
            <w:rStyle w:val="Hyperlink"/>
            <w:rFonts w:cs="Times New Roman"/>
            <w:i/>
            <w:szCs w:val="24"/>
          </w:rPr>
          <w:t>45104/05</w:t>
        </w:r>
      </w:hyperlink>
      <w:r w:rsidRPr="00865034">
        <w:rPr>
          <w:rFonts w:cs="Times New Roman"/>
          <w:i/>
          <w:szCs w:val="24"/>
        </w:rPr>
        <w:t>, abus saistībā ar ceļu satiksmes negadījumiem</w:t>
      </w:r>
      <w:r w:rsidRPr="00865034">
        <w:rPr>
          <w:rFonts w:cs="Times New Roman"/>
          <w:szCs w:val="24"/>
        </w:rPr>
        <w:t>).</w:t>
      </w:r>
    </w:p>
    <w:p w14:paraId="407A099E" w14:textId="3A4F338F" w:rsidR="00DD3D65" w:rsidRPr="00865034" w:rsidRDefault="00DD3D65" w:rsidP="00DD3D65">
      <w:pPr>
        <w:jc w:val="both"/>
        <w:rPr>
          <w:rFonts w:cs="Times New Roman"/>
          <w:szCs w:val="24"/>
        </w:rPr>
      </w:pPr>
      <w:r w:rsidRPr="00865034">
        <w:rPr>
          <w:rFonts w:cs="Times New Roman"/>
          <w:szCs w:val="24"/>
        </w:rPr>
        <w:t xml:space="preserve">140. Turklāt no Tiesas judikatūras izriet, ka, </w:t>
      </w:r>
      <w:r w:rsidRPr="00DD3D65">
        <w:rPr>
          <w:rFonts w:cs="Times New Roman"/>
          <w:szCs w:val="24"/>
        </w:rPr>
        <w:t>ja cietusī persona nav nogalināta, bet ir izdzīvojusi un ja tā nav norādījusi uz [vainīgās personas] nodomu nogalināt, tad saskaņā ar 2. pantu izskatāmās sūdzības kritēriji ir, pirmkārt, vai persona ir cietusi no publiskas vai privātas rīcības, kas pēc sava rakstura ir pakļāvusi cietušo patiesam un tūlītējam apdraudējumam, un, otrkārt, vai šī persona ir guvusi miesas bojājumus, kas to rašanās brīdī ir bīstami dzīvībai.</w:t>
      </w:r>
      <w:r w:rsidRPr="00865034">
        <w:rPr>
          <w:rFonts w:cs="Times New Roman"/>
          <w:szCs w:val="24"/>
        </w:rPr>
        <w:t xml:space="preserve"> Var būt nozīmīgi ar</w:t>
      </w:r>
      <w:r w:rsidR="00D622BC">
        <w:rPr>
          <w:rFonts w:cs="Times New Roman"/>
          <w:szCs w:val="24"/>
        </w:rPr>
        <w:t>ī</w:t>
      </w:r>
      <w:r w:rsidRPr="00865034">
        <w:rPr>
          <w:rFonts w:cs="Times New Roman"/>
          <w:szCs w:val="24"/>
        </w:rPr>
        <w:t xml:space="preserve"> citi apstākļi, kā, piemēram, vai izvairīšanās no bojāejas bijusi pilnīgi nejauša (</w:t>
      </w:r>
      <w:r w:rsidRPr="00865034">
        <w:rPr>
          <w:rFonts w:cs="Times New Roman"/>
          <w:i/>
          <w:szCs w:val="24"/>
        </w:rPr>
        <w:t>sal. un pretstatā iepriekš citētā “</w:t>
      </w:r>
      <w:proofErr w:type="spellStart"/>
      <w:r w:rsidRPr="00865034">
        <w:rPr>
          <w:rFonts w:cs="Times New Roman"/>
          <w:i/>
          <w:szCs w:val="24"/>
        </w:rPr>
        <w:t>Makaratzis</w:t>
      </w:r>
      <w:proofErr w:type="spellEnd"/>
      <w:r w:rsidRPr="00865034">
        <w:rPr>
          <w:rFonts w:cs="Times New Roman"/>
          <w:i/>
          <w:szCs w:val="24"/>
        </w:rPr>
        <w:t>” 54.–55. punkts saistībā ar policijas apšaudi izsekošanas laikā, ja tai nav fatāls iznākums, un 2010. gada 9. novembra sprieduma lietā “</w:t>
      </w:r>
      <w:proofErr w:type="spellStart"/>
      <w:r w:rsidRPr="00865034">
        <w:rPr>
          <w:rFonts w:cs="Times New Roman"/>
          <w:i/>
          <w:szCs w:val="24"/>
        </w:rPr>
        <w:t>Krivova</w:t>
      </w:r>
      <w:proofErr w:type="spellEnd"/>
      <w:r w:rsidRPr="00865034">
        <w:rPr>
          <w:rFonts w:cs="Times New Roman"/>
          <w:i/>
          <w:szCs w:val="24"/>
        </w:rPr>
        <w:t xml:space="preserve"> v. </w:t>
      </w:r>
      <w:proofErr w:type="spellStart"/>
      <w:r w:rsidRPr="00865034">
        <w:rPr>
          <w:rFonts w:cs="Times New Roman"/>
          <w:i/>
          <w:szCs w:val="24"/>
        </w:rPr>
        <w:t>Ukraine</w:t>
      </w:r>
      <w:proofErr w:type="spellEnd"/>
      <w:r w:rsidRPr="00865034">
        <w:rPr>
          <w:rFonts w:cs="Times New Roman"/>
          <w:i/>
          <w:szCs w:val="24"/>
        </w:rPr>
        <w:t>”, iesnieguma Nr. </w:t>
      </w:r>
      <w:hyperlink r:id="rId32" w:history="1">
        <w:r w:rsidRPr="00865034">
          <w:rPr>
            <w:rStyle w:val="Hyperlink"/>
            <w:rFonts w:cs="Times New Roman"/>
            <w:i/>
            <w:szCs w:val="24"/>
          </w:rPr>
          <w:t>25732/05</w:t>
        </w:r>
      </w:hyperlink>
      <w:r w:rsidRPr="00865034">
        <w:rPr>
          <w:rFonts w:cs="Times New Roman"/>
          <w:i/>
          <w:szCs w:val="24"/>
        </w:rPr>
        <w:t>, 45. punktu</w:t>
      </w:r>
      <w:r w:rsidRPr="00865034">
        <w:rPr>
          <w:rFonts w:cs="Times New Roman"/>
          <w:szCs w:val="24"/>
        </w:rPr>
        <w:t>) un vai cietušais ticis inficēts ar potenciāli nāvējošu slimību (</w:t>
      </w:r>
      <w:r w:rsidRPr="00865034">
        <w:rPr>
          <w:rFonts w:cs="Times New Roman"/>
          <w:i/>
          <w:szCs w:val="24"/>
        </w:rPr>
        <w:t xml:space="preserve">sk. 2009. gada 1. decembra spriedumu lietā “G.N. </w:t>
      </w:r>
      <w:proofErr w:type="spellStart"/>
      <w:r w:rsidRPr="00865034">
        <w:rPr>
          <w:rFonts w:cs="Times New Roman"/>
          <w:i/>
          <w:szCs w:val="24"/>
        </w:rPr>
        <w:t>et</w:t>
      </w:r>
      <w:proofErr w:type="spellEnd"/>
      <w:r w:rsidRPr="00865034">
        <w:rPr>
          <w:rFonts w:cs="Times New Roman"/>
          <w:i/>
          <w:szCs w:val="24"/>
        </w:rPr>
        <w:t xml:space="preserve"> </w:t>
      </w:r>
      <w:proofErr w:type="spellStart"/>
      <w:r w:rsidRPr="00865034">
        <w:rPr>
          <w:rFonts w:cs="Times New Roman"/>
          <w:i/>
          <w:szCs w:val="24"/>
        </w:rPr>
        <w:t>autres</w:t>
      </w:r>
      <w:proofErr w:type="spellEnd"/>
      <w:r w:rsidRPr="00865034">
        <w:rPr>
          <w:rFonts w:cs="Times New Roman"/>
          <w:i/>
          <w:szCs w:val="24"/>
        </w:rPr>
        <w:t xml:space="preserve"> c. </w:t>
      </w:r>
      <w:proofErr w:type="spellStart"/>
      <w:r w:rsidRPr="00865034">
        <w:rPr>
          <w:rFonts w:cs="Times New Roman"/>
          <w:i/>
          <w:szCs w:val="24"/>
        </w:rPr>
        <w:t>Italie</w:t>
      </w:r>
      <w:proofErr w:type="spellEnd"/>
      <w:r w:rsidRPr="00865034">
        <w:rPr>
          <w:rFonts w:cs="Times New Roman"/>
          <w:i/>
          <w:szCs w:val="24"/>
        </w:rPr>
        <w:t>”, iesnieguma Nr. </w:t>
      </w:r>
      <w:hyperlink r:id="rId33" w:history="1">
        <w:r w:rsidRPr="00865034">
          <w:rPr>
            <w:rStyle w:val="Hyperlink"/>
            <w:rFonts w:cs="Times New Roman"/>
            <w:i/>
            <w:szCs w:val="24"/>
          </w:rPr>
          <w:t>43134/05</w:t>
        </w:r>
      </w:hyperlink>
      <w:r w:rsidRPr="00865034">
        <w:rPr>
          <w:rFonts w:cs="Times New Roman"/>
          <w:i/>
          <w:szCs w:val="24"/>
        </w:rPr>
        <w:t>, saistībā ar inficēšanu ar C hepatītu asins pārliešanas laikā</w:t>
      </w:r>
      <w:r w:rsidRPr="00865034">
        <w:rPr>
          <w:rFonts w:cs="Times New Roman"/>
          <w:szCs w:val="24"/>
        </w:rPr>
        <w:t>). Tiesas vērtējums ir atkarīgs no [lietas] apstākļiem. Lai gan nepastāv vispārīgs noteikums, šķiet, ka, ja attiecīgā rīcība pēc tās rakstura ir bīstama un pakļauj personas dzīvību patiesam un tūlītējam apdraudējumam, kā, piemēram, dzīvībai bīstama vardarbība, gūto miesas bojājumu līmenis var nebūt noteicošais</w:t>
      </w:r>
      <w:r w:rsidR="00D622BC">
        <w:rPr>
          <w:rFonts w:cs="Times New Roman"/>
          <w:szCs w:val="24"/>
        </w:rPr>
        <w:t>,</w:t>
      </w:r>
      <w:r w:rsidRPr="00865034">
        <w:rPr>
          <w:rFonts w:cs="Times New Roman"/>
          <w:szCs w:val="24"/>
        </w:rPr>
        <w:t xml:space="preserve"> un pat arī tad, ja miesas bojājumi vispār nav gūti, sūdzība joprojām var tikt izskatīta saskaņā ar 2. pantu (</w:t>
      </w:r>
      <w:r w:rsidRPr="00865034">
        <w:rPr>
          <w:rFonts w:cs="Times New Roman"/>
          <w:i/>
          <w:szCs w:val="24"/>
        </w:rPr>
        <w:t xml:space="preserve">sk. 2012. gada 4. decembra sprieduma lietā “R.R.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Others</w:t>
      </w:r>
      <w:proofErr w:type="spellEnd"/>
      <w:r w:rsidRPr="00865034">
        <w:rPr>
          <w:rFonts w:cs="Times New Roman"/>
          <w:i/>
          <w:szCs w:val="24"/>
        </w:rPr>
        <w:t xml:space="preserve"> v. </w:t>
      </w:r>
      <w:proofErr w:type="spellStart"/>
      <w:r w:rsidRPr="00865034">
        <w:rPr>
          <w:rFonts w:cs="Times New Roman"/>
          <w:i/>
          <w:szCs w:val="24"/>
        </w:rPr>
        <w:t>Hungary</w:t>
      </w:r>
      <w:proofErr w:type="spellEnd"/>
      <w:r w:rsidRPr="00865034">
        <w:rPr>
          <w:rFonts w:cs="Times New Roman"/>
          <w:i/>
          <w:szCs w:val="24"/>
        </w:rPr>
        <w:t>”, iesnieguma Nr. </w:t>
      </w:r>
      <w:hyperlink r:id="rId34" w:history="1">
        <w:r w:rsidRPr="00865034">
          <w:rPr>
            <w:rStyle w:val="Hyperlink"/>
            <w:rFonts w:cs="Times New Roman"/>
            <w:i/>
            <w:szCs w:val="24"/>
          </w:rPr>
          <w:t>19400/11</w:t>
        </w:r>
      </w:hyperlink>
      <w:r w:rsidRPr="00865034">
        <w:rPr>
          <w:rFonts w:cs="Times New Roman"/>
          <w:i/>
          <w:szCs w:val="24"/>
        </w:rPr>
        <w:t>, 32. punktu, kur izslēgšana no liecinieku aizsardzības programmas ir saistīta ar dzīvību apdraudošu atriebību no mafijas puses, un iepriekš citētā “</w:t>
      </w:r>
      <w:proofErr w:type="spellStart"/>
      <w:r w:rsidRPr="00865034">
        <w:rPr>
          <w:rFonts w:cs="Times New Roman"/>
          <w:i/>
          <w:szCs w:val="24"/>
        </w:rPr>
        <w:t>Kolyadenko</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Others</w:t>
      </w:r>
      <w:proofErr w:type="spellEnd"/>
      <w:r w:rsidRPr="00865034">
        <w:rPr>
          <w:rFonts w:cs="Times New Roman"/>
          <w:i/>
          <w:szCs w:val="24"/>
        </w:rPr>
        <w:t>” 155. punktu saistībā ar dabas katastrofām</w:t>
      </w:r>
      <w:r w:rsidRPr="00865034">
        <w:rPr>
          <w:rFonts w:cs="Times New Roman"/>
          <w:szCs w:val="24"/>
        </w:rPr>
        <w:t>).</w:t>
      </w:r>
    </w:p>
    <w:p w14:paraId="24CFD35C" w14:textId="2D7A20C5" w:rsidR="00DD3D65" w:rsidRPr="00865034" w:rsidRDefault="00DD3D65" w:rsidP="00DD3D65">
      <w:pPr>
        <w:jc w:val="both"/>
        <w:rPr>
          <w:rFonts w:cs="Times New Roman"/>
          <w:szCs w:val="24"/>
        </w:rPr>
      </w:pPr>
      <w:r w:rsidRPr="00865034">
        <w:rPr>
          <w:rFonts w:cs="Times New Roman"/>
          <w:szCs w:val="24"/>
        </w:rPr>
        <w:t xml:space="preserve">141. Tiesa ir atzinusi, ka </w:t>
      </w:r>
      <w:r w:rsidRPr="00DD3D65">
        <w:rPr>
          <w:rFonts w:cs="Times New Roman"/>
          <w:szCs w:val="24"/>
        </w:rPr>
        <w:t>šis pozitīvais procesuālais pienākums, kas izriet no 2. panta, ir attiecināms uz virkni dažādu situāciju</w:t>
      </w:r>
      <w:r w:rsidR="00D622BC">
        <w:rPr>
          <w:rFonts w:cs="Times New Roman"/>
          <w:szCs w:val="24"/>
        </w:rPr>
        <w:t>,</w:t>
      </w:r>
      <w:r w:rsidRPr="00DD3D65">
        <w:rPr>
          <w:rFonts w:cs="Times New Roman"/>
          <w:szCs w:val="24"/>
        </w:rPr>
        <w:t xml:space="preserve"> kā, piemēram, </w:t>
      </w:r>
      <w:r w:rsidRPr="00FB35F6">
        <w:rPr>
          <w:rFonts w:cs="Times New Roman"/>
          <w:szCs w:val="24"/>
        </w:rPr>
        <w:t>publiskās vai privātās veselības</w:t>
      </w:r>
      <w:r w:rsidRPr="00DD3D65">
        <w:rPr>
          <w:rFonts w:cs="Times New Roman"/>
          <w:szCs w:val="24"/>
        </w:rPr>
        <w:t xml:space="preserve"> aprūpes jomā saistībā ar veselības aprūpes profesionāļu darbībām vai bezdarbību</w:t>
      </w:r>
      <w:r w:rsidRPr="00865034">
        <w:rPr>
          <w:rFonts w:cs="Times New Roman"/>
          <w:szCs w:val="24"/>
        </w:rPr>
        <w:t xml:space="preserve"> </w:t>
      </w:r>
      <w:proofErr w:type="gramStart"/>
      <w:r w:rsidRPr="00865034">
        <w:rPr>
          <w:rFonts w:cs="Times New Roman"/>
          <w:szCs w:val="24"/>
        </w:rPr>
        <w:t>(</w:t>
      </w:r>
      <w:proofErr w:type="gramEnd"/>
      <w:r w:rsidRPr="00D622BC">
        <w:rPr>
          <w:rFonts w:cs="Times New Roman"/>
          <w:i/>
          <w:iCs/>
          <w:szCs w:val="24"/>
        </w:rPr>
        <w:t>sk. iepriekš citētos “</w:t>
      </w:r>
      <w:proofErr w:type="spellStart"/>
      <w:r w:rsidRPr="00D622BC">
        <w:rPr>
          <w:rFonts w:cs="Times New Roman"/>
          <w:i/>
          <w:iCs/>
          <w:szCs w:val="24"/>
        </w:rPr>
        <w:t>Calvelli</w:t>
      </w:r>
      <w:proofErr w:type="spellEnd"/>
      <w:r w:rsidRPr="00D622BC">
        <w:rPr>
          <w:rFonts w:cs="Times New Roman"/>
          <w:i/>
          <w:iCs/>
          <w:szCs w:val="24"/>
        </w:rPr>
        <w:t xml:space="preserve"> </w:t>
      </w:r>
      <w:proofErr w:type="spellStart"/>
      <w:r w:rsidRPr="00D622BC">
        <w:rPr>
          <w:rFonts w:cs="Times New Roman"/>
          <w:i/>
          <w:iCs/>
          <w:szCs w:val="24"/>
        </w:rPr>
        <w:t>and</w:t>
      </w:r>
      <w:proofErr w:type="spellEnd"/>
      <w:r w:rsidRPr="00D622BC">
        <w:rPr>
          <w:rFonts w:cs="Times New Roman"/>
          <w:i/>
          <w:iCs/>
          <w:szCs w:val="24"/>
        </w:rPr>
        <w:t xml:space="preserve"> </w:t>
      </w:r>
      <w:proofErr w:type="spellStart"/>
      <w:r w:rsidRPr="00D622BC">
        <w:rPr>
          <w:rFonts w:cs="Times New Roman"/>
          <w:i/>
          <w:iCs/>
          <w:szCs w:val="24"/>
        </w:rPr>
        <w:t>Ciglio</w:t>
      </w:r>
      <w:proofErr w:type="spellEnd"/>
      <w:r w:rsidRPr="00D622BC">
        <w:rPr>
          <w:rFonts w:cs="Times New Roman"/>
          <w:i/>
          <w:iCs/>
          <w:szCs w:val="24"/>
        </w:rPr>
        <w:t>”, “</w:t>
      </w:r>
      <w:proofErr w:type="spellStart"/>
      <w:r w:rsidRPr="00D622BC">
        <w:rPr>
          <w:rFonts w:cs="Times New Roman"/>
          <w:i/>
          <w:iCs/>
          <w:szCs w:val="24"/>
        </w:rPr>
        <w:t>Vo</w:t>
      </w:r>
      <w:proofErr w:type="spellEnd"/>
      <w:r w:rsidRPr="00D622BC">
        <w:rPr>
          <w:rFonts w:cs="Times New Roman"/>
          <w:i/>
          <w:iCs/>
          <w:szCs w:val="24"/>
        </w:rPr>
        <w:t>” un “</w:t>
      </w:r>
      <w:proofErr w:type="spellStart"/>
      <w:r w:rsidRPr="00D622BC">
        <w:rPr>
          <w:rFonts w:cs="Times New Roman"/>
          <w:i/>
          <w:iCs/>
          <w:szCs w:val="24"/>
        </w:rPr>
        <w:t>Lopes</w:t>
      </w:r>
      <w:proofErr w:type="spellEnd"/>
      <w:r w:rsidRPr="00D622BC">
        <w:rPr>
          <w:rFonts w:cs="Times New Roman"/>
          <w:i/>
          <w:iCs/>
          <w:szCs w:val="24"/>
        </w:rPr>
        <w:t xml:space="preserve"> de </w:t>
      </w:r>
      <w:proofErr w:type="spellStart"/>
      <w:r w:rsidRPr="00D622BC">
        <w:rPr>
          <w:rFonts w:cs="Times New Roman"/>
          <w:i/>
          <w:iCs/>
          <w:szCs w:val="24"/>
        </w:rPr>
        <w:t>Sousa</w:t>
      </w:r>
      <w:proofErr w:type="spellEnd"/>
      <w:r w:rsidRPr="00D622BC">
        <w:rPr>
          <w:rFonts w:cs="Times New Roman"/>
          <w:i/>
          <w:iCs/>
          <w:szCs w:val="24"/>
        </w:rPr>
        <w:t xml:space="preserve"> </w:t>
      </w:r>
      <w:proofErr w:type="spellStart"/>
      <w:r w:rsidRPr="00D622BC">
        <w:rPr>
          <w:rFonts w:cs="Times New Roman"/>
          <w:i/>
          <w:iCs/>
          <w:szCs w:val="24"/>
        </w:rPr>
        <w:t>Fernandes</w:t>
      </w:r>
      <w:proofErr w:type="spellEnd"/>
      <w:r w:rsidRPr="00D622BC">
        <w:rPr>
          <w:rFonts w:cs="Times New Roman"/>
          <w:i/>
          <w:iCs/>
          <w:szCs w:val="24"/>
        </w:rPr>
        <w:t>”</w:t>
      </w:r>
      <w:r w:rsidRPr="00865034">
        <w:rPr>
          <w:rFonts w:cs="Times New Roman"/>
          <w:szCs w:val="24"/>
        </w:rPr>
        <w:t>), saistībā ar bīstamu darbību pārvaldību, ja tās izraisa rūpniecisku vai dabas katastrofu (</w:t>
      </w:r>
      <w:r w:rsidRPr="00D622BC">
        <w:rPr>
          <w:rFonts w:cs="Times New Roman"/>
          <w:i/>
          <w:iCs/>
          <w:szCs w:val="24"/>
        </w:rPr>
        <w:t>sk. iepriekš citētos “</w:t>
      </w:r>
      <w:proofErr w:type="spellStart"/>
      <w:r w:rsidRPr="00D622BC">
        <w:rPr>
          <w:rFonts w:cs="Times New Roman"/>
          <w:i/>
          <w:iCs/>
          <w:szCs w:val="24"/>
        </w:rPr>
        <w:t>Öneryıldız</w:t>
      </w:r>
      <w:proofErr w:type="spellEnd"/>
      <w:r w:rsidRPr="00D622BC">
        <w:rPr>
          <w:rFonts w:cs="Times New Roman"/>
          <w:i/>
          <w:iCs/>
          <w:szCs w:val="24"/>
        </w:rPr>
        <w:t>” un “</w:t>
      </w:r>
      <w:proofErr w:type="spellStart"/>
      <w:r w:rsidRPr="00D622BC">
        <w:rPr>
          <w:rFonts w:cs="Times New Roman"/>
          <w:i/>
          <w:iCs/>
          <w:szCs w:val="24"/>
        </w:rPr>
        <w:t>Budayeva</w:t>
      </w:r>
      <w:proofErr w:type="spellEnd"/>
      <w:r w:rsidRPr="00D622BC">
        <w:rPr>
          <w:rFonts w:cs="Times New Roman"/>
          <w:i/>
          <w:iCs/>
          <w:szCs w:val="24"/>
        </w:rPr>
        <w:t xml:space="preserve"> </w:t>
      </w:r>
      <w:proofErr w:type="spellStart"/>
      <w:r w:rsidRPr="00D622BC">
        <w:rPr>
          <w:rFonts w:cs="Times New Roman"/>
          <w:i/>
          <w:iCs/>
          <w:szCs w:val="24"/>
        </w:rPr>
        <w:t>and</w:t>
      </w:r>
      <w:proofErr w:type="spellEnd"/>
      <w:r w:rsidRPr="00D622BC">
        <w:rPr>
          <w:rFonts w:cs="Times New Roman"/>
          <w:i/>
          <w:iCs/>
          <w:szCs w:val="24"/>
        </w:rPr>
        <w:t xml:space="preserve"> </w:t>
      </w:r>
      <w:proofErr w:type="spellStart"/>
      <w:r w:rsidRPr="00D622BC">
        <w:rPr>
          <w:rFonts w:cs="Times New Roman"/>
          <w:i/>
          <w:iCs/>
          <w:szCs w:val="24"/>
        </w:rPr>
        <w:t>Others</w:t>
      </w:r>
      <w:proofErr w:type="spellEnd"/>
      <w:r w:rsidRPr="00D622BC">
        <w:rPr>
          <w:rFonts w:cs="Times New Roman"/>
          <w:i/>
          <w:iCs/>
          <w:szCs w:val="24"/>
        </w:rPr>
        <w:t>”</w:t>
      </w:r>
      <w:r w:rsidRPr="00865034">
        <w:rPr>
          <w:rFonts w:cs="Times New Roman"/>
          <w:szCs w:val="24"/>
        </w:rPr>
        <w:t>), kā arī saistībā ar drošu apstākļu radīšanu un kuģa (</w:t>
      </w:r>
      <w:r w:rsidRPr="00865034">
        <w:rPr>
          <w:rFonts w:cs="Times New Roman"/>
          <w:i/>
          <w:szCs w:val="24"/>
        </w:rPr>
        <w:t>sk. 2001. gada 16. janvāra lēmumu lietā “</w:t>
      </w:r>
      <w:proofErr w:type="spellStart"/>
      <w:r w:rsidRPr="00865034">
        <w:rPr>
          <w:rFonts w:cs="Times New Roman"/>
          <w:i/>
          <w:szCs w:val="24"/>
        </w:rPr>
        <w:t>Leray</w:t>
      </w:r>
      <w:proofErr w:type="spellEnd"/>
      <w:r w:rsidRPr="00865034">
        <w:rPr>
          <w:rFonts w:cs="Times New Roman"/>
          <w:i/>
          <w:szCs w:val="24"/>
        </w:rPr>
        <w:t xml:space="preserve"> </w:t>
      </w:r>
      <w:proofErr w:type="spellStart"/>
      <w:r w:rsidRPr="00865034">
        <w:rPr>
          <w:rFonts w:cs="Times New Roman"/>
          <w:i/>
          <w:szCs w:val="24"/>
        </w:rPr>
        <w:t>et</w:t>
      </w:r>
      <w:proofErr w:type="spellEnd"/>
      <w:r w:rsidRPr="00865034">
        <w:rPr>
          <w:rFonts w:cs="Times New Roman"/>
          <w:i/>
          <w:szCs w:val="24"/>
        </w:rPr>
        <w:t xml:space="preserve"> </w:t>
      </w:r>
      <w:proofErr w:type="spellStart"/>
      <w:r w:rsidRPr="00865034">
        <w:rPr>
          <w:rFonts w:cs="Times New Roman"/>
          <w:i/>
          <w:szCs w:val="24"/>
        </w:rPr>
        <w:t>autres</w:t>
      </w:r>
      <w:proofErr w:type="spellEnd"/>
      <w:r w:rsidRPr="00865034">
        <w:rPr>
          <w:rFonts w:cs="Times New Roman"/>
          <w:i/>
          <w:szCs w:val="24"/>
        </w:rPr>
        <w:t xml:space="preserve"> c. </w:t>
      </w:r>
      <w:proofErr w:type="spellStart"/>
      <w:r w:rsidRPr="00865034">
        <w:rPr>
          <w:rFonts w:cs="Times New Roman"/>
          <w:i/>
          <w:szCs w:val="24"/>
        </w:rPr>
        <w:t>France</w:t>
      </w:r>
      <w:proofErr w:type="spellEnd"/>
      <w:r w:rsidRPr="00865034">
        <w:rPr>
          <w:rFonts w:cs="Times New Roman"/>
          <w:i/>
          <w:szCs w:val="24"/>
        </w:rPr>
        <w:t>”, iesnieguma Nr. </w:t>
      </w:r>
      <w:hyperlink r:id="rId35" w:history="1">
        <w:r w:rsidRPr="00865034">
          <w:rPr>
            <w:rStyle w:val="Hyperlink"/>
            <w:rFonts w:cs="Times New Roman"/>
            <w:i/>
            <w:szCs w:val="24"/>
          </w:rPr>
          <w:t>44617/98</w:t>
        </w:r>
      </w:hyperlink>
      <w:r w:rsidRPr="00865034">
        <w:rPr>
          <w:rFonts w:cs="Times New Roman"/>
          <w:szCs w:val="24"/>
        </w:rPr>
        <w:t>), vilcienā (</w:t>
      </w:r>
      <w:r w:rsidRPr="00865034">
        <w:rPr>
          <w:rFonts w:cs="Times New Roman"/>
          <w:i/>
          <w:szCs w:val="24"/>
        </w:rPr>
        <w:t>sk. 2009. gada 15. decembra spriedumu lietā “</w:t>
      </w:r>
      <w:proofErr w:type="spellStart"/>
      <w:r w:rsidRPr="00865034">
        <w:rPr>
          <w:rFonts w:cs="Times New Roman"/>
          <w:i/>
          <w:szCs w:val="24"/>
        </w:rPr>
        <w:t>Kalender</w:t>
      </w:r>
      <w:proofErr w:type="spellEnd"/>
      <w:r w:rsidRPr="00865034">
        <w:rPr>
          <w:rFonts w:cs="Times New Roman"/>
          <w:i/>
          <w:szCs w:val="24"/>
        </w:rPr>
        <w:t xml:space="preserve"> c. </w:t>
      </w:r>
      <w:proofErr w:type="spellStart"/>
      <w:r w:rsidRPr="00865034">
        <w:rPr>
          <w:rFonts w:cs="Times New Roman"/>
          <w:i/>
          <w:szCs w:val="24"/>
        </w:rPr>
        <w:t>Turquie</w:t>
      </w:r>
      <w:proofErr w:type="spellEnd"/>
      <w:r w:rsidRPr="00865034">
        <w:rPr>
          <w:rFonts w:cs="Times New Roman"/>
          <w:i/>
          <w:szCs w:val="24"/>
        </w:rPr>
        <w:t>”, iesnieguma Nr. </w:t>
      </w:r>
      <w:hyperlink r:id="rId36" w:history="1">
        <w:r w:rsidRPr="00865034">
          <w:rPr>
            <w:rStyle w:val="Hyperlink"/>
            <w:rFonts w:cs="Times New Roman"/>
            <w:i/>
            <w:szCs w:val="24"/>
          </w:rPr>
          <w:t>4314/02</w:t>
        </w:r>
      </w:hyperlink>
      <w:r w:rsidRPr="00865034">
        <w:rPr>
          <w:rFonts w:cs="Times New Roman"/>
          <w:szCs w:val="24"/>
        </w:rPr>
        <w:t>), jaunceltnes vietā (</w:t>
      </w:r>
      <w:r w:rsidRPr="00865034">
        <w:rPr>
          <w:rFonts w:cs="Times New Roman"/>
          <w:i/>
          <w:szCs w:val="24"/>
        </w:rPr>
        <w:t>sk. 2006. gada 9. maija spriedumu lietā “</w:t>
      </w:r>
      <w:proofErr w:type="spellStart"/>
      <w:r w:rsidRPr="00865034">
        <w:rPr>
          <w:rFonts w:cs="Times New Roman"/>
          <w:i/>
          <w:szCs w:val="24"/>
        </w:rPr>
        <w:t>Pereira</w:t>
      </w:r>
      <w:proofErr w:type="spellEnd"/>
      <w:r w:rsidRPr="00865034">
        <w:rPr>
          <w:rFonts w:cs="Times New Roman"/>
          <w:i/>
          <w:szCs w:val="24"/>
        </w:rPr>
        <w:t xml:space="preserve"> </w:t>
      </w:r>
      <w:proofErr w:type="spellStart"/>
      <w:r w:rsidRPr="00865034">
        <w:rPr>
          <w:rFonts w:cs="Times New Roman"/>
          <w:i/>
          <w:szCs w:val="24"/>
        </w:rPr>
        <w:t>Henriques</w:t>
      </w:r>
      <w:proofErr w:type="spellEnd"/>
      <w:r w:rsidRPr="00865034">
        <w:rPr>
          <w:rFonts w:cs="Times New Roman"/>
          <w:i/>
          <w:szCs w:val="24"/>
        </w:rPr>
        <w:t xml:space="preserve"> c. </w:t>
      </w:r>
      <w:proofErr w:type="spellStart"/>
      <w:r w:rsidRPr="00865034">
        <w:rPr>
          <w:rFonts w:cs="Times New Roman"/>
          <w:i/>
          <w:szCs w:val="24"/>
        </w:rPr>
        <w:t>Luxembourg</w:t>
      </w:r>
      <w:proofErr w:type="spellEnd"/>
      <w:r w:rsidRPr="00865034">
        <w:rPr>
          <w:rFonts w:cs="Times New Roman"/>
          <w:i/>
          <w:szCs w:val="24"/>
        </w:rPr>
        <w:t>”, iesnieguma Nr. </w:t>
      </w:r>
      <w:hyperlink r:id="rId37" w:history="1">
        <w:r w:rsidRPr="00865034">
          <w:rPr>
            <w:rStyle w:val="Hyperlink"/>
            <w:rFonts w:cs="Times New Roman"/>
            <w:i/>
            <w:szCs w:val="24"/>
          </w:rPr>
          <w:t>60255/00</w:t>
        </w:r>
      </w:hyperlink>
      <w:r w:rsidRPr="00865034">
        <w:rPr>
          <w:rFonts w:cs="Times New Roman"/>
          <w:i/>
          <w:szCs w:val="24"/>
        </w:rPr>
        <w:t>, un 2016. gada 4. oktobra spriedumu lietā “</w:t>
      </w:r>
      <w:proofErr w:type="spellStart"/>
      <w:r w:rsidRPr="00865034">
        <w:rPr>
          <w:rFonts w:cs="Times New Roman"/>
          <w:i/>
          <w:szCs w:val="24"/>
        </w:rPr>
        <w:t>Cevrioğlu</w:t>
      </w:r>
      <w:proofErr w:type="spellEnd"/>
      <w:r w:rsidRPr="00865034">
        <w:rPr>
          <w:rFonts w:cs="Times New Roman"/>
          <w:i/>
          <w:szCs w:val="24"/>
        </w:rPr>
        <w:t xml:space="preserve"> v. </w:t>
      </w:r>
      <w:proofErr w:type="spellStart"/>
      <w:r w:rsidRPr="00865034">
        <w:rPr>
          <w:rFonts w:cs="Times New Roman"/>
          <w:i/>
          <w:szCs w:val="24"/>
        </w:rPr>
        <w:t>Turkey</w:t>
      </w:r>
      <w:proofErr w:type="spellEnd"/>
      <w:r w:rsidRPr="00865034">
        <w:rPr>
          <w:rFonts w:cs="Times New Roman"/>
          <w:i/>
          <w:szCs w:val="24"/>
        </w:rPr>
        <w:t>”, iesnieguma Nr. </w:t>
      </w:r>
      <w:hyperlink r:id="rId38" w:history="1">
        <w:r w:rsidRPr="00865034">
          <w:rPr>
            <w:rStyle w:val="Hyperlink"/>
            <w:rFonts w:cs="Times New Roman"/>
            <w:i/>
            <w:szCs w:val="24"/>
          </w:rPr>
          <w:t>69546/12</w:t>
        </w:r>
      </w:hyperlink>
      <w:r w:rsidRPr="00865034">
        <w:rPr>
          <w:rFonts w:cs="Times New Roman"/>
          <w:szCs w:val="24"/>
        </w:rPr>
        <w:t>), profesionālās dziļūdens niršanas laikā (</w:t>
      </w:r>
      <w:r w:rsidRPr="00865034">
        <w:rPr>
          <w:rFonts w:cs="Times New Roman"/>
          <w:i/>
          <w:szCs w:val="24"/>
        </w:rPr>
        <w:t>sk. 2013. gada 5. decembra spriedumu apvienotajās lietās “</w:t>
      </w:r>
      <w:proofErr w:type="spellStart"/>
      <w:r w:rsidRPr="00865034">
        <w:rPr>
          <w:rFonts w:cs="Times New Roman"/>
          <w:i/>
          <w:szCs w:val="24"/>
        </w:rPr>
        <w:t>Vilnes</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Others</w:t>
      </w:r>
      <w:proofErr w:type="spellEnd"/>
      <w:r w:rsidRPr="00865034">
        <w:rPr>
          <w:rFonts w:cs="Times New Roman"/>
          <w:i/>
          <w:szCs w:val="24"/>
        </w:rPr>
        <w:t>”, iesnieguma Nr. </w:t>
      </w:r>
      <w:hyperlink r:id="rId39" w:history="1">
        <w:r w:rsidRPr="00865034">
          <w:rPr>
            <w:rStyle w:val="Hyperlink"/>
            <w:rFonts w:cs="Times New Roman"/>
            <w:i/>
            <w:szCs w:val="24"/>
          </w:rPr>
          <w:t>52806/09</w:t>
        </w:r>
      </w:hyperlink>
      <w:r w:rsidRPr="00865034">
        <w:rPr>
          <w:rFonts w:cs="Times New Roman"/>
          <w:i/>
          <w:szCs w:val="24"/>
        </w:rPr>
        <w:t xml:space="preserve"> un </w:t>
      </w:r>
      <w:hyperlink r:id="rId40" w:history="1">
        <w:r w:rsidRPr="00865034">
          <w:rPr>
            <w:rStyle w:val="Hyperlink"/>
            <w:rFonts w:cs="Times New Roman"/>
            <w:i/>
            <w:szCs w:val="24"/>
          </w:rPr>
          <w:t>22703/10</w:t>
        </w:r>
      </w:hyperlink>
      <w:r w:rsidRPr="00865034">
        <w:rPr>
          <w:rFonts w:cs="Times New Roman"/>
          <w:szCs w:val="24"/>
        </w:rPr>
        <w:t>), spēļu laukumā (</w:t>
      </w:r>
      <w:r w:rsidRPr="00865034">
        <w:rPr>
          <w:rFonts w:cs="Times New Roman"/>
          <w:i/>
          <w:szCs w:val="24"/>
        </w:rPr>
        <w:t>sk. 2013. gada 22. oktobra spriedumu lietā “</w:t>
      </w:r>
      <w:proofErr w:type="spellStart"/>
      <w:r w:rsidRPr="00865034">
        <w:rPr>
          <w:rFonts w:cs="Times New Roman"/>
          <w:i/>
          <w:szCs w:val="24"/>
        </w:rPr>
        <w:t>Koceski</w:t>
      </w:r>
      <w:proofErr w:type="spellEnd"/>
      <w:r w:rsidRPr="00865034">
        <w:rPr>
          <w:rFonts w:cs="Times New Roman"/>
          <w:i/>
          <w:szCs w:val="24"/>
        </w:rPr>
        <w:t xml:space="preserve"> v. </w:t>
      </w:r>
      <w:proofErr w:type="spellStart"/>
      <w:r w:rsidRPr="00865034">
        <w:rPr>
          <w:rFonts w:cs="Times New Roman"/>
          <w:i/>
          <w:szCs w:val="24"/>
        </w:rPr>
        <w:t>the</w:t>
      </w:r>
      <w:proofErr w:type="spellEnd"/>
      <w:r w:rsidRPr="00865034">
        <w:rPr>
          <w:rFonts w:cs="Times New Roman"/>
          <w:i/>
          <w:szCs w:val="24"/>
        </w:rPr>
        <w:t xml:space="preserve"> </w:t>
      </w:r>
      <w:proofErr w:type="spellStart"/>
      <w:r w:rsidRPr="00865034">
        <w:rPr>
          <w:rFonts w:cs="Times New Roman"/>
          <w:i/>
          <w:szCs w:val="24"/>
        </w:rPr>
        <w:t>former</w:t>
      </w:r>
      <w:proofErr w:type="spellEnd"/>
      <w:r w:rsidRPr="00865034">
        <w:rPr>
          <w:rFonts w:cs="Times New Roman"/>
          <w:i/>
          <w:szCs w:val="24"/>
        </w:rPr>
        <w:t xml:space="preserve"> </w:t>
      </w:r>
      <w:proofErr w:type="spellStart"/>
      <w:r w:rsidRPr="00865034">
        <w:rPr>
          <w:rFonts w:cs="Times New Roman"/>
          <w:i/>
          <w:szCs w:val="24"/>
        </w:rPr>
        <w:t>Yugoslav</w:t>
      </w:r>
      <w:proofErr w:type="spellEnd"/>
      <w:r w:rsidRPr="00865034">
        <w:rPr>
          <w:rFonts w:cs="Times New Roman"/>
          <w:i/>
          <w:szCs w:val="24"/>
        </w:rPr>
        <w:t xml:space="preserve"> </w:t>
      </w:r>
      <w:proofErr w:type="spellStart"/>
      <w:r w:rsidRPr="00865034">
        <w:rPr>
          <w:rFonts w:cs="Times New Roman"/>
          <w:i/>
          <w:szCs w:val="24"/>
        </w:rPr>
        <w:t>Republic</w:t>
      </w:r>
      <w:proofErr w:type="spellEnd"/>
      <w:r w:rsidRPr="00865034">
        <w:rPr>
          <w:rFonts w:cs="Times New Roman"/>
          <w:i/>
          <w:szCs w:val="24"/>
        </w:rPr>
        <w:t xml:space="preserve"> </w:t>
      </w:r>
      <w:proofErr w:type="spellStart"/>
      <w:r w:rsidRPr="00865034">
        <w:rPr>
          <w:rFonts w:cs="Times New Roman"/>
          <w:i/>
          <w:szCs w:val="24"/>
        </w:rPr>
        <w:t>of</w:t>
      </w:r>
      <w:proofErr w:type="spellEnd"/>
      <w:r w:rsidRPr="00865034">
        <w:rPr>
          <w:rFonts w:cs="Times New Roman"/>
          <w:i/>
          <w:szCs w:val="24"/>
        </w:rPr>
        <w:t xml:space="preserve"> </w:t>
      </w:r>
      <w:proofErr w:type="spellStart"/>
      <w:r w:rsidRPr="00865034">
        <w:rPr>
          <w:rFonts w:cs="Times New Roman"/>
          <w:i/>
          <w:szCs w:val="24"/>
        </w:rPr>
        <w:t>Macedonia</w:t>
      </w:r>
      <w:proofErr w:type="spellEnd"/>
      <w:r w:rsidRPr="00865034">
        <w:rPr>
          <w:rFonts w:cs="Times New Roman"/>
          <w:i/>
          <w:szCs w:val="24"/>
        </w:rPr>
        <w:t>”, iesnieguma Nr. </w:t>
      </w:r>
      <w:hyperlink r:id="rId41" w:history="1">
        <w:r w:rsidRPr="00865034">
          <w:rPr>
            <w:rStyle w:val="Hyperlink"/>
            <w:rFonts w:cs="Times New Roman"/>
            <w:i/>
            <w:szCs w:val="24"/>
          </w:rPr>
          <w:t>41107/07</w:t>
        </w:r>
      </w:hyperlink>
      <w:r w:rsidRPr="00865034">
        <w:rPr>
          <w:rFonts w:cs="Times New Roman"/>
          <w:szCs w:val="24"/>
        </w:rPr>
        <w:t>) vai skolā (</w:t>
      </w:r>
      <w:r w:rsidRPr="00865034">
        <w:rPr>
          <w:rFonts w:cs="Times New Roman"/>
          <w:i/>
          <w:szCs w:val="24"/>
        </w:rPr>
        <w:t>sk. 2012. gada 10. aprīļa spriedumu lietā “</w:t>
      </w:r>
      <w:proofErr w:type="spellStart"/>
      <w:r w:rsidRPr="00865034">
        <w:rPr>
          <w:rFonts w:cs="Times New Roman"/>
          <w:i/>
          <w:szCs w:val="24"/>
        </w:rPr>
        <w:t>Ilbeyi</w:t>
      </w:r>
      <w:proofErr w:type="spellEnd"/>
      <w:r w:rsidRPr="00865034">
        <w:rPr>
          <w:rFonts w:cs="Times New Roman"/>
          <w:i/>
          <w:szCs w:val="24"/>
        </w:rPr>
        <w:t xml:space="preserve"> </w:t>
      </w:r>
      <w:proofErr w:type="spellStart"/>
      <w:r w:rsidRPr="00865034">
        <w:rPr>
          <w:rFonts w:cs="Times New Roman"/>
          <w:i/>
          <w:szCs w:val="24"/>
        </w:rPr>
        <w:t>Kemaloğlu</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Meriye</w:t>
      </w:r>
      <w:proofErr w:type="spellEnd"/>
      <w:r w:rsidRPr="00865034">
        <w:rPr>
          <w:rFonts w:cs="Times New Roman"/>
          <w:i/>
          <w:szCs w:val="24"/>
        </w:rPr>
        <w:t xml:space="preserve"> </w:t>
      </w:r>
      <w:proofErr w:type="spellStart"/>
      <w:r w:rsidRPr="00865034">
        <w:rPr>
          <w:rFonts w:cs="Times New Roman"/>
          <w:i/>
          <w:szCs w:val="24"/>
        </w:rPr>
        <w:t>Kemaloğlu</w:t>
      </w:r>
      <w:proofErr w:type="spellEnd"/>
      <w:r w:rsidRPr="00865034">
        <w:rPr>
          <w:rFonts w:cs="Times New Roman"/>
          <w:i/>
          <w:szCs w:val="24"/>
        </w:rPr>
        <w:t xml:space="preserve"> v. </w:t>
      </w:r>
      <w:proofErr w:type="spellStart"/>
      <w:r w:rsidRPr="00865034">
        <w:rPr>
          <w:rFonts w:cs="Times New Roman"/>
          <w:i/>
          <w:szCs w:val="24"/>
        </w:rPr>
        <w:t>Turkey</w:t>
      </w:r>
      <w:proofErr w:type="spellEnd"/>
      <w:r w:rsidRPr="00865034">
        <w:rPr>
          <w:rFonts w:cs="Times New Roman"/>
          <w:i/>
          <w:szCs w:val="24"/>
        </w:rPr>
        <w:t>”, iesnieguma Nr. </w:t>
      </w:r>
      <w:hyperlink r:id="rId42" w:history="1">
        <w:r w:rsidRPr="00865034">
          <w:rPr>
            <w:rStyle w:val="Hyperlink"/>
            <w:rFonts w:cs="Times New Roman"/>
            <w:i/>
            <w:szCs w:val="24"/>
          </w:rPr>
          <w:t>19986/06</w:t>
        </w:r>
      </w:hyperlink>
      <w:r w:rsidRPr="00865034">
        <w:rPr>
          <w:rFonts w:cs="Times New Roman"/>
          <w:szCs w:val="24"/>
        </w:rPr>
        <w:t>). Iepriekš minētais uzskaitījums nav izsmeļošs (</w:t>
      </w:r>
      <w:r w:rsidRPr="00865034">
        <w:rPr>
          <w:rFonts w:cs="Times New Roman"/>
          <w:i/>
          <w:szCs w:val="24"/>
        </w:rPr>
        <w:t>sk. 2011. gada 14. jūnija spriedum</w:t>
      </w:r>
      <w:r w:rsidR="00D622BC">
        <w:rPr>
          <w:rFonts w:cs="Times New Roman"/>
          <w:i/>
          <w:szCs w:val="24"/>
        </w:rPr>
        <w:t>a</w:t>
      </w:r>
      <w:r w:rsidRPr="00865034">
        <w:rPr>
          <w:rFonts w:cs="Times New Roman"/>
          <w:i/>
          <w:szCs w:val="24"/>
        </w:rPr>
        <w:t xml:space="preserve"> lietā “</w:t>
      </w:r>
      <w:proofErr w:type="spellStart"/>
      <w:r w:rsidRPr="00865034">
        <w:rPr>
          <w:rFonts w:cs="Times New Roman"/>
          <w:i/>
          <w:szCs w:val="24"/>
        </w:rPr>
        <w:t>Ciechońska</w:t>
      </w:r>
      <w:proofErr w:type="spellEnd"/>
      <w:r w:rsidRPr="00865034">
        <w:rPr>
          <w:rFonts w:cs="Times New Roman"/>
          <w:i/>
          <w:szCs w:val="24"/>
        </w:rPr>
        <w:t xml:space="preserve"> v. </w:t>
      </w:r>
      <w:proofErr w:type="spellStart"/>
      <w:r w:rsidRPr="00865034">
        <w:rPr>
          <w:rFonts w:cs="Times New Roman"/>
          <w:i/>
          <w:szCs w:val="24"/>
        </w:rPr>
        <w:t>Poland</w:t>
      </w:r>
      <w:proofErr w:type="spellEnd"/>
      <w:r w:rsidRPr="00865034">
        <w:rPr>
          <w:rFonts w:cs="Times New Roman"/>
          <w:i/>
          <w:szCs w:val="24"/>
        </w:rPr>
        <w:t>”, iesnieguma Nr. </w:t>
      </w:r>
      <w:hyperlink r:id="rId43" w:history="1">
        <w:r w:rsidRPr="00865034">
          <w:rPr>
            <w:rStyle w:val="Hyperlink"/>
            <w:rFonts w:cs="Times New Roman"/>
            <w:i/>
            <w:szCs w:val="24"/>
          </w:rPr>
          <w:t>19776/04</w:t>
        </w:r>
      </w:hyperlink>
      <w:r w:rsidRPr="00865034">
        <w:rPr>
          <w:rFonts w:cs="Times New Roman"/>
          <w:i/>
          <w:szCs w:val="24"/>
        </w:rPr>
        <w:t xml:space="preserve">, 63. punktu, iepriekš citētā </w:t>
      </w:r>
      <w:r w:rsidR="00FB35F6">
        <w:rPr>
          <w:rFonts w:cs="Times New Roman"/>
          <w:i/>
          <w:szCs w:val="24"/>
        </w:rPr>
        <w:t xml:space="preserve">sprieduma lietā </w:t>
      </w:r>
      <w:r w:rsidRPr="00865034">
        <w:rPr>
          <w:rFonts w:cs="Times New Roman"/>
          <w:i/>
          <w:szCs w:val="24"/>
        </w:rPr>
        <w:t>“</w:t>
      </w:r>
      <w:proofErr w:type="spellStart"/>
      <w:r w:rsidRPr="00865034">
        <w:rPr>
          <w:rFonts w:cs="Times New Roman"/>
          <w:i/>
          <w:szCs w:val="24"/>
        </w:rPr>
        <w:t>Ilbeyi</w:t>
      </w:r>
      <w:proofErr w:type="spellEnd"/>
      <w:r w:rsidRPr="00865034">
        <w:rPr>
          <w:rFonts w:cs="Times New Roman"/>
          <w:i/>
          <w:szCs w:val="24"/>
        </w:rPr>
        <w:t xml:space="preserve"> </w:t>
      </w:r>
      <w:proofErr w:type="spellStart"/>
      <w:r w:rsidRPr="00865034">
        <w:rPr>
          <w:rFonts w:cs="Times New Roman"/>
          <w:i/>
          <w:szCs w:val="24"/>
        </w:rPr>
        <w:t>Kemaloğlu</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Meriye</w:t>
      </w:r>
      <w:proofErr w:type="spellEnd"/>
      <w:r w:rsidRPr="00865034">
        <w:rPr>
          <w:rFonts w:cs="Times New Roman"/>
          <w:i/>
          <w:szCs w:val="24"/>
        </w:rPr>
        <w:t xml:space="preserve"> </w:t>
      </w:r>
      <w:proofErr w:type="spellStart"/>
      <w:r w:rsidRPr="00865034">
        <w:rPr>
          <w:rFonts w:cs="Times New Roman"/>
          <w:i/>
          <w:szCs w:val="24"/>
        </w:rPr>
        <w:t>Kemaloğlu</w:t>
      </w:r>
      <w:proofErr w:type="spellEnd"/>
      <w:r w:rsidRPr="00865034">
        <w:rPr>
          <w:rFonts w:cs="Times New Roman"/>
          <w:i/>
          <w:szCs w:val="24"/>
        </w:rPr>
        <w:t>” 35. punktu, 2013. gada 18. jūnija sprieduma lietā “</w:t>
      </w:r>
      <w:proofErr w:type="spellStart"/>
      <w:r w:rsidRPr="00865034">
        <w:rPr>
          <w:rFonts w:cs="Times New Roman"/>
          <w:i/>
          <w:szCs w:val="24"/>
        </w:rPr>
        <w:t>Banel</w:t>
      </w:r>
      <w:proofErr w:type="spellEnd"/>
      <w:r w:rsidRPr="00865034">
        <w:rPr>
          <w:rFonts w:cs="Times New Roman"/>
          <w:i/>
          <w:szCs w:val="24"/>
        </w:rPr>
        <w:t xml:space="preserve"> v. </w:t>
      </w:r>
      <w:proofErr w:type="spellStart"/>
      <w:r w:rsidRPr="00865034">
        <w:rPr>
          <w:rFonts w:cs="Times New Roman"/>
          <w:i/>
          <w:szCs w:val="24"/>
        </w:rPr>
        <w:t>Lithuania</w:t>
      </w:r>
      <w:proofErr w:type="spellEnd"/>
      <w:r w:rsidR="00D622BC">
        <w:rPr>
          <w:rFonts w:cs="Times New Roman"/>
          <w:i/>
          <w:szCs w:val="24"/>
        </w:rPr>
        <w:t>”</w:t>
      </w:r>
      <w:r w:rsidRPr="00865034">
        <w:rPr>
          <w:rFonts w:cs="Times New Roman"/>
          <w:i/>
          <w:szCs w:val="24"/>
        </w:rPr>
        <w:t xml:space="preserve"> iesnieguma Nr. </w:t>
      </w:r>
      <w:hyperlink r:id="rId44" w:history="1">
        <w:r w:rsidRPr="00865034">
          <w:rPr>
            <w:rStyle w:val="Hyperlink"/>
            <w:rFonts w:cs="Times New Roman"/>
            <w:i/>
            <w:szCs w:val="24"/>
          </w:rPr>
          <w:t>14326/11</w:t>
        </w:r>
      </w:hyperlink>
      <w:r w:rsidRPr="00865034">
        <w:rPr>
          <w:rFonts w:cs="Times New Roman"/>
          <w:i/>
          <w:szCs w:val="24"/>
        </w:rPr>
        <w:t xml:space="preserve">, 65. punktu un 2018. gada 8. marta sprieduma lietā “R.Š. v. </w:t>
      </w:r>
      <w:proofErr w:type="spellStart"/>
      <w:r w:rsidRPr="00865034">
        <w:rPr>
          <w:rFonts w:cs="Times New Roman"/>
          <w:i/>
          <w:szCs w:val="24"/>
        </w:rPr>
        <w:t>Latvia</w:t>
      </w:r>
      <w:proofErr w:type="spellEnd"/>
      <w:r w:rsidRPr="00865034">
        <w:rPr>
          <w:rFonts w:cs="Times New Roman"/>
          <w:i/>
          <w:szCs w:val="24"/>
        </w:rPr>
        <w:t>”, iesnieguma Nr. </w:t>
      </w:r>
      <w:hyperlink r:id="rId45" w:history="1">
        <w:r w:rsidRPr="00865034">
          <w:rPr>
            <w:rStyle w:val="Hyperlink"/>
            <w:rFonts w:cs="Times New Roman"/>
            <w:i/>
            <w:szCs w:val="24"/>
          </w:rPr>
          <w:t>44154/14</w:t>
        </w:r>
      </w:hyperlink>
      <w:r w:rsidRPr="00865034">
        <w:rPr>
          <w:rFonts w:cs="Times New Roman"/>
          <w:i/>
          <w:szCs w:val="24"/>
        </w:rPr>
        <w:t>, 79. punktu</w:t>
      </w:r>
      <w:r w:rsidRPr="00865034">
        <w:rPr>
          <w:rFonts w:cs="Times New Roman"/>
          <w:szCs w:val="24"/>
        </w:rPr>
        <w:t>).</w:t>
      </w:r>
    </w:p>
    <w:p w14:paraId="53EC258C" w14:textId="5BFA71C6" w:rsidR="00DD3D65" w:rsidRPr="00865034" w:rsidRDefault="00DD3D65" w:rsidP="00DD3D65">
      <w:pPr>
        <w:jc w:val="both"/>
        <w:rPr>
          <w:rFonts w:cs="Times New Roman"/>
          <w:szCs w:val="24"/>
        </w:rPr>
      </w:pPr>
      <w:r w:rsidRPr="00865034">
        <w:rPr>
          <w:rFonts w:cs="Times New Roman"/>
          <w:szCs w:val="24"/>
        </w:rPr>
        <w:t>142</w:t>
      </w:r>
      <w:r w:rsidRPr="00DD3D65">
        <w:rPr>
          <w:rFonts w:cs="Times New Roman"/>
          <w:szCs w:val="24"/>
        </w:rPr>
        <w:t>. Ja no darbības rakstura neizriet patiesi un tūlītēji bojāejas draudi, iesniedzēja miesas bojājumu pakāpei ir lielāka nozīme. Šādos gadījumos sūdzību saskaņā ar 2. pantu izskata tikai tad, ja m</w:t>
      </w:r>
      <w:r w:rsidR="00D622BC">
        <w:rPr>
          <w:rFonts w:cs="Times New Roman"/>
          <w:szCs w:val="24"/>
        </w:rPr>
        <w:t>i</w:t>
      </w:r>
      <w:r w:rsidRPr="00DD3D65">
        <w:rPr>
          <w:rFonts w:cs="Times New Roman"/>
          <w:szCs w:val="24"/>
        </w:rPr>
        <w:t>esas bojājumu pakāpe cietušās personas dzīvību pakļāva nopietnām briesmām</w:t>
      </w:r>
      <w:r w:rsidRPr="00865034">
        <w:rPr>
          <w:rFonts w:cs="Times New Roman"/>
          <w:szCs w:val="24"/>
        </w:rPr>
        <w:t xml:space="preserve"> (</w:t>
      </w:r>
      <w:r w:rsidRPr="00865034">
        <w:rPr>
          <w:rFonts w:cs="Times New Roman"/>
          <w:i/>
          <w:szCs w:val="24"/>
        </w:rPr>
        <w:t xml:space="preserve">sk. iepriekš citēto </w:t>
      </w:r>
      <w:r w:rsidR="00D622BC">
        <w:rPr>
          <w:rFonts w:cs="Times New Roman"/>
          <w:i/>
          <w:szCs w:val="24"/>
        </w:rPr>
        <w:t>“</w:t>
      </w:r>
      <w:proofErr w:type="spellStart"/>
      <w:r w:rsidRPr="00865034">
        <w:rPr>
          <w:rFonts w:cs="Times New Roman"/>
          <w:i/>
          <w:szCs w:val="24"/>
        </w:rPr>
        <w:t>Krivova</w:t>
      </w:r>
      <w:proofErr w:type="spellEnd"/>
      <w:r w:rsidRPr="00865034">
        <w:rPr>
          <w:rFonts w:cs="Times New Roman"/>
          <w:i/>
          <w:szCs w:val="24"/>
        </w:rPr>
        <w:t xml:space="preserve">” 45. punktu, “Igor </w:t>
      </w:r>
      <w:proofErr w:type="spellStart"/>
      <w:r w:rsidRPr="00865034">
        <w:rPr>
          <w:rFonts w:cs="Times New Roman"/>
          <w:i/>
          <w:szCs w:val="24"/>
        </w:rPr>
        <w:t>Shevchenko</w:t>
      </w:r>
      <w:proofErr w:type="spellEnd"/>
      <w:r w:rsidRPr="00865034">
        <w:rPr>
          <w:rFonts w:cs="Times New Roman"/>
          <w:i/>
          <w:szCs w:val="24"/>
        </w:rPr>
        <w:t>” 42. punktu, “</w:t>
      </w:r>
      <w:proofErr w:type="spellStart"/>
      <w:r w:rsidRPr="00865034">
        <w:rPr>
          <w:rFonts w:cs="Times New Roman"/>
          <w:i/>
          <w:szCs w:val="24"/>
        </w:rPr>
        <w:t>Cavit</w:t>
      </w:r>
      <w:proofErr w:type="spellEnd"/>
      <w:r w:rsidRPr="00865034">
        <w:rPr>
          <w:rFonts w:cs="Times New Roman"/>
          <w:i/>
          <w:szCs w:val="24"/>
        </w:rPr>
        <w:t xml:space="preserve"> </w:t>
      </w:r>
      <w:proofErr w:type="spellStart"/>
      <w:r w:rsidRPr="00865034">
        <w:rPr>
          <w:rFonts w:cs="Times New Roman"/>
          <w:i/>
          <w:szCs w:val="24"/>
        </w:rPr>
        <w:t>Tınarlıoğlu</w:t>
      </w:r>
      <w:proofErr w:type="spellEnd"/>
      <w:r w:rsidRPr="00865034">
        <w:rPr>
          <w:rFonts w:cs="Times New Roman"/>
          <w:i/>
          <w:szCs w:val="24"/>
        </w:rPr>
        <w:t>” 68. punktu un “</w:t>
      </w:r>
      <w:proofErr w:type="spellStart"/>
      <w:r w:rsidRPr="00865034">
        <w:rPr>
          <w:rFonts w:cs="Times New Roman"/>
          <w:i/>
          <w:szCs w:val="24"/>
        </w:rPr>
        <w:t>Kotelnikov</w:t>
      </w:r>
      <w:proofErr w:type="spellEnd"/>
      <w:r w:rsidRPr="00865034">
        <w:rPr>
          <w:rFonts w:cs="Times New Roman"/>
          <w:i/>
          <w:szCs w:val="24"/>
        </w:rPr>
        <w:t>” 97. punktu</w:t>
      </w:r>
      <w:r w:rsidRPr="00865034">
        <w:rPr>
          <w:rFonts w:cs="Times New Roman"/>
          <w:szCs w:val="24"/>
        </w:rPr>
        <w:t>).</w:t>
      </w:r>
    </w:p>
    <w:p w14:paraId="25693D62" w14:textId="3952B43C" w:rsidR="00DD3D65" w:rsidRPr="00DD3D65" w:rsidRDefault="00DD3D65" w:rsidP="00DD3D65">
      <w:pPr>
        <w:jc w:val="both"/>
        <w:rPr>
          <w:rFonts w:cs="Times New Roman"/>
          <w:szCs w:val="24"/>
        </w:rPr>
      </w:pPr>
      <w:r w:rsidRPr="00865034">
        <w:rPr>
          <w:rFonts w:cs="Times New Roman"/>
          <w:szCs w:val="24"/>
        </w:rPr>
        <w:t>143. Šajā sakarā, nosakot, vai attiecīgie miesas bojājumi pēc to rakstura ir bīstami dzīvībai, Tiesa vairākkārt ir balstījusies uz to nopietnību un sekām (</w:t>
      </w:r>
      <w:r w:rsidRPr="00865034">
        <w:rPr>
          <w:rFonts w:cs="Times New Roman"/>
          <w:i/>
          <w:szCs w:val="24"/>
        </w:rPr>
        <w:t xml:space="preserve">sk. iepriekš citēto </w:t>
      </w:r>
      <w:r w:rsidR="0041719C">
        <w:rPr>
          <w:rFonts w:cs="Times New Roman"/>
          <w:i/>
          <w:szCs w:val="24"/>
        </w:rPr>
        <w:t>“</w:t>
      </w:r>
      <w:proofErr w:type="spellStart"/>
      <w:r w:rsidRPr="00865034">
        <w:rPr>
          <w:rFonts w:cs="Times New Roman"/>
          <w:i/>
          <w:szCs w:val="24"/>
        </w:rPr>
        <w:t>Krivova</w:t>
      </w:r>
      <w:proofErr w:type="spellEnd"/>
      <w:r w:rsidRPr="00865034">
        <w:rPr>
          <w:rFonts w:cs="Times New Roman"/>
          <w:i/>
          <w:szCs w:val="24"/>
        </w:rPr>
        <w:t xml:space="preserve">” 45. punktu, “Igor </w:t>
      </w:r>
      <w:proofErr w:type="spellStart"/>
      <w:r w:rsidRPr="00865034">
        <w:rPr>
          <w:rFonts w:cs="Times New Roman"/>
          <w:i/>
          <w:szCs w:val="24"/>
        </w:rPr>
        <w:t>Shevchenko</w:t>
      </w:r>
      <w:proofErr w:type="spellEnd"/>
      <w:r w:rsidRPr="00865034">
        <w:rPr>
          <w:rFonts w:cs="Times New Roman"/>
          <w:i/>
          <w:szCs w:val="24"/>
        </w:rPr>
        <w:t>” 43. punktu, “</w:t>
      </w:r>
      <w:proofErr w:type="spellStart"/>
      <w:r w:rsidRPr="00865034">
        <w:rPr>
          <w:rFonts w:cs="Times New Roman"/>
          <w:i/>
          <w:szCs w:val="24"/>
        </w:rPr>
        <w:t>Cavit</w:t>
      </w:r>
      <w:proofErr w:type="spellEnd"/>
      <w:r w:rsidRPr="00865034">
        <w:rPr>
          <w:rFonts w:cs="Times New Roman"/>
          <w:i/>
          <w:szCs w:val="24"/>
        </w:rPr>
        <w:t xml:space="preserve"> </w:t>
      </w:r>
      <w:proofErr w:type="spellStart"/>
      <w:r w:rsidRPr="00865034">
        <w:rPr>
          <w:rFonts w:cs="Times New Roman"/>
          <w:i/>
          <w:szCs w:val="24"/>
        </w:rPr>
        <w:t>Tınarlıoğlu</w:t>
      </w:r>
      <w:proofErr w:type="spellEnd"/>
      <w:r w:rsidRPr="00865034">
        <w:rPr>
          <w:rFonts w:cs="Times New Roman"/>
          <w:i/>
          <w:szCs w:val="24"/>
        </w:rPr>
        <w:t>” 68. punktu un “</w:t>
      </w:r>
      <w:proofErr w:type="spellStart"/>
      <w:r w:rsidRPr="00865034">
        <w:rPr>
          <w:rFonts w:cs="Times New Roman"/>
          <w:i/>
          <w:szCs w:val="24"/>
        </w:rPr>
        <w:t>Kotelnikov</w:t>
      </w:r>
      <w:proofErr w:type="spellEnd"/>
      <w:r w:rsidRPr="00865034">
        <w:rPr>
          <w:rFonts w:cs="Times New Roman"/>
          <w:i/>
          <w:szCs w:val="24"/>
        </w:rPr>
        <w:t>” 98. punktu</w:t>
      </w:r>
      <w:r w:rsidRPr="00865034">
        <w:rPr>
          <w:rFonts w:cs="Times New Roman"/>
          <w:szCs w:val="24"/>
        </w:rPr>
        <w:t>). Šādi rīkojoties, tā par pietiekami nopietniem, lai varētu piemērot 2. pantu, ir uzskatījusi tādus m</w:t>
      </w:r>
      <w:r w:rsidR="0041719C">
        <w:rPr>
          <w:rFonts w:cs="Times New Roman"/>
          <w:szCs w:val="24"/>
        </w:rPr>
        <w:t>i</w:t>
      </w:r>
      <w:r w:rsidRPr="00865034">
        <w:rPr>
          <w:rFonts w:cs="Times New Roman"/>
          <w:szCs w:val="24"/>
        </w:rPr>
        <w:t>esas bojājumus kā, piemēram, nopietnus centrālās nervu sistēmas bojājumus, nopietnas galvas un mugurkaula traumas, nopietnas ķermeņa apakšdaļas un augšdaļas traumas, kurām nepieciešama neatliekama un/vai ilgstoša ārstēšana, kā arī tādas sekas kā koma, ilgstoša smagas invaliditātes ārstēšana un/vai darbnespēja vai pilnīga personiskās autonomijas zaudēšana (</w:t>
      </w:r>
      <w:r w:rsidRPr="00865034">
        <w:rPr>
          <w:rFonts w:cs="Times New Roman"/>
          <w:i/>
          <w:szCs w:val="24"/>
        </w:rPr>
        <w:t xml:space="preserve">sal. iepriekš citētos </w:t>
      </w:r>
      <w:r w:rsidR="0041719C">
        <w:rPr>
          <w:rFonts w:cs="Times New Roman"/>
          <w:i/>
          <w:szCs w:val="24"/>
        </w:rPr>
        <w:t>“</w:t>
      </w:r>
      <w:proofErr w:type="spellStart"/>
      <w:r w:rsidRPr="00865034">
        <w:rPr>
          <w:rFonts w:cs="Times New Roman"/>
          <w:i/>
          <w:szCs w:val="24"/>
        </w:rPr>
        <w:t>Krivova</w:t>
      </w:r>
      <w:proofErr w:type="spellEnd"/>
      <w:r w:rsidRPr="00865034">
        <w:rPr>
          <w:rFonts w:cs="Times New Roman"/>
          <w:i/>
          <w:szCs w:val="24"/>
        </w:rPr>
        <w:t xml:space="preserve">”, “Igor </w:t>
      </w:r>
      <w:proofErr w:type="spellStart"/>
      <w:r w:rsidRPr="00865034">
        <w:rPr>
          <w:rFonts w:cs="Times New Roman"/>
          <w:i/>
          <w:szCs w:val="24"/>
        </w:rPr>
        <w:t>Shevchenko</w:t>
      </w:r>
      <w:proofErr w:type="spellEnd"/>
      <w:r w:rsidRPr="00865034">
        <w:rPr>
          <w:rFonts w:cs="Times New Roman"/>
          <w:i/>
          <w:szCs w:val="24"/>
        </w:rPr>
        <w:t>”, “</w:t>
      </w:r>
      <w:proofErr w:type="spellStart"/>
      <w:r w:rsidRPr="00865034">
        <w:rPr>
          <w:rFonts w:cs="Times New Roman"/>
          <w:i/>
          <w:szCs w:val="24"/>
        </w:rPr>
        <w:t>Cavit</w:t>
      </w:r>
      <w:proofErr w:type="spellEnd"/>
      <w:r w:rsidRPr="00865034">
        <w:rPr>
          <w:rFonts w:cs="Times New Roman"/>
          <w:i/>
          <w:szCs w:val="24"/>
        </w:rPr>
        <w:t xml:space="preserve"> </w:t>
      </w:r>
      <w:proofErr w:type="spellStart"/>
      <w:r w:rsidRPr="00865034">
        <w:rPr>
          <w:rFonts w:cs="Times New Roman"/>
          <w:i/>
          <w:szCs w:val="24"/>
        </w:rPr>
        <w:t>Tınarlıoğlu</w:t>
      </w:r>
      <w:proofErr w:type="spellEnd"/>
      <w:r w:rsidRPr="00865034">
        <w:rPr>
          <w:rFonts w:cs="Times New Roman"/>
          <w:i/>
          <w:szCs w:val="24"/>
        </w:rPr>
        <w:t>” un “</w:t>
      </w:r>
      <w:proofErr w:type="spellStart"/>
      <w:r w:rsidRPr="00865034">
        <w:rPr>
          <w:rFonts w:cs="Times New Roman"/>
          <w:i/>
          <w:szCs w:val="24"/>
        </w:rPr>
        <w:t>Kotelnikov</w:t>
      </w:r>
      <w:proofErr w:type="spellEnd"/>
      <w:r w:rsidRPr="00865034">
        <w:rPr>
          <w:rFonts w:cs="Times New Roman"/>
          <w:i/>
          <w:szCs w:val="24"/>
        </w:rPr>
        <w:t>”</w:t>
      </w:r>
      <w:r w:rsidRPr="00865034">
        <w:rPr>
          <w:rFonts w:cs="Times New Roman"/>
          <w:szCs w:val="24"/>
        </w:rPr>
        <w:t xml:space="preserve">). Lai </w:t>
      </w:r>
      <w:r w:rsidRPr="00DD3D65">
        <w:rPr>
          <w:rFonts w:cs="Times New Roman"/>
          <w:szCs w:val="24"/>
        </w:rPr>
        <w:t>gan šis uzskaitījums nav izsmeļošs un novērtējums var būt atkarīgs no katras lietas apstākļiem, ir jāpierāda, ka pastāvēja cēloņsakarība starp attiecīgo nelaimes gadījumu vai notikumu un gūtajiem miesas bojājumiem.</w:t>
      </w:r>
    </w:p>
    <w:p w14:paraId="5164A40E" w14:textId="77777777" w:rsidR="00DD3D65" w:rsidRPr="00865034" w:rsidRDefault="00DD3D65" w:rsidP="00DD3D65">
      <w:pPr>
        <w:jc w:val="both"/>
        <w:rPr>
          <w:rFonts w:cs="Times New Roman"/>
          <w:szCs w:val="24"/>
        </w:rPr>
      </w:pPr>
      <w:r w:rsidRPr="00D622BC">
        <w:rPr>
          <w:rFonts w:cs="Times New Roman"/>
          <w:szCs w:val="24"/>
        </w:rPr>
        <w:t>144. Ņemot vērā iepriekš minēto, Tiesa atzīst, ka saistībā ar nelaimes gadījumiem vai</w:t>
      </w:r>
      <w:r w:rsidRPr="00DD3D65">
        <w:rPr>
          <w:rFonts w:cs="Times New Roman"/>
          <w:szCs w:val="24"/>
        </w:rPr>
        <w:t xml:space="preserve"> nolaidību 2. pants ir piemērojams tad, ja attiecīgā darbība pēc rakstura bijusi bīstama un pakļāvusi iesniedzēja dzīvību patiesam un tūlītējam apdraudējumam (</w:t>
      </w:r>
      <w:r w:rsidRPr="00DD3D65">
        <w:rPr>
          <w:rFonts w:cs="Times New Roman"/>
          <w:i/>
          <w:szCs w:val="24"/>
        </w:rPr>
        <w:t>sk. 140.–141. punktu</w:t>
      </w:r>
      <w:r w:rsidRPr="00DD3D65">
        <w:rPr>
          <w:rFonts w:cs="Times New Roman"/>
          <w:szCs w:val="24"/>
        </w:rPr>
        <w:t>) vai ja iesniedzēja gūtie miesas bojājumi radījuši nopietnu dzīvības apdraudējumu (</w:t>
      </w:r>
      <w:r w:rsidRPr="00DD3D65">
        <w:rPr>
          <w:rFonts w:cs="Times New Roman"/>
          <w:i/>
          <w:szCs w:val="24"/>
        </w:rPr>
        <w:t>sk. 142.–143. punktu</w:t>
      </w:r>
      <w:r w:rsidRPr="00DD3D65">
        <w:rPr>
          <w:rFonts w:cs="Times New Roman"/>
          <w:szCs w:val="24"/>
        </w:rPr>
        <w:t>). Šādos gadījumos ir piemērojams procesuālais pienākums veikt efektīvu izmeklēšanu. Jo zemāka ir no darbības rakstura izrietošā apdraudējuma neatliekamības un patiesuma pakāpe, jo nozīmīgāka kļūst prasība par iesniedzējam nodarīto miesas bojājumu pakāpe. Tas jo īpaši attiecas uz gadījumiem, kad paaugstinātas bīstamības privātās darbības joma tiek pārvaldīta</w:t>
      </w:r>
      <w:r w:rsidRPr="00865034">
        <w:rPr>
          <w:rFonts w:cs="Times New Roman"/>
          <w:szCs w:val="24"/>
        </w:rPr>
        <w:t xml:space="preserve"> ar detalizētu normatīvo un administratīvo regulējumu, kura piemērotība un pietiekamība dzīvības apdraudējuma mazināšanai nav apšaubāma un netiek apstrīdēta.</w:t>
      </w:r>
    </w:p>
    <w:p w14:paraId="1CF6838E" w14:textId="34D92C80" w:rsidR="00DD3D65" w:rsidRPr="00865034" w:rsidRDefault="00DD3D65" w:rsidP="00DD3D65">
      <w:pPr>
        <w:jc w:val="both"/>
        <w:rPr>
          <w:rFonts w:cs="Times New Roman"/>
          <w:szCs w:val="24"/>
        </w:rPr>
      </w:pPr>
      <w:r w:rsidRPr="00865034">
        <w:rPr>
          <w:rFonts w:cs="Times New Roman"/>
          <w:szCs w:val="24"/>
        </w:rPr>
        <w:t xml:space="preserve">145. Jāatzīst, ka var būt situācijas, kad notikuma vai nelaimes gadījuma brīdī nav skaidrs, vai cietušās personas dzīvība ir pakļauta patiesam un tūlītējam apdraudējumam un vai gūtie miesas bojājumi rada nopietnas briesmas dzīvībai. Šajā sakarā </w:t>
      </w:r>
      <w:r w:rsidR="00E60997">
        <w:rPr>
          <w:rFonts w:cs="Times New Roman"/>
          <w:szCs w:val="24"/>
        </w:rPr>
        <w:t>T</w:t>
      </w:r>
      <w:r w:rsidR="00E60997" w:rsidRPr="00865034">
        <w:rPr>
          <w:rFonts w:cs="Times New Roman"/>
          <w:szCs w:val="24"/>
        </w:rPr>
        <w:t xml:space="preserve">iesa </w:t>
      </w:r>
      <w:r w:rsidRPr="00865034">
        <w:rPr>
          <w:rFonts w:cs="Times New Roman"/>
          <w:szCs w:val="24"/>
        </w:rPr>
        <w:t xml:space="preserve">norāda, ka 2. panta piemērošanai pietiek ar to, ka miesas bojājumi to rašanās brīdī šķituši patiesi un tūlītēji bīstami dzīvībai. Tāpat kā saistībā ar Konvencijas 3. pantu, kā tas norādīts 115. punktā, tiklīdz šāds jautājums nonāk valsts varas iestāžu redzeslokā, tas </w:t>
      </w:r>
      <w:proofErr w:type="spellStart"/>
      <w:r w:rsidRPr="00865034">
        <w:rPr>
          <w:rFonts w:cs="Times New Roman"/>
          <w:i/>
          <w:szCs w:val="24"/>
        </w:rPr>
        <w:t>ipso</w:t>
      </w:r>
      <w:proofErr w:type="spellEnd"/>
      <w:r w:rsidRPr="00865034">
        <w:rPr>
          <w:rFonts w:cs="Times New Roman"/>
          <w:i/>
          <w:szCs w:val="24"/>
        </w:rPr>
        <w:t xml:space="preserve"> </w:t>
      </w:r>
      <w:proofErr w:type="spellStart"/>
      <w:r w:rsidRPr="00865034">
        <w:rPr>
          <w:rFonts w:cs="Times New Roman"/>
          <w:i/>
          <w:szCs w:val="24"/>
        </w:rPr>
        <w:t>facto</w:t>
      </w:r>
      <w:proofErr w:type="spellEnd"/>
      <w:r w:rsidRPr="00865034">
        <w:rPr>
          <w:rFonts w:cs="Times New Roman"/>
          <w:i/>
          <w:szCs w:val="24"/>
        </w:rPr>
        <w:t xml:space="preserve"> </w:t>
      </w:r>
      <w:r w:rsidRPr="00865034">
        <w:rPr>
          <w:rFonts w:cs="Times New Roman"/>
          <w:szCs w:val="24"/>
        </w:rPr>
        <w:t>uzliek valstij pienākumu saskaņā ar 2. pantu veikt efektīvu izmeklēšanu (</w:t>
      </w:r>
      <w:r w:rsidRPr="00865034">
        <w:rPr>
          <w:rFonts w:cs="Times New Roman"/>
          <w:i/>
          <w:szCs w:val="24"/>
        </w:rPr>
        <w:t xml:space="preserve">sk. </w:t>
      </w:r>
      <w:proofErr w:type="spellStart"/>
      <w:r w:rsidRPr="00865034">
        <w:rPr>
          <w:rFonts w:cs="Times New Roman"/>
          <w:i/>
          <w:szCs w:val="24"/>
        </w:rPr>
        <w:t>mutatis</w:t>
      </w:r>
      <w:proofErr w:type="spellEnd"/>
      <w:r w:rsidRPr="00865034">
        <w:rPr>
          <w:rFonts w:cs="Times New Roman"/>
          <w:i/>
          <w:szCs w:val="24"/>
        </w:rPr>
        <w:t xml:space="preserve"> </w:t>
      </w:r>
      <w:proofErr w:type="spellStart"/>
      <w:r w:rsidRPr="00865034">
        <w:rPr>
          <w:rFonts w:cs="Times New Roman"/>
          <w:i/>
          <w:szCs w:val="24"/>
        </w:rPr>
        <w:t>mutandis</w:t>
      </w:r>
      <w:proofErr w:type="spellEnd"/>
      <w:r w:rsidRPr="00865034">
        <w:rPr>
          <w:rFonts w:cs="Times New Roman"/>
          <w:i/>
          <w:szCs w:val="24"/>
        </w:rPr>
        <w:t xml:space="preserve"> 1998. gada 28. jūlija sprieduma lietā “Ergi v. </w:t>
      </w:r>
      <w:proofErr w:type="spellStart"/>
      <w:r w:rsidRPr="00865034">
        <w:rPr>
          <w:rFonts w:cs="Times New Roman"/>
          <w:i/>
          <w:szCs w:val="24"/>
        </w:rPr>
        <w:t>Turkey</w:t>
      </w:r>
      <w:proofErr w:type="spellEnd"/>
      <w:r w:rsidRPr="00865034">
        <w:rPr>
          <w:rFonts w:cs="Times New Roman"/>
          <w:i/>
          <w:szCs w:val="24"/>
        </w:rPr>
        <w:t>”, iesnieguma Nr. </w:t>
      </w:r>
      <w:hyperlink r:id="rId46" w:history="1">
        <w:r w:rsidRPr="00865034">
          <w:rPr>
            <w:rStyle w:val="Hyperlink"/>
            <w:rFonts w:cs="Times New Roman"/>
            <w:i/>
            <w:szCs w:val="24"/>
          </w:rPr>
          <w:t>23818/94</w:t>
        </w:r>
      </w:hyperlink>
      <w:r w:rsidRPr="00865034">
        <w:rPr>
          <w:rFonts w:cs="Times New Roman"/>
          <w:i/>
          <w:szCs w:val="24"/>
        </w:rPr>
        <w:t>, 82. punktu un 2001. gada 4. maija sprieduma lietā “</w:t>
      </w:r>
      <w:proofErr w:type="spellStart"/>
      <w:r w:rsidRPr="00865034">
        <w:rPr>
          <w:rFonts w:cs="Times New Roman"/>
          <w:i/>
          <w:szCs w:val="24"/>
        </w:rPr>
        <w:t>McKerr</w:t>
      </w:r>
      <w:proofErr w:type="spellEnd"/>
      <w:r w:rsidRPr="00865034">
        <w:rPr>
          <w:rFonts w:cs="Times New Roman"/>
          <w:i/>
          <w:szCs w:val="24"/>
        </w:rPr>
        <w:t xml:space="preserve"> v. </w:t>
      </w:r>
      <w:proofErr w:type="spellStart"/>
      <w:r w:rsidRPr="00865034">
        <w:rPr>
          <w:rFonts w:cs="Times New Roman"/>
          <w:i/>
          <w:szCs w:val="24"/>
        </w:rPr>
        <w:t>the</w:t>
      </w:r>
      <w:proofErr w:type="spellEnd"/>
      <w:r w:rsidRPr="00865034">
        <w:rPr>
          <w:rFonts w:cs="Times New Roman"/>
          <w:i/>
          <w:szCs w:val="24"/>
        </w:rPr>
        <w:t xml:space="preserve"> </w:t>
      </w:r>
      <w:proofErr w:type="spellStart"/>
      <w:r w:rsidRPr="00865034">
        <w:rPr>
          <w:rFonts w:cs="Times New Roman"/>
          <w:i/>
          <w:szCs w:val="24"/>
        </w:rPr>
        <w:t>United</w:t>
      </w:r>
      <w:proofErr w:type="spellEnd"/>
      <w:r w:rsidRPr="00865034">
        <w:rPr>
          <w:rFonts w:cs="Times New Roman"/>
          <w:i/>
          <w:szCs w:val="24"/>
        </w:rPr>
        <w:t xml:space="preserve"> </w:t>
      </w:r>
      <w:proofErr w:type="spellStart"/>
      <w:r w:rsidRPr="00865034">
        <w:rPr>
          <w:rFonts w:cs="Times New Roman"/>
          <w:i/>
          <w:szCs w:val="24"/>
        </w:rPr>
        <w:t>Kingdom</w:t>
      </w:r>
      <w:proofErr w:type="spellEnd"/>
      <w:r w:rsidRPr="00865034">
        <w:rPr>
          <w:rFonts w:cs="Times New Roman"/>
          <w:i/>
          <w:szCs w:val="24"/>
        </w:rPr>
        <w:t>”, iesnieguma Nr. </w:t>
      </w:r>
      <w:hyperlink r:id="rId47" w:history="1">
        <w:r w:rsidRPr="00865034">
          <w:rPr>
            <w:rStyle w:val="Hyperlink"/>
            <w:rFonts w:cs="Times New Roman"/>
            <w:i/>
            <w:szCs w:val="24"/>
          </w:rPr>
          <w:t>28883/95</w:t>
        </w:r>
      </w:hyperlink>
      <w:r w:rsidRPr="00865034">
        <w:rPr>
          <w:rFonts w:cs="Times New Roman"/>
          <w:i/>
          <w:szCs w:val="24"/>
        </w:rPr>
        <w:t>, 111. punktu</w:t>
      </w:r>
      <w:r w:rsidRPr="00865034">
        <w:rPr>
          <w:rFonts w:cs="Times New Roman"/>
          <w:szCs w:val="24"/>
        </w:rPr>
        <w:t>). Šis pienākums darbojas tikmēr, kamēr nav gūta pārliecība, ka nepastāvēja patiess un tūlītējs dzīvības apdraudējums vai ka miesas bojājumi acīmredzami nebija bīstami dzīvībai. Tas, kāda veida izmeklēšana sniegtu šo pārliecību, ir jautājums, kas lietā ir jānoskaidro pēc būtības, un tiks detalizēti pārbaudīts turpmāk (</w:t>
      </w:r>
      <w:r w:rsidRPr="00865034">
        <w:rPr>
          <w:rFonts w:cs="Times New Roman"/>
          <w:i/>
          <w:szCs w:val="24"/>
        </w:rPr>
        <w:t>sk. 164. punktu</w:t>
      </w:r>
      <w:r w:rsidRPr="00865034">
        <w:rPr>
          <w:rFonts w:cs="Times New Roman"/>
          <w:szCs w:val="24"/>
        </w:rPr>
        <w:t>).</w:t>
      </w:r>
    </w:p>
    <w:p w14:paraId="3821A997" w14:textId="77777777" w:rsidR="00DD3D65" w:rsidRPr="00865034" w:rsidRDefault="00DD3D65" w:rsidP="00DD3D65">
      <w:pPr>
        <w:jc w:val="both"/>
        <w:rPr>
          <w:rFonts w:cs="Times New Roman"/>
          <w:szCs w:val="24"/>
        </w:rPr>
      </w:pPr>
      <w:r w:rsidRPr="00865034">
        <w:rPr>
          <w:rFonts w:cs="Times New Roman"/>
          <w:szCs w:val="24"/>
        </w:rPr>
        <w:t>[..]</w:t>
      </w:r>
    </w:p>
    <w:p w14:paraId="7E73D8DF" w14:textId="77777777" w:rsidR="00DD3D65" w:rsidRPr="00865034" w:rsidRDefault="00DD3D65" w:rsidP="00DD3D65">
      <w:pPr>
        <w:jc w:val="both"/>
        <w:rPr>
          <w:rFonts w:cs="Times New Roman"/>
          <w:szCs w:val="24"/>
        </w:rPr>
      </w:pPr>
      <w:r w:rsidRPr="00865034">
        <w:rPr>
          <w:rFonts w:cs="Times New Roman"/>
          <w:szCs w:val="24"/>
        </w:rPr>
        <w:t>157. Tiesa atgādina, ka bojāejas vai dzīvībai bīstamu miesas bojājumu gadījumā valsts pienākums aizsargāt dzīvību ietver arī tādas neatkarīgas un efektīvas tiesu sistēmas izveidi, kas ļauj ātri noskaidrot faktus, saucot pie atbildības vainīgos un sniedzot atbilstošu atlīdzību cietušajam (</w:t>
      </w:r>
      <w:r w:rsidRPr="00865034">
        <w:rPr>
          <w:rFonts w:cs="Times New Roman"/>
          <w:i/>
          <w:szCs w:val="24"/>
        </w:rPr>
        <w:t>sk. 137. un 139. punktu</w:t>
      </w:r>
      <w:r w:rsidRPr="00865034">
        <w:rPr>
          <w:rFonts w:cs="Times New Roman"/>
          <w:szCs w:val="24"/>
        </w:rPr>
        <w:t>).</w:t>
      </w:r>
    </w:p>
    <w:p w14:paraId="3D53ED1B" w14:textId="0A8D0804" w:rsidR="00DD3D65" w:rsidRPr="00865034" w:rsidRDefault="00DD3D65" w:rsidP="00DD3D65">
      <w:pPr>
        <w:jc w:val="both"/>
        <w:rPr>
          <w:rFonts w:cs="Times New Roman"/>
          <w:szCs w:val="24"/>
        </w:rPr>
      </w:pPr>
      <w:r w:rsidRPr="00865034">
        <w:rPr>
          <w:rFonts w:cs="Times New Roman"/>
          <w:szCs w:val="24"/>
        </w:rPr>
        <w:t xml:space="preserve">158. Izmeklēšanas veids, ko pieprasa šis pienākums, atšķiras atkarībā no tiesību uz dzīvību aizskāruma rakstura. 2. pants var </w:t>
      </w:r>
      <w:r w:rsidR="00E60997">
        <w:rPr>
          <w:rFonts w:cs="Times New Roman"/>
          <w:szCs w:val="24"/>
        </w:rPr>
        <w:t xml:space="preserve">saistīties </w:t>
      </w:r>
      <w:r w:rsidRPr="00865034">
        <w:rPr>
          <w:rFonts w:cs="Times New Roman"/>
          <w:szCs w:val="24"/>
        </w:rPr>
        <w:t xml:space="preserve">un noteiktos apstākļos tam ir jāsaistās ar krimināltiesībām </w:t>
      </w:r>
      <w:proofErr w:type="gramStart"/>
      <w:r w:rsidRPr="00865034">
        <w:rPr>
          <w:rFonts w:cs="Times New Roman"/>
          <w:szCs w:val="24"/>
        </w:rPr>
        <w:t>(</w:t>
      </w:r>
      <w:proofErr w:type="gramEnd"/>
      <w:r w:rsidRPr="00865034">
        <w:rPr>
          <w:rFonts w:cs="Times New Roman"/>
          <w:i/>
          <w:szCs w:val="24"/>
        </w:rPr>
        <w:t>līdzās citai judikatūrai sk. iepriekš citētā “</w:t>
      </w:r>
      <w:proofErr w:type="spellStart"/>
      <w:r w:rsidRPr="00865034">
        <w:rPr>
          <w:rFonts w:cs="Times New Roman"/>
          <w:i/>
          <w:szCs w:val="24"/>
        </w:rPr>
        <w:t>Calvelli</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Ciglio</w:t>
      </w:r>
      <w:proofErr w:type="spellEnd"/>
      <w:r w:rsidRPr="00865034">
        <w:rPr>
          <w:rFonts w:cs="Times New Roman"/>
          <w:i/>
          <w:szCs w:val="24"/>
        </w:rPr>
        <w:t>” 51. punktu, “</w:t>
      </w:r>
      <w:proofErr w:type="spellStart"/>
      <w:r w:rsidRPr="00865034">
        <w:rPr>
          <w:rFonts w:cs="Times New Roman"/>
          <w:i/>
          <w:szCs w:val="24"/>
        </w:rPr>
        <w:t>Vo</w:t>
      </w:r>
      <w:proofErr w:type="spellEnd"/>
      <w:r w:rsidRPr="00865034">
        <w:rPr>
          <w:rFonts w:cs="Times New Roman"/>
          <w:i/>
          <w:szCs w:val="24"/>
        </w:rPr>
        <w:t>” 90. punktu un “</w:t>
      </w:r>
      <w:proofErr w:type="spellStart"/>
      <w:r w:rsidRPr="00865034">
        <w:rPr>
          <w:rFonts w:cs="Times New Roman"/>
          <w:i/>
          <w:szCs w:val="24"/>
        </w:rPr>
        <w:t>Šilih</w:t>
      </w:r>
      <w:proofErr w:type="spellEnd"/>
      <w:r w:rsidRPr="00865034">
        <w:rPr>
          <w:rFonts w:cs="Times New Roman"/>
          <w:i/>
          <w:szCs w:val="24"/>
        </w:rPr>
        <w:t>” 194. punktu</w:t>
      </w:r>
      <w:r w:rsidRPr="00865034">
        <w:rPr>
          <w:rFonts w:cs="Times New Roman"/>
          <w:szCs w:val="24"/>
        </w:rPr>
        <w:t>). Piemēram, ja nonāvēšana bijusi apzināta, parasti ir nepieciešama kriminālizmeklēšana (</w:t>
      </w:r>
      <w:r w:rsidRPr="00865034">
        <w:rPr>
          <w:rFonts w:cs="Times New Roman"/>
          <w:i/>
          <w:szCs w:val="24"/>
        </w:rPr>
        <w:t xml:space="preserve">sk. </w:t>
      </w:r>
      <w:r w:rsidR="00E60997">
        <w:rPr>
          <w:rFonts w:cs="Times New Roman"/>
          <w:i/>
          <w:szCs w:val="24"/>
        </w:rPr>
        <w:t>arī</w:t>
      </w:r>
      <w:r w:rsidR="00E60997" w:rsidRPr="00865034">
        <w:rPr>
          <w:rFonts w:cs="Times New Roman"/>
          <w:i/>
          <w:szCs w:val="24"/>
        </w:rPr>
        <w:t xml:space="preserve"> </w:t>
      </w:r>
      <w:r w:rsidRPr="00865034">
        <w:rPr>
          <w:rFonts w:cs="Times New Roman"/>
          <w:i/>
          <w:szCs w:val="24"/>
        </w:rPr>
        <w:t xml:space="preserve">2015. gada 14. aprīļa sprieduma [Lielā palāta] lietā “Mustafa </w:t>
      </w:r>
      <w:proofErr w:type="spellStart"/>
      <w:r w:rsidRPr="00865034">
        <w:rPr>
          <w:rFonts w:cs="Times New Roman"/>
          <w:i/>
          <w:szCs w:val="24"/>
        </w:rPr>
        <w:t>Tunç</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Fecire</w:t>
      </w:r>
      <w:proofErr w:type="spellEnd"/>
      <w:r w:rsidRPr="00865034">
        <w:rPr>
          <w:rFonts w:cs="Times New Roman"/>
          <w:i/>
          <w:szCs w:val="24"/>
        </w:rPr>
        <w:t xml:space="preserve"> </w:t>
      </w:r>
      <w:proofErr w:type="spellStart"/>
      <w:r w:rsidRPr="00865034">
        <w:rPr>
          <w:rFonts w:cs="Times New Roman"/>
          <w:i/>
          <w:szCs w:val="24"/>
        </w:rPr>
        <w:t>Tunç</w:t>
      </w:r>
      <w:proofErr w:type="spellEnd"/>
      <w:r w:rsidRPr="00865034">
        <w:rPr>
          <w:rFonts w:cs="Times New Roman"/>
          <w:i/>
          <w:szCs w:val="24"/>
        </w:rPr>
        <w:t xml:space="preserve"> v. </w:t>
      </w:r>
      <w:proofErr w:type="spellStart"/>
      <w:r w:rsidRPr="00865034">
        <w:rPr>
          <w:rFonts w:cs="Times New Roman"/>
          <w:i/>
          <w:szCs w:val="24"/>
        </w:rPr>
        <w:t>Turkey</w:t>
      </w:r>
      <w:proofErr w:type="spellEnd"/>
      <w:r w:rsidRPr="00865034">
        <w:rPr>
          <w:rFonts w:cs="Times New Roman"/>
          <w:i/>
          <w:szCs w:val="24"/>
        </w:rPr>
        <w:t>”, iesnieguma Nr. </w:t>
      </w:r>
      <w:hyperlink r:id="rId48" w:history="1">
        <w:r w:rsidRPr="00865034">
          <w:rPr>
            <w:rStyle w:val="Hyperlink"/>
            <w:rFonts w:cs="Times New Roman"/>
            <w:i/>
            <w:szCs w:val="24"/>
          </w:rPr>
          <w:t>24014/05</w:t>
        </w:r>
      </w:hyperlink>
      <w:r w:rsidRPr="00865034">
        <w:rPr>
          <w:rFonts w:cs="Times New Roman"/>
          <w:i/>
          <w:szCs w:val="24"/>
        </w:rPr>
        <w:t>, 170. punktu</w:t>
      </w:r>
      <w:r w:rsidRPr="00865034">
        <w:rPr>
          <w:rFonts w:cs="Times New Roman"/>
          <w:szCs w:val="24"/>
        </w:rPr>
        <w:t>), tāpat ir gadījumā, ja dzīvība tikusi pakļauta briesmām apzināti.</w:t>
      </w:r>
    </w:p>
    <w:p w14:paraId="57BBF5A8" w14:textId="77777777" w:rsidR="00DD3D65" w:rsidRPr="00865034" w:rsidRDefault="00DD3D65" w:rsidP="00DD3D65">
      <w:pPr>
        <w:jc w:val="both"/>
        <w:rPr>
          <w:rFonts w:cs="Times New Roman"/>
          <w:szCs w:val="24"/>
        </w:rPr>
      </w:pPr>
      <w:r w:rsidRPr="00865034">
        <w:rPr>
          <w:rFonts w:cs="Times New Roman"/>
          <w:szCs w:val="24"/>
        </w:rPr>
        <w:t xml:space="preserve">159. </w:t>
      </w:r>
      <w:r w:rsidRPr="00DD3D65">
        <w:rPr>
          <w:rFonts w:cs="Times New Roman"/>
          <w:szCs w:val="24"/>
        </w:rPr>
        <w:t>Lietās, kas saistītas ar nonāvēšanu un/vai dzīvības pakļaušanu briesmām aiz neuzmanības, Tiesa atkārtoti uzsver, ka prasība nodrošināt efektīvu tiesu sistēmu ir izpildīta, ja tiesību sistēma nodrošina cietušajām personām (vai viņu tuviniekiem) tiesību aizsardzības līdzekli civillietā atsevišķi vai kopā ar tiesību aizsardzības līdzekli krimināllietā, kas dod iespēju noteikt atbildību un iegūt atbilstošu civiltiesisku atlīdzinājumu.</w:t>
      </w:r>
      <w:r w:rsidRPr="00865034">
        <w:rPr>
          <w:rFonts w:cs="Times New Roman"/>
          <w:szCs w:val="24"/>
        </w:rPr>
        <w:t xml:space="preserve"> Ja ir iesaistīti valsts pārstāvji vai noteiktu profesiju pārstāvji, var paredzēt arī disciplināras sankcijas (</w:t>
      </w:r>
      <w:r w:rsidRPr="00865034">
        <w:rPr>
          <w:rFonts w:cs="Times New Roman"/>
          <w:i/>
          <w:szCs w:val="24"/>
        </w:rPr>
        <w:t>līdzās citai judikatūrai sk. iepriekš citētā “</w:t>
      </w:r>
      <w:proofErr w:type="spellStart"/>
      <w:r w:rsidRPr="00865034">
        <w:rPr>
          <w:rFonts w:cs="Times New Roman"/>
          <w:i/>
          <w:szCs w:val="24"/>
        </w:rPr>
        <w:t>Calvelli</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Ciglio</w:t>
      </w:r>
      <w:proofErr w:type="spellEnd"/>
      <w:r w:rsidRPr="00865034">
        <w:rPr>
          <w:rFonts w:cs="Times New Roman"/>
          <w:i/>
          <w:szCs w:val="24"/>
        </w:rPr>
        <w:t>” 51. punktu, “</w:t>
      </w:r>
      <w:proofErr w:type="spellStart"/>
      <w:r w:rsidRPr="00865034">
        <w:rPr>
          <w:rFonts w:cs="Times New Roman"/>
          <w:i/>
          <w:szCs w:val="24"/>
        </w:rPr>
        <w:t>Vo</w:t>
      </w:r>
      <w:proofErr w:type="spellEnd"/>
      <w:r w:rsidRPr="00865034">
        <w:rPr>
          <w:rFonts w:cs="Times New Roman"/>
          <w:i/>
          <w:szCs w:val="24"/>
        </w:rPr>
        <w:t>” 90. punktu, “</w:t>
      </w:r>
      <w:proofErr w:type="spellStart"/>
      <w:r w:rsidRPr="00865034">
        <w:rPr>
          <w:rFonts w:cs="Times New Roman"/>
          <w:i/>
          <w:szCs w:val="24"/>
        </w:rPr>
        <w:t>Šilih</w:t>
      </w:r>
      <w:proofErr w:type="spellEnd"/>
      <w:r w:rsidRPr="00865034">
        <w:rPr>
          <w:rFonts w:cs="Times New Roman"/>
          <w:i/>
          <w:szCs w:val="24"/>
        </w:rPr>
        <w:t>” 194. punktu</w:t>
      </w:r>
      <w:r w:rsidRPr="00865034">
        <w:rPr>
          <w:rFonts w:cs="Times New Roman"/>
          <w:szCs w:val="24"/>
        </w:rPr>
        <w:t xml:space="preserve">, </w:t>
      </w:r>
      <w:r w:rsidRPr="00865034">
        <w:rPr>
          <w:rFonts w:cs="Times New Roman"/>
          <w:i/>
          <w:szCs w:val="24"/>
        </w:rPr>
        <w:t>“</w:t>
      </w:r>
      <w:proofErr w:type="spellStart"/>
      <w:r w:rsidRPr="00865034">
        <w:rPr>
          <w:rFonts w:cs="Times New Roman"/>
          <w:i/>
          <w:szCs w:val="24"/>
        </w:rPr>
        <w:t>Centre</w:t>
      </w:r>
      <w:proofErr w:type="spellEnd"/>
      <w:r w:rsidRPr="00865034">
        <w:rPr>
          <w:rFonts w:cs="Times New Roman"/>
          <w:i/>
          <w:szCs w:val="24"/>
        </w:rPr>
        <w:t xml:space="preserve"> </w:t>
      </w:r>
      <w:proofErr w:type="spellStart"/>
      <w:r w:rsidRPr="00865034">
        <w:rPr>
          <w:rFonts w:cs="Times New Roman"/>
          <w:i/>
          <w:szCs w:val="24"/>
        </w:rPr>
        <w:t>for</w:t>
      </w:r>
      <w:proofErr w:type="spellEnd"/>
      <w:r w:rsidRPr="00865034">
        <w:rPr>
          <w:rFonts w:cs="Times New Roman"/>
          <w:i/>
          <w:szCs w:val="24"/>
        </w:rPr>
        <w:t xml:space="preserve"> </w:t>
      </w:r>
      <w:proofErr w:type="spellStart"/>
      <w:r w:rsidRPr="00865034">
        <w:rPr>
          <w:rFonts w:cs="Times New Roman"/>
          <w:i/>
          <w:szCs w:val="24"/>
        </w:rPr>
        <w:t>Legal</w:t>
      </w:r>
      <w:proofErr w:type="spellEnd"/>
      <w:r w:rsidRPr="00865034">
        <w:rPr>
          <w:rFonts w:cs="Times New Roman"/>
          <w:i/>
          <w:szCs w:val="24"/>
        </w:rPr>
        <w:t xml:space="preserve"> </w:t>
      </w:r>
      <w:proofErr w:type="spellStart"/>
      <w:r w:rsidRPr="00865034">
        <w:rPr>
          <w:rFonts w:cs="Times New Roman"/>
          <w:i/>
          <w:szCs w:val="24"/>
        </w:rPr>
        <w:t>Resources</w:t>
      </w:r>
      <w:proofErr w:type="spellEnd"/>
      <w:r w:rsidRPr="00865034">
        <w:rPr>
          <w:rFonts w:cs="Times New Roman"/>
          <w:i/>
          <w:szCs w:val="24"/>
        </w:rPr>
        <w:t xml:space="preserve"> </w:t>
      </w:r>
      <w:proofErr w:type="spellStart"/>
      <w:r w:rsidRPr="00865034">
        <w:rPr>
          <w:rFonts w:cs="Times New Roman"/>
          <w:i/>
          <w:szCs w:val="24"/>
        </w:rPr>
        <w:t>on</w:t>
      </w:r>
      <w:proofErr w:type="spellEnd"/>
      <w:r w:rsidRPr="00865034">
        <w:rPr>
          <w:rFonts w:cs="Times New Roman"/>
          <w:i/>
          <w:szCs w:val="24"/>
        </w:rPr>
        <w:t xml:space="preserve"> </w:t>
      </w:r>
      <w:proofErr w:type="spellStart"/>
      <w:r w:rsidRPr="00865034">
        <w:rPr>
          <w:rFonts w:cs="Times New Roman"/>
          <w:i/>
          <w:szCs w:val="24"/>
        </w:rPr>
        <w:t>behalf</w:t>
      </w:r>
      <w:proofErr w:type="spellEnd"/>
      <w:r w:rsidRPr="00865034">
        <w:rPr>
          <w:rFonts w:cs="Times New Roman"/>
          <w:i/>
          <w:szCs w:val="24"/>
        </w:rPr>
        <w:t xml:space="preserve"> </w:t>
      </w:r>
      <w:proofErr w:type="spellStart"/>
      <w:r w:rsidRPr="00865034">
        <w:rPr>
          <w:rFonts w:cs="Times New Roman"/>
          <w:i/>
          <w:szCs w:val="24"/>
        </w:rPr>
        <w:t>of</w:t>
      </w:r>
      <w:proofErr w:type="spellEnd"/>
      <w:r w:rsidRPr="00865034">
        <w:rPr>
          <w:rFonts w:cs="Times New Roman"/>
          <w:i/>
          <w:szCs w:val="24"/>
        </w:rPr>
        <w:t xml:space="preserve"> </w:t>
      </w:r>
      <w:proofErr w:type="spellStart"/>
      <w:r w:rsidRPr="00865034">
        <w:rPr>
          <w:rFonts w:cs="Times New Roman"/>
          <w:i/>
          <w:szCs w:val="24"/>
        </w:rPr>
        <w:t>Valentin</w:t>
      </w:r>
      <w:proofErr w:type="spellEnd"/>
      <w:r w:rsidRPr="00865034">
        <w:rPr>
          <w:rFonts w:cs="Times New Roman"/>
          <w:i/>
          <w:szCs w:val="24"/>
        </w:rPr>
        <w:t xml:space="preserve"> </w:t>
      </w:r>
      <w:proofErr w:type="spellStart"/>
      <w:r w:rsidRPr="00865034">
        <w:rPr>
          <w:rFonts w:cs="Times New Roman"/>
          <w:i/>
          <w:szCs w:val="24"/>
        </w:rPr>
        <w:t>Câmpeanu</w:t>
      </w:r>
      <w:proofErr w:type="spellEnd"/>
      <w:r w:rsidRPr="00865034">
        <w:rPr>
          <w:rFonts w:cs="Times New Roman"/>
          <w:i/>
          <w:szCs w:val="24"/>
        </w:rPr>
        <w:t>” 132. punktu un “</w:t>
      </w:r>
      <w:proofErr w:type="spellStart"/>
      <w:r w:rsidRPr="00865034">
        <w:rPr>
          <w:rFonts w:cs="Times New Roman"/>
          <w:i/>
          <w:szCs w:val="24"/>
        </w:rPr>
        <w:t>Lopes</w:t>
      </w:r>
      <w:proofErr w:type="spellEnd"/>
      <w:r w:rsidRPr="00865034">
        <w:rPr>
          <w:rFonts w:cs="Times New Roman"/>
          <w:i/>
          <w:szCs w:val="24"/>
        </w:rPr>
        <w:t xml:space="preserve"> </w:t>
      </w:r>
      <w:proofErr w:type="spellStart"/>
      <w:r w:rsidRPr="00865034">
        <w:rPr>
          <w:rFonts w:cs="Times New Roman"/>
          <w:i/>
          <w:szCs w:val="24"/>
        </w:rPr>
        <w:t>de</w:t>
      </w:r>
      <w:proofErr w:type="spellEnd"/>
      <w:r w:rsidRPr="00865034">
        <w:rPr>
          <w:rFonts w:cs="Times New Roman"/>
          <w:i/>
          <w:szCs w:val="24"/>
        </w:rPr>
        <w:t xml:space="preserve"> </w:t>
      </w:r>
      <w:proofErr w:type="spellStart"/>
      <w:r w:rsidRPr="00865034">
        <w:rPr>
          <w:rFonts w:cs="Times New Roman"/>
          <w:i/>
          <w:szCs w:val="24"/>
        </w:rPr>
        <w:t>Sousa</w:t>
      </w:r>
      <w:proofErr w:type="spellEnd"/>
      <w:r w:rsidRPr="00865034">
        <w:rPr>
          <w:rFonts w:cs="Times New Roman"/>
          <w:i/>
          <w:szCs w:val="24"/>
        </w:rPr>
        <w:t xml:space="preserve"> </w:t>
      </w:r>
      <w:proofErr w:type="spellStart"/>
      <w:r w:rsidRPr="00865034">
        <w:rPr>
          <w:rFonts w:cs="Times New Roman"/>
          <w:i/>
          <w:szCs w:val="24"/>
        </w:rPr>
        <w:t>Fernandes</w:t>
      </w:r>
      <w:proofErr w:type="spellEnd"/>
      <w:r w:rsidRPr="00865034">
        <w:rPr>
          <w:rFonts w:cs="Times New Roman"/>
          <w:i/>
          <w:szCs w:val="24"/>
        </w:rPr>
        <w:t>” 137. punktu</w:t>
      </w:r>
      <w:r w:rsidRPr="00865034">
        <w:rPr>
          <w:rFonts w:cs="Times New Roman"/>
          <w:szCs w:val="24"/>
        </w:rPr>
        <w:t>).</w:t>
      </w:r>
    </w:p>
    <w:p w14:paraId="60CC077E" w14:textId="77777777" w:rsidR="00DD3D65" w:rsidRPr="00865034" w:rsidRDefault="00DD3D65" w:rsidP="00DD3D65">
      <w:pPr>
        <w:jc w:val="both"/>
        <w:rPr>
          <w:rFonts w:cs="Times New Roman"/>
          <w:szCs w:val="24"/>
        </w:rPr>
      </w:pPr>
      <w:r w:rsidRPr="00865034">
        <w:rPr>
          <w:rFonts w:cs="Times New Roman"/>
          <w:szCs w:val="24"/>
        </w:rPr>
        <w:t>[..]</w:t>
      </w:r>
    </w:p>
    <w:p w14:paraId="0E486855" w14:textId="462474D3" w:rsidR="00827CBE" w:rsidRDefault="00DD3D65" w:rsidP="00DD3D65">
      <w:pPr>
        <w:jc w:val="both"/>
      </w:pPr>
      <w:r w:rsidRPr="00865034">
        <w:rPr>
          <w:rFonts w:cs="Times New Roman"/>
          <w:szCs w:val="24"/>
        </w:rPr>
        <w:t xml:space="preserve">170. Tomēr minētie </w:t>
      </w:r>
      <w:r w:rsidRPr="00DD3D65">
        <w:rPr>
          <w:rFonts w:cs="Times New Roman"/>
          <w:szCs w:val="24"/>
        </w:rPr>
        <w:t>pienākumi netiks izpildīti, ja valsts tiesību normās paredzētā aizsardzība pastāv tikai teorētiski, jo tai, pats galvenais, ir efektīvi jādarbojas praksē</w:t>
      </w:r>
      <w:r w:rsidRPr="00865034">
        <w:t xml:space="preserve"> </w:t>
      </w:r>
      <w:proofErr w:type="gramStart"/>
      <w:r w:rsidRPr="00865034">
        <w:rPr>
          <w:rFonts w:cs="Times New Roman"/>
          <w:szCs w:val="24"/>
        </w:rPr>
        <w:t>(</w:t>
      </w:r>
      <w:proofErr w:type="gramEnd"/>
      <w:r w:rsidRPr="00865034">
        <w:rPr>
          <w:rFonts w:cs="Times New Roman"/>
          <w:i/>
          <w:szCs w:val="24"/>
        </w:rPr>
        <w:t>sk. iepriekš citēt</w:t>
      </w:r>
      <w:r w:rsidR="00E60997">
        <w:rPr>
          <w:rFonts w:cs="Times New Roman"/>
          <w:i/>
          <w:szCs w:val="24"/>
        </w:rPr>
        <w:t>ā</w:t>
      </w:r>
      <w:r w:rsidRPr="00865034">
        <w:rPr>
          <w:rFonts w:cs="Times New Roman"/>
          <w:i/>
          <w:szCs w:val="24"/>
        </w:rPr>
        <w:t xml:space="preserve"> “</w:t>
      </w:r>
      <w:proofErr w:type="spellStart"/>
      <w:r w:rsidRPr="00865034">
        <w:rPr>
          <w:rFonts w:cs="Times New Roman"/>
          <w:i/>
          <w:szCs w:val="24"/>
        </w:rPr>
        <w:t>Calvelli</w:t>
      </w:r>
      <w:proofErr w:type="spellEnd"/>
      <w:r w:rsidRPr="00865034">
        <w:rPr>
          <w:rFonts w:cs="Times New Roman"/>
          <w:i/>
          <w:szCs w:val="24"/>
        </w:rPr>
        <w:t xml:space="preserve"> </w:t>
      </w:r>
      <w:proofErr w:type="spellStart"/>
      <w:r w:rsidRPr="00865034">
        <w:rPr>
          <w:rFonts w:cs="Times New Roman"/>
          <w:i/>
          <w:szCs w:val="24"/>
        </w:rPr>
        <w:t>and</w:t>
      </w:r>
      <w:proofErr w:type="spellEnd"/>
      <w:r w:rsidRPr="00865034">
        <w:rPr>
          <w:rFonts w:cs="Times New Roman"/>
          <w:i/>
          <w:szCs w:val="24"/>
        </w:rPr>
        <w:t xml:space="preserve"> </w:t>
      </w:r>
      <w:proofErr w:type="spellStart"/>
      <w:r w:rsidRPr="00865034">
        <w:rPr>
          <w:rFonts w:cs="Times New Roman"/>
          <w:i/>
          <w:szCs w:val="24"/>
        </w:rPr>
        <w:t>Ciglio</w:t>
      </w:r>
      <w:proofErr w:type="spellEnd"/>
      <w:r w:rsidRPr="00865034">
        <w:rPr>
          <w:rFonts w:cs="Times New Roman"/>
          <w:i/>
          <w:szCs w:val="24"/>
        </w:rPr>
        <w:t>” 53. punktu, “</w:t>
      </w:r>
      <w:proofErr w:type="spellStart"/>
      <w:r w:rsidRPr="00865034">
        <w:rPr>
          <w:rFonts w:cs="Times New Roman"/>
          <w:i/>
          <w:szCs w:val="24"/>
        </w:rPr>
        <w:t>Šilih</w:t>
      </w:r>
      <w:proofErr w:type="spellEnd"/>
      <w:r w:rsidRPr="00865034">
        <w:rPr>
          <w:rFonts w:cs="Times New Roman"/>
          <w:i/>
          <w:szCs w:val="24"/>
        </w:rPr>
        <w:t>” 195. punktu</w:t>
      </w:r>
      <w:r w:rsidRPr="00865034">
        <w:rPr>
          <w:rFonts w:cs="Times New Roman"/>
          <w:szCs w:val="24"/>
        </w:rPr>
        <w:t xml:space="preserve">, </w:t>
      </w:r>
      <w:r w:rsidRPr="00865034">
        <w:rPr>
          <w:rFonts w:cs="Times New Roman"/>
          <w:i/>
          <w:szCs w:val="24"/>
        </w:rPr>
        <w:t>“</w:t>
      </w:r>
      <w:proofErr w:type="spellStart"/>
      <w:r w:rsidRPr="00865034">
        <w:rPr>
          <w:rFonts w:cs="Times New Roman"/>
          <w:i/>
          <w:szCs w:val="24"/>
        </w:rPr>
        <w:t>Centre</w:t>
      </w:r>
      <w:proofErr w:type="spellEnd"/>
      <w:r w:rsidRPr="00865034">
        <w:rPr>
          <w:rFonts w:cs="Times New Roman"/>
          <w:i/>
          <w:szCs w:val="24"/>
        </w:rPr>
        <w:t xml:space="preserve"> </w:t>
      </w:r>
      <w:proofErr w:type="spellStart"/>
      <w:r w:rsidRPr="00865034">
        <w:rPr>
          <w:rFonts w:cs="Times New Roman"/>
          <w:i/>
          <w:szCs w:val="24"/>
        </w:rPr>
        <w:t>for</w:t>
      </w:r>
      <w:proofErr w:type="spellEnd"/>
      <w:r w:rsidRPr="00865034">
        <w:rPr>
          <w:rFonts w:cs="Times New Roman"/>
          <w:i/>
          <w:szCs w:val="24"/>
        </w:rPr>
        <w:t xml:space="preserve"> </w:t>
      </w:r>
      <w:proofErr w:type="spellStart"/>
      <w:r w:rsidRPr="00865034">
        <w:rPr>
          <w:rFonts w:cs="Times New Roman"/>
          <w:i/>
          <w:szCs w:val="24"/>
        </w:rPr>
        <w:t>Legal</w:t>
      </w:r>
      <w:proofErr w:type="spellEnd"/>
      <w:r w:rsidRPr="00865034">
        <w:rPr>
          <w:rFonts w:cs="Times New Roman"/>
          <w:i/>
          <w:szCs w:val="24"/>
        </w:rPr>
        <w:t xml:space="preserve"> </w:t>
      </w:r>
      <w:proofErr w:type="spellStart"/>
      <w:r w:rsidRPr="00865034">
        <w:rPr>
          <w:rFonts w:cs="Times New Roman"/>
          <w:i/>
          <w:szCs w:val="24"/>
        </w:rPr>
        <w:t>Resources</w:t>
      </w:r>
      <w:proofErr w:type="spellEnd"/>
      <w:r w:rsidRPr="00865034">
        <w:rPr>
          <w:rFonts w:cs="Times New Roman"/>
          <w:i/>
          <w:szCs w:val="24"/>
        </w:rPr>
        <w:t xml:space="preserve"> </w:t>
      </w:r>
      <w:proofErr w:type="spellStart"/>
      <w:r w:rsidRPr="00865034">
        <w:rPr>
          <w:rFonts w:cs="Times New Roman"/>
          <w:i/>
          <w:szCs w:val="24"/>
        </w:rPr>
        <w:t>on</w:t>
      </w:r>
      <w:proofErr w:type="spellEnd"/>
      <w:r w:rsidRPr="00865034">
        <w:rPr>
          <w:rFonts w:cs="Times New Roman"/>
          <w:i/>
          <w:szCs w:val="24"/>
        </w:rPr>
        <w:t xml:space="preserve"> </w:t>
      </w:r>
      <w:proofErr w:type="spellStart"/>
      <w:r w:rsidRPr="00865034">
        <w:rPr>
          <w:rFonts w:cs="Times New Roman"/>
          <w:i/>
          <w:szCs w:val="24"/>
        </w:rPr>
        <w:t>behalf</w:t>
      </w:r>
      <w:proofErr w:type="spellEnd"/>
      <w:r w:rsidRPr="00865034">
        <w:rPr>
          <w:rFonts w:cs="Times New Roman"/>
          <w:i/>
          <w:szCs w:val="24"/>
        </w:rPr>
        <w:t xml:space="preserve"> </w:t>
      </w:r>
      <w:proofErr w:type="spellStart"/>
      <w:r w:rsidRPr="00865034">
        <w:rPr>
          <w:rFonts w:cs="Times New Roman"/>
          <w:i/>
          <w:szCs w:val="24"/>
        </w:rPr>
        <w:t>of</w:t>
      </w:r>
      <w:proofErr w:type="spellEnd"/>
      <w:r w:rsidRPr="00865034">
        <w:rPr>
          <w:rFonts w:cs="Times New Roman"/>
          <w:i/>
          <w:szCs w:val="24"/>
        </w:rPr>
        <w:t xml:space="preserve"> </w:t>
      </w:r>
      <w:proofErr w:type="spellStart"/>
      <w:r w:rsidRPr="00865034">
        <w:rPr>
          <w:rFonts w:cs="Times New Roman"/>
          <w:i/>
          <w:szCs w:val="24"/>
        </w:rPr>
        <w:t>Valentin</w:t>
      </w:r>
      <w:proofErr w:type="spellEnd"/>
      <w:r w:rsidRPr="00865034">
        <w:rPr>
          <w:rFonts w:cs="Times New Roman"/>
          <w:i/>
          <w:szCs w:val="24"/>
        </w:rPr>
        <w:t xml:space="preserve"> </w:t>
      </w:r>
      <w:proofErr w:type="spellStart"/>
      <w:r w:rsidRPr="00865034">
        <w:rPr>
          <w:rFonts w:cs="Times New Roman"/>
          <w:i/>
          <w:szCs w:val="24"/>
        </w:rPr>
        <w:t>Câmpeanu</w:t>
      </w:r>
      <w:proofErr w:type="spellEnd"/>
      <w:r w:rsidRPr="00865034">
        <w:rPr>
          <w:rFonts w:cs="Times New Roman"/>
          <w:i/>
          <w:szCs w:val="24"/>
        </w:rPr>
        <w:t>” 132. punktu</w:t>
      </w:r>
      <w:r w:rsidRPr="00865034">
        <w:rPr>
          <w:rFonts w:cs="Times New Roman"/>
          <w:szCs w:val="24"/>
        </w:rPr>
        <w:t>). Tas nav pienākums sasniegt rezultātu, bet vienīgi nodrošināt līdzekļus (</w:t>
      </w:r>
      <w:r w:rsidRPr="00865034">
        <w:rPr>
          <w:rFonts w:cs="Times New Roman"/>
          <w:i/>
          <w:szCs w:val="24"/>
        </w:rPr>
        <w:t>sk. iepriekš citēt</w:t>
      </w:r>
      <w:r w:rsidR="00E60997">
        <w:rPr>
          <w:rFonts w:cs="Times New Roman"/>
          <w:i/>
          <w:szCs w:val="24"/>
        </w:rPr>
        <w:t>ā</w:t>
      </w:r>
      <w:r w:rsidRPr="00865034">
        <w:rPr>
          <w:rFonts w:cs="Times New Roman"/>
          <w:i/>
          <w:szCs w:val="24"/>
        </w:rPr>
        <w:t xml:space="preserve"> “</w:t>
      </w:r>
      <w:proofErr w:type="spellStart"/>
      <w:r w:rsidRPr="00865034">
        <w:rPr>
          <w:rFonts w:cs="Times New Roman"/>
          <w:i/>
          <w:szCs w:val="24"/>
        </w:rPr>
        <w:t>Šilih</w:t>
      </w:r>
      <w:proofErr w:type="spellEnd"/>
      <w:r w:rsidRPr="00865034">
        <w:rPr>
          <w:rFonts w:cs="Times New Roman"/>
          <w:i/>
          <w:szCs w:val="24"/>
        </w:rPr>
        <w:t>” 193. punktu un “</w:t>
      </w:r>
      <w:proofErr w:type="spellStart"/>
      <w:r w:rsidRPr="00865034">
        <w:rPr>
          <w:rFonts w:cs="Times New Roman"/>
          <w:i/>
          <w:szCs w:val="24"/>
        </w:rPr>
        <w:t>Lopes</w:t>
      </w:r>
      <w:proofErr w:type="spellEnd"/>
      <w:r w:rsidRPr="00865034">
        <w:rPr>
          <w:rFonts w:cs="Times New Roman"/>
          <w:i/>
          <w:szCs w:val="24"/>
        </w:rPr>
        <w:t xml:space="preserve"> </w:t>
      </w:r>
      <w:proofErr w:type="spellStart"/>
      <w:r w:rsidRPr="00865034">
        <w:rPr>
          <w:rFonts w:cs="Times New Roman"/>
          <w:i/>
          <w:szCs w:val="24"/>
        </w:rPr>
        <w:t>de</w:t>
      </w:r>
      <w:proofErr w:type="spellEnd"/>
      <w:r w:rsidRPr="00865034">
        <w:rPr>
          <w:rFonts w:cs="Times New Roman"/>
          <w:i/>
          <w:szCs w:val="24"/>
        </w:rPr>
        <w:t xml:space="preserve"> </w:t>
      </w:r>
      <w:proofErr w:type="spellStart"/>
      <w:r w:rsidRPr="00865034">
        <w:rPr>
          <w:rFonts w:cs="Times New Roman"/>
          <w:i/>
          <w:szCs w:val="24"/>
        </w:rPr>
        <w:t>Sousa</w:t>
      </w:r>
      <w:proofErr w:type="spellEnd"/>
      <w:r w:rsidRPr="00865034">
        <w:rPr>
          <w:rFonts w:cs="Times New Roman"/>
          <w:i/>
          <w:szCs w:val="24"/>
        </w:rPr>
        <w:t xml:space="preserve"> </w:t>
      </w:r>
      <w:proofErr w:type="spellStart"/>
      <w:r w:rsidRPr="00865034">
        <w:rPr>
          <w:rFonts w:cs="Times New Roman"/>
          <w:i/>
          <w:szCs w:val="24"/>
        </w:rPr>
        <w:t>Fernandes</w:t>
      </w:r>
      <w:proofErr w:type="spellEnd"/>
      <w:r w:rsidRPr="00865034">
        <w:rPr>
          <w:rFonts w:cs="Times New Roman"/>
          <w:i/>
          <w:szCs w:val="24"/>
        </w:rPr>
        <w:t>” 221. punktu</w:t>
      </w:r>
      <w:r w:rsidRPr="00865034">
        <w:rPr>
          <w:rFonts w:cs="Times New Roman"/>
          <w:szCs w:val="24"/>
        </w:rPr>
        <w:t xml:space="preserve">). </w:t>
      </w:r>
      <w:r w:rsidRPr="00DD3D65">
        <w:rPr>
          <w:rFonts w:cs="Times New Roman"/>
          <w:szCs w:val="24"/>
        </w:rPr>
        <w:t>Tāpēc tas vien, ka tiesvedības rezultāts bijis nelabvēlīgs cietušajai personai (vai tās tuviniekam), pats par sevi nenozīmē, ka atbildētāja dalībvalsts nav izpildījusi savu pozitīvo pienākumu saskaņā ar Konvencijas 2. pantu</w:t>
      </w:r>
      <w:r w:rsidRPr="00865034">
        <w:rPr>
          <w:rFonts w:cs="Times New Roman"/>
          <w:szCs w:val="24"/>
        </w:rPr>
        <w:t xml:space="preserve"> (</w:t>
      </w:r>
      <w:r w:rsidRPr="00865034">
        <w:rPr>
          <w:rFonts w:cs="Times New Roman"/>
          <w:i/>
          <w:szCs w:val="24"/>
        </w:rPr>
        <w:t>sk. 2012. gada 19. jūnija lēmuma lietā “</w:t>
      </w:r>
      <w:proofErr w:type="spellStart"/>
      <w:r w:rsidRPr="00865034">
        <w:rPr>
          <w:rFonts w:cs="Times New Roman"/>
          <w:i/>
          <w:szCs w:val="24"/>
        </w:rPr>
        <w:t>Besen</w:t>
      </w:r>
      <w:proofErr w:type="spellEnd"/>
      <w:r w:rsidRPr="00865034">
        <w:rPr>
          <w:rFonts w:cs="Times New Roman"/>
          <w:i/>
          <w:szCs w:val="24"/>
        </w:rPr>
        <w:t xml:space="preserve"> v. </w:t>
      </w:r>
      <w:proofErr w:type="spellStart"/>
      <w:r w:rsidRPr="00865034">
        <w:rPr>
          <w:rFonts w:cs="Times New Roman"/>
          <w:i/>
          <w:szCs w:val="24"/>
        </w:rPr>
        <w:t>Turkey</w:t>
      </w:r>
      <w:proofErr w:type="spellEnd"/>
      <w:r w:rsidRPr="00865034">
        <w:rPr>
          <w:rFonts w:cs="Times New Roman"/>
          <w:i/>
          <w:szCs w:val="24"/>
        </w:rPr>
        <w:t>”, iesnieguma Nr. </w:t>
      </w:r>
      <w:hyperlink r:id="rId49" w:history="1">
        <w:r w:rsidRPr="00865034">
          <w:rPr>
            <w:rStyle w:val="Hyperlink"/>
            <w:rFonts w:cs="Times New Roman"/>
            <w:i/>
            <w:szCs w:val="24"/>
          </w:rPr>
          <w:t>48915/09</w:t>
        </w:r>
      </w:hyperlink>
      <w:r w:rsidRPr="00865034">
        <w:rPr>
          <w:rFonts w:cs="Times New Roman"/>
          <w:i/>
          <w:szCs w:val="24"/>
        </w:rPr>
        <w:t>, 38. punktu un iepriekš citētā “</w:t>
      </w:r>
      <w:proofErr w:type="spellStart"/>
      <w:r w:rsidRPr="00865034">
        <w:rPr>
          <w:rFonts w:cs="Times New Roman"/>
          <w:i/>
          <w:szCs w:val="24"/>
        </w:rPr>
        <w:t>Lopes</w:t>
      </w:r>
      <w:proofErr w:type="spellEnd"/>
      <w:r w:rsidRPr="00865034">
        <w:rPr>
          <w:rFonts w:cs="Times New Roman"/>
          <w:i/>
          <w:szCs w:val="24"/>
        </w:rPr>
        <w:t xml:space="preserve"> </w:t>
      </w:r>
      <w:proofErr w:type="spellStart"/>
      <w:r w:rsidRPr="00865034">
        <w:rPr>
          <w:rFonts w:cs="Times New Roman"/>
          <w:i/>
          <w:szCs w:val="24"/>
        </w:rPr>
        <w:t>de</w:t>
      </w:r>
      <w:proofErr w:type="spellEnd"/>
      <w:r w:rsidRPr="00865034">
        <w:rPr>
          <w:rFonts w:cs="Times New Roman"/>
          <w:i/>
          <w:szCs w:val="24"/>
        </w:rPr>
        <w:t xml:space="preserve"> </w:t>
      </w:r>
      <w:proofErr w:type="spellStart"/>
      <w:r w:rsidRPr="00865034">
        <w:rPr>
          <w:rFonts w:cs="Times New Roman"/>
          <w:i/>
          <w:szCs w:val="24"/>
        </w:rPr>
        <w:t>Sousa</w:t>
      </w:r>
      <w:proofErr w:type="spellEnd"/>
      <w:r w:rsidRPr="00865034">
        <w:rPr>
          <w:rFonts w:cs="Times New Roman"/>
          <w:i/>
          <w:szCs w:val="24"/>
        </w:rPr>
        <w:t xml:space="preserve"> </w:t>
      </w:r>
      <w:proofErr w:type="spellStart"/>
      <w:r w:rsidRPr="00865034">
        <w:rPr>
          <w:rFonts w:cs="Times New Roman"/>
          <w:i/>
          <w:szCs w:val="24"/>
        </w:rPr>
        <w:t>Fernandes</w:t>
      </w:r>
      <w:proofErr w:type="spellEnd"/>
      <w:r w:rsidRPr="00865034">
        <w:rPr>
          <w:rFonts w:cs="Times New Roman"/>
          <w:i/>
          <w:szCs w:val="24"/>
        </w:rPr>
        <w:t xml:space="preserve">, </w:t>
      </w:r>
      <w:proofErr w:type="spellStart"/>
      <w:r w:rsidRPr="00865034">
        <w:rPr>
          <w:rFonts w:cs="Times New Roman"/>
          <w:i/>
          <w:szCs w:val="24"/>
        </w:rPr>
        <w:t>cited</w:t>
      </w:r>
      <w:proofErr w:type="spellEnd"/>
      <w:r w:rsidRPr="00865034">
        <w:rPr>
          <w:rFonts w:cs="Times New Roman"/>
          <w:i/>
          <w:szCs w:val="24"/>
        </w:rPr>
        <w:t xml:space="preserve"> </w:t>
      </w:r>
      <w:proofErr w:type="spellStart"/>
      <w:r w:rsidRPr="00865034">
        <w:rPr>
          <w:rFonts w:cs="Times New Roman"/>
          <w:i/>
          <w:szCs w:val="24"/>
        </w:rPr>
        <w:t>above</w:t>
      </w:r>
      <w:proofErr w:type="spellEnd"/>
      <w:r w:rsidRPr="00865034">
        <w:rPr>
          <w:rFonts w:cs="Times New Roman"/>
          <w:i/>
          <w:szCs w:val="24"/>
        </w:rPr>
        <w:t>” 221. punktu</w:t>
      </w:r>
      <w:r w:rsidRPr="00865034">
        <w:rPr>
          <w:rFonts w:cs="Times New Roman"/>
          <w:szCs w:val="24"/>
        </w:rPr>
        <w:t>).</w:t>
      </w:r>
    </w:p>
    <w:sectPr w:rsidR="00827CBE">
      <w:footerReference w:type="default" r:id="rId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D8B99" w14:textId="77777777" w:rsidR="00432BB7" w:rsidRDefault="00432BB7" w:rsidP="00DD3D65">
      <w:pPr>
        <w:spacing w:after="0" w:line="240" w:lineRule="auto"/>
      </w:pPr>
      <w:r>
        <w:separator/>
      </w:r>
    </w:p>
  </w:endnote>
  <w:endnote w:type="continuationSeparator" w:id="0">
    <w:p w14:paraId="1D3E020D" w14:textId="77777777" w:rsidR="00432BB7" w:rsidRDefault="00432BB7" w:rsidP="00DD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93601"/>
      <w:docPartObj>
        <w:docPartGallery w:val="Page Numbers (Bottom of Page)"/>
        <w:docPartUnique/>
      </w:docPartObj>
    </w:sdtPr>
    <w:sdtEndPr>
      <w:rPr>
        <w:noProof/>
      </w:rPr>
    </w:sdtEndPr>
    <w:sdtContent>
      <w:p w14:paraId="7D587FBB" w14:textId="77777777" w:rsidR="00DD3D65" w:rsidRDefault="00DD3D65">
        <w:pPr>
          <w:pStyle w:val="Footer"/>
          <w:jc w:val="center"/>
        </w:pPr>
        <w:r>
          <w:fldChar w:fldCharType="begin"/>
        </w:r>
        <w:r>
          <w:instrText xml:space="preserve"> PAGE   \* MERGEFORMAT </w:instrText>
        </w:r>
        <w:r>
          <w:fldChar w:fldCharType="separate"/>
        </w:r>
        <w:r w:rsidR="00903A8C">
          <w:rPr>
            <w:noProof/>
          </w:rPr>
          <w:t>6</w:t>
        </w:r>
        <w:r>
          <w:rPr>
            <w:noProof/>
          </w:rPr>
          <w:fldChar w:fldCharType="end"/>
        </w:r>
      </w:p>
    </w:sdtContent>
  </w:sdt>
  <w:p w14:paraId="472925B0" w14:textId="77777777" w:rsidR="00DD3D65" w:rsidRDefault="00DD3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E2B64" w14:textId="77777777" w:rsidR="00432BB7" w:rsidRDefault="00432BB7" w:rsidP="00DD3D65">
      <w:pPr>
        <w:spacing w:after="0" w:line="240" w:lineRule="auto"/>
      </w:pPr>
      <w:r>
        <w:separator/>
      </w:r>
    </w:p>
  </w:footnote>
  <w:footnote w:type="continuationSeparator" w:id="0">
    <w:p w14:paraId="2145CFAD" w14:textId="77777777" w:rsidR="00432BB7" w:rsidRDefault="00432BB7" w:rsidP="00DD3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5"/>
    <w:rsid w:val="00036AA1"/>
    <w:rsid w:val="00164AA3"/>
    <w:rsid w:val="001C073E"/>
    <w:rsid w:val="001E2C96"/>
    <w:rsid w:val="002942C1"/>
    <w:rsid w:val="003B164A"/>
    <w:rsid w:val="0041719C"/>
    <w:rsid w:val="00432BB7"/>
    <w:rsid w:val="00477A36"/>
    <w:rsid w:val="004D6B1C"/>
    <w:rsid w:val="00541B88"/>
    <w:rsid w:val="005A4F6D"/>
    <w:rsid w:val="00827CBE"/>
    <w:rsid w:val="00903A8C"/>
    <w:rsid w:val="009B478B"/>
    <w:rsid w:val="009C5E87"/>
    <w:rsid w:val="00A1017F"/>
    <w:rsid w:val="00CC3B10"/>
    <w:rsid w:val="00CF4BF5"/>
    <w:rsid w:val="00D622BC"/>
    <w:rsid w:val="00D813F1"/>
    <w:rsid w:val="00DC7DAD"/>
    <w:rsid w:val="00DD3D65"/>
    <w:rsid w:val="00E2794A"/>
    <w:rsid w:val="00E60997"/>
    <w:rsid w:val="00FB3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4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65"/>
    <w:pPr>
      <w:spacing w:line="254"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D65"/>
    <w:rPr>
      <w:color w:val="0563C1" w:themeColor="hyperlink"/>
      <w:u w:val="single"/>
    </w:rPr>
  </w:style>
  <w:style w:type="paragraph" w:styleId="Header">
    <w:name w:val="header"/>
    <w:basedOn w:val="Normal"/>
    <w:link w:val="HeaderChar"/>
    <w:uiPriority w:val="99"/>
    <w:unhideWhenUsed/>
    <w:rsid w:val="00DD3D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5"/>
    <w:rPr>
      <w:rFonts w:ascii="Times New Roman" w:hAnsi="Times New Roman"/>
      <w:sz w:val="24"/>
    </w:rPr>
  </w:style>
  <w:style w:type="paragraph" w:styleId="Footer">
    <w:name w:val="footer"/>
    <w:basedOn w:val="Normal"/>
    <w:link w:val="FooterChar"/>
    <w:uiPriority w:val="99"/>
    <w:unhideWhenUsed/>
    <w:rsid w:val="00DD3D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5"/>
    <w:rPr>
      <w:rFonts w:ascii="Times New Roman" w:hAnsi="Times New Roman"/>
      <w:sz w:val="24"/>
    </w:rPr>
  </w:style>
  <w:style w:type="character" w:styleId="FollowedHyperlink">
    <w:name w:val="FollowedHyperlink"/>
    <w:basedOn w:val="DefaultParagraphFont"/>
    <w:uiPriority w:val="99"/>
    <w:semiHidden/>
    <w:unhideWhenUsed/>
    <w:rsid w:val="00DD3D65"/>
    <w:rPr>
      <w:color w:val="954F72" w:themeColor="followedHyperlink"/>
      <w:u w:val="single"/>
    </w:rPr>
  </w:style>
  <w:style w:type="paragraph" w:customStyle="1" w:styleId="s38073f5f">
    <w:name w:val="s38073f5f"/>
    <w:basedOn w:val="Normal"/>
    <w:rsid w:val="00541B88"/>
    <w:pPr>
      <w:spacing w:before="100" w:beforeAutospacing="1" w:after="100" w:afterAutospacing="1" w:line="240" w:lineRule="auto"/>
    </w:pPr>
    <w:rPr>
      <w:rFonts w:eastAsia="Times New Roman" w:cs="Times New Roman"/>
      <w:szCs w:val="24"/>
      <w:lang w:eastAsia="lv-LV"/>
    </w:rPr>
  </w:style>
  <w:style w:type="character" w:customStyle="1" w:styleId="sd6dac599">
    <w:name w:val="sd6dac599"/>
    <w:basedOn w:val="DefaultParagraphFont"/>
    <w:rsid w:val="00541B88"/>
  </w:style>
  <w:style w:type="character" w:customStyle="1" w:styleId="s52c23de3">
    <w:name w:val="s52c23de3"/>
    <w:basedOn w:val="DefaultParagraphFont"/>
    <w:rsid w:val="00541B88"/>
  </w:style>
  <w:style w:type="character" w:customStyle="1" w:styleId="apple-converted-space">
    <w:name w:val="apple-converted-space"/>
    <w:basedOn w:val="DefaultParagraphFont"/>
    <w:rsid w:val="00541B88"/>
  </w:style>
  <w:style w:type="character" w:customStyle="1" w:styleId="sfbbfee58">
    <w:name w:val="sfbbfee58"/>
    <w:basedOn w:val="DefaultParagraphFont"/>
    <w:rsid w:val="00541B88"/>
  </w:style>
  <w:style w:type="paragraph" w:customStyle="1" w:styleId="s48581bdb">
    <w:name w:val="s48581bdb"/>
    <w:basedOn w:val="Normal"/>
    <w:rsid w:val="00541B88"/>
    <w:pPr>
      <w:spacing w:before="100" w:beforeAutospacing="1" w:after="100" w:afterAutospacing="1" w:line="240" w:lineRule="auto"/>
    </w:pPr>
    <w:rPr>
      <w:rFonts w:eastAsia="Times New Roman" w:cs="Times New Roman"/>
      <w:szCs w:val="24"/>
      <w:lang w:eastAsia="lv-LV"/>
    </w:rPr>
  </w:style>
  <w:style w:type="character" w:customStyle="1" w:styleId="sbc85dd97">
    <w:name w:val="sbc85dd97"/>
    <w:basedOn w:val="DefaultParagraphFont"/>
    <w:rsid w:val="00541B88"/>
  </w:style>
  <w:style w:type="character" w:customStyle="1" w:styleId="s1a844bc0">
    <w:name w:val="s1a844bc0"/>
    <w:basedOn w:val="DefaultParagraphFont"/>
    <w:rsid w:val="00541B88"/>
  </w:style>
  <w:style w:type="paragraph" w:styleId="BalloonText">
    <w:name w:val="Balloon Text"/>
    <w:basedOn w:val="Normal"/>
    <w:link w:val="BalloonTextChar"/>
    <w:uiPriority w:val="99"/>
    <w:semiHidden/>
    <w:unhideWhenUsed/>
    <w:rsid w:val="009B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8B"/>
    <w:rPr>
      <w:rFonts w:ascii="Segoe UI" w:hAnsi="Segoe UI" w:cs="Segoe UI"/>
      <w:sz w:val="18"/>
      <w:szCs w:val="18"/>
    </w:rPr>
  </w:style>
  <w:style w:type="character" w:styleId="CommentReference">
    <w:name w:val="annotation reference"/>
    <w:basedOn w:val="DefaultParagraphFont"/>
    <w:uiPriority w:val="99"/>
    <w:semiHidden/>
    <w:unhideWhenUsed/>
    <w:rsid w:val="00D622BC"/>
    <w:rPr>
      <w:sz w:val="16"/>
      <w:szCs w:val="16"/>
    </w:rPr>
  </w:style>
  <w:style w:type="paragraph" w:styleId="CommentText">
    <w:name w:val="annotation text"/>
    <w:basedOn w:val="Normal"/>
    <w:link w:val="CommentTextChar"/>
    <w:uiPriority w:val="99"/>
    <w:semiHidden/>
    <w:unhideWhenUsed/>
    <w:rsid w:val="00D622BC"/>
    <w:pPr>
      <w:spacing w:line="240" w:lineRule="auto"/>
    </w:pPr>
    <w:rPr>
      <w:sz w:val="20"/>
      <w:szCs w:val="20"/>
    </w:rPr>
  </w:style>
  <w:style w:type="character" w:customStyle="1" w:styleId="CommentTextChar">
    <w:name w:val="Comment Text Char"/>
    <w:basedOn w:val="DefaultParagraphFont"/>
    <w:link w:val="CommentText"/>
    <w:uiPriority w:val="99"/>
    <w:semiHidden/>
    <w:rsid w:val="00D622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2BC"/>
    <w:rPr>
      <w:b/>
      <w:bCs/>
    </w:rPr>
  </w:style>
  <w:style w:type="character" w:customStyle="1" w:styleId="CommentSubjectChar">
    <w:name w:val="Comment Subject Char"/>
    <w:basedOn w:val="CommentTextChar"/>
    <w:link w:val="CommentSubject"/>
    <w:uiPriority w:val="99"/>
    <w:semiHidden/>
    <w:rsid w:val="00D622B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09277">
      <w:bodyDiv w:val="1"/>
      <w:marLeft w:val="0"/>
      <w:marRight w:val="0"/>
      <w:marTop w:val="0"/>
      <w:marBottom w:val="0"/>
      <w:divBdr>
        <w:top w:val="none" w:sz="0" w:space="0" w:color="auto"/>
        <w:left w:val="none" w:sz="0" w:space="0" w:color="auto"/>
        <w:bottom w:val="none" w:sz="0" w:space="0" w:color="auto"/>
        <w:right w:val="none" w:sz="0" w:space="0" w:color="auto"/>
      </w:divBdr>
    </w:div>
    <w:div w:id="702556513">
      <w:bodyDiv w:val="1"/>
      <w:marLeft w:val="0"/>
      <w:marRight w:val="0"/>
      <w:marTop w:val="0"/>
      <w:marBottom w:val="0"/>
      <w:divBdr>
        <w:top w:val="none" w:sz="0" w:space="0" w:color="auto"/>
        <w:left w:val="none" w:sz="0" w:space="0" w:color="auto"/>
        <w:bottom w:val="none" w:sz="0" w:space="0" w:color="auto"/>
        <w:right w:val="none" w:sz="0" w:space="0" w:color="auto"/>
      </w:divBdr>
    </w:div>
    <w:div w:id="15712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i=001-109283" TargetMode="External"/><Relationship Id="rId18" Type="http://schemas.openxmlformats.org/officeDocument/2006/relationships/hyperlink" Target="http://hudoc.echr.coe.int/eng?i=001-98754" TargetMode="External"/><Relationship Id="rId26" Type="http://schemas.openxmlformats.org/officeDocument/2006/relationships/hyperlink" Target="http://hudoc.echr.coe.int/eng?i=001-92142" TargetMode="External"/><Relationship Id="rId39" Type="http://schemas.openxmlformats.org/officeDocument/2006/relationships/hyperlink" Target="http://hudoc.echr.coe.int/eng?i=001-138597" TargetMode="External"/><Relationship Id="rId3" Type="http://schemas.openxmlformats.org/officeDocument/2006/relationships/settings" Target="settings.xml"/><Relationship Id="rId21" Type="http://schemas.openxmlformats.org/officeDocument/2006/relationships/hyperlink" Target="http://hudoc.echr.coe.int/eng?i=001-58257" TargetMode="External"/><Relationship Id="rId34" Type="http://schemas.openxmlformats.org/officeDocument/2006/relationships/hyperlink" Target="http://hudoc.echr.coe.int/eng?i=001-115019" TargetMode="External"/><Relationship Id="rId42" Type="http://schemas.openxmlformats.org/officeDocument/2006/relationships/hyperlink" Target="http://hudoc.echr.coe.int/eng?i=001-110253" TargetMode="External"/><Relationship Id="rId47" Type="http://schemas.openxmlformats.org/officeDocument/2006/relationships/hyperlink" Target="http://hudoc.echr.coe.int/eng?i=001-59451" TargetMode="External"/><Relationship Id="rId50" Type="http://schemas.openxmlformats.org/officeDocument/2006/relationships/footer" Target="footer1.xml"/><Relationship Id="rId7" Type="http://schemas.openxmlformats.org/officeDocument/2006/relationships/hyperlink" Target="http://hudoc.echr.coe.int/eng?i=001-194307" TargetMode="External"/><Relationship Id="rId12" Type="http://schemas.openxmlformats.org/officeDocument/2006/relationships/hyperlink" Target="http://hudoc.echr.coe.int/eng?i=001-85436" TargetMode="External"/><Relationship Id="rId17" Type="http://schemas.openxmlformats.org/officeDocument/2006/relationships/hyperlink" Target="http://hudoc.echr.coe.int/eng?i=001-67820" TargetMode="External"/><Relationship Id="rId25" Type="http://schemas.openxmlformats.org/officeDocument/2006/relationships/hyperlink" Target="http://hudoc.echr.coe.int/eng?i=001-61887" TargetMode="External"/><Relationship Id="rId33" Type="http://schemas.openxmlformats.org/officeDocument/2006/relationships/hyperlink" Target="http://hudoc.echr.coe.int/eng?i=001-95926" TargetMode="External"/><Relationship Id="rId38" Type="http://schemas.openxmlformats.org/officeDocument/2006/relationships/hyperlink" Target="http://hudoc.echr.coe.int/eng?i=001-166936" TargetMode="External"/><Relationship Id="rId46" Type="http://schemas.openxmlformats.org/officeDocument/2006/relationships/hyperlink" Target="http://hudoc.echr.coe.int/eng?i=001-58200" TargetMode="External"/><Relationship Id="rId2" Type="http://schemas.openxmlformats.org/officeDocument/2006/relationships/styles" Target="styles.xml"/><Relationship Id="rId16" Type="http://schemas.openxmlformats.org/officeDocument/2006/relationships/hyperlink" Target="http://hudoc.echr.coe.int/eng?i=001-57943" TargetMode="External"/><Relationship Id="rId20" Type="http://schemas.openxmlformats.org/officeDocument/2006/relationships/hyperlink" Target="http://hudoc.echr.coe.int/eng?i=001-160257" TargetMode="External"/><Relationship Id="rId29" Type="http://schemas.openxmlformats.org/officeDocument/2006/relationships/hyperlink" Target="http://hudoc.echr.coe.int/eng?i=001-183349" TargetMode="External"/><Relationship Id="rId41" Type="http://schemas.openxmlformats.org/officeDocument/2006/relationships/hyperlink" Target="http://hudoc.echr.coe.int/eng?i=001-13847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udoc.echr.coe.int/eng?i=001-67614" TargetMode="External"/><Relationship Id="rId24" Type="http://schemas.openxmlformats.org/officeDocument/2006/relationships/hyperlink" Target="http://hudoc.echr.coe.int/eng?i=001-68531" TargetMode="External"/><Relationship Id="rId32" Type="http://schemas.openxmlformats.org/officeDocument/2006/relationships/hyperlink" Target="http://hudoc.echr.coe.int/eng?i=001-101674" TargetMode="External"/><Relationship Id="rId37" Type="http://schemas.openxmlformats.org/officeDocument/2006/relationships/hyperlink" Target="http://hudoc.echr.coe.int/eng?i=001-75350" TargetMode="External"/><Relationship Id="rId40" Type="http://schemas.openxmlformats.org/officeDocument/2006/relationships/hyperlink" Target="http://hudoc.echr.coe.int/eng?i=001-138597" TargetMode="External"/><Relationship Id="rId45" Type="http://schemas.openxmlformats.org/officeDocument/2006/relationships/hyperlink" Target="http://hudoc.echr.coe.int/eng?i=001-181393" TargetMode="External"/><Relationship Id="rId5" Type="http://schemas.openxmlformats.org/officeDocument/2006/relationships/footnotes" Target="footnotes.xml"/><Relationship Id="rId15" Type="http://schemas.openxmlformats.org/officeDocument/2006/relationships/hyperlink" Target="http://hudoc.echr.coe.int/eng?i=001-179556" TargetMode="External"/><Relationship Id="rId23" Type="http://schemas.openxmlformats.org/officeDocument/2006/relationships/hyperlink" Target="http://hudoc.echr.coe.int/eng?i=001-102940" TargetMode="External"/><Relationship Id="rId28" Type="http://schemas.openxmlformats.org/officeDocument/2006/relationships/hyperlink" Target="http://hudoc.echr.coe.int/eng?i=001-112574" TargetMode="External"/><Relationship Id="rId36" Type="http://schemas.openxmlformats.org/officeDocument/2006/relationships/hyperlink" Target="http://hudoc.echr.coe.int/eng?i=001-96252" TargetMode="External"/><Relationship Id="rId49" Type="http://schemas.openxmlformats.org/officeDocument/2006/relationships/hyperlink" Target="http://hudoc.echr.coe.int/eng?i=001-112140" TargetMode="External"/><Relationship Id="rId10" Type="http://schemas.openxmlformats.org/officeDocument/2006/relationships/hyperlink" Target="http://hudoc.echr.coe.int/eng?i=001-189426" TargetMode="External"/><Relationship Id="rId19" Type="http://schemas.openxmlformats.org/officeDocument/2006/relationships/hyperlink" Target="http://hudoc.echr.coe.int/eng?i=001-155352" TargetMode="External"/><Relationship Id="rId31" Type="http://schemas.openxmlformats.org/officeDocument/2006/relationships/hyperlink" Target="http://hudoc.echr.coe.int/eng?i=001-164663" TargetMode="External"/><Relationship Id="rId44" Type="http://schemas.openxmlformats.org/officeDocument/2006/relationships/hyperlink" Target="http://hudoc.echr.coe.int/eng?i=001-12096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udoc.echr.coe.int/eng?i=001-60329" TargetMode="External"/><Relationship Id="rId14" Type="http://schemas.openxmlformats.org/officeDocument/2006/relationships/hyperlink" Target="http://hudoc.echr.coe.int/eng?i=001-145577" TargetMode="External"/><Relationship Id="rId22" Type="http://schemas.openxmlformats.org/officeDocument/2006/relationships/hyperlink" Target="http://hudoc.echr.coe.int/eng?i=001-88972" TargetMode="External"/><Relationship Id="rId27" Type="http://schemas.openxmlformats.org/officeDocument/2006/relationships/hyperlink" Target="http://hudoc.echr.coe.int/eng?i=001-104859" TargetMode="External"/><Relationship Id="rId30" Type="http://schemas.openxmlformats.org/officeDocument/2006/relationships/hyperlink" Target="http://hudoc.echr.coe.int/eng?i=001-108576" TargetMode="External"/><Relationship Id="rId35" Type="http://schemas.openxmlformats.org/officeDocument/2006/relationships/hyperlink" Target="http://hudoc.echr.coe.int/eng?i=001-64553" TargetMode="External"/><Relationship Id="rId43" Type="http://schemas.openxmlformats.org/officeDocument/2006/relationships/hyperlink" Target="http://hudoc.echr.coe.int/eng?i=001-105102" TargetMode="External"/><Relationship Id="rId48" Type="http://schemas.openxmlformats.org/officeDocument/2006/relationships/hyperlink" Target="http://hudoc.echr.coe.int/eng?i=001-154007" TargetMode="External"/><Relationship Id="rId8" Type="http://schemas.openxmlformats.org/officeDocument/2006/relationships/hyperlink" Target="http://hudoc.echr.coe.int/eng?i=001-58176"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B4D9-2CB0-4BA6-9B7A-433DBB80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14385</Words>
  <Characters>8200</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2019-11-12T12:32:00Z</dcterms:created>
  <dcterms:modified xsi:type="dcterms:W3CDTF">2019-11-12T12:32:00Z</dcterms:modified>
</cp:coreProperties>
</file>