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66" w:rsidRPr="00A368DD" w:rsidRDefault="00014566" w:rsidP="00A368DD">
      <w:pPr>
        <w:jc w:val="center"/>
      </w:pPr>
    </w:p>
    <w:p w:rsidR="00F23B46" w:rsidRPr="00A368DD" w:rsidRDefault="00F23B46" w:rsidP="00A368DD">
      <w:pPr>
        <w:jc w:val="center"/>
      </w:pPr>
    </w:p>
    <w:p w:rsidR="00F23B46" w:rsidRPr="00A368DD" w:rsidRDefault="00F23B46" w:rsidP="00A368DD">
      <w:pPr>
        <w:jc w:val="center"/>
      </w:pPr>
    </w:p>
    <w:p w:rsidR="00014566" w:rsidRPr="00A368DD" w:rsidRDefault="00774F91" w:rsidP="00A368DD">
      <w:pPr>
        <w:jc w:val="center"/>
      </w:pPr>
      <w:r>
        <w:t>PIEKTĀ NODAĻA</w:t>
      </w:r>
    </w:p>
    <w:p w:rsidR="00014566" w:rsidRPr="00A368DD" w:rsidRDefault="00014566" w:rsidP="00A368DD">
      <w:pPr>
        <w:jc w:val="center"/>
      </w:pPr>
    </w:p>
    <w:p w:rsidR="00F23B46" w:rsidRPr="00A368DD" w:rsidRDefault="00F23B46" w:rsidP="00A368DD">
      <w:pPr>
        <w:jc w:val="center"/>
      </w:pPr>
    </w:p>
    <w:p w:rsidR="00F23B46" w:rsidRPr="00A368DD" w:rsidRDefault="00F23B46" w:rsidP="00A368DD">
      <w:pPr>
        <w:jc w:val="center"/>
      </w:pPr>
    </w:p>
    <w:p w:rsidR="00F23B46" w:rsidRPr="00A368DD" w:rsidRDefault="00F23B46" w:rsidP="00A368DD">
      <w:pPr>
        <w:jc w:val="center"/>
      </w:pPr>
    </w:p>
    <w:p w:rsidR="00F23B46" w:rsidRPr="00A368DD" w:rsidRDefault="00F23B46" w:rsidP="00A368DD">
      <w:pPr>
        <w:jc w:val="center"/>
      </w:pPr>
    </w:p>
    <w:p w:rsidR="00F23B46" w:rsidRPr="00A368DD" w:rsidRDefault="00F23B46" w:rsidP="00A368DD">
      <w:pPr>
        <w:jc w:val="center"/>
      </w:pPr>
    </w:p>
    <w:p w:rsidR="00014566" w:rsidRPr="00A368DD" w:rsidRDefault="00014566" w:rsidP="00A368DD">
      <w:pPr>
        <w:jc w:val="center"/>
        <w:rPr>
          <w:b/>
        </w:rPr>
      </w:pPr>
      <w:bookmarkStart w:id="0" w:name="To"/>
      <w:r>
        <w:rPr>
          <w:b/>
        </w:rPr>
        <w:t xml:space="preserve">LIETA </w:t>
      </w:r>
      <w:bookmarkEnd w:id="0"/>
      <w:r>
        <w:rPr>
          <w:b/>
        </w:rPr>
        <w:t>ODEROVS pret LATVIJU</w:t>
      </w:r>
    </w:p>
    <w:p w:rsidR="00014566" w:rsidRPr="00A368DD" w:rsidRDefault="00014566" w:rsidP="00A368DD">
      <w:pPr>
        <w:jc w:val="center"/>
      </w:pPr>
    </w:p>
    <w:p w:rsidR="00014566" w:rsidRPr="00A368DD" w:rsidRDefault="00014566" w:rsidP="00A368DD">
      <w:pPr>
        <w:jc w:val="center"/>
        <w:rPr>
          <w:i/>
        </w:rPr>
      </w:pPr>
      <w:r>
        <w:rPr>
          <w:i/>
        </w:rPr>
        <w:t>(Iesniegums Nr. 21979/08)</w:t>
      </w:r>
    </w:p>
    <w:p w:rsidR="00014566" w:rsidRPr="00A368DD" w:rsidRDefault="00014566" w:rsidP="00A368DD">
      <w:pPr>
        <w:jc w:val="center"/>
      </w:pPr>
    </w:p>
    <w:p w:rsidR="00014566" w:rsidRPr="00A368DD" w:rsidRDefault="00014566" w:rsidP="00A368DD">
      <w:pPr>
        <w:jc w:val="center"/>
      </w:pPr>
    </w:p>
    <w:p w:rsidR="00014566" w:rsidRPr="00A368DD" w:rsidRDefault="00014566" w:rsidP="00A368DD">
      <w:pPr>
        <w:jc w:val="center"/>
      </w:pPr>
    </w:p>
    <w:p w:rsidR="00A368DD" w:rsidRPr="00A368DD" w:rsidRDefault="00A368DD" w:rsidP="00A368DD">
      <w:pPr>
        <w:jc w:val="center"/>
      </w:pPr>
    </w:p>
    <w:p w:rsidR="00A368DD" w:rsidRPr="00A368DD" w:rsidRDefault="00A368DD" w:rsidP="00A368DD">
      <w:pPr>
        <w:jc w:val="center"/>
      </w:pPr>
    </w:p>
    <w:p w:rsidR="00A368DD" w:rsidRPr="00A368DD" w:rsidRDefault="00A368DD" w:rsidP="00A368DD">
      <w:pPr>
        <w:jc w:val="center"/>
      </w:pPr>
    </w:p>
    <w:p w:rsidR="00A368DD" w:rsidRPr="00A368DD" w:rsidRDefault="00A368DD" w:rsidP="00A368DD">
      <w:pPr>
        <w:jc w:val="center"/>
      </w:pPr>
    </w:p>
    <w:p w:rsidR="00A368DD" w:rsidRPr="00A368DD" w:rsidRDefault="00A368DD" w:rsidP="00A368DD">
      <w:pPr>
        <w:jc w:val="center"/>
      </w:pPr>
    </w:p>
    <w:p w:rsidR="00A368DD" w:rsidRPr="00A368DD" w:rsidRDefault="00A368DD" w:rsidP="00A368DD">
      <w:pPr>
        <w:jc w:val="center"/>
      </w:pPr>
    </w:p>
    <w:p w:rsidR="00A368DD" w:rsidRPr="00A368DD" w:rsidRDefault="00A368DD" w:rsidP="00A368DD">
      <w:pPr>
        <w:jc w:val="center"/>
      </w:pPr>
    </w:p>
    <w:p w:rsidR="00014566" w:rsidRPr="00A368DD" w:rsidRDefault="00014566" w:rsidP="00A368DD">
      <w:pPr>
        <w:jc w:val="center"/>
      </w:pPr>
    </w:p>
    <w:p w:rsidR="00014566" w:rsidRPr="00A368DD" w:rsidRDefault="00014566" w:rsidP="00A368DD">
      <w:pPr>
        <w:jc w:val="center"/>
      </w:pPr>
    </w:p>
    <w:p w:rsidR="008905F4" w:rsidRPr="00A368DD" w:rsidRDefault="00F23B46" w:rsidP="00A368DD">
      <w:pPr>
        <w:jc w:val="center"/>
      </w:pPr>
      <w:r>
        <w:t>SPRIEDUMS</w:t>
      </w:r>
    </w:p>
    <w:p w:rsidR="008B4CC4" w:rsidRPr="00A368DD" w:rsidRDefault="008B4CC4" w:rsidP="00A368DD">
      <w:pPr>
        <w:jc w:val="center"/>
      </w:pPr>
    </w:p>
    <w:p w:rsidR="00F23B46" w:rsidRPr="00A368DD" w:rsidRDefault="00F23B46" w:rsidP="00A368DD">
      <w:pPr>
        <w:jc w:val="center"/>
      </w:pPr>
    </w:p>
    <w:p w:rsidR="00F23B46" w:rsidRPr="00A368DD" w:rsidRDefault="00F23B46" w:rsidP="00A368DD">
      <w:pPr>
        <w:jc w:val="center"/>
      </w:pPr>
    </w:p>
    <w:p w:rsidR="00F23B46" w:rsidRPr="00A368DD" w:rsidRDefault="00F23B46" w:rsidP="00A368DD">
      <w:pPr>
        <w:jc w:val="center"/>
      </w:pPr>
      <w:r>
        <w:t>STRASBŪRA</w:t>
      </w:r>
    </w:p>
    <w:p w:rsidR="00F23B46" w:rsidRPr="00A368DD" w:rsidRDefault="00F23B46" w:rsidP="00A368DD">
      <w:pPr>
        <w:jc w:val="center"/>
      </w:pPr>
    </w:p>
    <w:p w:rsidR="00F23B46" w:rsidRPr="00A368DD" w:rsidRDefault="00F23B46" w:rsidP="00A368DD">
      <w:pPr>
        <w:jc w:val="center"/>
      </w:pPr>
      <w:r>
        <w:t>2017.gada 15.jūnijs</w:t>
      </w:r>
    </w:p>
    <w:p w:rsidR="00F23B46" w:rsidRPr="00A368DD" w:rsidRDefault="00F23B46" w:rsidP="00A368DD">
      <w:pPr>
        <w:jc w:val="center"/>
      </w:pPr>
    </w:p>
    <w:p w:rsidR="00F23B46" w:rsidRPr="00A368DD" w:rsidRDefault="00F23B46" w:rsidP="00A368DD">
      <w:pPr>
        <w:jc w:val="center"/>
      </w:pPr>
    </w:p>
    <w:p w:rsidR="00932342" w:rsidRDefault="00932342" w:rsidP="00932342">
      <w:pPr>
        <w:jc w:val="center"/>
        <w:rPr>
          <w:rFonts w:ascii="Times New Roman" w:hAnsi="Times New Roman" w:cs="Times New Roman"/>
          <w:i/>
          <w:szCs w:val="24"/>
        </w:rPr>
      </w:pPr>
      <w:r w:rsidRPr="008F2C2A">
        <w:rPr>
          <w:rFonts w:ascii="Times New Roman" w:hAnsi="Times New Roman" w:cs="Times New Roman"/>
          <w:i/>
          <w:szCs w:val="24"/>
        </w:rPr>
        <w:t xml:space="preserve">Šis spriedums ir stājies spēkā. </w:t>
      </w:r>
    </w:p>
    <w:p w:rsidR="00F23B46" w:rsidRPr="00A368DD" w:rsidRDefault="00932342" w:rsidP="00A368DD">
      <w:pPr>
        <w:jc w:val="center"/>
      </w:pPr>
      <w:r w:rsidRPr="008F2C2A">
        <w:rPr>
          <w:rFonts w:ascii="Times New Roman" w:hAnsi="Times New Roman" w:cs="Times New Roman"/>
          <w:i/>
          <w:szCs w:val="24"/>
        </w:rPr>
        <w:t>Tajā var tikt izdarītas redakcionālas izmaiņas</w:t>
      </w:r>
      <w:r w:rsidRPr="008F2C2A">
        <w:rPr>
          <w:i/>
          <w:iCs/>
          <w:sz w:val="22"/>
        </w:rPr>
        <w:t>.</w:t>
      </w:r>
    </w:p>
    <w:p w:rsidR="00F23B46" w:rsidRPr="00A368DD" w:rsidRDefault="00F23B46" w:rsidP="00A368DD">
      <w:pPr>
        <w:pStyle w:val="JuCase"/>
        <w:ind w:firstLine="0"/>
        <w:sectPr w:rsidR="00F23B46" w:rsidRPr="00A368DD" w:rsidSect="00F23B46">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00014566" w:rsidRPr="00A368DD" w:rsidRDefault="00014566" w:rsidP="00A368DD">
      <w:pPr>
        <w:pStyle w:val="JuCase"/>
        <w:ind w:firstLine="0"/>
        <w:rPr>
          <w:bCs/>
        </w:rPr>
      </w:pPr>
      <w:r>
        <w:lastRenderedPageBreak/>
        <w:t>Lietā Oderovs pret Latviju</w:t>
      </w:r>
    </w:p>
    <w:p w:rsidR="00014566" w:rsidRPr="00A368DD" w:rsidRDefault="00014566" w:rsidP="00A368DD">
      <w:pPr>
        <w:pStyle w:val="ECHRPara"/>
      </w:pPr>
      <w:r>
        <w:t xml:space="preserve">Eiropas Cilvēktiesību tiesa (Piektā nodaļa), sanākusi kā </w:t>
      </w:r>
      <w:r w:rsidR="007F06D4">
        <w:t>komiteja</w:t>
      </w:r>
      <w:r>
        <w:t xml:space="preserve"> šādā sastāvā:</w:t>
      </w:r>
    </w:p>
    <w:p w:rsidR="00014566" w:rsidRPr="00A368DD" w:rsidRDefault="00F23B46" w:rsidP="00A368DD">
      <w:pPr>
        <w:pStyle w:val="ECHRDecisionBody"/>
      </w:pPr>
      <w:r>
        <w:tab/>
      </w:r>
      <w:r>
        <w:rPr>
          <w:i/>
        </w:rPr>
        <w:t>André Potocki</w:t>
      </w:r>
      <w:r>
        <w:t>,</w:t>
      </w:r>
      <w:r>
        <w:rPr>
          <w:i/>
        </w:rPr>
        <w:t xml:space="preserve"> priekšsēdētājs,</w:t>
      </w:r>
      <w:r>
        <w:rPr>
          <w:i/>
        </w:rPr>
        <w:br/>
      </w:r>
      <w:r>
        <w:tab/>
        <w:t>Mārtiņš Mits,</w:t>
      </w:r>
      <w:r>
        <w:rPr>
          <w:i/>
        </w:rPr>
        <w:br/>
      </w:r>
      <w:r>
        <w:tab/>
      </w:r>
      <w:r>
        <w:rPr>
          <w:i/>
        </w:rPr>
        <w:t>Lәtif Hüseynov</w:t>
      </w:r>
      <w:r>
        <w:t>,</w:t>
      </w:r>
      <w:r>
        <w:rPr>
          <w:i/>
        </w:rPr>
        <w:t xml:space="preserve"> tiesneši,</w:t>
      </w:r>
      <w:r>
        <w:br/>
        <w:t xml:space="preserve">un </w:t>
      </w:r>
      <w:r w:rsidRPr="007F06D4">
        <w:rPr>
          <w:i/>
        </w:rPr>
        <w:t>Anne-Marie Dougin</w:t>
      </w:r>
      <w:r>
        <w:t xml:space="preserve">, </w:t>
      </w:r>
      <w:r>
        <w:rPr>
          <w:i/>
        </w:rPr>
        <w:t>nodaļas sekretāra vietnieka vietas izpildītāja,</w:t>
      </w:r>
    </w:p>
    <w:p w:rsidR="00014566" w:rsidRPr="00A368DD" w:rsidRDefault="00014566" w:rsidP="00A368DD">
      <w:pPr>
        <w:pStyle w:val="ECHRPara"/>
      </w:pPr>
      <w:r>
        <w:t>pēc apspriešanās slēgtā sēdē 2017.gada 23.maijā,</w:t>
      </w:r>
    </w:p>
    <w:p w:rsidR="00014566" w:rsidRPr="00A368DD" w:rsidRDefault="00014566" w:rsidP="00A368DD">
      <w:pPr>
        <w:pStyle w:val="ECHRPara"/>
      </w:pPr>
      <w:r>
        <w:t>pasludina šādu spriedumu, kas pieņemts šajā datumā:</w:t>
      </w:r>
    </w:p>
    <w:p w:rsidR="00014566" w:rsidRPr="00A368DD" w:rsidRDefault="00014566" w:rsidP="00A368DD">
      <w:pPr>
        <w:pStyle w:val="ECHRTitle1"/>
      </w:pPr>
      <w:r>
        <w:t>TIESVEDĪBA</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w:t>
      </w:r>
      <w:r w:rsidRPr="00A368DD">
        <w:fldChar w:fldCharType="end"/>
      </w:r>
      <w:r w:rsidR="00714202">
        <w:t>.  Lietas pamatā ir iesniegums (Nr. 21979/08), kuru pret Latvijas Republiku Tiesā saskaņā ar</w:t>
      </w:r>
      <w:r w:rsidR="006B19AE">
        <w:t xml:space="preserve"> Eiropas</w:t>
      </w:r>
      <w:r w:rsidR="00714202">
        <w:t xml:space="preserve"> Cilvēk</w:t>
      </w:r>
      <w:r w:rsidR="006B19AE">
        <w:t xml:space="preserve">a </w:t>
      </w:r>
      <w:r w:rsidR="00714202">
        <w:t>tiesību un pamatbrīvību aizsardzības konvencijas („Konvencija”) 34. pantu 2008. gada 26.martā iesniedza Latvijas pilsonis Vladimirs Oderovs („iesniedzējs”).</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2</w:t>
      </w:r>
      <w:r w:rsidRPr="00A368DD">
        <w:fldChar w:fldCharType="end"/>
      </w:r>
      <w:r w:rsidR="00714202">
        <w:t>.  Iesniedzēju pārstāvēja</w:t>
      </w:r>
      <w:r w:rsidR="006B19AE">
        <w:t xml:space="preserve"> Briselē praktizējoša advokāte</w:t>
      </w:r>
      <w:r w:rsidR="00714202">
        <w:t xml:space="preserve"> </w:t>
      </w:r>
      <w:r w:rsidR="00714202" w:rsidRPr="006B19AE">
        <w:rPr>
          <w:i/>
        </w:rPr>
        <w:t>L.Defalque</w:t>
      </w:r>
      <w:r w:rsidR="006B19AE">
        <w:t>.</w:t>
      </w:r>
      <w:r w:rsidR="00714202">
        <w:t xml:space="preserve"> Latvijas valdību („Valdība”) pārstāvēja tās pārstāves I.Reine un pēc tam K.Līce.</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3</w:t>
      </w:r>
      <w:r w:rsidRPr="00A368DD">
        <w:fldChar w:fldCharType="end"/>
      </w:r>
      <w:r w:rsidR="00714202">
        <w:t>.  Iesniedzējs</w:t>
      </w:r>
      <w:r w:rsidR="006B19AE">
        <w:t xml:space="preserve"> jo īpaši </w:t>
      </w:r>
      <w:r w:rsidR="00714202">
        <w:t xml:space="preserve">apgalvoja, ka </w:t>
      </w:r>
      <w:r w:rsidR="006B19AE">
        <w:t>viņa telefonsarunu</w:t>
      </w:r>
      <w:r w:rsidR="00714202">
        <w:t xml:space="preserve"> ar O.S.</w:t>
      </w:r>
      <w:r w:rsidR="006B19AE">
        <w:t xml:space="preserve"> slepenā noklausīšanās ir notikusi, pārkāpjot </w:t>
      </w:r>
      <w:r w:rsidR="00714202">
        <w:t>Konvencijas 8.pant</w:t>
      </w:r>
      <w:r w:rsidR="006B19AE">
        <w:t>u</w:t>
      </w:r>
      <w:r w:rsidR="00714202">
        <w:t>.</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4</w:t>
      </w:r>
      <w:r w:rsidRPr="00A368DD">
        <w:fldChar w:fldCharType="end"/>
      </w:r>
      <w:r w:rsidR="00714202">
        <w:t>.  2011.gada 16.decembrī sūdzība sa</w:t>
      </w:r>
      <w:r w:rsidR="006B19AE">
        <w:t xml:space="preserve">istībā ar </w:t>
      </w:r>
      <w:r w:rsidR="00714202">
        <w:t>Konvencijas 8.pantu tika nosūtīta Valdībai.</w:t>
      </w:r>
    </w:p>
    <w:p w:rsidR="00014566" w:rsidRPr="00A368DD" w:rsidRDefault="00014566" w:rsidP="00A368DD">
      <w:pPr>
        <w:pStyle w:val="ECHRTitle1"/>
      </w:pPr>
      <w:r>
        <w:t>FAKTI</w:t>
      </w:r>
    </w:p>
    <w:p w:rsidR="00014566" w:rsidRPr="00A368DD" w:rsidRDefault="00014566" w:rsidP="00A368DD">
      <w:pPr>
        <w:pStyle w:val="ECHRHeading1"/>
      </w:pPr>
      <w:r>
        <w:t>I. LIETAS APSTĀKĻI</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5</w:t>
      </w:r>
      <w:r w:rsidRPr="00A368DD">
        <w:fldChar w:fldCharType="end"/>
      </w:r>
      <w:r w:rsidR="00714202">
        <w:t>.  Iesniedzējs ir dzimis 1960.gadā un dzīvo Rīgā.</w:t>
      </w:r>
    </w:p>
    <w:p w:rsidR="00714202" w:rsidRPr="00A368DD" w:rsidRDefault="00714202" w:rsidP="00A368DD">
      <w:pPr>
        <w:pStyle w:val="ECHRHeading2"/>
      </w:pPr>
      <w:r>
        <w:t>A.</w:t>
      </w:r>
      <w:r>
        <w:tab/>
      </w:r>
      <w:r w:rsidR="006B19AE">
        <w:t>P</w:t>
      </w:r>
      <w:r>
        <w:t>ret iesniedzēju</w:t>
      </w:r>
      <w:r w:rsidR="006B19AE">
        <w:t xml:space="preserve"> uzsāktais kriminālprocess</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6</w:t>
      </w:r>
      <w:r w:rsidRPr="00A368DD">
        <w:fldChar w:fldCharType="end"/>
      </w:r>
      <w:r w:rsidR="00714202">
        <w:t xml:space="preserve">.  2004.gada 5.novembrī tika ierosināts kriminālprocess saistībā ar naftas produktu kontrabandu lielos apmēros un 2005.gada 27.septembrī iesniedzējs tika atzīts par aizdomās turamo. Pēdējā no minētajiem datumiem viņš </w:t>
      </w:r>
      <w:r w:rsidR="006B19AE">
        <w:t>nozīmēja</w:t>
      </w:r>
      <w:r w:rsidR="00714202">
        <w:t xml:space="preserve"> O.S. par savu aizstāvi.</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7</w:t>
      </w:r>
      <w:r w:rsidRPr="00A368DD">
        <w:fldChar w:fldCharType="end"/>
      </w:r>
      <w:r w:rsidR="00714202">
        <w:t xml:space="preserve">.  2006.gada 8.jūnijā pret iesniedzēju tika celta apsūdzība un 2007.gada 22.martā viņam tika izsniegta visas viņa krimināllietas kopija. Tā sastāvēja no vairāk kā 100 sējumiem un ietvēra - sējumos  Nr. 33 (64 lapas) un Nr.58 </w:t>
      </w:r>
      <w:r w:rsidR="00714202">
        <w:lastRenderedPageBreak/>
        <w:t>(194</w:t>
      </w:r>
      <w:r w:rsidR="006B19AE">
        <w:t xml:space="preserve"> </w:t>
      </w:r>
      <w:r w:rsidR="00714202">
        <w:t>lapas) - iesniedzēja telefonsarunu ar vairākām personām, tai skaitā O.S., atšifrējumus (skatīt turpmāk 10.rindkopu).</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8</w:t>
      </w:r>
      <w:r w:rsidRPr="00A368DD">
        <w:fldChar w:fldCharType="end"/>
      </w:r>
      <w:r w:rsidR="00714202">
        <w:t>.  2007.gada 27.martā lietas materiāli tika nosūtīti izskatīšanai pirmās instances tiesai. 2008.gada 9.jūnijā pirmās instances tiesa atzina iesniedzēju par vainīgu naftas produktu kontrabandā lielos apmēros, viltošanā</w:t>
      </w:r>
      <w:r w:rsidR="006B19AE">
        <w:t xml:space="preserve"> atbildību pastiprinošos apstākļos</w:t>
      </w:r>
      <w:r w:rsidR="00714202">
        <w:t xml:space="preserve"> un nelikumīgi iegūt</w:t>
      </w:r>
      <w:r w:rsidR="006B19AE">
        <w:t>u</w:t>
      </w:r>
      <w:r w:rsidR="00714202">
        <w:t xml:space="preserve"> līdzekļu legalizēšanā, kas izdarīta organizētā grupā, un notiesāja viņu ar brīvības atņemšanu uz pieciem gadiem un vienu mēnesi. Pusēm </w:t>
      </w:r>
      <w:r w:rsidR="006B19AE">
        <w:t xml:space="preserve">ir </w:t>
      </w:r>
      <w:r w:rsidR="00714202">
        <w:t>domstarpības par to, vai iesniedzēja telefonsarunu ar O.S. atšifrējumi tika vai netika izmantoti kā pierādījumi pret viņu.</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9</w:t>
      </w:r>
      <w:r w:rsidRPr="00A368DD">
        <w:fldChar w:fldCharType="end"/>
      </w:r>
      <w:r w:rsidR="00714202">
        <w:t>.  2013.gada 23.septembrī apelācijas instances tiesa atcēla pirmās instances tiesas spriedumu un attaisnoja iesniedzēju</w:t>
      </w:r>
      <w:r w:rsidR="006B19AE">
        <w:t xml:space="preserve"> visās</w:t>
      </w:r>
      <w:r w:rsidR="00714202">
        <w:t xml:space="preserve"> viņam izvirzītajā</w:t>
      </w:r>
      <w:r w:rsidR="006B19AE">
        <w:t>s</w:t>
      </w:r>
      <w:r w:rsidR="00714202">
        <w:t xml:space="preserve"> apsūdzībā</w:t>
      </w:r>
      <w:r w:rsidR="006B19AE">
        <w:t>s</w:t>
      </w:r>
      <w:r w:rsidR="00714202">
        <w:t xml:space="preserve">. </w:t>
      </w:r>
      <w:r w:rsidR="006B19AE">
        <w:t>Ar g</w:t>
      </w:r>
      <w:r w:rsidR="00714202">
        <w:t>alīg</w:t>
      </w:r>
      <w:r w:rsidR="006B19AE">
        <w:t>o</w:t>
      </w:r>
      <w:r w:rsidR="00714202">
        <w:t xml:space="preserve"> 2014.gada 23.aprīļa lēmum</w:t>
      </w:r>
      <w:r w:rsidR="006B19AE">
        <w:t>u</w:t>
      </w:r>
      <w:r w:rsidR="00714202">
        <w:t xml:space="preserve"> Augstākā tiesa atteic</w:t>
      </w:r>
      <w:r w:rsidR="006B19AE">
        <w:t>ās</w:t>
      </w:r>
      <w:r w:rsidR="00714202">
        <w:t xml:space="preserve"> ierosināt kasācijas tiesvedību.</w:t>
      </w:r>
    </w:p>
    <w:p w:rsidR="00714202" w:rsidRPr="00A368DD" w:rsidRDefault="00714202" w:rsidP="00A368DD">
      <w:pPr>
        <w:pStyle w:val="ECHRHeading2"/>
      </w:pPr>
      <w:r>
        <w:t>B.</w:t>
      </w:r>
      <w:r>
        <w:tab/>
        <w:t>Iesniedzēja telefonsarunu ierakstīšana</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10</w:t>
      </w:r>
      <w:r w:rsidRPr="00A368DD">
        <w:fldChar w:fldCharType="end"/>
      </w:r>
      <w:r w:rsidR="00714202">
        <w:t>. </w:t>
      </w:r>
      <w:r w:rsidR="006B19AE">
        <w:t xml:space="preserve"> Noteiktā laika posmā</w:t>
      </w:r>
      <w:r w:rsidR="00714202">
        <w:t xml:space="preserve"> Satversmes aizsardzības birojs, kas ir vien</w:t>
      </w:r>
      <w:r w:rsidR="006B19AE">
        <w:t>a</w:t>
      </w:r>
      <w:r w:rsidR="00714202">
        <w:t xml:space="preserve"> no Latvijas</w:t>
      </w:r>
      <w:r w:rsidR="006B19AE">
        <w:t xml:space="preserve"> drošības iestādēm</w:t>
      </w:r>
      <w:r w:rsidR="00714202">
        <w:t>, noklausījās iesniedzēja telefonsarunas ar vairākām personām, tai skaitā</w:t>
      </w:r>
      <w:r w:rsidR="0080594E">
        <w:t xml:space="preserve"> ar</w:t>
      </w:r>
      <w:r w:rsidR="00714202">
        <w:t xml:space="preserve"> O.S. Telefonsarunas</w:t>
      </w:r>
      <w:r w:rsidR="006B19AE">
        <w:t>, kas notika</w:t>
      </w:r>
      <w:r w:rsidR="00714202">
        <w:t xml:space="preserve"> ar pēdējo</w:t>
      </w:r>
      <w:r w:rsidR="006B19AE">
        <w:t>,</w:t>
      </w:r>
      <w:r w:rsidR="00714202">
        <w:t xml:space="preserve"> tika ierakstītas 2005.gada 8. aprīlī, 22. un 27.maijā un 7. oktobrī. Četras lapas </w:t>
      </w:r>
      <w:r w:rsidR="006B19AE">
        <w:t>ar</w:t>
      </w:r>
      <w:r w:rsidR="00714202">
        <w:t xml:space="preserve"> šo ierakstu atšifrējumiem pēc tam tika iekļautas krimināllietas materiālos kā pierādījumi pret iesniedzēju (skatīt iepriekš 7.rindkopu).</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11</w:t>
      </w:r>
      <w:r w:rsidRPr="00A368DD">
        <w:fldChar w:fldCharType="end"/>
      </w:r>
      <w:r w:rsidR="00714202">
        <w:t>.  Pus</w:t>
      </w:r>
      <w:r w:rsidR="006B19AE">
        <w:t xml:space="preserve">ēm ir domstarpības par to, kad </w:t>
      </w:r>
      <w:r w:rsidR="00714202">
        <w:t xml:space="preserve">iesniedzējs uzzināja par šiem ierakstiem. </w:t>
      </w:r>
      <w:r w:rsidR="006B19AE">
        <w:t xml:space="preserve">Tās </w:t>
      </w:r>
      <w:r w:rsidR="00714202">
        <w:t xml:space="preserve">nav vienisprātis arī par to, vai O.S. bija iesniedzēja </w:t>
      </w:r>
      <w:r w:rsidR="0080594E">
        <w:t xml:space="preserve">aizstāvis </w:t>
      </w:r>
      <w:r w:rsidR="00714202">
        <w:t>šo ierakstu izdarīšanas laikā. Pēc iesniedzēja teiktā, O.S. bija viņa a</w:t>
      </w:r>
      <w:r w:rsidR="0080594E">
        <w:t>izstāvis</w:t>
      </w:r>
      <w:r w:rsidR="00714202">
        <w:t xml:space="preserve"> kopš 2005.gada 8.februāra. Pēc Valdības teiktā, O.S.</w:t>
      </w:r>
      <w:r w:rsidR="0080594E">
        <w:t xml:space="preserve"> un iesniedzējs bija paziņas</w:t>
      </w:r>
      <w:r w:rsidR="00714202">
        <w:t xml:space="preserve">; </w:t>
      </w:r>
      <w:r w:rsidR="0080594E">
        <w:t xml:space="preserve">par aizstāvi </w:t>
      </w:r>
      <w:r w:rsidR="00714202">
        <w:t>viņš kļuva tikai no 2005.gada 27.septembra, kad iesniedzējs</w:t>
      </w:r>
      <w:r w:rsidR="0080594E">
        <w:t xml:space="preserve"> viņu nozīmēja par savu aizstāvi</w:t>
      </w:r>
      <w:r w:rsidR="00714202">
        <w:t>.</w:t>
      </w:r>
    </w:p>
    <w:p w:rsidR="00532CDC"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12</w:t>
      </w:r>
      <w:r>
        <w:rPr>
          <w:noProof/>
        </w:rPr>
        <w:fldChar w:fldCharType="end"/>
      </w:r>
      <w:r w:rsidR="00B02ED1">
        <w:t>.  Saskaņā ar Augstākās tiesas 2012.gada 27.jūnijā sagatavotu un Valdībai adresētu uzziņu 2004.gada 26.novembrī tika dota atļauja veikt operatīvo pasākumu - iesniedzēja telefonsarunu noklausīšanos - līdz 2005.gada 26.janvārim. Dokuments balstījās uz “Augstākās tiesas</w:t>
      </w:r>
      <w:r w:rsidR="00C174E3">
        <w:t xml:space="preserve"> sevišķo lietvedību</w:t>
      </w:r>
      <w:r w:rsidR="00B02ED1">
        <w:t xml:space="preserve"> attiecībā uz 2004.gadā klasificētajiem valsts noslēpum</w:t>
      </w:r>
      <w:r w:rsidR="00C174E3">
        <w:t>a objektiem</w:t>
      </w:r>
      <w:r w:rsidR="00B02ED1">
        <w:t>, 11.sējumu, 2004.gada 26.novembra ieraksts Nr. 2</w:t>
      </w:r>
      <w:r w:rsidR="00B02ED1">
        <w:noBreakHyphen/>
        <w:t>4249s”. Šis dokuments ietvēra arī līdzīgus ierakstus saistībā ar turpmākajām atļaujām 2005.gada 25.janvārī, 31.martā, 1.jūnijā, 22.jūlijā, 20.septembrī un 16.novembrī.</w:t>
      </w:r>
    </w:p>
    <w:p w:rsidR="00714202" w:rsidRPr="00A368DD" w:rsidRDefault="00714202" w:rsidP="00A368DD">
      <w:pPr>
        <w:pStyle w:val="ECHRHeading2"/>
      </w:pPr>
      <w:r>
        <w:t>C.</w:t>
      </w:r>
      <w:r>
        <w:tab/>
        <w:t>Iesniedzēja sūdzību izskatīšana nacionālā līmenī</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13</w:t>
      </w:r>
      <w:r w:rsidRPr="00A368DD">
        <w:fldChar w:fldCharType="end"/>
      </w:r>
      <w:r w:rsidR="00714202">
        <w:t>.  2006.gada 27.jūnijā prokurore</w:t>
      </w:r>
      <w:r w:rsidR="008C7303">
        <w:t>, atsaucoties uz Operatīvās darbības likuma 35.panta 1.punktu,</w:t>
      </w:r>
      <w:r w:rsidR="00714202">
        <w:t xml:space="preserve"> izskatīja iesniedzēja pieprasījumu </w:t>
      </w:r>
      <w:r w:rsidR="008C7303">
        <w:t>saistībā ar v</w:t>
      </w:r>
      <w:r w:rsidR="00714202">
        <w:t xml:space="preserve">iņa telefonsarunu ierakstīšanu. Viņa informēja viņu, ka Augstākās tiesas </w:t>
      </w:r>
      <w:r w:rsidR="00714202">
        <w:lastRenderedPageBreak/>
        <w:t xml:space="preserve">tiesnesis ir </w:t>
      </w:r>
      <w:r w:rsidR="008C7303">
        <w:t xml:space="preserve">sankcionējis </w:t>
      </w:r>
      <w:r w:rsidR="00714202">
        <w:t>šo pasākumu saskaņā ar Operatīvās darbības likuma 7.panta 3.punktu un 7.panta 4.punktu, kā arī 17.pantu. Viņa izskaidroja juridisko regulējumu, kas attiecās uz šādu ierakstu izmantošanu kriminālprocesos. Viņa atsaucās arī uz Konvencijas 8.pantu un tajā ietvertajiem pieļaujamajiem ierobežojumiem.</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14</w:t>
      </w:r>
      <w:r w:rsidRPr="00A368DD">
        <w:fldChar w:fldCharType="end"/>
      </w:r>
      <w:r w:rsidR="00714202">
        <w:t>.  2006.gada 13.oktobrī tā pati prokurore izskatīja iesniedzēja</w:t>
      </w:r>
      <w:r w:rsidR="008C7303">
        <w:t xml:space="preserve"> sekojošo</w:t>
      </w:r>
      <w:r w:rsidR="00714202">
        <w:t xml:space="preserve"> sūdzību par ierakstu</w:t>
      </w:r>
      <w:r w:rsidR="008C7303">
        <w:t xml:space="preserve"> izdarīšanas</w:t>
      </w:r>
      <w:r w:rsidR="00714202">
        <w:t xml:space="preserve"> likumību. Viņa norādīja, ka Satversmes aizsardzības birojs veica noklausīšanos</w:t>
      </w:r>
      <w:r w:rsidR="008C7303">
        <w:t xml:space="preserve"> laikā</w:t>
      </w:r>
      <w:r w:rsidR="00714202">
        <w:t xml:space="preserve"> no 2004.gada decembra līdz 2006.gada janvārim. Tā </w:t>
      </w:r>
      <w:r w:rsidR="008C7303">
        <w:t>tika</w:t>
      </w:r>
      <w:r w:rsidR="00714202">
        <w:t xml:space="preserve"> veikta saskaņā ar nacionālajiem tiesību aktiem sakarā ar aizdomām par izvairīšanos no nodokļu nomaksas lielos apmēros. </w:t>
      </w:r>
      <w:r w:rsidR="008C7303">
        <w:t>Kriminālprocesā nozīmīgo t</w:t>
      </w:r>
      <w:r w:rsidR="00714202">
        <w:t>elefonsarunu atšifrējumi</w:t>
      </w:r>
      <w:r w:rsidR="008C7303">
        <w:t xml:space="preserve"> </w:t>
      </w:r>
      <w:r w:rsidR="00714202">
        <w:t>tika nosūtīti procesa virzītājam un tika vērtēti šī kriminālprocesa kontekstā.</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15</w:t>
      </w:r>
      <w:r w:rsidRPr="00A368DD">
        <w:fldChar w:fldCharType="end"/>
      </w:r>
      <w:r w:rsidR="00714202">
        <w:t xml:space="preserve">.  2006.gada 13.novembrī tā pati prokurore noraidīja iesniedzēja lūgumu </w:t>
      </w:r>
      <w:r w:rsidR="008C7303">
        <w:t>sniegt pieeju lēmumiem</w:t>
      </w:r>
      <w:r w:rsidR="00714202">
        <w:t>, ar kuriem tika atļauta viņa telefonsarunu noklausīšanās, jo tie saturēja klasificētu informāciju.</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16</w:t>
      </w:r>
      <w:r w:rsidRPr="00A368DD">
        <w:fldChar w:fldCharType="end"/>
      </w:r>
      <w:r w:rsidR="00714202">
        <w:t xml:space="preserve">.  2007.gada 21.decembrī iesniedzējs iesniedza prokuratūrā citu sūdzību par to, ka viņa telefonsarunas ar </w:t>
      </w:r>
      <w:r w:rsidR="008C7303">
        <w:t>aizstāvi</w:t>
      </w:r>
      <w:r w:rsidR="00714202">
        <w:t xml:space="preserve"> ir noklausītas un ka šo sarunu ieraksti tika atskaņoti tiesas sēdē. Iesniedzējs norādīja, ka </w:t>
      </w:r>
      <w:r w:rsidR="008C7303">
        <w:t>atbildīgais</w:t>
      </w:r>
      <w:r w:rsidR="00714202">
        <w:t xml:space="preserve"> prokurors I.K. ir zinājis par to, ka tās ir sarunas starp viņu un viņa </w:t>
      </w:r>
      <w:r w:rsidR="008C7303">
        <w:t>aizstāvi, un ka tādējādi viņš ir</w:t>
      </w:r>
      <w:r w:rsidR="00714202">
        <w:t xml:space="preserve"> pārkāpis nacionālās tiesību normas. Iesniedzējs lūdza, lai tiek pārbaudīta prokurora darbību likumība un tiek lemts par to, vai viņš </w:t>
      </w:r>
      <w:r w:rsidR="008C7303">
        <w:t xml:space="preserve">atbilst </w:t>
      </w:r>
      <w:r w:rsidR="00714202">
        <w:t>savam amatam. Iesniedzējs arī lūdza ierosināt kriminālprocesu pret I.K.</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17</w:t>
      </w:r>
      <w:r w:rsidRPr="00A368DD">
        <w:fldChar w:fldCharType="end"/>
      </w:r>
      <w:r w:rsidR="00714202">
        <w:t xml:space="preserve">.  2008.gada 3.janvārī cits prokurors </w:t>
      </w:r>
      <w:r w:rsidR="008C7303">
        <w:t>no</w:t>
      </w:r>
      <w:r w:rsidR="00714202">
        <w:t>lēma atteikt</w:t>
      </w:r>
      <w:r w:rsidR="008C7303">
        <w:t>ies</w:t>
      </w:r>
      <w:r w:rsidR="00714202">
        <w:t xml:space="preserve"> ierosināt kriminālprocesu pret I.K.</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18</w:t>
      </w:r>
      <w:r w:rsidRPr="00A368DD">
        <w:fldChar w:fldCharType="end"/>
      </w:r>
      <w:r w:rsidR="00714202">
        <w:t>.  2008.gada 15.janvārī iesniedzējs pārsūdzēja atteikumu ierosināt kriminālprocesu un sūdzējās arī par to, ka 2008.gada 3.janvāra atbilde nav sniegusi atbildi uz viņa lūgumu izvērtēt I.K.</w:t>
      </w:r>
      <w:r w:rsidR="008C7303">
        <w:t xml:space="preserve"> </w:t>
      </w:r>
      <w:r w:rsidR="00714202">
        <w:t xml:space="preserve">darbību likumību un viņa </w:t>
      </w:r>
      <w:r w:rsidR="008C7303">
        <w:t xml:space="preserve">atbilstību </w:t>
      </w:r>
      <w:r w:rsidR="00714202">
        <w:t>prokurora amatam. Viņš atsaucās uz attiecīgo nacionālo tiesību aktu no</w:t>
      </w:r>
      <w:r w:rsidR="008C7303">
        <w:t>rmām</w:t>
      </w:r>
      <w:r w:rsidR="00714202">
        <w:t xml:space="preserve"> un Konvencijas 8.pantu.</w:t>
      </w:r>
    </w:p>
    <w:p w:rsidR="00714202" w:rsidRPr="00A368DD" w:rsidRDefault="00D078B6" w:rsidP="00A368DD">
      <w:pPr>
        <w:pStyle w:val="ECHRPara"/>
      </w:pPr>
      <w:r w:rsidRPr="00A368DD">
        <w:fldChar w:fldCharType="begin"/>
      </w:r>
      <w:r w:rsidR="00714202" w:rsidRPr="00A368DD">
        <w:instrText xml:space="preserve"> SEQ level0 \*arabic </w:instrText>
      </w:r>
      <w:r w:rsidRPr="00A368DD">
        <w:fldChar w:fldCharType="separate"/>
      </w:r>
      <w:r w:rsidR="00A368DD" w:rsidRPr="00A368DD">
        <w:rPr>
          <w:noProof/>
        </w:rPr>
        <w:t>19</w:t>
      </w:r>
      <w:r w:rsidRPr="00A368DD">
        <w:fldChar w:fldCharType="end"/>
      </w:r>
      <w:r w:rsidR="00714202">
        <w:t xml:space="preserve">.  2008.gada 21.janvārī augstāka līmeņa prokurore noraidīja iesniedzēja sūdzību. Viņa norādīja, ka līdz 2005.gada 27.septembrim iesniedzējs nebija pilnvarojis O.S. </w:t>
      </w:r>
      <w:r w:rsidR="0073425E">
        <w:t xml:space="preserve">aizstāvēt </w:t>
      </w:r>
      <w:r w:rsidR="00714202">
        <w:t xml:space="preserve">viņu šajā kriminālprocesā un ka līdz ar to līdz šim datumam noklausītās sarunas ir notikušas starp iesniedzēju un O.S. kā </w:t>
      </w:r>
      <w:r w:rsidR="00F14949">
        <w:t>privātpersonu</w:t>
      </w:r>
      <w:r w:rsidR="00714202">
        <w:t>, nevis praktizējošu advokātu. Attiecībā uz 2005.gada 7.oktobra sarunu viņa norādīja, ka noklausītas tika nevis O.S. telefonsarunas, bet iesniedzēja telefonsarunas, kam Augstākās tiesas tiesnesis</w:t>
      </w:r>
      <w:r w:rsidR="00F14949">
        <w:t xml:space="preserve"> bija sniedzis atbilstošu sankciju</w:t>
      </w:r>
      <w:r w:rsidR="00714202">
        <w:t>. Tika norādīts uz to, ka pirmās instances tiesa izskatīja iesniedzēja sūdzību par viņa telefonsarunu atskaņošanu tiesas sēdē. Visbeidzot, noraidot iesniedzēja sūdzību sa</w:t>
      </w:r>
      <w:r w:rsidR="00C621D6">
        <w:t xml:space="preserve">istībā </w:t>
      </w:r>
      <w:r w:rsidR="00714202">
        <w:t>ar Konvencijas 8.pantu, viņa atsaucās uz šo pantu un tajā ietvertajiem pieļaujamajiem ierobežojumiem. Lēmumā bija norāde, ka tas ir galīgs.</w:t>
      </w:r>
    </w:p>
    <w:p w:rsidR="009275AA" w:rsidRPr="00A368DD" w:rsidRDefault="00014566" w:rsidP="00A368DD">
      <w:pPr>
        <w:pStyle w:val="ECHRHeading1"/>
      </w:pPr>
      <w:r>
        <w:lastRenderedPageBreak/>
        <w:t xml:space="preserve">II.  PIEMĒROJAMIE NACIONĀLIE </w:t>
      </w:r>
      <w:r w:rsidR="00C621D6">
        <w:t>TIESĪBU AKTI</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20</w:t>
      </w:r>
      <w:r w:rsidRPr="00A368DD">
        <w:fldChar w:fldCharType="end"/>
      </w:r>
      <w:r w:rsidR="00C621D6">
        <w:t>.  Attiecīgās</w:t>
      </w:r>
      <w:r w:rsidR="009275AA">
        <w:t xml:space="preserve"> Operatīvās darbības likuma no</w:t>
      </w:r>
      <w:r w:rsidR="00C621D6">
        <w:t>rmas</w:t>
      </w:r>
      <w:r w:rsidR="009275AA">
        <w:t xml:space="preserve">, kas bija spēkā </w:t>
      </w:r>
      <w:r w:rsidR="00C621D6">
        <w:t>notikumu</w:t>
      </w:r>
      <w:r w:rsidR="009275AA">
        <w:t xml:space="preserve"> laikā, ir apkopot</w:t>
      </w:r>
      <w:r w:rsidR="00C621D6">
        <w:t>as</w:t>
      </w:r>
      <w:r w:rsidR="009275AA">
        <w:t xml:space="preserve"> lietās </w:t>
      </w:r>
      <w:r w:rsidR="009275AA">
        <w:rPr>
          <w:i/>
        </w:rPr>
        <w:t>Taraneks pret Latviju</w:t>
      </w:r>
      <w:r w:rsidR="009275AA">
        <w:t xml:space="preserve"> (Nr.3082/06, 42.-47.rindkopa un 49.-50. rindkopa, 2014.gada 2.decembr</w:t>
      </w:r>
      <w:r w:rsidR="00C621D6">
        <w:t>a spriedums</w:t>
      </w:r>
      <w:r w:rsidR="009275AA">
        <w:t xml:space="preserve">) un </w:t>
      </w:r>
      <w:r w:rsidR="009275AA">
        <w:rPr>
          <w:i/>
        </w:rPr>
        <w:t>Šantare un Labazņikovs pret Latviju</w:t>
      </w:r>
      <w:r w:rsidR="009275AA">
        <w:t xml:space="preserve"> (Nr.34148/07, 29.-32.rindkopa, 2016.gada 31.mart</w:t>
      </w:r>
      <w:r w:rsidR="00C621D6">
        <w:t>a spriedums</w:t>
      </w:r>
      <w:r w:rsidR="009275AA">
        <w:t>).</w:t>
      </w:r>
    </w:p>
    <w:p w:rsidR="009275AA" w:rsidRPr="00A368DD" w:rsidRDefault="00D078B6" w:rsidP="00A368DD">
      <w:pPr>
        <w:pStyle w:val="ECHRPara"/>
        <w:rPr>
          <w:szCs w:val="24"/>
        </w:rPr>
      </w:pPr>
      <w:r w:rsidRPr="00A368DD">
        <w:fldChar w:fldCharType="begin"/>
      </w:r>
      <w:r w:rsidR="009275AA" w:rsidRPr="00A368DD">
        <w:instrText xml:space="preserve"> SEQ level0 \*arabic </w:instrText>
      </w:r>
      <w:r w:rsidRPr="00A368DD">
        <w:fldChar w:fldCharType="separate"/>
      </w:r>
      <w:r w:rsidR="00A368DD" w:rsidRPr="00A368DD">
        <w:rPr>
          <w:noProof/>
        </w:rPr>
        <w:t>21</w:t>
      </w:r>
      <w:r w:rsidRPr="00A368DD">
        <w:fldChar w:fldCharType="end"/>
      </w:r>
      <w:r w:rsidR="009275AA">
        <w:t>.  </w:t>
      </w:r>
      <w:r w:rsidR="00C621D6">
        <w:t>Papildus tam,</w:t>
      </w:r>
      <w:r w:rsidR="009275AA">
        <w:t xml:space="preserve"> 24.panta 5.punkts aizliedz valsts iestādēm</w:t>
      </w:r>
      <w:r w:rsidR="003C51D2">
        <w:t xml:space="preserve"> iegūt</w:t>
      </w:r>
      <w:r w:rsidR="009275AA">
        <w:t xml:space="preserve"> operatīvo informāciju</w:t>
      </w:r>
      <w:r w:rsidR="003C51D2">
        <w:t xml:space="preserve"> </w:t>
      </w:r>
      <w:r w:rsidR="009275AA">
        <w:t>praktizējoš</w:t>
      </w:r>
      <w:r w:rsidR="003C51D2">
        <w:t>o</w:t>
      </w:r>
      <w:r w:rsidR="009275AA">
        <w:t xml:space="preserve"> advokāt</w:t>
      </w:r>
      <w:r w:rsidR="003C51D2">
        <w:t>u</w:t>
      </w:r>
      <w:r w:rsidR="009275AA">
        <w:t xml:space="preserve"> snie</w:t>
      </w:r>
      <w:r w:rsidR="003C51D2">
        <w:t>gto</w:t>
      </w:r>
      <w:r w:rsidR="009275AA">
        <w:t xml:space="preserve"> profesionālo pakalpojumu</w:t>
      </w:r>
      <w:r w:rsidR="003C51D2">
        <w:t xml:space="preserve"> laikā</w:t>
      </w:r>
      <w:r w:rsidR="009275AA">
        <w:t>, izņemot gadījumus, kad viņi paši ir o</w:t>
      </w:r>
      <w:r w:rsidR="003C51D2">
        <w:t>peratīvās izstrādes objekti. Šī</w:t>
      </w:r>
      <w:r w:rsidR="009275AA">
        <w:t xml:space="preserve"> no</w:t>
      </w:r>
      <w:r w:rsidR="003C51D2">
        <w:t>rma</w:t>
      </w:r>
      <w:r w:rsidR="009275AA">
        <w:t xml:space="preserve"> tika grozīt</w:t>
      </w:r>
      <w:r w:rsidR="003C51D2">
        <w:t xml:space="preserve">a ar </w:t>
      </w:r>
      <w:r w:rsidR="009275AA">
        <w:t>2016.gada 1.augustu un no šī datuma</w:t>
      </w:r>
      <w:r w:rsidR="003C51D2">
        <w:t xml:space="preserve"> tā ir ietverta šī</w:t>
      </w:r>
      <w:r w:rsidR="009275AA">
        <w:t xml:space="preserve"> paša likuma 24.panta 7.punktā. Tagad t</w:t>
      </w:r>
      <w:r w:rsidR="003C51D2">
        <w:t>ā</w:t>
      </w:r>
      <w:r w:rsidR="009275AA">
        <w:t xml:space="preserve"> paredz, ka jebkura informācija, kas </w:t>
      </w:r>
      <w:r w:rsidR="003C51D2">
        <w:t>iegūta</w:t>
      </w:r>
      <w:r w:rsidR="009275AA">
        <w:t xml:space="preserve"> laikā, kad praktizējoši advokāti sniedz profesionālos pakalpojumus, ir nekavējoties jāiznīcina. Šādas informācijas </w:t>
      </w:r>
      <w:r w:rsidR="003C51D2">
        <w:t>saglabāšana</w:t>
      </w:r>
      <w:r w:rsidR="009275AA">
        <w:t xml:space="preserve"> ir atļauta tikai ar ģenerālprokurora vai viņa speciāli pilnvarota prokurora </w:t>
      </w:r>
      <w:r w:rsidR="003C51D2">
        <w:t>atļauju</w:t>
      </w:r>
      <w:r w:rsidR="009275AA">
        <w:t xml:space="preserve">, ja ir pazīmes, ka tiek plānots vai ir </w:t>
      </w:r>
      <w:r w:rsidR="003C51D2">
        <w:t>izdarīts</w:t>
      </w:r>
      <w:r w:rsidR="009275AA">
        <w:t>, vai ja</w:t>
      </w:r>
      <w:r w:rsidR="003C51D2">
        <w:t xml:space="preserve"> kā</w:t>
      </w:r>
      <w:r w:rsidR="009275AA">
        <w:t xml:space="preserve"> citādi tiek apdraudēta sabiedriskā drošība.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22</w:t>
      </w:r>
      <w:r w:rsidRPr="00A368DD">
        <w:fldChar w:fldCharType="end"/>
      </w:r>
      <w:r w:rsidR="009275AA">
        <w:t xml:space="preserve">.  Advokatūras likuma 6.pants paredz, ka saziņa starp praktizējošu advokātu un viņa vai viņas klientu, sniedzot juridisko palīdzību, nevar tikt </w:t>
      </w:r>
      <w:r w:rsidR="003C51D2">
        <w:t>uzraudzīta</w:t>
      </w:r>
      <w:r w:rsidR="009275AA">
        <w:t>. Tomēr par juridiskās palīdzības sniegšanu nav atzīstama advokāta nelikumīga darbība klienta interesēs.</w:t>
      </w:r>
    </w:p>
    <w:p w:rsidR="00014566" w:rsidRPr="00A368DD" w:rsidRDefault="003C51D2" w:rsidP="00A368DD">
      <w:pPr>
        <w:pStyle w:val="ECHRTitle1"/>
      </w:pPr>
      <w:r>
        <w:t>JURIDISKAIS ASPEKTS</w:t>
      </w:r>
    </w:p>
    <w:p w:rsidR="009275AA" w:rsidRPr="00A368DD" w:rsidRDefault="009275AA" w:rsidP="00A368DD">
      <w:pPr>
        <w:pStyle w:val="ECHRHeading1"/>
      </w:pPr>
      <w:r>
        <w:t>I. IESPĒJAM</w:t>
      </w:r>
      <w:r w:rsidR="00130B65">
        <w:t>AIS</w:t>
      </w:r>
      <w:r>
        <w:t xml:space="preserve"> KONVENCIJAS 8. PANTA PĀRKĀPUM</w:t>
      </w:r>
      <w:r w:rsidR="00130B65">
        <w:t>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23</w:t>
      </w:r>
      <w:r w:rsidRPr="00A368DD">
        <w:fldChar w:fldCharType="end"/>
      </w:r>
      <w:r w:rsidR="009275AA">
        <w:t xml:space="preserve">.  Iesniedzējs sūdzējās par viņa telefonsarunu ar O.S. noklausīšanos, </w:t>
      </w:r>
      <w:r w:rsidR="00356746">
        <w:t xml:space="preserve">uzskatot, ka uz tām bija attiecināma </w:t>
      </w:r>
      <w:r w:rsidR="009275AA">
        <w:t>advokāta</w:t>
      </w:r>
      <w:r w:rsidR="009275AA">
        <w:noBreakHyphen/>
        <w:t>klienta</w:t>
      </w:r>
      <w:r w:rsidR="00356746">
        <w:t xml:space="preserve"> sarunas </w:t>
      </w:r>
      <w:r w:rsidR="009275AA">
        <w:t>privilēģija. Viņš atsaucās uz Konvencijas 8 pantu, k</w:t>
      </w:r>
      <w:r w:rsidR="00356746">
        <w:t>as nosaka sekojošo</w:t>
      </w:r>
      <w:r w:rsidR="009275AA">
        <w:t>:</w:t>
      </w:r>
    </w:p>
    <w:p w:rsidR="009275AA" w:rsidRPr="00A368DD" w:rsidRDefault="009275AA" w:rsidP="00A368DD">
      <w:pPr>
        <w:pStyle w:val="ECHRParaQuote"/>
      </w:pPr>
      <w:r>
        <w:t>“1.  Ikvienam ir tiesības uz savas privātās un ģimenes dzīves, dzīvokļa un sarakstes neaizskaramību.</w:t>
      </w:r>
    </w:p>
    <w:p w:rsidR="009275AA" w:rsidRDefault="009275AA" w:rsidP="00A368DD">
      <w:pPr>
        <w:pStyle w:val="ECHRParaQuote"/>
      </w:pPr>
      <w: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rsidR="00356746" w:rsidRPr="00A368DD" w:rsidRDefault="00356746" w:rsidP="00A368DD">
      <w:pPr>
        <w:pStyle w:val="ECHRParaQuote"/>
      </w:pPr>
    </w:p>
    <w:p w:rsidR="009275AA" w:rsidRPr="00A368DD" w:rsidRDefault="009275AA" w:rsidP="00A368DD">
      <w:pPr>
        <w:pStyle w:val="ECHRHeading2"/>
      </w:pPr>
      <w:r>
        <w:lastRenderedPageBreak/>
        <w:t>A. Pieņemamība</w:t>
      </w:r>
      <w:r w:rsidR="00356746">
        <w:t xml:space="preserve"> izskatīšanai</w:t>
      </w:r>
    </w:p>
    <w:p w:rsidR="009275AA" w:rsidRPr="00A368DD" w:rsidRDefault="009275AA" w:rsidP="00A368DD">
      <w:pPr>
        <w:pStyle w:val="ECHRHeading3"/>
      </w:pPr>
      <w:r>
        <w:t xml:space="preserve">1.  Pušu </w:t>
      </w:r>
      <w:r w:rsidR="00356746">
        <w:t>apgalvojumi</w:t>
      </w:r>
    </w:p>
    <w:p w:rsidR="009275AA" w:rsidRPr="00A368DD" w:rsidRDefault="009275AA" w:rsidP="00A368DD">
      <w:pPr>
        <w:pStyle w:val="ECHRHeading4"/>
      </w:pPr>
      <w:r>
        <w:t>(a) Valdība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24</w:t>
      </w:r>
      <w:r w:rsidRPr="00A368DD">
        <w:fldChar w:fldCharType="end"/>
      </w:r>
      <w:r w:rsidR="009275AA">
        <w:t>.  Valdība izvirzīja vairākus sākotnējos iebildumus. Pirmkārt, Valdība apgalvoja, ka iesniedzēj</w:t>
      </w:r>
      <w:r w:rsidR="00885929">
        <w:t xml:space="preserve">am nav nodarīts būtisks kaitējums </w:t>
      </w:r>
      <w:r w:rsidR="009275AA">
        <w:t>un ka viņa sūdzība tādēļ ir atzīstama par nepieņemamu</w:t>
      </w:r>
      <w:r w:rsidR="00885929">
        <w:t xml:space="preserve"> izskatīšanai</w:t>
      </w:r>
      <w:r w:rsidR="009275AA">
        <w:t xml:space="preserve"> saskaņā ar Konvencijas 35.panta 3. punkta b) apakšpunktu.</w:t>
      </w:r>
    </w:p>
    <w:p w:rsidR="00532CDC"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25</w:t>
      </w:r>
      <w:r w:rsidRPr="00A368DD">
        <w:fldChar w:fldCharType="end"/>
      </w:r>
      <w:r w:rsidR="009275AA">
        <w:t>.  Otrkārt, Valdība apgalvoja, ka sūdzība ir iesniegta ārpus termiņa, jo no iesniedzēja puses ir pieļaut</w:t>
      </w:r>
      <w:r w:rsidR="00885929">
        <w:t>a</w:t>
      </w:r>
      <w:r w:rsidR="009275AA">
        <w:t xml:space="preserve"> būtisk</w:t>
      </w:r>
      <w:r w:rsidR="00885929">
        <w:t>a aizkavēšanās tās iesniegšanā</w:t>
      </w:r>
      <w:r w:rsidR="009275AA">
        <w:t>. Viņ</w:t>
      </w:r>
      <w:r w:rsidR="00885929">
        <w:t>am kļuva zināms</w:t>
      </w:r>
      <w:r w:rsidR="009275AA">
        <w:t xml:space="preserve"> par </w:t>
      </w:r>
      <w:r w:rsidR="00885929">
        <w:t>viņa</w:t>
      </w:r>
      <w:r w:rsidR="009275AA">
        <w:t xml:space="preserve"> telefonsarunu noklausīšanos 2006.gada 27.jūnijā, bet </w:t>
      </w:r>
      <w:r w:rsidR="00885929">
        <w:t xml:space="preserve">līdz 2008.gada 26.martam viņš nebija vērsies ar </w:t>
      </w:r>
      <w:r w:rsidR="009275AA">
        <w:t>savu iesniegumu Ties</w:t>
      </w:r>
      <w:r w:rsidR="00885929">
        <w:t>ā</w:t>
      </w:r>
      <w:r w:rsidR="009275AA">
        <w:t xml:space="preserve">. </w:t>
      </w:r>
      <w:r w:rsidR="00885929">
        <w:t xml:space="preserve">Tā apgalvoja, ka </w:t>
      </w:r>
      <w:r w:rsidR="009275AA">
        <w:t>2008.gada 21.janvāra lēmums nebija galīgais lēmums attiecībā uz iesniedzēja sūdzību šajā sakarā.</w:t>
      </w:r>
    </w:p>
    <w:p w:rsidR="00532CDC"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26</w:t>
      </w:r>
      <w:r w:rsidRPr="00A368DD">
        <w:fldChar w:fldCharType="end"/>
      </w:r>
      <w:r w:rsidR="009275AA">
        <w:t>.  Treškārt, iesniedzējs nebija izsmēlis</w:t>
      </w:r>
      <w:r w:rsidR="00F94718">
        <w:t xml:space="preserve"> viņam</w:t>
      </w:r>
      <w:r w:rsidR="009275AA">
        <w:t xml:space="preserve"> pieejamos </w:t>
      </w:r>
      <w:r w:rsidR="00EE142C">
        <w:t xml:space="preserve">iekšējos </w:t>
      </w:r>
      <w:r w:rsidR="009275AA">
        <w:t>tiesību aizsardzības līdzekļus, jo viņš nekad nebija sūdzējies prokuratūrā</w:t>
      </w:r>
      <w:r w:rsidR="00EE142C">
        <w:t>, atsaucoties uz</w:t>
      </w:r>
      <w:r w:rsidR="009275AA">
        <w:t xml:space="preserve"> Operatīvās darbības likuma 5.pantu. Valdības</w:t>
      </w:r>
      <w:r w:rsidR="00EE142C">
        <w:t xml:space="preserve"> ieskatā</w:t>
      </w:r>
      <w:r w:rsidR="009275AA">
        <w:t xml:space="preserve"> iesniedzēja 2007.gada 21.decembra sūdzība nebija saistīta ar operatīv</w:t>
      </w:r>
      <w:r w:rsidR="00EE142C">
        <w:t>ās darbības</w:t>
      </w:r>
      <w:r w:rsidR="009275AA">
        <w:t xml:space="preserve"> pasākumiem, bet drīzāk ar  kriminālprocesa ierosināšanu pret </w:t>
      </w:r>
      <w:r w:rsidR="00EE142C">
        <w:t>atbildīgo</w:t>
      </w:r>
      <w:r w:rsidR="009275AA">
        <w:t xml:space="preserve"> prokuroru un viņa profesionālo </w:t>
      </w:r>
      <w:r w:rsidR="00EE142C">
        <w:t>darbību</w:t>
      </w:r>
      <w:r w:rsidR="009275AA">
        <w:t>.</w:t>
      </w:r>
    </w:p>
    <w:p w:rsidR="009275AA" w:rsidRPr="00A368DD" w:rsidRDefault="009275AA" w:rsidP="00A368DD">
      <w:pPr>
        <w:pStyle w:val="ECHRHeading4"/>
      </w:pPr>
      <w:r>
        <w:t>(b) Iesniedzējs</w:t>
      </w:r>
    </w:p>
    <w:p w:rsidR="00EB22DB"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27</w:t>
      </w:r>
      <w:r w:rsidRPr="00A368DD">
        <w:fldChar w:fldCharType="end"/>
      </w:r>
      <w:r w:rsidR="009275AA">
        <w:t>.  Iesniedzējs nepiekrita, vispirms apgalvojot, ka viņ</w:t>
      </w:r>
      <w:r w:rsidR="00EE142C">
        <w:t>am</w:t>
      </w:r>
      <w:r w:rsidR="009275AA">
        <w:t xml:space="preserve"> ir</w:t>
      </w:r>
      <w:r w:rsidR="004867A7">
        <w:t xml:space="preserve"> ticis</w:t>
      </w:r>
      <w:r w:rsidR="009275AA">
        <w:t xml:space="preserve"> </w:t>
      </w:r>
      <w:r w:rsidR="00EE142C">
        <w:t>nodarīts</w:t>
      </w:r>
      <w:r w:rsidR="009275AA">
        <w:t xml:space="preserve"> būtisk</w:t>
      </w:r>
      <w:r w:rsidR="00EE142C">
        <w:t>s kaitējums</w:t>
      </w:r>
      <w:r w:rsidR="009275AA">
        <w:t xml:space="preserve"> pat, ja viņ</w:t>
      </w:r>
      <w:r w:rsidR="00EE142C">
        <w:t>am nav nodarīti</w:t>
      </w:r>
      <w:r w:rsidR="009275AA">
        <w:t xml:space="preserve"> materiāl</w:t>
      </w:r>
      <w:r w:rsidR="00EE142C">
        <w:t>i</w:t>
      </w:r>
      <w:r w:rsidR="009275AA">
        <w:t xml:space="preserve"> zaudējum</w:t>
      </w:r>
      <w:r w:rsidR="00EE142C">
        <w:t>i</w:t>
      </w:r>
      <w:r w:rsidR="009275AA">
        <w:t>.</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28</w:t>
      </w:r>
      <w:r w:rsidRPr="00A368DD">
        <w:fldChar w:fldCharType="end"/>
      </w:r>
      <w:r w:rsidR="009275AA">
        <w:t>.  Otrkārt, viņa sūdzība ir bijusi iesniegta termiņā, tas ir sešu mēnešu laikā kopš 2008.gada 21.janvāra lēmuma. Šis lēmums bija saistīts</w:t>
      </w:r>
      <w:r w:rsidR="004867A7">
        <w:t xml:space="preserve"> arī ar viņa telefonsarunu ar</w:t>
      </w:r>
      <w:r w:rsidR="009275AA">
        <w:t xml:space="preserve"> advokātu ierakstīšanas likumību. Turklāt šajā lēmumā</w:t>
      </w:r>
      <w:r w:rsidR="004867A7">
        <w:t xml:space="preserve"> izdarītā atsauce</w:t>
      </w:r>
      <w:r w:rsidR="009275AA">
        <w:t xml:space="preserve"> uz Konvencijas 8.pantu pierādīja, ka prokurors ir </w:t>
      </w:r>
      <w:r w:rsidR="00B660AB">
        <w:t>vērtējis</w:t>
      </w:r>
      <w:r w:rsidR="009275AA">
        <w:t xml:space="preserve"> iesniedzēja sūdzību</w:t>
      </w:r>
      <w:r w:rsidR="004867A7">
        <w:t xml:space="preserve"> arī no šī aspekta</w:t>
      </w:r>
      <w:r w:rsidR="009275AA">
        <w:t>.</w:t>
      </w:r>
      <w:r w:rsidR="004867A7">
        <w:t xml:space="preserve"> Minētais lēmums šajā sakarā bija uzskatāms par galīgo</w:t>
      </w:r>
      <w:r w:rsidR="009275AA">
        <w:t xml:space="preserve"> lēmum</w:t>
      </w:r>
      <w:r w:rsidR="004867A7">
        <w:t>u</w:t>
      </w:r>
      <w:r w:rsidR="009275AA">
        <w:t>.</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29</w:t>
      </w:r>
      <w:r w:rsidRPr="00A368DD">
        <w:fldChar w:fldCharType="end"/>
      </w:r>
      <w:r w:rsidR="009275AA">
        <w:t xml:space="preserve">.  Treškārt, viņš nepiekrita, ka viņa 2007.gada 21.decembra sūdzība bija saistīta tikai ar kriminālprocesa ierosināšanu pret </w:t>
      </w:r>
      <w:r w:rsidR="00052F32">
        <w:t>atbildīgo</w:t>
      </w:r>
      <w:r w:rsidR="009275AA">
        <w:t xml:space="preserve"> un viņa profesionālo </w:t>
      </w:r>
      <w:r w:rsidR="00052F32">
        <w:t>darbību</w:t>
      </w:r>
      <w:r w:rsidR="009275AA">
        <w:t>. Viņš uzsvēra, ka viņš ir arī sūdzējies par viņa telefonsarunu ar savu advokātu ierakstīšanas likumību un ka prokurors ir izskatījis viņa sūdzību</w:t>
      </w:r>
      <w:r w:rsidR="00052F32">
        <w:t xml:space="preserve"> arī no šī aspekta</w:t>
      </w:r>
      <w:r w:rsidR="009275AA">
        <w:t>.</w:t>
      </w:r>
    </w:p>
    <w:p w:rsidR="009275AA" w:rsidRPr="00A368DD" w:rsidRDefault="009275AA" w:rsidP="00A368DD">
      <w:pPr>
        <w:pStyle w:val="ECHRHeading3"/>
      </w:pPr>
      <w:r>
        <w:t>2.  Tiesas vērtējums</w:t>
      </w:r>
    </w:p>
    <w:p w:rsidR="009275AA" w:rsidRPr="00A368DD" w:rsidRDefault="009275AA" w:rsidP="00A368DD">
      <w:pPr>
        <w:pStyle w:val="ECHRHeading4"/>
      </w:pPr>
      <w:r>
        <w:t>(a)</w:t>
      </w:r>
      <w:r>
        <w:tab/>
        <w:t xml:space="preserve">“Būtiska </w:t>
      </w:r>
      <w:r w:rsidR="00474DD8">
        <w:t>kaitējuma</w:t>
      </w:r>
      <w:r>
        <w:t xml:space="preserve"> neesamības” kritērijs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30</w:t>
      </w:r>
      <w:r w:rsidRPr="00A368DD">
        <w:fldChar w:fldCharType="end"/>
      </w:r>
      <w:r w:rsidR="009275AA">
        <w:t>.  Tiesa tagad izskatīs, vai iesniedzēj</w:t>
      </w:r>
      <w:r w:rsidR="00670CDD">
        <w:t>am</w:t>
      </w:r>
      <w:r w:rsidR="009275AA">
        <w:t xml:space="preserve"> ir vai nav </w:t>
      </w:r>
      <w:r w:rsidR="00670CDD">
        <w:t>nodarīts</w:t>
      </w:r>
      <w:r w:rsidR="009275AA">
        <w:t xml:space="preserve"> būtisk</w:t>
      </w:r>
      <w:r w:rsidR="00670CDD">
        <w:t>s</w:t>
      </w:r>
      <w:r w:rsidR="009275AA">
        <w:t xml:space="preserve"> </w:t>
      </w:r>
      <w:r w:rsidR="00670CDD">
        <w:t>kaitējums</w:t>
      </w:r>
      <w:r w:rsidR="009275AA">
        <w:t>, kā to paredz Konvencijas 35.panta 3.punkta b) apakšpunkts.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31</w:t>
      </w:r>
      <w:r w:rsidRPr="00A368DD">
        <w:fldChar w:fldCharType="end"/>
      </w:r>
      <w:r w:rsidR="009275AA">
        <w:t xml:space="preserve">.  Tiesa ņem vērā to, ka šī lieta ir saistīta ar iesniedzējam </w:t>
      </w:r>
      <w:r w:rsidR="00670CDD">
        <w:t>svarīgu</w:t>
      </w:r>
      <w:r w:rsidR="009275AA">
        <w:t xml:space="preserve"> jautājumu, proti, viņa sarunu ar O.S. konfidencialitāti, ko pēc viņa domām </w:t>
      </w:r>
      <w:r w:rsidR="009275AA">
        <w:lastRenderedPageBreak/>
        <w:t>aizsargā advokāta</w:t>
      </w:r>
      <w:r w:rsidR="009275AA">
        <w:noBreakHyphen/>
        <w:t>klienta</w:t>
      </w:r>
      <w:r w:rsidR="00670CDD">
        <w:t xml:space="preserve"> sarunas</w:t>
      </w:r>
      <w:r w:rsidR="009275AA">
        <w:t xml:space="preserve"> privilēģija (skatīt iepriekš 11. un 16.rindkopu). Paties</w:t>
      </w:r>
      <w:r w:rsidR="00670CDD">
        <w:t>i,</w:t>
      </w:r>
      <w:r w:rsidR="009275AA">
        <w:t xml:space="preserve"> Tiesa ir uzsvērusi, ka ir jāievēro advokāta-klienta sarunu konfidencialitāte (skatīt lietu </w:t>
      </w:r>
      <w:r w:rsidR="009275AA">
        <w:rPr>
          <w:i/>
        </w:rPr>
        <w:t>Campbell pret Apvienoto Karalisti</w:t>
      </w:r>
      <w:r w:rsidR="009275AA">
        <w:t xml:space="preserve">, 1992.gada 25.marts, 46.-52. rindkopa, sērija A Nr. 233; lietu </w:t>
      </w:r>
      <w:r w:rsidR="009275AA">
        <w:rPr>
          <w:i/>
        </w:rPr>
        <w:t>Michaud pret Franciju</w:t>
      </w:r>
      <w:r w:rsidR="009275AA">
        <w:t>, Nr. 12323/11, 117. rindkopa, ECTK 2012.gads un tajā citēt</w:t>
      </w:r>
      <w:r w:rsidR="00670CDD">
        <w:t>o</w:t>
      </w:r>
      <w:r w:rsidR="009275AA">
        <w:t xml:space="preserve"> judikatūr</w:t>
      </w:r>
      <w:r w:rsidR="00670CDD">
        <w:t>u</w:t>
      </w:r>
      <w:r w:rsidR="009275AA">
        <w:t>).</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32</w:t>
      </w:r>
      <w:r w:rsidRPr="00A368DD">
        <w:fldChar w:fldCharType="end"/>
      </w:r>
      <w:r w:rsidR="009275AA">
        <w:t>.  Pie šādiem apstākļiem, pēc Tiesas ieskatiem, nevar uzskatīt, ka iesniedzēj</w:t>
      </w:r>
      <w:r w:rsidR="00670CDD">
        <w:t xml:space="preserve">am nav nodarīts </w:t>
      </w:r>
      <w:r w:rsidR="009275AA">
        <w:t>būtisk</w:t>
      </w:r>
      <w:r w:rsidR="00670CDD">
        <w:t>s kaitējums</w:t>
      </w:r>
      <w:r w:rsidR="009275AA">
        <w:t xml:space="preserve">. Tāpēc nav nepieciešams izskatīt abas “drošības klauzulas”. </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33</w:t>
      </w:r>
      <w:r w:rsidRPr="00A368DD">
        <w:fldChar w:fldCharType="end"/>
      </w:r>
      <w:r w:rsidR="009275AA">
        <w:t>.  Līdz ar to Tiesa noraida Valdības sākotnējo iebildumu.</w:t>
      </w:r>
    </w:p>
    <w:p w:rsidR="009275AA" w:rsidRPr="00A368DD" w:rsidRDefault="009275AA" w:rsidP="00A368DD">
      <w:pPr>
        <w:pStyle w:val="ECHRHeading4"/>
      </w:pPr>
      <w:r>
        <w:t xml:space="preserve">(b) </w:t>
      </w:r>
      <w:r w:rsidR="00EE142C">
        <w:t>Iekšējo tiesību</w:t>
      </w:r>
      <w:r>
        <w:t xml:space="preserve"> aizsardzības līdzekļu izmantošana</w:t>
      </w:r>
    </w:p>
    <w:p w:rsidR="00532CDC"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34</w:t>
      </w:r>
      <w:r w:rsidRPr="00A368DD">
        <w:fldChar w:fldCharType="end"/>
      </w:r>
      <w:r w:rsidR="009275AA">
        <w:t>.  Tiesa tagad izskatīs Valdības apgalvojumu par</w:t>
      </w:r>
      <w:r w:rsidR="00474DD8">
        <w:t xml:space="preserve"> </w:t>
      </w:r>
      <w:r w:rsidR="004D5FBC">
        <w:t xml:space="preserve">tiesību </w:t>
      </w:r>
      <w:r w:rsidR="009275AA">
        <w:t>aizsardzības līdzekļu neizmantošanu. Tiesa konstatē, ka iesniedzējs vairākkārt vērsās prokuratūrās iestādēs saistībā ar savu telefo</w:t>
      </w:r>
      <w:r w:rsidR="00474DD8">
        <w:t>n</w:t>
      </w:r>
      <w:r w:rsidR="009275AA">
        <w:t xml:space="preserve">sarunu noklausīšanās </w:t>
      </w:r>
      <w:r w:rsidR="004D5FBC">
        <w:t>tiesiskuma</w:t>
      </w:r>
      <w:r w:rsidR="009275AA">
        <w:t xml:space="preserve"> jautājumu un ka visas viņa sūdzības šajā sakarā tika izskatītas (skatīt iepriekš 13.-19.rindkopu). Savukārt, tā kā iesniedzējs skaidri neatsaucās uz Operatīvās darbības likuma 5.pantu savā 2007.gada 21.decembra sūdzībā, prokurors izskatīja </w:t>
      </w:r>
      <w:r w:rsidR="004D5FBC">
        <w:t>tiesiskuma</w:t>
      </w:r>
      <w:r w:rsidR="009275AA">
        <w:t xml:space="preserve"> jautājumu un skaidri </w:t>
      </w:r>
      <w:r w:rsidR="004D5FBC">
        <w:t xml:space="preserve">šajā sakarā </w:t>
      </w:r>
      <w:r w:rsidR="009275AA">
        <w:t>atsaucās uz Konvencijas 8.pantu 2008.gada 21.janvāra galīgajā lēmumā (skatīt iepriekš 19.rindkopu).</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35</w:t>
      </w:r>
      <w:r>
        <w:rPr>
          <w:noProof/>
        </w:rPr>
        <w:fldChar w:fldCharType="end"/>
      </w:r>
      <w:r w:rsidR="00B02ED1">
        <w:t xml:space="preserve">.  Līdz ar to Tiesa pieņem iesniedzēja apgalvojumu, ka viņa 2007.gada 21.decembra sūdzība bija saistīta ar viņa telefonsarunu ar O.S. noklausīšanās </w:t>
      </w:r>
      <w:r w:rsidR="004D5FBC">
        <w:t>tiesiskumu</w:t>
      </w:r>
      <w:r w:rsidR="00B02ED1">
        <w:t xml:space="preserve"> un secina, ka viņš ir izsmēlis </w:t>
      </w:r>
      <w:r w:rsidR="004D5FBC">
        <w:t>iekšējos</w:t>
      </w:r>
      <w:r w:rsidR="00B02ED1">
        <w:t xml:space="preserve"> tiesību aizsardzības līdzekļus. Līdz ar to Tiesa noraida Valdības sākotnējo iebildumu šajā sakarā.</w:t>
      </w:r>
    </w:p>
    <w:p w:rsidR="009275AA" w:rsidRPr="00A368DD" w:rsidRDefault="004D5FBC" w:rsidP="00A368DD">
      <w:pPr>
        <w:pStyle w:val="ECHRHeading4"/>
      </w:pPr>
      <w:r>
        <w:t>(c)</w:t>
      </w:r>
      <w:r>
        <w:tab/>
        <w:t>Sešu mēnešu noteikums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36</w:t>
      </w:r>
      <w:r w:rsidRPr="00A368DD">
        <w:fldChar w:fldCharType="end"/>
      </w:r>
      <w:r w:rsidR="009275AA">
        <w:t xml:space="preserve">.  Ņemot vērā iepriekš minēto secinājumu saistībā ar </w:t>
      </w:r>
      <w:r w:rsidR="00EE142C">
        <w:t>iekšējo</w:t>
      </w:r>
      <w:r w:rsidR="009275AA">
        <w:t xml:space="preserve"> tiesību aizsardzības līdzekļu izsmelšanu, Tiesa uzskata, ka galīgais lēmums attiecībā uz iesniedzēja sūdzību tika pieņemts 2008.gada 21.janvārī. Viņš iesniedza savu iesniegumu Tiesā 2008.gada 26.martā, </w:t>
      </w:r>
      <w:r w:rsidR="004D5FBC">
        <w:t xml:space="preserve">tātad iekļaujoties </w:t>
      </w:r>
      <w:r w:rsidR="009275AA">
        <w:t>sešu</w:t>
      </w:r>
      <w:r w:rsidR="00EE142C">
        <w:t xml:space="preserve"> </w:t>
      </w:r>
      <w:r w:rsidR="009275AA">
        <w:t>mēnešu termiņā. Valdības sākotnējais iebildums ir noraidāms.</w:t>
      </w:r>
    </w:p>
    <w:p w:rsidR="009275AA" w:rsidRPr="00A368DD" w:rsidRDefault="009275AA" w:rsidP="00A368DD">
      <w:pPr>
        <w:pStyle w:val="ECHRHeading4"/>
      </w:pPr>
      <w:r>
        <w:t>(d)</w:t>
      </w:r>
      <w:r>
        <w:tab/>
        <w:t>Secinājums</w:t>
      </w:r>
    </w:p>
    <w:p w:rsidR="00EE142C" w:rsidRDefault="00D078B6" w:rsidP="00EE142C">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37</w:t>
      </w:r>
      <w:r w:rsidRPr="00A368DD">
        <w:fldChar w:fldCharType="end"/>
      </w:r>
      <w:r w:rsidR="009275AA">
        <w:t xml:space="preserve">.  Tiesa </w:t>
      </w:r>
      <w:r w:rsidR="00EE142C">
        <w:t>uzskata, ka šī sūdzība nav acīmredzami nepamatota Konvencijas 35.panta 3.punkta a) apakšpunkta izpratnē. Turklāt tā norāda, ka tā nav nepieņemama jebkāda cita iemesla dēļ. Līdz ar to tā ir atzīstama par pieņemamu izskatīšanai.</w:t>
      </w:r>
    </w:p>
    <w:p w:rsidR="00EE142C" w:rsidRPr="00A368DD" w:rsidRDefault="00EE142C" w:rsidP="00A368DD">
      <w:pPr>
        <w:pStyle w:val="ECHRPara"/>
      </w:pPr>
    </w:p>
    <w:p w:rsidR="00014566" w:rsidRPr="00A368DD" w:rsidRDefault="00014566" w:rsidP="00A368DD">
      <w:pPr>
        <w:pStyle w:val="ECHRHeading2"/>
      </w:pPr>
      <w:r>
        <w:lastRenderedPageBreak/>
        <w:t>B. Sūdzības būtība</w:t>
      </w:r>
    </w:p>
    <w:p w:rsidR="009275AA" w:rsidRPr="00A368DD" w:rsidRDefault="009275AA" w:rsidP="00A368DD">
      <w:pPr>
        <w:pStyle w:val="ECHRHeading3"/>
      </w:pPr>
      <w:r>
        <w:t xml:space="preserve">1.  Pušu </w:t>
      </w:r>
      <w:r w:rsidR="00EE142C">
        <w:t>apgalvojumi</w:t>
      </w:r>
    </w:p>
    <w:p w:rsidR="009275AA" w:rsidRPr="00A368DD" w:rsidRDefault="009275AA" w:rsidP="00A368DD">
      <w:pPr>
        <w:pStyle w:val="ECHRHeading4"/>
      </w:pPr>
      <w:r>
        <w:t>a) Iesniedzējs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38</w:t>
      </w:r>
      <w:r w:rsidRPr="00A368DD">
        <w:fldChar w:fldCharType="end"/>
      </w:r>
      <w:r w:rsidR="009275AA">
        <w:t>.  Iesn</w:t>
      </w:r>
      <w:r w:rsidR="00AE60A8">
        <w:t>iedzējs apgalvoja, ka ir notikusi iejaukšanās</w:t>
      </w:r>
      <w:r w:rsidR="009275AA">
        <w:t xml:space="preserve"> viņa tiesīb</w:t>
      </w:r>
      <w:r w:rsidR="00AE60A8">
        <w:t>ās</w:t>
      </w:r>
      <w:r w:rsidR="009275AA">
        <w:t xml:space="preserve"> uz privātās dzīves un korespondences neaizskaramību. Viņš neapstrīdēja noklausīšanās likumīgā pamatojuma esamību, bet atsaucās uz Operatīvās darbības likuma 7.panta 4.puktu, saskaņā ar kuru tiesneša </w:t>
      </w:r>
      <w:r w:rsidR="009D57F9">
        <w:t>sankcija</w:t>
      </w:r>
      <w:r w:rsidR="009275AA">
        <w:t xml:space="preserve"> varēja tikt iz</w:t>
      </w:r>
      <w:r w:rsidR="009D57F9">
        <w:t>sniegta</w:t>
      </w:r>
      <w:r w:rsidR="009275AA">
        <w:t xml:space="preserve"> tikai uz trīs mēnešu laika posmu. Viņš nebija informēts par </w:t>
      </w:r>
      <w:r w:rsidR="009D57F9">
        <w:t xml:space="preserve">jebkādiem </w:t>
      </w:r>
      <w:r w:rsidR="009275AA">
        <w:t>šīs atļaujas pagarinājumiem un noklausīšanās, kas turpinājās ilgāk kā vienu gadu</w:t>
      </w:r>
      <w:r w:rsidR="00542206">
        <w:t>,</w:t>
      </w:r>
      <w:r w:rsidR="009D57F9">
        <w:t xml:space="preserve"> tādējādi pārkāpa</w:t>
      </w:r>
      <w:r w:rsidR="009275AA">
        <w:t xml:space="preserve"> nacionālo tiesību </w:t>
      </w:r>
      <w:r w:rsidR="009D57F9">
        <w:t>normas</w:t>
      </w:r>
      <w:r w:rsidR="009275AA">
        <w:t>.</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39</w:t>
      </w:r>
      <w:r>
        <w:rPr>
          <w:noProof/>
        </w:rPr>
        <w:fldChar w:fldCharType="end"/>
      </w:r>
      <w:r w:rsidR="00B02ED1">
        <w:t>.  Latvijas tiesību akti ne</w:t>
      </w:r>
      <w:r w:rsidR="00542206">
        <w:t>noteica</w:t>
      </w:r>
      <w:r w:rsidR="00B02ED1">
        <w:t xml:space="preserve"> pietiekamus un efektīvus </w:t>
      </w:r>
      <w:r w:rsidR="009D57F9">
        <w:t xml:space="preserve">tiesību </w:t>
      </w:r>
      <w:r w:rsidR="00B02ED1">
        <w:t xml:space="preserve">aizsardzības līdzekļus pret </w:t>
      </w:r>
      <w:r w:rsidR="009D57F9">
        <w:t>patvaļu</w:t>
      </w:r>
      <w:r w:rsidR="00B02ED1">
        <w:t>; iesniedzējs nevarēja panākt</w:t>
      </w:r>
      <w:r w:rsidR="009D57F9">
        <w:t>, lai</w:t>
      </w:r>
      <w:r w:rsidR="00B02ED1">
        <w:t xml:space="preserve"> </w:t>
      </w:r>
      <w:r w:rsidR="009D57F9">
        <w:t xml:space="preserve">pār </w:t>
      </w:r>
      <w:r w:rsidR="00B02ED1">
        <w:t>viņam piemērot</w:t>
      </w:r>
      <w:r w:rsidR="009D57F9">
        <w:t>ajiem</w:t>
      </w:r>
      <w:r w:rsidR="00B02ED1">
        <w:t xml:space="preserve"> līdzekļ</w:t>
      </w:r>
      <w:r w:rsidR="009D57F9">
        <w:t>iem tiktu veikta efektīva kontrole</w:t>
      </w:r>
      <w:r w:rsidR="00B02ED1">
        <w:t xml:space="preserve">. Šajā sakarā viņš atsaucās uz to, ka tiesneša </w:t>
      </w:r>
      <w:r w:rsidR="009D57F9">
        <w:t>sankcija</w:t>
      </w:r>
      <w:r w:rsidR="00B02ED1">
        <w:t xml:space="preserve"> saturēja klasificētu informāciju. </w:t>
      </w:r>
      <w:r w:rsidR="009D57F9">
        <w:t>Iegūtās i</w:t>
      </w:r>
      <w:r w:rsidR="00B02ED1">
        <w:t>nformācijas lietošanā nevarēja konstatēt nekād</w:t>
      </w:r>
      <w:r w:rsidR="009D57F9">
        <w:t>u</w:t>
      </w:r>
      <w:r w:rsidR="00B02ED1">
        <w:t xml:space="preserve"> neregularitāt</w:t>
      </w:r>
      <w:r w:rsidR="009D57F9">
        <w:t>i</w:t>
      </w:r>
      <w:r w:rsidR="00B02ED1">
        <w:t>. Visas viņa sarunas ar O.S. bija jā</w:t>
      </w:r>
      <w:r w:rsidR="009D57F9">
        <w:t>u</w:t>
      </w:r>
      <w:r w:rsidR="00B02ED1">
        <w:t xml:space="preserve">zskata </w:t>
      </w:r>
      <w:r w:rsidR="00542206">
        <w:t>par</w:t>
      </w:r>
      <w:r w:rsidR="00B02ED1">
        <w:t xml:space="preserve"> priviliģēt</w:t>
      </w:r>
      <w:r w:rsidR="00542206">
        <w:t>u</w:t>
      </w:r>
      <w:r w:rsidR="00B02ED1">
        <w:t xml:space="preserve"> materiāl</w:t>
      </w:r>
      <w:r w:rsidR="00542206">
        <w:t>u</w:t>
      </w:r>
      <w:r w:rsidR="00B02ED1">
        <w:t xml:space="preserve">, neskatoties uz to kontekstu un saturu (viņš atsaucās uz lietu </w:t>
      </w:r>
      <w:r w:rsidR="00B02ED1">
        <w:rPr>
          <w:i/>
        </w:rPr>
        <w:t>Foxley pret Apvienoto Karalisti</w:t>
      </w:r>
      <w:r w:rsidR="00B02ED1">
        <w:t xml:space="preserve">, Nr. 33274/96, 43. rindkopa, 2000.gada 20.jūnijs un </w:t>
      </w:r>
      <w:r w:rsidR="00B02ED1">
        <w:rPr>
          <w:i/>
        </w:rPr>
        <w:t>Campbell</w:t>
      </w:r>
      <w:r w:rsidR="00B02ED1">
        <w:t xml:space="preserve"> lietu, citēts iepriekš,</w:t>
      </w:r>
      <w:r w:rsidR="00B02ED1">
        <w:rPr>
          <w:i/>
        </w:rPr>
        <w:t xml:space="preserve"> </w:t>
      </w:r>
      <w:r w:rsidR="00B02ED1">
        <w:t>46.-48. rindkopa).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40</w:t>
      </w:r>
      <w:r w:rsidRPr="00A368DD">
        <w:fldChar w:fldCharType="end"/>
      </w:r>
      <w:r w:rsidR="009275AA">
        <w:t>.  Iesniedzējs arī norādīja, ka viņa telefonsarunu noklausīšanās nebija nepieciešama</w:t>
      </w:r>
      <w:r w:rsidR="00387ACE" w:rsidRPr="00387ACE">
        <w:t xml:space="preserve"> </w:t>
      </w:r>
      <w:r w:rsidR="00387ACE">
        <w:t>demokrātiskā sabiedrībā</w:t>
      </w:r>
      <w:r w:rsidR="009275AA">
        <w:t xml:space="preserve">. </w:t>
      </w:r>
      <w:r w:rsidR="00387ACE">
        <w:t>Sensitīvo advokāta - klienta konfidenciālo</w:t>
      </w:r>
      <w:r w:rsidR="009275AA">
        <w:t xml:space="preserve"> attiecību</w:t>
      </w:r>
      <w:r w:rsidR="00387ACE">
        <w:t xml:space="preserve"> jomā</w:t>
      </w:r>
      <w:r w:rsidR="009275AA">
        <w:t xml:space="preserve"> priviliģētai korespondencei ir jānodrošina paaugstināta aizsardzība (viņš atsaucās uz lietu </w:t>
      </w:r>
      <w:r w:rsidR="009275AA">
        <w:rPr>
          <w:i/>
        </w:rPr>
        <w:t>Aalmoes un citi pret Nīderlandi</w:t>
      </w:r>
      <w:r w:rsidR="009275AA">
        <w:t xml:space="preserve"> (lēmums), Nr. 16269/02, 2004.gada 25.novembris). Viņš norādīja, ka O.S. ir bijis viņa </w:t>
      </w:r>
      <w:r w:rsidR="00387ACE">
        <w:t>aizstāvis</w:t>
      </w:r>
      <w:r w:rsidR="009275AA">
        <w:t xml:space="preserve"> kopš 2005.gada 8.februāra un ka šīs advokāta - klienta attiecības bija priviliģētas, ne</w:t>
      </w:r>
      <w:r w:rsidR="00387ACE">
        <w:t xml:space="preserve">atkarīgi no </w:t>
      </w:r>
      <w:r w:rsidR="009275AA">
        <w:t>sniegtās juridiskās palīdzības veid</w:t>
      </w:r>
      <w:r w:rsidR="00387ACE">
        <w:t>a</w:t>
      </w:r>
      <w:r w:rsidR="009275AA">
        <w:t>. Turklāt, 2005.gada 7.oktobra saruna bija acīmredzami saistīta ar iesniedzēja krimināllietu (</w:t>
      </w:r>
      <w:r w:rsidR="00387ACE">
        <w:t xml:space="preserve">tādi </w:t>
      </w:r>
      <w:r w:rsidR="009275AA">
        <w:t>termini</w:t>
      </w:r>
      <w:r w:rsidR="00387ACE">
        <w:t xml:space="preserve"> kā</w:t>
      </w:r>
      <w:r w:rsidR="009275AA">
        <w:t xml:space="preserve"> “</w:t>
      </w:r>
      <w:r w:rsidR="00387ACE">
        <w:t xml:space="preserve">drošības </w:t>
      </w:r>
      <w:r w:rsidR="009275AA">
        <w:t xml:space="preserve">līdzeklis”, “nopratināšana” un “prokurors” bija </w:t>
      </w:r>
      <w:r w:rsidR="00387ACE">
        <w:t>pie</w:t>
      </w:r>
      <w:r w:rsidR="009275AA">
        <w:t xml:space="preserve">minēti). Jebkurā gadījumā, lai </w:t>
      </w:r>
      <w:r w:rsidR="00387ACE">
        <w:t>no</w:t>
      </w:r>
      <w:r w:rsidR="009275AA">
        <w:t>šķirtu gadījuma rakstura sarunas no sarunām, kam piemīt juridiska privilēģija, iestādēm ir jānoklausās telefonsarunas un jāizlasa to atšifrējum</w:t>
      </w:r>
      <w:r w:rsidR="00387ACE">
        <w:t>i</w:t>
      </w:r>
      <w:r w:rsidR="009275AA">
        <w:t>, tādējādi iepazīstoties ar to saturu un līdz ar to pieļaujot juridiskās privilēģijas pārkāpumu.</w:t>
      </w:r>
    </w:p>
    <w:p w:rsidR="009275AA" w:rsidRPr="00A368DD" w:rsidRDefault="009275AA" w:rsidP="00A368DD">
      <w:pPr>
        <w:pStyle w:val="ECHRHeading4"/>
      </w:pPr>
      <w:r>
        <w:t>(b) Valdība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41</w:t>
      </w:r>
      <w:r w:rsidRPr="00A368DD">
        <w:fldChar w:fldCharType="end"/>
      </w:r>
      <w:r w:rsidR="009275AA">
        <w:t>.  V</w:t>
      </w:r>
      <w:r w:rsidR="00FE124A">
        <w:t>aldība nenoliedza, ka ir notikusi iejaukšanās</w:t>
      </w:r>
      <w:r w:rsidR="009275AA">
        <w:t xml:space="preserve"> iesniedzēja tiesīb</w:t>
      </w:r>
      <w:r w:rsidR="00FE124A">
        <w:t>ā</w:t>
      </w:r>
      <w:r w:rsidR="009275AA">
        <w:t xml:space="preserve">s uz privātās dzīves un korespondences neaizskaramību. </w:t>
      </w:r>
      <w:r w:rsidR="00FE124A">
        <w:t>Tā</w:t>
      </w:r>
      <w:r w:rsidR="009275AA">
        <w:t xml:space="preserve"> tomēr uzskatīja, ka </w:t>
      </w:r>
      <w:r w:rsidR="00FE124A">
        <w:t xml:space="preserve">apstrīdētā iejaukšanās notika saskaņā ar </w:t>
      </w:r>
      <w:r w:rsidR="009275AA">
        <w:t>likum</w:t>
      </w:r>
      <w:r w:rsidR="00FE124A">
        <w:t>u</w:t>
      </w:r>
      <w:r w:rsidR="009275AA">
        <w:t>, tai bija leģitīms mērķis un tā bij</w:t>
      </w:r>
      <w:r w:rsidR="00FE124A">
        <w:t>a</w:t>
      </w:r>
      <w:r w:rsidR="009275AA">
        <w:t xml:space="preserve"> nepieciešama</w:t>
      </w:r>
      <w:r w:rsidR="00FE124A">
        <w:t xml:space="preserve"> demokrātiskā sabiedrībā</w:t>
      </w:r>
      <w:r w:rsidR="009275AA">
        <w:t>. Apstrīdēt</w:t>
      </w:r>
      <w:r w:rsidR="00AC1242">
        <w:t>ā iesniedzēja telefonsarunu noklausīšanās</w:t>
      </w:r>
      <w:r w:rsidR="009275AA">
        <w:t xml:space="preserve"> </w:t>
      </w:r>
      <w:r w:rsidR="00AC1242">
        <w:t>no</w:t>
      </w:r>
      <w:r w:rsidR="009275AA">
        <w:t xml:space="preserve">tika saskaņā ar Operatīvās darbības likumu un tā tika veikta ar leģitīmu mērķi novērst noziegumu. </w:t>
      </w:r>
      <w:r w:rsidR="00AC1242">
        <w:t>Tā</w:t>
      </w:r>
      <w:r w:rsidR="009275AA">
        <w:t xml:space="preserve"> atzina, ka tiesneša </w:t>
      </w:r>
      <w:r w:rsidR="00AC1242">
        <w:t>sankcija</w:t>
      </w:r>
      <w:r w:rsidR="009275AA">
        <w:t xml:space="preserve"> bi</w:t>
      </w:r>
      <w:r w:rsidR="00AC1242">
        <w:t>ja klasificēta informācija, taču tā</w:t>
      </w:r>
      <w:r w:rsidR="009275AA">
        <w:t xml:space="preserve"> iesniedza Augstākās tiesas</w:t>
      </w:r>
      <w:r w:rsidR="00AC1242">
        <w:t xml:space="preserve"> </w:t>
      </w:r>
      <w:r w:rsidR="00AC1242">
        <w:lastRenderedPageBreak/>
        <w:t>vēstuli</w:t>
      </w:r>
      <w:r w:rsidR="009275AA">
        <w:t>,</w:t>
      </w:r>
      <w:r w:rsidR="00AC1242">
        <w:t xml:space="preserve"> kas pierādīja</w:t>
      </w:r>
      <w:r w:rsidR="009275AA">
        <w:t>, ka tiesnesis ir</w:t>
      </w:r>
      <w:r w:rsidR="00AC1242">
        <w:t xml:space="preserve"> vairākas reizes</w:t>
      </w:r>
      <w:r w:rsidR="009275AA">
        <w:t xml:space="preserve"> </w:t>
      </w:r>
      <w:r w:rsidR="00AC1242">
        <w:t>sniedzis</w:t>
      </w:r>
      <w:r w:rsidR="009275AA">
        <w:t xml:space="preserve"> atļauju noklausīties iesniedzēja telefonsarunas (skatīt iepriekš 12. rindkopu).</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42</w:t>
      </w:r>
      <w:r>
        <w:rPr>
          <w:noProof/>
        </w:rPr>
        <w:fldChar w:fldCharType="end"/>
      </w:r>
      <w:r w:rsidR="00B02ED1">
        <w:t xml:space="preserve">.  Attiecībā uz samērīgumu, </w:t>
      </w:r>
      <w:r w:rsidR="00AC1242">
        <w:t>tā</w:t>
      </w:r>
      <w:r w:rsidR="00B02ED1">
        <w:t xml:space="preserve"> norādīja, ka parastie pasākumi kriminālprocesa ietvaros </w:t>
      </w:r>
      <w:r w:rsidR="00AC1242">
        <w:t>bija</w:t>
      </w:r>
      <w:r w:rsidR="00B02ED1">
        <w:t xml:space="preserve"> izrādījušies neefektīvi, lai savāktu ticamu informāciju par kontrabandu lielos apmēros, ko</w:t>
      </w:r>
      <w:r w:rsidR="004B5A05">
        <w:t>,</w:t>
      </w:r>
      <w:r w:rsidR="00B02ED1">
        <w:t xml:space="preserve"> iespējams</w:t>
      </w:r>
      <w:r w:rsidR="004B5A05">
        <w:t>,</w:t>
      </w:r>
      <w:r w:rsidR="00B02ED1">
        <w:t xml:space="preserve"> vadīja augsta</w:t>
      </w:r>
      <w:r w:rsidR="00AC1242">
        <w:t xml:space="preserve"> </w:t>
      </w:r>
      <w:r w:rsidR="00B02ED1">
        <w:t xml:space="preserve">līmeņa valsts amatpersona (nopratinātās personas ir noliegušas jebkādu valsts amatpersonu iesaisti). Runājot par </w:t>
      </w:r>
      <w:r w:rsidR="00AC1242">
        <w:t>atbilstošām un efektīvām procesuālajām garantijām</w:t>
      </w:r>
      <w:r w:rsidR="00B02ED1">
        <w:t>, Valdība atzina, ka iesniedzējs sākotnēji</w:t>
      </w:r>
      <w:r w:rsidR="00AC1242">
        <w:t xml:space="preserve"> nebija informēts par to,</w:t>
      </w:r>
      <w:r w:rsidR="00B02ED1">
        <w:t>, ka viņa telefonsarunas tika noklausītas. Tomēr 2006.gada 27.jūnijā viņš</w:t>
      </w:r>
      <w:r w:rsidR="00AC1242">
        <w:t xml:space="preserve"> par to</w:t>
      </w:r>
      <w:r w:rsidR="00B02ED1">
        <w:t xml:space="preserve"> tika informēts, kā arī</w:t>
      </w:r>
      <w:r w:rsidR="00AC1242">
        <w:t xml:space="preserve"> par</w:t>
      </w:r>
      <w:r w:rsidR="00B02ED1">
        <w:t xml:space="preserve"> to, ka tiesnesis ir devis atļauju veikt noklausīšanos. Turklāt 2006.gada 13.oktobrī iesniedzējs </w:t>
      </w:r>
      <w:r w:rsidR="00AC1242">
        <w:t>tika</w:t>
      </w:r>
      <w:r w:rsidR="00B02ED1">
        <w:t xml:space="preserve"> informēts par iestādi, kas noklausījās viņa telefonsarunas un </w:t>
      </w:r>
      <w:r w:rsidR="00AC1242">
        <w:t>kopējo šī pasākuma</w:t>
      </w:r>
      <w:r w:rsidR="00B02ED1">
        <w:t xml:space="preserve"> ilgumu.</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43</w:t>
      </w:r>
      <w:r w:rsidRPr="00A368DD">
        <w:fldChar w:fldCharType="end"/>
      </w:r>
      <w:r w:rsidR="009275AA">
        <w:t xml:space="preserve">.  Valdība nepiekrita tam, ka visas sarunas ar O.S. būtu uzskatāmas par priviliģēto </w:t>
      </w:r>
      <w:r w:rsidR="00AC1242">
        <w:t>informāciju</w:t>
      </w:r>
      <w:r w:rsidR="009275AA">
        <w:t xml:space="preserve">. Viņš </w:t>
      </w:r>
      <w:r w:rsidR="00AC1242">
        <w:t xml:space="preserve">kļuva par </w:t>
      </w:r>
      <w:r w:rsidR="009275AA">
        <w:t xml:space="preserve">iesniedzēja aizstāvi tikai kopš 2005.gada 27.septembra un jebkuras iepriekšējās sarunas līdz ar to </w:t>
      </w:r>
      <w:r w:rsidR="00AC1242">
        <w:t>notika</w:t>
      </w:r>
      <w:r w:rsidR="009275AA">
        <w:t>, viņam atrodoties privātā statusā. Attiecībā uz 2005.gada 7.oktobra telefonsarunām Valdība apgalvoja, ka ne katra saruna starp advokātu un viņa klientu ir obligāti uzskatāma par priviliģētu. Valdība uzsvēra, ka pats iesniedzējs un viņa a</w:t>
      </w:r>
      <w:r w:rsidR="00796E5C">
        <w:t>izstāvis</w:t>
      </w:r>
      <w:r w:rsidR="009275AA">
        <w:t xml:space="preserve"> ir publiski atzinuši, ka šīs sarunas ir bijušas </w:t>
      </w:r>
      <w:r w:rsidR="00796E5C">
        <w:t>ikdienišķas</w:t>
      </w:r>
      <w:r w:rsidR="009275AA">
        <w:t xml:space="preserve"> un nenozīmīgas, un viņu starpā netika apspriesti</w:t>
      </w:r>
      <w:r w:rsidR="00796E5C">
        <w:t xml:space="preserve"> ne</w:t>
      </w:r>
      <w:r w:rsidR="009275AA">
        <w:t xml:space="preserve"> juridiski jautājumi</w:t>
      </w:r>
      <w:r w:rsidR="00796E5C">
        <w:t>, ne</w:t>
      </w:r>
      <w:r w:rsidR="009275AA">
        <w:t xml:space="preserve"> aizstāvības pozīcija.</w:t>
      </w:r>
    </w:p>
    <w:p w:rsidR="009275AA" w:rsidRPr="00A368DD" w:rsidRDefault="009275AA" w:rsidP="00A368DD">
      <w:pPr>
        <w:pStyle w:val="ECHRHeading3"/>
      </w:pPr>
      <w:r>
        <w:t>2.  Tiesas vērtējums</w:t>
      </w:r>
    </w:p>
    <w:p w:rsidR="00D74E20"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44</w:t>
      </w:r>
      <w:r w:rsidRPr="00A368DD">
        <w:fldChar w:fldCharType="end"/>
      </w:r>
      <w:r w:rsidR="009275AA">
        <w:t xml:space="preserve">.  Tiesa atsaucas uz neseno </w:t>
      </w:r>
      <w:r w:rsidR="00796E5C">
        <w:t>būtisko</w:t>
      </w:r>
      <w:r w:rsidR="009275AA">
        <w:t xml:space="preserve"> principu kopsavilkumu lietā </w:t>
      </w:r>
      <w:r w:rsidR="009275AA">
        <w:rPr>
          <w:i/>
        </w:rPr>
        <w:t>Šantare un Labazņikovs</w:t>
      </w:r>
      <w:r w:rsidR="009275AA">
        <w:t xml:space="preserve"> (citēt</w:t>
      </w:r>
      <w:r w:rsidR="00AC1242">
        <w:t>a</w:t>
      </w:r>
      <w:r w:rsidR="009275AA">
        <w:t xml:space="preserve"> iepriekš, 53.-55.rindkopa).</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45</w:t>
      </w:r>
      <w:r>
        <w:rPr>
          <w:noProof/>
        </w:rPr>
        <w:fldChar w:fldCharType="end"/>
      </w:r>
      <w:r w:rsidR="00B02ED1">
        <w:t>.  Tiesa norāda, ka šajā lietā pušu starpā</w:t>
      </w:r>
      <w:r w:rsidR="00796E5C">
        <w:t xml:space="preserve"> nav strīda</w:t>
      </w:r>
      <w:r w:rsidR="00B02ED1">
        <w:t xml:space="preserve"> par to, ka iesniedzēja telefonsarunu ar O.S. noklausīšanās </w:t>
      </w:r>
      <w:r w:rsidR="00796E5C">
        <w:t xml:space="preserve">iejaucās </w:t>
      </w:r>
      <w:r w:rsidR="00B02ED1">
        <w:t>viņa tiesīb</w:t>
      </w:r>
      <w:r w:rsidR="00796E5C">
        <w:t>ā</w:t>
      </w:r>
      <w:r w:rsidR="00B02ED1">
        <w:t>s uz privātās dzīves un korespondences neaizskaramību</w:t>
      </w:r>
      <w:r w:rsidR="00796E5C">
        <w:t>,</w:t>
      </w:r>
      <w:r w:rsidR="00B02ED1">
        <w:t xml:space="preserve"> un š</w:t>
      </w:r>
      <w:r w:rsidR="00796E5C">
        <w:t xml:space="preserve">ī iejaukšanās </w:t>
      </w:r>
      <w:r w:rsidR="00B02ED1">
        <w:t>bija attiecināms uz valsti. Tiesa nesaskata iemeslu uzskatīt savādāk.</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46</w:t>
      </w:r>
      <w:r>
        <w:rPr>
          <w:noProof/>
        </w:rPr>
        <w:fldChar w:fldCharType="end"/>
      </w:r>
      <w:r w:rsidR="00B02ED1">
        <w:t xml:space="preserve">.  Tāpēc ir nepieciešams </w:t>
      </w:r>
      <w:r w:rsidR="00796E5C">
        <w:t>izvērtēt</w:t>
      </w:r>
      <w:r w:rsidR="00B02ED1">
        <w:t xml:space="preserve">, vai šī noklausīšanās </w:t>
      </w:r>
      <w:r w:rsidR="00796E5C">
        <w:t xml:space="preserve">ir </w:t>
      </w:r>
      <w:r w:rsidR="00B02ED1">
        <w:t>attaisno</w:t>
      </w:r>
      <w:r w:rsidR="00796E5C">
        <w:t>jama</w:t>
      </w:r>
      <w:r w:rsidR="00B02ED1">
        <w:t xml:space="preserve"> saskaņā ar 8.panta 2.punktu, proti, vai tā notika “saskaņā ar likumu” un ir “nepieciešama demokrātiskā sabiedrībā” kāda no šajā </w:t>
      </w:r>
      <w:r w:rsidR="00796E5C">
        <w:t>punktā</w:t>
      </w:r>
      <w:r w:rsidR="00B02ED1">
        <w:t xml:space="preserve"> uzskaitīto iemeslu dēļ.</w:t>
      </w:r>
    </w:p>
    <w:p w:rsidR="00EC0B64"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47</w:t>
      </w:r>
      <w:r>
        <w:rPr>
          <w:noProof/>
        </w:rPr>
        <w:fldChar w:fldCharType="end"/>
      </w:r>
      <w:r w:rsidR="00B02ED1">
        <w:t xml:space="preserve">.  Attiecībā uz juridiskā pamatojuma esamību, Tiesa norāda uz vairāku līmeņu prokuroru izdarītajiem secinājumiem par to, ka iesniedzēja telefonsarunu noklausīšanās tika veikta saskaņā ar Operatīvās darbības likumu (skatīt iepriekš 13., 14. un 19.rindkopu). Tā kā puses to neapstrīdēja, Tiesa pieņem, ka iesniedzēja telefonsarunu noklausīšanai bija </w:t>
      </w:r>
      <w:r w:rsidR="00796E5C">
        <w:t>tiesisks pamats</w:t>
      </w:r>
      <w:r w:rsidR="00B02ED1">
        <w:t xml:space="preserve"> Latvijas tiesību aktos un tā tika veikta ar leģitīmu mērķi novērst noziegumu.</w:t>
      </w:r>
    </w:p>
    <w:p w:rsidR="00A45E06"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48</w:t>
      </w:r>
      <w:r>
        <w:rPr>
          <w:noProof/>
        </w:rPr>
        <w:fldChar w:fldCharType="end"/>
      </w:r>
      <w:r w:rsidR="00B02ED1">
        <w:t xml:space="preserve">.  Attiecībā uz paredzamības jautājumu, Operatīvās darbības likuma 4.pantā ir uzskaitīti principi, kas piemērojami, ja tiek </w:t>
      </w:r>
      <w:r w:rsidR="00022598">
        <w:t>noteikti un veikti operatīvās darbības</w:t>
      </w:r>
      <w:r w:rsidR="00B02ED1">
        <w:t xml:space="preserve"> pasākumi. Šī likuma 7.panta 4.punkts pieprasa tiesas </w:t>
      </w:r>
      <w:r w:rsidR="00022598">
        <w:lastRenderedPageBreak/>
        <w:t>sankciju</w:t>
      </w:r>
      <w:r w:rsidR="00B02ED1">
        <w:t xml:space="preserve"> telefonsarunu noklausīšanas veikšanai un nosaka, ka šāda noklausīšanās sākotnēji nedrīkst pārsniegt trīs mēnešus. Atļauja tiek sastādīta rakstveidā un tiesnesim, kurš lemj par tās piešķiršanu, ir tiesības piekļūt dokumentiem, uz</w:t>
      </w:r>
      <w:r w:rsidR="00022598">
        <w:t xml:space="preserve"> kuriem pieprasītais operatīvās darbības</w:t>
      </w:r>
      <w:r w:rsidR="00B02ED1">
        <w:t xml:space="preserve"> pasākums tiek balstīts, saņemot speciālu atļauju no operatīvās izmeklēšanas </w:t>
      </w:r>
      <w:r w:rsidR="00022598">
        <w:t>struktūr</w:t>
      </w:r>
      <w:r w:rsidR="00B02ED1">
        <w:t>vienības, ja piekļuve ir saistīta ar slepenu informāciju. Tiesai, kura izskata krimināllietu, ir jāsniedz visa informācija, kas iegūta operatīv</w:t>
      </w:r>
      <w:r w:rsidR="00022598">
        <w:t>ās</w:t>
      </w:r>
      <w:r w:rsidR="00B02ED1">
        <w:t xml:space="preserve"> darbīb</w:t>
      </w:r>
      <w:r w:rsidR="00022598">
        <w:t>ās</w:t>
      </w:r>
      <w:r w:rsidR="00B02ED1">
        <w:t xml:space="preserve"> rezultātā (skatīt lietu </w:t>
      </w:r>
      <w:r w:rsidR="00B02ED1">
        <w:rPr>
          <w:i/>
        </w:rPr>
        <w:t>Šantare un Labazņikovs</w:t>
      </w:r>
      <w:r w:rsidR="00B02ED1">
        <w:t>, citēta iepriekš, 57.rindkopu).</w:t>
      </w:r>
    </w:p>
    <w:p w:rsidR="00803C6E"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49</w:t>
      </w:r>
      <w:r>
        <w:rPr>
          <w:noProof/>
        </w:rPr>
        <w:fldChar w:fldCharType="end"/>
      </w:r>
      <w:r w:rsidR="00B02ED1">
        <w:t>.  Attiecībā uz iesnie</w:t>
      </w:r>
      <w:r w:rsidR="00022598">
        <w:t>dzēja apgalvojumu par nacionālajos</w:t>
      </w:r>
      <w:r w:rsidR="00B02ED1">
        <w:t xml:space="preserve"> tiesību aktos noteiktā</w:t>
      </w:r>
      <w:r w:rsidR="00022598">
        <w:t xml:space="preserve"> </w:t>
      </w:r>
      <w:r w:rsidR="00B02ED1">
        <w:t xml:space="preserve">trīs mēnešu termiņa pārkāpumu, Tiesa atzīmē, ka Valdība ir iesniegusi Augstākās tiesas 2012.gada 27.jūnijā sagatavoto dokumentu (skatīt iepriekš 12.rindkopu), saskaņā ar kuru apstrīdētā noklausīšanās ir </w:t>
      </w:r>
      <w:r w:rsidR="00022598">
        <w:t>sankcionēta vairākas reizes</w:t>
      </w:r>
      <w:r w:rsidR="00B02ED1">
        <w:t>, katru reizi</w:t>
      </w:r>
      <w:r w:rsidR="00022598">
        <w:t xml:space="preserve"> uz laiku</w:t>
      </w:r>
      <w:r w:rsidR="00B02ED1">
        <w:t xml:space="preserve"> </w:t>
      </w:r>
      <w:r w:rsidR="00022598">
        <w:t>īsāku</w:t>
      </w:r>
      <w:r w:rsidR="00B02ED1">
        <w:t xml:space="preserve"> </w:t>
      </w:r>
      <w:r w:rsidR="00022598">
        <w:t>par</w:t>
      </w:r>
      <w:r w:rsidR="00B02ED1">
        <w:t xml:space="preserve"> trīs mēneš</w:t>
      </w:r>
      <w:r w:rsidR="00022598">
        <w:t>iem</w:t>
      </w:r>
      <w:r w:rsidR="00B02ED1">
        <w:t xml:space="preserve">. Tomēr, tāpat kā lietā </w:t>
      </w:r>
      <w:r w:rsidR="00B02ED1">
        <w:rPr>
          <w:i/>
        </w:rPr>
        <w:t>Šantare un Labazņikovs</w:t>
      </w:r>
      <w:r w:rsidR="00B02ED1">
        <w:t xml:space="preserve">, Tiesa nevar spekulēt ar to, vai Valdības sniegtā informācija šajā lietā apliecina rakstveida atļaujas esamību lēmuma formā (skatīt lietu </w:t>
      </w:r>
      <w:r w:rsidR="00B02ED1">
        <w:rPr>
          <w:i/>
        </w:rPr>
        <w:t>Šantare un Labazņikovs</w:t>
      </w:r>
      <w:r w:rsidR="00B02ED1">
        <w:t>, citēta iepriekš, 60.rindkopa). Tāpat kā iesniedzēji tajā lietā, arī iesniedzējs šajā lietā vēlējās pārbaudīt, vai</w:t>
      </w:r>
      <w:r w:rsidR="00022598">
        <w:t xml:space="preserve"> noklausīšanās ir tikusi atļauta ar</w:t>
      </w:r>
      <w:r w:rsidR="00B02ED1">
        <w:t xml:space="preserve"> tiesas lēmum</w:t>
      </w:r>
      <w:r w:rsidR="00022598">
        <w:t>u</w:t>
      </w:r>
      <w:r w:rsidR="00B02ED1">
        <w:t xml:space="preserve"> (skatīt iepriekš 15.rindkopu). Neskatoties uz to, ka visu līmeņu prokurori informēja viņu, ka šāds lēmums eksistēja, viņi nesniedza nekādu sīkāku informāciju, kas ļautu viņam pārbaudīt, </w:t>
      </w:r>
      <w:r w:rsidR="009968B8">
        <w:t>vai</w:t>
      </w:r>
      <w:r w:rsidR="00B02ED1">
        <w:t xml:space="preserve"> šāds lēmums patiešām ir bijis pieņemts, piemēram, šī lēmuma </w:t>
      </w:r>
      <w:r w:rsidR="009968B8">
        <w:t>lietvedības</w:t>
      </w:r>
      <w:r w:rsidR="00B02ED1">
        <w:t xml:space="preserve"> numurs vai</w:t>
      </w:r>
      <w:r w:rsidR="00D255CE">
        <w:t xml:space="preserve"> lēmumu pieņēmušā</w:t>
      </w:r>
      <w:r w:rsidR="00B02ED1">
        <w:t xml:space="preserve"> tiesneša vārds (skatīt lietu </w:t>
      </w:r>
      <w:r w:rsidR="00B02ED1">
        <w:rPr>
          <w:i/>
        </w:rPr>
        <w:t>Šantare un Labazņikovs</w:t>
      </w:r>
      <w:r w:rsidR="00B02ED1">
        <w:t xml:space="preserve">, citēta iepriekš, 60.-61.rindkopa). Tiesa var tikai atzīmēt, ka, neskatoties uz to, ka viens </w:t>
      </w:r>
      <w:r w:rsidR="008F292E">
        <w:t>no</w:t>
      </w:r>
      <w:r w:rsidR="009968B8">
        <w:t xml:space="preserve"> </w:t>
      </w:r>
      <w:r w:rsidR="00B02ED1">
        <w:t>prokuror</w:t>
      </w:r>
      <w:r w:rsidR="009968B8">
        <w:t>iem</w:t>
      </w:r>
      <w:r w:rsidR="00B02ED1">
        <w:t xml:space="preserve"> norādīja, ka iesniedzēja telefonsarunu noklausīšanās</w:t>
      </w:r>
      <w:r w:rsidR="009968B8">
        <w:t xml:space="preserve"> </w:t>
      </w:r>
      <w:r w:rsidR="008F292E">
        <w:t>tika</w:t>
      </w:r>
      <w:r w:rsidR="009968B8">
        <w:t xml:space="preserve"> veikta</w:t>
      </w:r>
      <w:r w:rsidR="00B02ED1">
        <w:t xml:space="preserve"> sakarā ar aizdomām par izvairīšanos no nodokļu nomaksas lielos apmērā, kriminālprocess pret iesniedzēju bija saistīts ar naftas produktu kontrabandu lielos apmēros, vilto</w:t>
      </w:r>
      <w:r w:rsidR="009968B8">
        <w:t>jumu atbildību pastiprinošos apstākļos</w:t>
      </w:r>
      <w:r w:rsidR="00B02ED1">
        <w:t xml:space="preserve"> un</w:t>
      </w:r>
      <w:r w:rsidR="009968B8">
        <w:t xml:space="preserve"> </w:t>
      </w:r>
      <w:r w:rsidR="00B02ED1">
        <w:t xml:space="preserve">naudas līdzekļu legalizēšanu, kas veikta organizētā grupā (salīdzināt 6. un 8. rindkopu ar 14.rindkopu iepriekš). Attaisnojot iesniedzēju, nacionālās tiesas </w:t>
      </w:r>
      <w:r w:rsidR="00D255CE">
        <w:t xml:space="preserve">šķietami </w:t>
      </w:r>
      <w:r w:rsidR="00B02ED1">
        <w:t>vispār nav pārbaudījušas apstrīdēto pasākumu likumību kriminālprocesā pret viņu.</w:t>
      </w:r>
    </w:p>
    <w:p w:rsidR="006750ED"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50</w:t>
      </w:r>
      <w:r>
        <w:rPr>
          <w:noProof/>
        </w:rPr>
        <w:fldChar w:fldCharType="end"/>
      </w:r>
      <w:r w:rsidR="00B02ED1">
        <w:t>.  Pie šādiem apstākļiem Tiesa secina, ka iesniedzējs nevarēja pārbaudīt, vai ir notikus</w:t>
      </w:r>
      <w:r w:rsidR="009F4B99">
        <w:t>ī</w:t>
      </w:r>
      <w:r w:rsidR="00B02ED1">
        <w:t xml:space="preserve"> iejaukšanās viņa Konvencijas 8.pantā </w:t>
      </w:r>
      <w:r w:rsidR="009F4B99">
        <w:t>noteiktajās</w:t>
      </w:r>
      <w:r w:rsidR="00B02ED1">
        <w:t xml:space="preserve"> tiesībās</w:t>
      </w:r>
      <w:r w:rsidR="009F4B99">
        <w:t xml:space="preserve"> bija</w:t>
      </w:r>
      <w:r w:rsidR="00B02ED1">
        <w:t xml:space="preserve"> pamato</w:t>
      </w:r>
      <w:r w:rsidR="009F4B99">
        <w:t>ta</w:t>
      </w:r>
      <w:r w:rsidR="00B02ED1">
        <w:t xml:space="preserve"> </w:t>
      </w:r>
      <w:r w:rsidR="009F4B99">
        <w:t>ar</w:t>
      </w:r>
      <w:r w:rsidR="00B02ED1">
        <w:t xml:space="preserve"> iepriekšēju tiesas atļauju, un līdz ar to bija likumīga. Iesniedzējs līdz ar to nevarēja panākt apstrīdēto pasākumu likumības </w:t>
      </w:r>
      <w:r w:rsidR="009F4B99">
        <w:t>pārbaudi</w:t>
      </w:r>
      <w:r w:rsidR="00B02ED1">
        <w:t xml:space="preserve"> un </w:t>
      </w:r>
      <w:r w:rsidR="009F4B99">
        <w:t>šajā sakarā saņemt</w:t>
      </w:r>
      <w:r w:rsidR="00B02ED1">
        <w:t xml:space="preserve"> papildu</w:t>
      </w:r>
      <w:r w:rsidR="009F4B99">
        <w:t>s procesuālās</w:t>
      </w:r>
      <w:r w:rsidR="00B02ED1">
        <w:t xml:space="preserve"> </w:t>
      </w:r>
      <w:r w:rsidR="009F4B99">
        <w:t xml:space="preserve">garantijas </w:t>
      </w:r>
      <w:r w:rsidR="00B02ED1">
        <w:t>pret patvaļu.</w:t>
      </w:r>
    </w:p>
    <w:p w:rsidR="006B0004"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51</w:t>
      </w:r>
      <w:r>
        <w:rPr>
          <w:noProof/>
        </w:rPr>
        <w:fldChar w:fldCharType="end"/>
      </w:r>
      <w:r w:rsidR="00B02ED1">
        <w:t>.  Turklāt attiecībā uz to, vai apstrīdētais pasākums bija "nepieciešams demokrātiskā sabiedrībā", Tiesa norāda, ka nav apstrīdēts, ka vismaz viena no apstrīdētajām sarunām, proti, 2005. gada 7. oktobrī, notika ar iesniedzēja aizstāvi. Tiesa ir atzinusi, ka, lai gan 8. pants aizsargā visas saziņas starp privātpersonām konfidencialitāti, tas nodrošin</w:t>
      </w:r>
      <w:r w:rsidR="00023F24">
        <w:t>a</w:t>
      </w:r>
      <w:r w:rsidR="00B02ED1">
        <w:t xml:space="preserve"> "pastiprinātu aizsardzību" </w:t>
      </w:r>
      <w:r w:rsidR="00B02ED1">
        <w:lastRenderedPageBreak/>
        <w:t>informācijas apmaiņai starp advokātiem un viņu klientiem, jo advokāti nevarētu aizstāvēt savus klientus, ja viņi nevarētu garantēt, ka viņu informācijas apmaiņa pali</w:t>
      </w:r>
      <w:r w:rsidR="00023F24">
        <w:t>e</w:t>
      </w:r>
      <w:r w:rsidR="00B02ED1">
        <w:t xml:space="preserve">k konfidenciāla (skatīt lietu </w:t>
      </w:r>
      <w:r w:rsidR="00B02ED1">
        <w:rPr>
          <w:i/>
        </w:rPr>
        <w:t>Michaud</w:t>
      </w:r>
      <w:r w:rsidR="00B02ED1">
        <w:t xml:space="preserve">, citēta iepriekš, 118. rindkopa). Kaut arī Valdība apgalvoja, ka ne katra saruna starp advokātu un viņa klientu </w:t>
      </w:r>
      <w:r w:rsidR="001C5C60">
        <w:t xml:space="preserve">ir uzskatāma par </w:t>
      </w:r>
      <w:r w:rsidR="00B02ED1">
        <w:t>priviliģēt</w:t>
      </w:r>
      <w:r w:rsidR="001C5C60">
        <w:t>u</w:t>
      </w:r>
      <w:r w:rsidR="00B02ED1">
        <w:t xml:space="preserve">, Tiesa nesaskata nekādu </w:t>
      </w:r>
      <w:r w:rsidR="001C5C60">
        <w:t xml:space="preserve">nepieciešamību </w:t>
      </w:r>
      <w:r w:rsidR="00B02ED1">
        <w:t xml:space="preserve">nošķirt dažādas saziņas ar advokātiem kategorijas, kuras, neskatoties uz to mērķi, attiecas uz privāta un konfidenciāla rakstura </w:t>
      </w:r>
      <w:r w:rsidR="001C5C60">
        <w:t>jautājumiem</w:t>
      </w:r>
      <w:r w:rsidR="00B02ED1">
        <w:t xml:space="preserve"> (skatīt lietu </w:t>
      </w:r>
      <w:r w:rsidR="00B02ED1">
        <w:rPr>
          <w:i/>
        </w:rPr>
        <w:t>Campbell</w:t>
      </w:r>
      <w:r w:rsidR="00B02ED1">
        <w:t>, citēt</w:t>
      </w:r>
      <w:r w:rsidR="001C5C60">
        <w:t>a</w:t>
      </w:r>
      <w:r w:rsidR="00B02ED1">
        <w:t xml:space="preserve"> iepriekš, 48.rindkopa, kas attiecas uz korespondenci). Valdība šajā lietā neapgalvoja, ka būtu bijis kāds iemesls aizdomām, ka šis saziņas kanāls </w:t>
      </w:r>
      <w:r w:rsidR="00C21ED2">
        <w:t xml:space="preserve">ir ticis </w:t>
      </w:r>
      <w:r w:rsidR="00B02ED1">
        <w:t>izmantots</w:t>
      </w:r>
      <w:r w:rsidR="001C5C60">
        <w:t xml:space="preserve"> ļaunprātīgi</w:t>
      </w:r>
      <w:r w:rsidR="00B02ED1">
        <w:t xml:space="preserve"> vai ka </w:t>
      </w:r>
      <w:r w:rsidR="00B02ED1" w:rsidRPr="003F0921">
        <w:t xml:space="preserve">iesniedzēja aizstāvis nebūtu ievērojis savas profesijas noteikumus. </w:t>
      </w:r>
      <w:r w:rsidR="003F0921" w:rsidRPr="003F0921">
        <w:t>Ļ</w:t>
      </w:r>
      <w:r w:rsidR="00B02ED1" w:rsidRPr="003F0921">
        <w:t>aunprātīgas izmantošanas iespēj</w:t>
      </w:r>
      <w:r w:rsidR="003F0921" w:rsidRPr="003F0921">
        <w:t>amīb</w:t>
      </w:r>
      <w:r w:rsidR="00B02ED1" w:rsidRPr="003F0921">
        <w:t>u atsver nepieciešamība ievērot advokāta-klienta attiecībām piemītošo konfidencialitāti (turpat, 52.rindkopa).</w:t>
      </w:r>
    </w:p>
    <w:p w:rsidR="00A54DDA" w:rsidRPr="00A368DD" w:rsidRDefault="00D078B6" w:rsidP="00A368DD">
      <w:pPr>
        <w:pStyle w:val="ECHRPara"/>
      </w:pPr>
      <w:r w:rsidRPr="00A368DD">
        <w:fldChar w:fldCharType="begin"/>
      </w:r>
      <w:r w:rsidR="00A54DDA" w:rsidRPr="00A368DD">
        <w:instrText xml:space="preserve"> SEQ level0 \*arabic </w:instrText>
      </w:r>
      <w:r w:rsidRPr="00A368DD">
        <w:fldChar w:fldCharType="separate"/>
      </w:r>
      <w:r w:rsidR="00A368DD" w:rsidRPr="00A368DD">
        <w:rPr>
          <w:noProof/>
        </w:rPr>
        <w:t>52</w:t>
      </w:r>
      <w:r w:rsidRPr="00A368DD">
        <w:fldChar w:fldCharType="end"/>
      </w:r>
      <w:r w:rsidR="00A54DDA">
        <w:t>.  Iepriekš minētie apsvērumi ir pietiekami, lai Tiesa secinātu, ne</w:t>
      </w:r>
      <w:r w:rsidR="003F0921">
        <w:t xml:space="preserve">iedziļinoties citos </w:t>
      </w:r>
      <w:r w:rsidR="00A54DDA">
        <w:t>lietas aspekt</w:t>
      </w:r>
      <w:r w:rsidR="003F0921">
        <w:t>o</w:t>
      </w:r>
      <w:r w:rsidR="00A54DDA">
        <w:t xml:space="preserve">s, ka noklausīšanās šajā lietā nenotika “saskaņā ar likumu” </w:t>
      </w:r>
      <w:r w:rsidR="003F0921">
        <w:t>un</w:t>
      </w:r>
      <w:r w:rsidR="00A54DDA">
        <w:t xml:space="preserve"> nebija “nepieciešama demokrātiskā sabiedrībā”. Līdz ar to ir noticis Konvencijas 8.panta pārkāpums.</w:t>
      </w:r>
    </w:p>
    <w:p w:rsidR="009275AA" w:rsidRPr="00A368DD" w:rsidRDefault="009275AA" w:rsidP="00A368DD">
      <w:pPr>
        <w:pStyle w:val="ECHRHeading1"/>
      </w:pPr>
      <w:r>
        <w:t>II.  IESPĒJAM</w:t>
      </w:r>
      <w:r w:rsidR="00D93F65">
        <w:t>AIS</w:t>
      </w:r>
      <w:r>
        <w:t xml:space="preserve"> KONVENCIJAS 6. PANTA PĀRKĀPUM</w:t>
      </w:r>
      <w:r w:rsidR="00D93F65">
        <w:t>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53</w:t>
      </w:r>
      <w:r w:rsidRPr="00A368DD">
        <w:fldChar w:fldCharType="end"/>
      </w:r>
      <w:r w:rsidR="009275AA">
        <w:t>.  Iesniedzējs apgalvoja, ka viņa telefonsarunu ar O.S. noklausīšanās un to izmantošana kriminālprocesā pret viņu pārkāpa Konvencijas 6.panta 1.punktu sa</w:t>
      </w:r>
      <w:r w:rsidR="003F0921">
        <w:t>saistē</w:t>
      </w:r>
      <w:r w:rsidR="009275AA">
        <w:t xml:space="preserve"> ar 6.panta 3.punkta b) un c) apakšpunktu.</w:t>
      </w:r>
    </w:p>
    <w:p w:rsidR="009275AA" w:rsidRPr="00A368DD" w:rsidRDefault="00D078B6" w:rsidP="00A368DD">
      <w:pPr>
        <w:pStyle w:val="ECHRPara"/>
        <w:rPr>
          <w:i/>
          <w:iCs/>
        </w:rPr>
      </w:pPr>
      <w:r w:rsidRPr="00A368DD">
        <w:fldChar w:fldCharType="begin"/>
      </w:r>
      <w:r w:rsidR="009275AA" w:rsidRPr="00A368DD">
        <w:instrText xml:space="preserve"> SEQ level0 \*arabic </w:instrText>
      </w:r>
      <w:r w:rsidRPr="00A368DD">
        <w:fldChar w:fldCharType="separate"/>
      </w:r>
      <w:r w:rsidR="00A368DD" w:rsidRPr="00A368DD">
        <w:rPr>
          <w:noProof/>
        </w:rPr>
        <w:t>54</w:t>
      </w:r>
      <w:r w:rsidRPr="00A368DD">
        <w:fldChar w:fldCharType="end"/>
      </w:r>
      <w:r w:rsidR="009275AA">
        <w:t>.  Tiesa uzskata, ka persona nevar apgalvot, ka</w:t>
      </w:r>
      <w:r w:rsidR="003F0921">
        <w:t xml:space="preserve"> tā ir</w:t>
      </w:r>
      <w:r w:rsidR="009275AA">
        <w:t xml:space="preserve"> Konvencijas 6.pant</w:t>
      </w:r>
      <w:r w:rsidR="003F0921">
        <w:t>ā noteikto</w:t>
      </w:r>
      <w:r w:rsidR="009275AA">
        <w:t xml:space="preserve"> tiesību uz </w:t>
      </w:r>
      <w:r w:rsidR="003F0921">
        <w:t>taisnīgu</w:t>
      </w:r>
      <w:r w:rsidR="009275AA">
        <w:t xml:space="preserve"> tiesu pārkāpuma upuris, kas pēc viņa</w:t>
      </w:r>
      <w:r w:rsidR="003F0921">
        <w:t>s</w:t>
      </w:r>
      <w:r w:rsidR="009275AA">
        <w:t xml:space="preserve"> teiktā notika</w:t>
      </w:r>
      <w:r w:rsidR="003F0921">
        <w:t xml:space="preserve"> tāda</w:t>
      </w:r>
      <w:r w:rsidR="009275AA">
        <w:t xml:space="preserve"> procesa laikā, kurā viņ</w:t>
      </w:r>
      <w:r w:rsidR="003F0921">
        <w:t>a</w:t>
      </w:r>
      <w:r w:rsidR="009275AA">
        <w:t xml:space="preserve"> tika attaisnot</w:t>
      </w:r>
      <w:r w:rsidR="003F0921">
        <w:t>a</w:t>
      </w:r>
      <w:r w:rsidR="009275AA">
        <w:t xml:space="preserve"> vai kas tika izbeigt</w:t>
      </w:r>
      <w:r w:rsidR="003F0921">
        <w:t>s</w:t>
      </w:r>
      <w:r w:rsidR="009275AA">
        <w:t xml:space="preserve"> (skatīt lietu </w:t>
      </w:r>
      <w:r w:rsidR="009275AA">
        <w:rPr>
          <w:rStyle w:val="CLLItalic"/>
        </w:rPr>
        <w:t xml:space="preserve">McFarlane v. Ireland </w:t>
      </w:r>
      <w:r w:rsidR="009275AA">
        <w:t xml:space="preserve">[LP], Nr. 31333/06, 78. rindkopa, 2010.gada 10.septembris, un lietu </w:t>
      </w:r>
      <w:r w:rsidR="009275AA">
        <w:rPr>
          <w:i/>
        </w:rPr>
        <w:t>Oleksy v. Poland</w:t>
      </w:r>
      <w:r w:rsidR="009275AA">
        <w:t xml:space="preserve"> (lēmums), Nr. 1379/06, </w:t>
      </w:r>
      <w:r w:rsidR="009275AA">
        <w:rPr>
          <w:rStyle w:val="column"/>
        </w:rPr>
        <w:t>2009.gada 16.jūnijs un tajā citēto judikatūru</w:t>
      </w:r>
      <w:r w:rsidR="009275AA">
        <w:t>). Tiesa norāda, ka iesniedzējs šajā lietā tika pilnībā attaisnots un Tiesa uzskata, ka viņš vairāk nevar apgalvot, ka vi</w:t>
      </w:r>
      <w:r w:rsidR="00C77378">
        <w:t>ņ</w:t>
      </w:r>
      <w:r w:rsidR="009275AA">
        <w:t>š ir tiesību uz taisnīgu tiesu pārkāpuma upuris.</w:t>
      </w:r>
    </w:p>
    <w:p w:rsidR="009275AA" w:rsidRPr="00A368DD" w:rsidRDefault="00D078B6" w:rsidP="00A368DD">
      <w:pPr>
        <w:pStyle w:val="ECHRPara"/>
      </w:pPr>
      <w:r>
        <w:fldChar w:fldCharType="begin"/>
      </w:r>
      <w:r w:rsidR="00B02ED1">
        <w:instrText xml:space="preserve"> SEQ level0 \*arabic </w:instrText>
      </w:r>
      <w:r>
        <w:fldChar w:fldCharType="separate"/>
      </w:r>
      <w:r w:rsidR="00A368DD" w:rsidRPr="00A368DD">
        <w:rPr>
          <w:noProof/>
        </w:rPr>
        <w:t>55</w:t>
      </w:r>
      <w:r>
        <w:rPr>
          <w:noProof/>
        </w:rPr>
        <w:fldChar w:fldCharType="end"/>
      </w:r>
      <w:r w:rsidR="00B02ED1">
        <w:t xml:space="preserve">.  Līdz ar to šī sūdzība ir </w:t>
      </w:r>
      <w:r w:rsidR="00B02ED1">
        <w:rPr>
          <w:i/>
        </w:rPr>
        <w:t>ratione personae</w:t>
      </w:r>
      <w:r w:rsidR="00B02ED1">
        <w:t xml:space="preserve"> nesavienojama ar Konvencijas 35.panta 3.punkta a) apakšpunkta nosacījumiem un ir noraidāma saskaņā ar 35.panta 4.punktu.</w:t>
      </w:r>
    </w:p>
    <w:p w:rsidR="009275AA" w:rsidRPr="00A368DD" w:rsidRDefault="009275AA" w:rsidP="00A368DD">
      <w:pPr>
        <w:pStyle w:val="ECHRHeading1"/>
      </w:pPr>
      <w:r>
        <w:t>III.  KONVENCIJAS 41. PANTA PIEMĒROŠANA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56</w:t>
      </w:r>
      <w:r w:rsidRPr="00A368DD">
        <w:fldChar w:fldCharType="end"/>
      </w:r>
      <w:r w:rsidR="009275AA">
        <w:t xml:space="preserve">.  Konvencijas 41. pantā </w:t>
      </w:r>
      <w:r w:rsidR="00A850BA">
        <w:t>ir noteikts</w:t>
      </w:r>
      <w:r w:rsidR="009275AA">
        <w:t>:</w:t>
      </w:r>
    </w:p>
    <w:p w:rsidR="009275AA" w:rsidRPr="00A368DD" w:rsidRDefault="009275AA" w:rsidP="00A368DD">
      <w:pPr>
        <w:pStyle w:val="ECHRParaQuote"/>
        <w:keepNext/>
        <w:keepLines/>
      </w:pPr>
      <w:r>
        <w:lastRenderedPageBreak/>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9275AA" w:rsidRPr="00A368DD" w:rsidRDefault="009275AA" w:rsidP="00A368DD">
      <w:pPr>
        <w:pStyle w:val="ECHRHeading2"/>
      </w:pPr>
      <w:r>
        <w:t>A. Kaitējums</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57</w:t>
      </w:r>
      <w:r w:rsidRPr="00A368DD">
        <w:fldChar w:fldCharType="end"/>
      </w:r>
      <w:r w:rsidR="009275AA">
        <w:t>.  Iesniedzējs lūdza piešķirt kompensāciju 25 00</w:t>
      </w:r>
      <w:r w:rsidR="003858D2">
        <w:t xml:space="preserve">0 eiro (EUR) apmērā par </w:t>
      </w:r>
      <w:r w:rsidR="009275AA">
        <w:t>morālo kaitējumu.</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58</w:t>
      </w:r>
      <w:r w:rsidRPr="00A368DD">
        <w:fldChar w:fldCharType="end"/>
      </w:r>
      <w:r w:rsidR="009275AA">
        <w:t xml:space="preserve">.  Valdība uzskatīja šo summu par nepamatotu un pārmērīgu. Atsaucoties uz tādām lietām kā </w:t>
      </w:r>
      <w:r w:rsidR="009275AA">
        <w:rPr>
          <w:i/>
        </w:rPr>
        <w:t xml:space="preserve">Foxley </w:t>
      </w:r>
      <w:r w:rsidR="009275AA">
        <w:t xml:space="preserve">(citēta iepriekš, 54. rindkopa), </w:t>
      </w:r>
      <w:r w:rsidR="009275AA">
        <w:rPr>
          <w:i/>
        </w:rPr>
        <w:t>Taylor</w:t>
      </w:r>
      <w:r w:rsidR="009275AA">
        <w:noBreakHyphen/>
      </w:r>
      <w:r w:rsidR="009275AA">
        <w:rPr>
          <w:i/>
        </w:rPr>
        <w:t>Sabori</w:t>
      </w:r>
      <w:r w:rsidR="009275AA">
        <w:t xml:space="preserve"> </w:t>
      </w:r>
      <w:r w:rsidR="009275AA">
        <w:rPr>
          <w:i/>
        </w:rPr>
        <w:t>pret Apvienoto Karalisti</w:t>
      </w:r>
      <w:r w:rsidR="009275AA">
        <w:t xml:space="preserve"> (Nr. 47114/99, 28. rindkopa, 2002.gada 22.oktobris) un </w:t>
      </w:r>
      <w:r w:rsidR="009275AA">
        <w:rPr>
          <w:i/>
        </w:rPr>
        <w:t>Hewitson</w:t>
      </w:r>
      <w:r w:rsidR="009275AA">
        <w:t xml:space="preserve"> </w:t>
      </w:r>
      <w:r w:rsidR="009275AA">
        <w:rPr>
          <w:i/>
        </w:rPr>
        <w:t>pret Apvienoto Karalisti</w:t>
      </w:r>
      <w:r w:rsidR="009275AA">
        <w:t xml:space="preserve"> (Nr. 50015/99, 25. rindkopa, 2003.gada 27.maijs)</w:t>
      </w:r>
      <w:r w:rsidR="006E158B">
        <w:t>, tā</w:t>
      </w:r>
      <w:r w:rsidR="009275AA">
        <w:t xml:space="preserve"> apgalvoja, ka pārkāpuma atzīšana</w:t>
      </w:r>
      <w:r w:rsidR="006E158B">
        <w:t xml:space="preserve"> pati par sevi</w:t>
      </w:r>
      <w:r w:rsidR="009275AA">
        <w:t xml:space="preserve"> būtu atbilstoša un pietiekama kompensācija.</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59</w:t>
      </w:r>
      <w:r w:rsidRPr="00A368DD">
        <w:fldChar w:fldCharType="end"/>
      </w:r>
      <w:r w:rsidR="009275AA">
        <w:t>.  </w:t>
      </w:r>
      <w:r w:rsidR="006E158B">
        <w:t>Ievērojot taisnīguma principu</w:t>
      </w:r>
      <w:r w:rsidR="009275AA">
        <w:t xml:space="preserve">, Tiesa piešķir iesniedzējam 1 500 EUR par morālo kaitējumu (skatīt lietu </w:t>
      </w:r>
      <w:r w:rsidR="009275AA">
        <w:rPr>
          <w:i/>
        </w:rPr>
        <w:t>Šantare un Labazņikovs</w:t>
      </w:r>
      <w:r w:rsidR="009275AA">
        <w:t>, citēt</w:t>
      </w:r>
      <w:r w:rsidR="006E158B">
        <w:t>a</w:t>
      </w:r>
      <w:r w:rsidR="009275AA">
        <w:t xml:space="preserve"> iepriekš, 78. rindkopa).</w:t>
      </w:r>
    </w:p>
    <w:p w:rsidR="009275AA" w:rsidRPr="00A368DD" w:rsidRDefault="009275AA" w:rsidP="00A368DD">
      <w:pPr>
        <w:pStyle w:val="ECHRHeading2"/>
      </w:pPr>
      <w:r>
        <w:t>B. Izmaksas un izdevumi</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60</w:t>
      </w:r>
      <w:r w:rsidRPr="00A368DD">
        <w:fldChar w:fldCharType="end"/>
      </w:r>
      <w:r w:rsidR="009275AA">
        <w:t>.  Iesniedzējs lūdza piešķirt arī 12</w:t>
      </w:r>
      <w:r w:rsidR="006E158B">
        <w:t> </w:t>
      </w:r>
      <w:r w:rsidR="009275AA">
        <w:t>157</w:t>
      </w:r>
      <w:r w:rsidR="006E158B">
        <w:t>,</w:t>
      </w:r>
      <w:r w:rsidR="009275AA">
        <w:t>06 EUR par izmaksām un izdevumiem, kas radušies</w:t>
      </w:r>
      <w:r w:rsidR="006E158B">
        <w:t xml:space="preserve"> saistībā ar tiesvedību</w:t>
      </w:r>
      <w:r w:rsidR="009275AA">
        <w:t xml:space="preserve"> Tiesā. Šī prasība bija pamatota ar</w:t>
      </w:r>
      <w:r w:rsidR="006E158B">
        <w:t xml:space="preserve"> darbu </w:t>
      </w:r>
      <w:r w:rsidR="00A35AD9">
        <w:t>uzskaites</w:t>
      </w:r>
      <w:r w:rsidR="009275AA">
        <w:t xml:space="preserve"> grafikiem.</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61</w:t>
      </w:r>
      <w:r w:rsidRPr="00A368DD">
        <w:fldChar w:fldCharType="end"/>
      </w:r>
      <w:r w:rsidR="009275AA">
        <w:t>.  Valdība nepiekrita</w:t>
      </w:r>
      <w:r w:rsidR="004B5A69">
        <w:t xml:space="preserve"> šai</w:t>
      </w:r>
      <w:r w:rsidR="009275AA">
        <w:t xml:space="preserve"> prasībai.</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62</w:t>
      </w:r>
      <w:r w:rsidRPr="00A368DD">
        <w:fldChar w:fldCharType="end"/>
      </w:r>
      <w:r w:rsidR="009275AA">
        <w:t>.  Saskaņā ar Tiesas judikatūru iesniedzējam ir tiesības uz</w:t>
      </w:r>
      <w:r w:rsidR="004B5A69">
        <w:t xml:space="preserve"> tiesvedības</w:t>
      </w:r>
      <w:r w:rsidR="009275AA">
        <w:t xml:space="preserve"> izmaksu un izdevumu atlīdz</w:t>
      </w:r>
      <w:r w:rsidR="004B5A69">
        <w:t>ināšanu</w:t>
      </w:r>
      <w:r w:rsidR="009275AA">
        <w:t xml:space="preserve"> tikai tiktāl, cik tie</w:t>
      </w:r>
      <w:r w:rsidR="004B5A69">
        <w:t xml:space="preserve"> ir bijuši</w:t>
      </w:r>
      <w:r w:rsidR="009275AA">
        <w:t xml:space="preserve"> reāli un n</w:t>
      </w:r>
      <w:r w:rsidR="004B5A69">
        <w:t>epieciešami</w:t>
      </w:r>
      <w:r w:rsidR="009275AA">
        <w:t xml:space="preserve"> un ir saprātīgi daudzuma ziņā. Šajā lietā, ņemot vērā tās rīcībā esošos dokumentus un iepriekš minētos kritērijus, Tiesa uzskata par pamatotu piešķirt summu 1 000 EUR apmērā visu ar to saistīto izdevumu segšanai.</w:t>
      </w:r>
    </w:p>
    <w:p w:rsidR="009275AA" w:rsidRPr="00A368DD" w:rsidRDefault="009275AA" w:rsidP="00A368DD">
      <w:pPr>
        <w:pStyle w:val="ECHRHeading2"/>
      </w:pPr>
      <w:r>
        <w:t>C. Nokavējuma procenti</w:t>
      </w:r>
    </w:p>
    <w:p w:rsidR="009275AA" w:rsidRPr="00A368DD" w:rsidRDefault="00D078B6" w:rsidP="00A368DD">
      <w:pPr>
        <w:pStyle w:val="ECHRPara"/>
      </w:pPr>
      <w:r w:rsidRPr="00A368DD">
        <w:fldChar w:fldCharType="begin"/>
      </w:r>
      <w:r w:rsidR="009275AA" w:rsidRPr="00A368DD">
        <w:instrText xml:space="preserve"> SEQ level0 \*arabic </w:instrText>
      </w:r>
      <w:r w:rsidRPr="00A368DD">
        <w:fldChar w:fldCharType="separate"/>
      </w:r>
      <w:r w:rsidR="00A368DD" w:rsidRPr="00A368DD">
        <w:rPr>
          <w:noProof/>
        </w:rPr>
        <w:t>63</w:t>
      </w:r>
      <w:r w:rsidRPr="00A368DD">
        <w:fldChar w:fldCharType="end"/>
      </w:r>
      <w:r w:rsidR="009275AA">
        <w:t>.  </w:t>
      </w:r>
      <w:r w:rsidR="005A0870" w:rsidRPr="008F2C2A">
        <w:rPr>
          <w:rFonts w:ascii="Times New Roman" w:hAnsi="Times New Roman" w:cs="Times New Roman"/>
          <w:szCs w:val="24"/>
        </w:rPr>
        <w:t>Tiesa nolēma, ka nokavējuma procentu likme ir jānosaka, pamatojoties uz Eiropas Centrālās bankas rezerves aizdevumu procentu likmi, tai pieskaitot trīs procentu punktus</w:t>
      </w:r>
      <w:r w:rsidR="009275AA">
        <w:t>.</w:t>
      </w:r>
    </w:p>
    <w:p w:rsidR="009275AA" w:rsidRPr="00A368DD" w:rsidRDefault="009275AA" w:rsidP="00A368DD">
      <w:pPr>
        <w:pStyle w:val="ECHRTitle1"/>
      </w:pPr>
      <w:r>
        <w:t>ŠO IEMESLU DĒĻ TIESA VIENBALSĪGI</w:t>
      </w:r>
    </w:p>
    <w:p w:rsidR="009275AA" w:rsidRPr="00A368DD" w:rsidRDefault="009275AA" w:rsidP="00A368DD">
      <w:pPr>
        <w:pStyle w:val="JuList"/>
      </w:pPr>
      <w:r>
        <w:t>1.  </w:t>
      </w:r>
      <w:r>
        <w:rPr>
          <w:i/>
        </w:rPr>
        <w:t>Atzīst</w:t>
      </w:r>
      <w:r>
        <w:t xml:space="preserve"> sūdzību </w:t>
      </w:r>
      <w:r w:rsidR="00954C3A">
        <w:t>saistībā</w:t>
      </w:r>
      <w:r>
        <w:t xml:space="preserve"> ar Konvencijas 8.pantu par pieņemamu</w:t>
      </w:r>
      <w:r w:rsidR="00954C3A">
        <w:t xml:space="preserve"> izskatīšanai</w:t>
      </w:r>
      <w:r>
        <w:t xml:space="preserve"> un iesniegumu pārējā daļā par nepieņemamu</w:t>
      </w:r>
      <w:r w:rsidR="00954C3A">
        <w:t xml:space="preserve"> izskatīšanai</w:t>
      </w:r>
      <w:r>
        <w:t>;</w:t>
      </w:r>
    </w:p>
    <w:p w:rsidR="009275AA" w:rsidRPr="00A368DD" w:rsidRDefault="009275AA" w:rsidP="00A368DD">
      <w:pPr>
        <w:pStyle w:val="JuList"/>
        <w:ind w:left="0" w:firstLine="0"/>
      </w:pPr>
    </w:p>
    <w:p w:rsidR="009275AA" w:rsidRPr="00A368DD" w:rsidRDefault="009275AA" w:rsidP="00A368DD">
      <w:pPr>
        <w:pStyle w:val="JuList"/>
      </w:pPr>
      <w:r>
        <w:lastRenderedPageBreak/>
        <w:t>2.  </w:t>
      </w:r>
      <w:r>
        <w:rPr>
          <w:i/>
        </w:rPr>
        <w:t>Nolemj</w:t>
      </w:r>
      <w:r>
        <w:t>, ka ir noticis Konvencijas 8.panta pārkāpums.</w:t>
      </w:r>
    </w:p>
    <w:p w:rsidR="009275AA" w:rsidRPr="00A368DD" w:rsidRDefault="009275AA" w:rsidP="00A368DD">
      <w:pPr>
        <w:pStyle w:val="JuList"/>
      </w:pPr>
    </w:p>
    <w:p w:rsidR="00532CDC" w:rsidRPr="00A368DD" w:rsidRDefault="00BD018A" w:rsidP="00A368DD">
      <w:pPr>
        <w:pStyle w:val="JuList"/>
      </w:pPr>
      <w:r>
        <w:t>3.  </w:t>
      </w:r>
      <w:r>
        <w:rPr>
          <w:i/>
        </w:rPr>
        <w:t>Nolemj,</w:t>
      </w:r>
    </w:p>
    <w:p w:rsidR="003574E6" w:rsidRPr="00A368DD" w:rsidRDefault="009275AA" w:rsidP="00A368DD">
      <w:pPr>
        <w:pStyle w:val="JuLista"/>
      </w:pPr>
      <w:r>
        <w:t>(a)</w:t>
      </w:r>
      <w:r>
        <w:tab/>
        <w:t>ka atbildētājai valstij</w:t>
      </w:r>
      <w:r w:rsidR="00954C3A">
        <w:t xml:space="preserve"> trīs mēnešu laikā</w:t>
      </w:r>
      <w:r>
        <w:t xml:space="preserve"> ir jāizmaksā iesniedzējam</w:t>
      </w:r>
      <w:r w:rsidR="00954C3A">
        <w:t>:</w:t>
      </w:r>
      <w:r>
        <w:t xml:space="preserve"> </w:t>
      </w:r>
    </w:p>
    <w:p w:rsidR="00532CDC" w:rsidRPr="00A368DD" w:rsidRDefault="003574E6" w:rsidP="00A368DD">
      <w:pPr>
        <w:pStyle w:val="JuLista"/>
        <w:ind w:left="567"/>
      </w:pPr>
      <w:r>
        <w:t xml:space="preserve">(i) 1 500 EUR (viens tūkstotis pieci simti eiro), pieskaitot jebkurus </w:t>
      </w:r>
      <w:r w:rsidR="00954C3A">
        <w:t>ieturamos</w:t>
      </w:r>
      <w:r>
        <w:t xml:space="preserve"> nodokļus, kā kompensāciju par morālo kaitējumu;</w:t>
      </w:r>
    </w:p>
    <w:p w:rsidR="009275AA" w:rsidRPr="00A368DD" w:rsidRDefault="003574E6" w:rsidP="00A368DD">
      <w:pPr>
        <w:pStyle w:val="JuLista"/>
        <w:ind w:left="567"/>
      </w:pPr>
      <w:r>
        <w:t xml:space="preserve">(i) 1 000 EUR (viens tūkstotis eiro), pieskaitot jebkurus </w:t>
      </w:r>
      <w:r w:rsidR="00954C3A">
        <w:t>ieturamos</w:t>
      </w:r>
      <w:r>
        <w:t xml:space="preserve"> nodokļus, izdevumu un izmaksu segšanai;</w:t>
      </w:r>
    </w:p>
    <w:p w:rsidR="009275AA" w:rsidRDefault="009275AA" w:rsidP="00A368DD">
      <w:pPr>
        <w:pStyle w:val="JuLista"/>
        <w:rPr>
          <w:szCs w:val="24"/>
        </w:rPr>
      </w:pPr>
      <w:r>
        <w:t>(b)</w:t>
      </w:r>
      <w:r>
        <w:tab/>
        <w:t xml:space="preserve">ka, </w:t>
      </w:r>
      <w:r w:rsidR="00954C3A" w:rsidRPr="008F2C2A">
        <w:rPr>
          <w:szCs w:val="24"/>
        </w:rPr>
        <w:t>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r w:rsidR="00954C3A">
        <w:rPr>
          <w:szCs w:val="24"/>
        </w:rPr>
        <w:t>;</w:t>
      </w:r>
    </w:p>
    <w:p w:rsidR="00E63340" w:rsidRPr="00A368DD" w:rsidRDefault="00E63340" w:rsidP="00A368DD">
      <w:pPr>
        <w:pStyle w:val="JuLista"/>
      </w:pPr>
      <w:bookmarkStart w:id="1" w:name="_GoBack"/>
      <w:bookmarkEnd w:id="1"/>
    </w:p>
    <w:p w:rsidR="009275AA" w:rsidRPr="00A368DD" w:rsidRDefault="00BD018A" w:rsidP="00A368DD">
      <w:pPr>
        <w:pStyle w:val="JuList"/>
        <w:keepNext/>
        <w:keepLines/>
      </w:pPr>
      <w:r>
        <w:t>4.  </w:t>
      </w:r>
      <w:r>
        <w:rPr>
          <w:i/>
        </w:rPr>
        <w:t>Noraida</w:t>
      </w:r>
      <w:r>
        <w:t xml:space="preserve"> iesniedzēja </w:t>
      </w:r>
      <w:r w:rsidR="00954C3A">
        <w:t>lūgumu</w:t>
      </w:r>
      <w:r>
        <w:t xml:space="preserve"> par taisnīgu atlīdzību pārējā daļā.</w:t>
      </w:r>
    </w:p>
    <w:p w:rsidR="00014566" w:rsidRPr="00A368DD" w:rsidRDefault="00014566" w:rsidP="00A368DD">
      <w:pPr>
        <w:pStyle w:val="JuParaLast"/>
      </w:pPr>
      <w:r>
        <w:t>Sagatavots angļu valodā un rakstveidā paziņots 2017. gada 15. jūnij</w:t>
      </w:r>
      <w:r w:rsidR="00954C3A">
        <w:t>ā</w:t>
      </w:r>
      <w:r>
        <w:t xml:space="preserve"> atbilstoši Tiesas reglamenta 77. punkta 2. un 3. apakšpunktam.</w:t>
      </w:r>
    </w:p>
    <w:p w:rsidR="00BD018A" w:rsidRPr="00A368DD" w:rsidRDefault="00F23B46" w:rsidP="00A368DD">
      <w:pPr>
        <w:pStyle w:val="JuSigned"/>
        <w:keepNext/>
        <w:keepLines/>
      </w:pPr>
      <w:r>
        <w:tab/>
      </w:r>
      <w:r w:rsidRPr="00954C3A">
        <w:rPr>
          <w:i/>
        </w:rPr>
        <w:t>Anne-Marie Dougin</w:t>
      </w:r>
      <w:r>
        <w:tab/>
      </w:r>
      <w:r w:rsidRPr="00954C3A">
        <w:rPr>
          <w:i/>
        </w:rPr>
        <w:t>André Potocki</w:t>
      </w:r>
      <w:r>
        <w:br/>
      </w:r>
      <w:r w:rsidR="00954C3A">
        <w:t>N</w:t>
      </w:r>
      <w:r>
        <w:t>odaļas sekretāra vietnieka vietas izpildītāja</w:t>
      </w:r>
      <w:r>
        <w:tab/>
      </w:r>
      <w:r w:rsidR="00954C3A">
        <w:t>P</w:t>
      </w:r>
      <w:r>
        <w:t>riekšsēdētājs</w:t>
      </w:r>
    </w:p>
    <w:sectPr w:rsidR="00BD018A" w:rsidRPr="00A368DD" w:rsidSect="00F23B46">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3F" w:rsidRPr="00512D5D" w:rsidRDefault="00DD293F" w:rsidP="00014566">
      <w:pPr>
        <w:rPr>
          <w:lang w:val="en-GB"/>
        </w:rPr>
      </w:pPr>
      <w:r w:rsidRPr="00512D5D">
        <w:rPr>
          <w:lang w:val="en-GB"/>
        </w:rPr>
        <w:separator/>
      </w:r>
    </w:p>
  </w:endnote>
  <w:endnote w:type="continuationSeparator" w:id="0">
    <w:p w:rsidR="00DD293F" w:rsidRPr="00512D5D" w:rsidRDefault="00DD293F" w:rsidP="00014566">
      <w:pPr>
        <w:rPr>
          <w:lang w:val="en-GB"/>
        </w:rPr>
      </w:pPr>
      <w:r w:rsidRPr="00512D5D">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24" w:rsidRPr="00150BFA" w:rsidRDefault="00023F24" w:rsidP="00023F24">
    <w:pPr>
      <w:jc w:val="center"/>
    </w:pPr>
    <w:r>
      <w:rPr>
        <w:noProof/>
        <w:lang w:bidi="ar-SA"/>
      </w:rPr>
      <w:drawing>
        <wp:inline distT="0" distB="0" distL="0" distR="0" wp14:anchorId="463BBB62" wp14:editId="7C906914">
          <wp:extent cx="771525" cy="619125"/>
          <wp:effectExtent l="0" t="0" r="9525" b="9525"/>
          <wp:docPr id="17" name="Picture 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023F24" w:rsidRDefault="0002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3F" w:rsidRPr="00512D5D" w:rsidRDefault="00DD293F" w:rsidP="00014566">
      <w:pPr>
        <w:rPr>
          <w:lang w:val="en-GB"/>
        </w:rPr>
      </w:pPr>
      <w:r w:rsidRPr="00512D5D">
        <w:rPr>
          <w:lang w:val="en-GB"/>
        </w:rPr>
        <w:separator/>
      </w:r>
    </w:p>
  </w:footnote>
  <w:footnote w:type="continuationSeparator" w:id="0">
    <w:p w:rsidR="00DD293F" w:rsidRPr="00512D5D" w:rsidRDefault="00DD293F" w:rsidP="00014566">
      <w:pPr>
        <w:rPr>
          <w:lang w:val="en-GB"/>
        </w:rPr>
      </w:pPr>
      <w:r w:rsidRPr="00512D5D">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24" w:rsidRPr="00F23B46" w:rsidRDefault="00023F24" w:rsidP="00F23B4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24" w:rsidRPr="00A45145" w:rsidRDefault="00023F24" w:rsidP="00023F24">
    <w:pPr>
      <w:jc w:val="center"/>
    </w:pPr>
    <w:r>
      <w:rPr>
        <w:noProof/>
        <w:lang w:bidi="ar-SA"/>
      </w:rPr>
      <w:drawing>
        <wp:inline distT="0" distB="0" distL="0" distR="0" wp14:anchorId="4367325A" wp14:editId="69037F69">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023F24" w:rsidRDefault="0002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24" w:rsidRPr="00512D5D" w:rsidRDefault="00023F24"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E63340">
      <w:rPr>
        <w:rStyle w:val="PageNumber"/>
        <w:noProof/>
        <w:szCs w:val="18"/>
      </w:rPr>
      <w:t>2</w:t>
    </w:r>
    <w:r>
      <w:rPr>
        <w:rStyle w:val="PageNumber"/>
        <w:szCs w:val="18"/>
      </w:rPr>
      <w:fldChar w:fldCharType="end"/>
    </w:r>
    <w:r>
      <w:tab/>
      <w:t>SPRIEDUMS LIETĀ ODEROVS PRET LATVIJU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24" w:rsidRPr="00512D5D" w:rsidRDefault="00023F24" w:rsidP="00D60D87">
    <w:pPr>
      <w:pStyle w:val="ECHRHeader"/>
    </w:pPr>
    <w:r>
      <w:tab/>
      <w:t>SPRIEDUMS LIETĀ ODEROVS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E63340">
      <w:rPr>
        <w:rStyle w:val="PageNumber"/>
        <w:noProof/>
        <w:szCs w:val="18"/>
      </w:rPr>
      <w:t>3</w:t>
    </w:r>
    <w:r>
      <w:rPr>
        <w:rStyle w:val="PageNumber"/>
        <w:szCs w:val="18"/>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74F91"/>
    <w:rsid w:val="00000067"/>
    <w:rsid w:val="000010ED"/>
    <w:rsid w:val="000041F8"/>
    <w:rsid w:val="000042A8"/>
    <w:rsid w:val="00004308"/>
    <w:rsid w:val="00005BF0"/>
    <w:rsid w:val="00007154"/>
    <w:rsid w:val="000103AE"/>
    <w:rsid w:val="00011D69"/>
    <w:rsid w:val="00012AD3"/>
    <w:rsid w:val="00014566"/>
    <w:rsid w:val="00015C2D"/>
    <w:rsid w:val="00015F00"/>
    <w:rsid w:val="00020B67"/>
    <w:rsid w:val="00022598"/>
    <w:rsid w:val="00022C1D"/>
    <w:rsid w:val="00023F24"/>
    <w:rsid w:val="0002496B"/>
    <w:rsid w:val="00026079"/>
    <w:rsid w:val="00034987"/>
    <w:rsid w:val="000350E3"/>
    <w:rsid w:val="00041EBE"/>
    <w:rsid w:val="00052EA2"/>
    <w:rsid w:val="00052F32"/>
    <w:rsid w:val="000575EC"/>
    <w:rsid w:val="000602DF"/>
    <w:rsid w:val="00061B05"/>
    <w:rsid w:val="00062973"/>
    <w:rsid w:val="00062D5D"/>
    <w:rsid w:val="000632D5"/>
    <w:rsid w:val="000644EE"/>
    <w:rsid w:val="00066F25"/>
    <w:rsid w:val="00071ABC"/>
    <w:rsid w:val="000749DA"/>
    <w:rsid w:val="000856D7"/>
    <w:rsid w:val="000925AD"/>
    <w:rsid w:val="000A24EB"/>
    <w:rsid w:val="000B6923"/>
    <w:rsid w:val="000C033C"/>
    <w:rsid w:val="000C5F3C"/>
    <w:rsid w:val="000C6DCC"/>
    <w:rsid w:val="000D47AA"/>
    <w:rsid w:val="000D721F"/>
    <w:rsid w:val="000E069B"/>
    <w:rsid w:val="000E0E82"/>
    <w:rsid w:val="000E1DC5"/>
    <w:rsid w:val="000E223F"/>
    <w:rsid w:val="000E35AC"/>
    <w:rsid w:val="000E5B64"/>
    <w:rsid w:val="000E7D45"/>
    <w:rsid w:val="000F7851"/>
    <w:rsid w:val="00104E23"/>
    <w:rsid w:val="001065BD"/>
    <w:rsid w:val="00111B0C"/>
    <w:rsid w:val="00112E3D"/>
    <w:rsid w:val="00120D6C"/>
    <w:rsid w:val="001250BC"/>
    <w:rsid w:val="001257EC"/>
    <w:rsid w:val="00130B65"/>
    <w:rsid w:val="00132C6A"/>
    <w:rsid w:val="00133D33"/>
    <w:rsid w:val="00134D64"/>
    <w:rsid w:val="00135A30"/>
    <w:rsid w:val="0013612C"/>
    <w:rsid w:val="00137FF6"/>
    <w:rsid w:val="00141650"/>
    <w:rsid w:val="0014631C"/>
    <w:rsid w:val="001541E2"/>
    <w:rsid w:val="00162A12"/>
    <w:rsid w:val="00166530"/>
    <w:rsid w:val="00167FEF"/>
    <w:rsid w:val="001714F6"/>
    <w:rsid w:val="001760E7"/>
    <w:rsid w:val="001832BD"/>
    <w:rsid w:val="0019188D"/>
    <w:rsid w:val="001943B5"/>
    <w:rsid w:val="00195134"/>
    <w:rsid w:val="001A145B"/>
    <w:rsid w:val="001A674C"/>
    <w:rsid w:val="001A6941"/>
    <w:rsid w:val="001B3B24"/>
    <w:rsid w:val="001C0F98"/>
    <w:rsid w:val="001C2A42"/>
    <w:rsid w:val="001C5C60"/>
    <w:rsid w:val="001D63ED"/>
    <w:rsid w:val="001D7348"/>
    <w:rsid w:val="001E035B"/>
    <w:rsid w:val="001E0961"/>
    <w:rsid w:val="001E3EAE"/>
    <w:rsid w:val="001E5348"/>
    <w:rsid w:val="001E6F32"/>
    <w:rsid w:val="001F2145"/>
    <w:rsid w:val="001F6262"/>
    <w:rsid w:val="001F67B0"/>
    <w:rsid w:val="001F7B3D"/>
    <w:rsid w:val="00205F9F"/>
    <w:rsid w:val="00210338"/>
    <w:rsid w:val="002115FC"/>
    <w:rsid w:val="002133F8"/>
    <w:rsid w:val="0021423C"/>
    <w:rsid w:val="00230D00"/>
    <w:rsid w:val="00231D2C"/>
    <w:rsid w:val="00231DF7"/>
    <w:rsid w:val="00231FD1"/>
    <w:rsid w:val="002339E0"/>
    <w:rsid w:val="00233CF8"/>
    <w:rsid w:val="00234C98"/>
    <w:rsid w:val="0023575D"/>
    <w:rsid w:val="00237148"/>
    <w:rsid w:val="0024222D"/>
    <w:rsid w:val="00244B0E"/>
    <w:rsid w:val="00244F6C"/>
    <w:rsid w:val="00247622"/>
    <w:rsid w:val="002532C5"/>
    <w:rsid w:val="00255352"/>
    <w:rsid w:val="00256605"/>
    <w:rsid w:val="00260C03"/>
    <w:rsid w:val="0026540E"/>
    <w:rsid w:val="00270AD3"/>
    <w:rsid w:val="0027225C"/>
    <w:rsid w:val="00275123"/>
    <w:rsid w:val="00282240"/>
    <w:rsid w:val="002854B9"/>
    <w:rsid w:val="0028572A"/>
    <w:rsid w:val="00285B3B"/>
    <w:rsid w:val="002948AD"/>
    <w:rsid w:val="00294C05"/>
    <w:rsid w:val="00294C92"/>
    <w:rsid w:val="002A01CC"/>
    <w:rsid w:val="002A125E"/>
    <w:rsid w:val="002A133D"/>
    <w:rsid w:val="002A61B1"/>
    <w:rsid w:val="002A663C"/>
    <w:rsid w:val="002B1563"/>
    <w:rsid w:val="002B1E6C"/>
    <w:rsid w:val="002B444B"/>
    <w:rsid w:val="002B5887"/>
    <w:rsid w:val="002B689E"/>
    <w:rsid w:val="002C0692"/>
    <w:rsid w:val="002C0E27"/>
    <w:rsid w:val="002C3040"/>
    <w:rsid w:val="002D022D"/>
    <w:rsid w:val="002D24BB"/>
    <w:rsid w:val="002D32E4"/>
    <w:rsid w:val="002F106A"/>
    <w:rsid w:val="002F20C8"/>
    <w:rsid w:val="002F2AF7"/>
    <w:rsid w:val="002F6795"/>
    <w:rsid w:val="002F7E1C"/>
    <w:rsid w:val="00301A75"/>
    <w:rsid w:val="00302F70"/>
    <w:rsid w:val="0030336F"/>
    <w:rsid w:val="0030375E"/>
    <w:rsid w:val="00312A30"/>
    <w:rsid w:val="00320F72"/>
    <w:rsid w:val="0032463E"/>
    <w:rsid w:val="00326224"/>
    <w:rsid w:val="0032676F"/>
    <w:rsid w:val="00333FA8"/>
    <w:rsid w:val="00337EE4"/>
    <w:rsid w:val="00340FFD"/>
    <w:rsid w:val="00341302"/>
    <w:rsid w:val="00343D82"/>
    <w:rsid w:val="003506B1"/>
    <w:rsid w:val="00356746"/>
    <w:rsid w:val="00356AC7"/>
    <w:rsid w:val="003574E6"/>
    <w:rsid w:val="003609FA"/>
    <w:rsid w:val="00366028"/>
    <w:rsid w:val="003710C8"/>
    <w:rsid w:val="003750BE"/>
    <w:rsid w:val="003858D2"/>
    <w:rsid w:val="00387ACE"/>
    <w:rsid w:val="00387B9D"/>
    <w:rsid w:val="0039364F"/>
    <w:rsid w:val="00395AFD"/>
    <w:rsid w:val="00396686"/>
    <w:rsid w:val="0039778E"/>
    <w:rsid w:val="003A441D"/>
    <w:rsid w:val="003B32B6"/>
    <w:rsid w:val="003B444E"/>
    <w:rsid w:val="003B4941"/>
    <w:rsid w:val="003C51D2"/>
    <w:rsid w:val="003C5714"/>
    <w:rsid w:val="003C6B9F"/>
    <w:rsid w:val="003C6E2A"/>
    <w:rsid w:val="003D0299"/>
    <w:rsid w:val="003E6D80"/>
    <w:rsid w:val="003F05FA"/>
    <w:rsid w:val="003F0921"/>
    <w:rsid w:val="003F244A"/>
    <w:rsid w:val="003F30B8"/>
    <w:rsid w:val="003F32DA"/>
    <w:rsid w:val="003F4C45"/>
    <w:rsid w:val="003F52E3"/>
    <w:rsid w:val="003F5D80"/>
    <w:rsid w:val="003F5F7B"/>
    <w:rsid w:val="003F71A9"/>
    <w:rsid w:val="003F7694"/>
    <w:rsid w:val="003F7D64"/>
    <w:rsid w:val="00414300"/>
    <w:rsid w:val="0041617F"/>
    <w:rsid w:val="00425C67"/>
    <w:rsid w:val="0042782E"/>
    <w:rsid w:val="00427E7A"/>
    <w:rsid w:val="004327F1"/>
    <w:rsid w:val="00436307"/>
    <w:rsid w:val="00436C49"/>
    <w:rsid w:val="00444E05"/>
    <w:rsid w:val="00445366"/>
    <w:rsid w:val="00447F5B"/>
    <w:rsid w:val="00461DB0"/>
    <w:rsid w:val="00463926"/>
    <w:rsid w:val="00463ECD"/>
    <w:rsid w:val="00464097"/>
    <w:rsid w:val="004646E0"/>
    <w:rsid w:val="00464C9A"/>
    <w:rsid w:val="00474DD8"/>
    <w:rsid w:val="00474F3D"/>
    <w:rsid w:val="00477E3A"/>
    <w:rsid w:val="00483E5F"/>
    <w:rsid w:val="00485FF9"/>
    <w:rsid w:val="004867A7"/>
    <w:rsid w:val="004907F0"/>
    <w:rsid w:val="004908A1"/>
    <w:rsid w:val="0049140B"/>
    <w:rsid w:val="004923A5"/>
    <w:rsid w:val="00496BFB"/>
    <w:rsid w:val="004A15C7"/>
    <w:rsid w:val="004B013B"/>
    <w:rsid w:val="004B112B"/>
    <w:rsid w:val="004B5A05"/>
    <w:rsid w:val="004B5A69"/>
    <w:rsid w:val="004C01E4"/>
    <w:rsid w:val="004C086C"/>
    <w:rsid w:val="004C1F56"/>
    <w:rsid w:val="004C27BC"/>
    <w:rsid w:val="004C77CD"/>
    <w:rsid w:val="004D15F3"/>
    <w:rsid w:val="004D5311"/>
    <w:rsid w:val="004D5DCC"/>
    <w:rsid w:val="004D5FBC"/>
    <w:rsid w:val="004D7C4F"/>
    <w:rsid w:val="004E1856"/>
    <w:rsid w:val="004F10AF"/>
    <w:rsid w:val="004F11A4"/>
    <w:rsid w:val="004F2389"/>
    <w:rsid w:val="004F304D"/>
    <w:rsid w:val="004F58F9"/>
    <w:rsid w:val="004F61BE"/>
    <w:rsid w:val="004F66B1"/>
    <w:rsid w:val="004F75FB"/>
    <w:rsid w:val="00501D0B"/>
    <w:rsid w:val="00511C07"/>
    <w:rsid w:val="00511C90"/>
    <w:rsid w:val="00512D5D"/>
    <w:rsid w:val="00513760"/>
    <w:rsid w:val="005173A6"/>
    <w:rsid w:val="00520BAA"/>
    <w:rsid w:val="0052183E"/>
    <w:rsid w:val="00525208"/>
    <w:rsid w:val="005257A5"/>
    <w:rsid w:val="00525DE8"/>
    <w:rsid w:val="005262BB"/>
    <w:rsid w:val="005264C0"/>
    <w:rsid w:val="00526A8A"/>
    <w:rsid w:val="00531DF2"/>
    <w:rsid w:val="00532CDC"/>
    <w:rsid w:val="00535BB8"/>
    <w:rsid w:val="00542206"/>
    <w:rsid w:val="005442EE"/>
    <w:rsid w:val="00547353"/>
    <w:rsid w:val="005474E7"/>
    <w:rsid w:val="005512A3"/>
    <w:rsid w:val="00554E7E"/>
    <w:rsid w:val="005578CE"/>
    <w:rsid w:val="00560B6D"/>
    <w:rsid w:val="00562781"/>
    <w:rsid w:val="00563E83"/>
    <w:rsid w:val="0057271C"/>
    <w:rsid w:val="00572845"/>
    <w:rsid w:val="00592772"/>
    <w:rsid w:val="0059411E"/>
    <w:rsid w:val="0059574A"/>
    <w:rsid w:val="00597030"/>
    <w:rsid w:val="005A0870"/>
    <w:rsid w:val="005A1B9B"/>
    <w:rsid w:val="005A6751"/>
    <w:rsid w:val="005B092E"/>
    <w:rsid w:val="005B152C"/>
    <w:rsid w:val="005B1EE0"/>
    <w:rsid w:val="005B2501"/>
    <w:rsid w:val="005B2B24"/>
    <w:rsid w:val="005B4425"/>
    <w:rsid w:val="005B4B94"/>
    <w:rsid w:val="005C3EE8"/>
    <w:rsid w:val="005D34F9"/>
    <w:rsid w:val="005D4190"/>
    <w:rsid w:val="005D67A3"/>
    <w:rsid w:val="005E2988"/>
    <w:rsid w:val="005E2A43"/>
    <w:rsid w:val="005E3085"/>
    <w:rsid w:val="005E438A"/>
    <w:rsid w:val="005F51E1"/>
    <w:rsid w:val="00602D37"/>
    <w:rsid w:val="006031D7"/>
    <w:rsid w:val="00611C80"/>
    <w:rsid w:val="0061334E"/>
    <w:rsid w:val="00617C4C"/>
    <w:rsid w:val="00620692"/>
    <w:rsid w:val="006242CA"/>
    <w:rsid w:val="00627507"/>
    <w:rsid w:val="00633717"/>
    <w:rsid w:val="00633E63"/>
    <w:rsid w:val="006344E1"/>
    <w:rsid w:val="00634ADB"/>
    <w:rsid w:val="006545C4"/>
    <w:rsid w:val="00656495"/>
    <w:rsid w:val="00661971"/>
    <w:rsid w:val="00661CE8"/>
    <w:rsid w:val="006623D9"/>
    <w:rsid w:val="00664B1A"/>
    <w:rsid w:val="0066550C"/>
    <w:rsid w:val="00670CDD"/>
    <w:rsid w:val="006716F2"/>
    <w:rsid w:val="006750ED"/>
    <w:rsid w:val="00682BF2"/>
    <w:rsid w:val="00683FD9"/>
    <w:rsid w:val="006859CE"/>
    <w:rsid w:val="00691270"/>
    <w:rsid w:val="00694BA8"/>
    <w:rsid w:val="006977B9"/>
    <w:rsid w:val="006A037C"/>
    <w:rsid w:val="006A0E4A"/>
    <w:rsid w:val="006A26A8"/>
    <w:rsid w:val="006A36F4"/>
    <w:rsid w:val="006A406F"/>
    <w:rsid w:val="006A4570"/>
    <w:rsid w:val="006A5D3A"/>
    <w:rsid w:val="006B0004"/>
    <w:rsid w:val="006B19AE"/>
    <w:rsid w:val="006B5068"/>
    <w:rsid w:val="006C23D4"/>
    <w:rsid w:val="006C7BB0"/>
    <w:rsid w:val="006D058C"/>
    <w:rsid w:val="006D07AA"/>
    <w:rsid w:val="006D3237"/>
    <w:rsid w:val="006E158B"/>
    <w:rsid w:val="006E2E37"/>
    <w:rsid w:val="006E3CF1"/>
    <w:rsid w:val="006E4C24"/>
    <w:rsid w:val="006E7E80"/>
    <w:rsid w:val="006F1DF9"/>
    <w:rsid w:val="006F24DB"/>
    <w:rsid w:val="006F48CA"/>
    <w:rsid w:val="006F64DD"/>
    <w:rsid w:val="007023A7"/>
    <w:rsid w:val="00714202"/>
    <w:rsid w:val="00715127"/>
    <w:rsid w:val="00715E8E"/>
    <w:rsid w:val="00717635"/>
    <w:rsid w:val="00723580"/>
    <w:rsid w:val="00723755"/>
    <w:rsid w:val="0073136C"/>
    <w:rsid w:val="00731F0F"/>
    <w:rsid w:val="00733250"/>
    <w:rsid w:val="0073425E"/>
    <w:rsid w:val="00741404"/>
    <w:rsid w:val="007449E5"/>
    <w:rsid w:val="00746C5A"/>
    <w:rsid w:val="00747FF0"/>
    <w:rsid w:val="00757C4A"/>
    <w:rsid w:val="00764D4E"/>
    <w:rsid w:val="00765A1F"/>
    <w:rsid w:val="00766482"/>
    <w:rsid w:val="00772B7E"/>
    <w:rsid w:val="00774F91"/>
    <w:rsid w:val="00775B6D"/>
    <w:rsid w:val="00776D68"/>
    <w:rsid w:val="007806D9"/>
    <w:rsid w:val="007850EE"/>
    <w:rsid w:val="00785B95"/>
    <w:rsid w:val="00790E96"/>
    <w:rsid w:val="00793366"/>
    <w:rsid w:val="00796E5C"/>
    <w:rsid w:val="007A716F"/>
    <w:rsid w:val="007B270A"/>
    <w:rsid w:val="007C05CD"/>
    <w:rsid w:val="007C0695"/>
    <w:rsid w:val="007C419A"/>
    <w:rsid w:val="007C4CC8"/>
    <w:rsid w:val="007C5426"/>
    <w:rsid w:val="007C5798"/>
    <w:rsid w:val="007D06A4"/>
    <w:rsid w:val="007D075D"/>
    <w:rsid w:val="007D44DA"/>
    <w:rsid w:val="007D4832"/>
    <w:rsid w:val="007E21B2"/>
    <w:rsid w:val="007E2C4E"/>
    <w:rsid w:val="007F06D4"/>
    <w:rsid w:val="007F1905"/>
    <w:rsid w:val="007F7A4A"/>
    <w:rsid w:val="0080048F"/>
    <w:rsid w:val="00801300"/>
    <w:rsid w:val="00802C64"/>
    <w:rsid w:val="00803C6E"/>
    <w:rsid w:val="0080594E"/>
    <w:rsid w:val="00805E52"/>
    <w:rsid w:val="008061D0"/>
    <w:rsid w:val="00807EF3"/>
    <w:rsid w:val="00810B38"/>
    <w:rsid w:val="00816D01"/>
    <w:rsid w:val="008204C7"/>
    <w:rsid w:val="00820992"/>
    <w:rsid w:val="00823602"/>
    <w:rsid w:val="008252FD"/>
    <w:rsid w:val="008255F5"/>
    <w:rsid w:val="0083014E"/>
    <w:rsid w:val="0083214A"/>
    <w:rsid w:val="00834220"/>
    <w:rsid w:val="008404C1"/>
    <w:rsid w:val="008420AE"/>
    <w:rsid w:val="00845723"/>
    <w:rsid w:val="008506EA"/>
    <w:rsid w:val="00851DE6"/>
    <w:rsid w:val="00851EF9"/>
    <w:rsid w:val="00852F68"/>
    <w:rsid w:val="0085604A"/>
    <w:rsid w:val="008577FD"/>
    <w:rsid w:val="00857A68"/>
    <w:rsid w:val="00860060"/>
    <w:rsid w:val="00860B03"/>
    <w:rsid w:val="00864702"/>
    <w:rsid w:val="0086497A"/>
    <w:rsid w:val="00867E7C"/>
    <w:rsid w:val="0087063E"/>
    <w:rsid w:val="008713A1"/>
    <w:rsid w:val="008754AB"/>
    <w:rsid w:val="00877C87"/>
    <w:rsid w:val="0088060C"/>
    <w:rsid w:val="008810CA"/>
    <w:rsid w:val="008852D3"/>
    <w:rsid w:val="00885929"/>
    <w:rsid w:val="008875DB"/>
    <w:rsid w:val="008905F4"/>
    <w:rsid w:val="00893576"/>
    <w:rsid w:val="00893E73"/>
    <w:rsid w:val="008A43C4"/>
    <w:rsid w:val="008A715A"/>
    <w:rsid w:val="008B02DC"/>
    <w:rsid w:val="008B4CC4"/>
    <w:rsid w:val="008B57CE"/>
    <w:rsid w:val="008B659F"/>
    <w:rsid w:val="008C26DE"/>
    <w:rsid w:val="008C7303"/>
    <w:rsid w:val="008D2225"/>
    <w:rsid w:val="008D45E7"/>
    <w:rsid w:val="008D4752"/>
    <w:rsid w:val="008D52B2"/>
    <w:rsid w:val="008D552A"/>
    <w:rsid w:val="008E271C"/>
    <w:rsid w:val="008E418E"/>
    <w:rsid w:val="008E5BC6"/>
    <w:rsid w:val="008E6A25"/>
    <w:rsid w:val="008F292E"/>
    <w:rsid w:val="008F30B6"/>
    <w:rsid w:val="008F5193"/>
    <w:rsid w:val="009013A7"/>
    <w:rsid w:val="009017FB"/>
    <w:rsid w:val="009017FC"/>
    <w:rsid w:val="00901D8D"/>
    <w:rsid w:val="00903B43"/>
    <w:rsid w:val="0090506B"/>
    <w:rsid w:val="009050C9"/>
    <w:rsid w:val="009066FC"/>
    <w:rsid w:val="0091250D"/>
    <w:rsid w:val="009140A3"/>
    <w:rsid w:val="009144A2"/>
    <w:rsid w:val="0091510C"/>
    <w:rsid w:val="009259AC"/>
    <w:rsid w:val="0092613B"/>
    <w:rsid w:val="00926F38"/>
    <w:rsid w:val="009275AA"/>
    <w:rsid w:val="00932342"/>
    <w:rsid w:val="00934301"/>
    <w:rsid w:val="00936CD1"/>
    <w:rsid w:val="00941747"/>
    <w:rsid w:val="00941EFB"/>
    <w:rsid w:val="00947AFB"/>
    <w:rsid w:val="00951D7D"/>
    <w:rsid w:val="00952C12"/>
    <w:rsid w:val="00954C3A"/>
    <w:rsid w:val="009556A0"/>
    <w:rsid w:val="009630C7"/>
    <w:rsid w:val="00967A1B"/>
    <w:rsid w:val="009718DB"/>
    <w:rsid w:val="00972B55"/>
    <w:rsid w:val="009743B7"/>
    <w:rsid w:val="0098228B"/>
    <w:rsid w:val="009828DA"/>
    <w:rsid w:val="009835BB"/>
    <w:rsid w:val="009844F7"/>
    <w:rsid w:val="00985BAB"/>
    <w:rsid w:val="009968B8"/>
    <w:rsid w:val="00997F03"/>
    <w:rsid w:val="009A42C7"/>
    <w:rsid w:val="009A46DF"/>
    <w:rsid w:val="009B1B5F"/>
    <w:rsid w:val="009B2EC2"/>
    <w:rsid w:val="009B6673"/>
    <w:rsid w:val="009C191B"/>
    <w:rsid w:val="009C2BD6"/>
    <w:rsid w:val="009D202F"/>
    <w:rsid w:val="009D57F9"/>
    <w:rsid w:val="009E119C"/>
    <w:rsid w:val="009E1F32"/>
    <w:rsid w:val="009E5829"/>
    <w:rsid w:val="009E5F0C"/>
    <w:rsid w:val="009E776C"/>
    <w:rsid w:val="009F4B99"/>
    <w:rsid w:val="00A022A6"/>
    <w:rsid w:val="00A03C13"/>
    <w:rsid w:val="00A11C63"/>
    <w:rsid w:val="00A1726E"/>
    <w:rsid w:val="00A204CF"/>
    <w:rsid w:val="00A23D49"/>
    <w:rsid w:val="00A25408"/>
    <w:rsid w:val="00A27004"/>
    <w:rsid w:val="00A27F4B"/>
    <w:rsid w:val="00A30C29"/>
    <w:rsid w:val="00A34DD6"/>
    <w:rsid w:val="00A35AD9"/>
    <w:rsid w:val="00A36819"/>
    <w:rsid w:val="00A368DD"/>
    <w:rsid w:val="00A36989"/>
    <w:rsid w:val="00A37CF9"/>
    <w:rsid w:val="00A43628"/>
    <w:rsid w:val="00A45E06"/>
    <w:rsid w:val="00A50F2B"/>
    <w:rsid w:val="00A54192"/>
    <w:rsid w:val="00A54DDA"/>
    <w:rsid w:val="00A6035E"/>
    <w:rsid w:val="00A6144C"/>
    <w:rsid w:val="00A63F3A"/>
    <w:rsid w:val="00A66617"/>
    <w:rsid w:val="00A671F8"/>
    <w:rsid w:val="00A673A4"/>
    <w:rsid w:val="00A724AE"/>
    <w:rsid w:val="00A73329"/>
    <w:rsid w:val="00A7643F"/>
    <w:rsid w:val="00A82359"/>
    <w:rsid w:val="00A850BA"/>
    <w:rsid w:val="00A865D2"/>
    <w:rsid w:val="00A94C20"/>
    <w:rsid w:val="00A96953"/>
    <w:rsid w:val="00A96ED6"/>
    <w:rsid w:val="00AA227F"/>
    <w:rsid w:val="00AA3BC7"/>
    <w:rsid w:val="00AA754A"/>
    <w:rsid w:val="00AB099E"/>
    <w:rsid w:val="00AB4328"/>
    <w:rsid w:val="00AB5FA0"/>
    <w:rsid w:val="00AC116E"/>
    <w:rsid w:val="00AC1242"/>
    <w:rsid w:val="00AC5BB0"/>
    <w:rsid w:val="00AD2791"/>
    <w:rsid w:val="00AD2F25"/>
    <w:rsid w:val="00AD4EB4"/>
    <w:rsid w:val="00AD523F"/>
    <w:rsid w:val="00AE0A2E"/>
    <w:rsid w:val="00AE354C"/>
    <w:rsid w:val="00AE60A8"/>
    <w:rsid w:val="00AF4B07"/>
    <w:rsid w:val="00AF6186"/>
    <w:rsid w:val="00AF6BA7"/>
    <w:rsid w:val="00AF7A3A"/>
    <w:rsid w:val="00B02ED1"/>
    <w:rsid w:val="00B06ABD"/>
    <w:rsid w:val="00B10885"/>
    <w:rsid w:val="00B160DB"/>
    <w:rsid w:val="00B20836"/>
    <w:rsid w:val="00B235BB"/>
    <w:rsid w:val="00B27A44"/>
    <w:rsid w:val="00B30BBF"/>
    <w:rsid w:val="00B33C03"/>
    <w:rsid w:val="00B44E56"/>
    <w:rsid w:val="00B46543"/>
    <w:rsid w:val="00B47D33"/>
    <w:rsid w:val="00B52BE0"/>
    <w:rsid w:val="00B53841"/>
    <w:rsid w:val="00B54133"/>
    <w:rsid w:val="00B62F23"/>
    <w:rsid w:val="00B637B9"/>
    <w:rsid w:val="00B660AB"/>
    <w:rsid w:val="00B679E2"/>
    <w:rsid w:val="00B701ED"/>
    <w:rsid w:val="00B8086C"/>
    <w:rsid w:val="00B861B4"/>
    <w:rsid w:val="00B86DFE"/>
    <w:rsid w:val="00B90990"/>
    <w:rsid w:val="00B922FF"/>
    <w:rsid w:val="00B9281E"/>
    <w:rsid w:val="00B93925"/>
    <w:rsid w:val="00B95187"/>
    <w:rsid w:val="00BA2D55"/>
    <w:rsid w:val="00BA5FF2"/>
    <w:rsid w:val="00BA71B1"/>
    <w:rsid w:val="00BA7999"/>
    <w:rsid w:val="00BB0637"/>
    <w:rsid w:val="00BB345F"/>
    <w:rsid w:val="00BB4166"/>
    <w:rsid w:val="00BB5883"/>
    <w:rsid w:val="00BB68EA"/>
    <w:rsid w:val="00BC1C27"/>
    <w:rsid w:val="00BC5074"/>
    <w:rsid w:val="00BC6BBF"/>
    <w:rsid w:val="00BD018A"/>
    <w:rsid w:val="00BD1572"/>
    <w:rsid w:val="00BE14E3"/>
    <w:rsid w:val="00BE23F1"/>
    <w:rsid w:val="00BE3774"/>
    <w:rsid w:val="00BE41E5"/>
    <w:rsid w:val="00BE46DA"/>
    <w:rsid w:val="00BF0A4E"/>
    <w:rsid w:val="00BF0BBB"/>
    <w:rsid w:val="00BF4109"/>
    <w:rsid w:val="00BF4CC3"/>
    <w:rsid w:val="00C054C7"/>
    <w:rsid w:val="00C057B5"/>
    <w:rsid w:val="00C0725A"/>
    <w:rsid w:val="00C174E3"/>
    <w:rsid w:val="00C21ED2"/>
    <w:rsid w:val="00C22687"/>
    <w:rsid w:val="00C26A5B"/>
    <w:rsid w:val="00C325A3"/>
    <w:rsid w:val="00C32E4D"/>
    <w:rsid w:val="00C333A0"/>
    <w:rsid w:val="00C36A81"/>
    <w:rsid w:val="00C41974"/>
    <w:rsid w:val="00C447AD"/>
    <w:rsid w:val="00C53F4A"/>
    <w:rsid w:val="00C54125"/>
    <w:rsid w:val="00C55B54"/>
    <w:rsid w:val="00C6098E"/>
    <w:rsid w:val="00C6152C"/>
    <w:rsid w:val="00C61E6A"/>
    <w:rsid w:val="00C621C2"/>
    <w:rsid w:val="00C621D6"/>
    <w:rsid w:val="00C74810"/>
    <w:rsid w:val="00C77378"/>
    <w:rsid w:val="00C90D68"/>
    <w:rsid w:val="00C939FE"/>
    <w:rsid w:val="00C97E02"/>
    <w:rsid w:val="00CA4BDA"/>
    <w:rsid w:val="00CB1F66"/>
    <w:rsid w:val="00CB2951"/>
    <w:rsid w:val="00CC47A1"/>
    <w:rsid w:val="00CD282B"/>
    <w:rsid w:val="00CD4C35"/>
    <w:rsid w:val="00CD7369"/>
    <w:rsid w:val="00CE0B0E"/>
    <w:rsid w:val="00CE3831"/>
    <w:rsid w:val="00CE53DC"/>
    <w:rsid w:val="00CF0BFD"/>
    <w:rsid w:val="00D00ABB"/>
    <w:rsid w:val="00D02EEC"/>
    <w:rsid w:val="00D03551"/>
    <w:rsid w:val="00D06A63"/>
    <w:rsid w:val="00D078B6"/>
    <w:rsid w:val="00D07E0E"/>
    <w:rsid w:val="00D105A6"/>
    <w:rsid w:val="00D11478"/>
    <w:rsid w:val="00D1221B"/>
    <w:rsid w:val="00D151A1"/>
    <w:rsid w:val="00D15ED0"/>
    <w:rsid w:val="00D178C5"/>
    <w:rsid w:val="00D21B3E"/>
    <w:rsid w:val="00D21FED"/>
    <w:rsid w:val="00D23926"/>
    <w:rsid w:val="00D24251"/>
    <w:rsid w:val="00D255CE"/>
    <w:rsid w:val="00D343E2"/>
    <w:rsid w:val="00D361A2"/>
    <w:rsid w:val="00D4167A"/>
    <w:rsid w:val="00D4421B"/>
    <w:rsid w:val="00D44C2E"/>
    <w:rsid w:val="00D45414"/>
    <w:rsid w:val="00D53C0F"/>
    <w:rsid w:val="00D54DBC"/>
    <w:rsid w:val="00D566BD"/>
    <w:rsid w:val="00D57A4D"/>
    <w:rsid w:val="00D60AA7"/>
    <w:rsid w:val="00D60D87"/>
    <w:rsid w:val="00D6435F"/>
    <w:rsid w:val="00D74E20"/>
    <w:rsid w:val="00D75E28"/>
    <w:rsid w:val="00D772C2"/>
    <w:rsid w:val="00D8008E"/>
    <w:rsid w:val="00D82C45"/>
    <w:rsid w:val="00D835EA"/>
    <w:rsid w:val="00D87A62"/>
    <w:rsid w:val="00D908A8"/>
    <w:rsid w:val="00D93F65"/>
    <w:rsid w:val="00D977B6"/>
    <w:rsid w:val="00DA4A31"/>
    <w:rsid w:val="00DA61F2"/>
    <w:rsid w:val="00DA7B04"/>
    <w:rsid w:val="00DB36C2"/>
    <w:rsid w:val="00DB7196"/>
    <w:rsid w:val="00DC169B"/>
    <w:rsid w:val="00DC2AB9"/>
    <w:rsid w:val="00DC3EC7"/>
    <w:rsid w:val="00DC63F0"/>
    <w:rsid w:val="00DD293F"/>
    <w:rsid w:val="00DD6EE5"/>
    <w:rsid w:val="00DE1B8E"/>
    <w:rsid w:val="00DE32B5"/>
    <w:rsid w:val="00DE386C"/>
    <w:rsid w:val="00DE3970"/>
    <w:rsid w:val="00DE4D35"/>
    <w:rsid w:val="00DF0549"/>
    <w:rsid w:val="00DF098B"/>
    <w:rsid w:val="00DF11C4"/>
    <w:rsid w:val="00DF210C"/>
    <w:rsid w:val="00DF4B6A"/>
    <w:rsid w:val="00E009A1"/>
    <w:rsid w:val="00E02C09"/>
    <w:rsid w:val="00E04D59"/>
    <w:rsid w:val="00E07DA1"/>
    <w:rsid w:val="00E123CB"/>
    <w:rsid w:val="00E13BBA"/>
    <w:rsid w:val="00E1557C"/>
    <w:rsid w:val="00E20E13"/>
    <w:rsid w:val="00E21DBC"/>
    <w:rsid w:val="00E275D7"/>
    <w:rsid w:val="00E27DBE"/>
    <w:rsid w:val="00E32AB1"/>
    <w:rsid w:val="00E36C71"/>
    <w:rsid w:val="00E36CD6"/>
    <w:rsid w:val="00E40404"/>
    <w:rsid w:val="00E459C6"/>
    <w:rsid w:val="00E473E6"/>
    <w:rsid w:val="00E47589"/>
    <w:rsid w:val="00E47B1F"/>
    <w:rsid w:val="00E63340"/>
    <w:rsid w:val="00E6363C"/>
    <w:rsid w:val="00E64915"/>
    <w:rsid w:val="00E661D4"/>
    <w:rsid w:val="00E70091"/>
    <w:rsid w:val="00E720F5"/>
    <w:rsid w:val="00E76D47"/>
    <w:rsid w:val="00E849F7"/>
    <w:rsid w:val="00E90302"/>
    <w:rsid w:val="00E9597F"/>
    <w:rsid w:val="00E97065"/>
    <w:rsid w:val="00E97396"/>
    <w:rsid w:val="00E97A4D"/>
    <w:rsid w:val="00EA185E"/>
    <w:rsid w:val="00EA592A"/>
    <w:rsid w:val="00EB14E4"/>
    <w:rsid w:val="00EB22DB"/>
    <w:rsid w:val="00EB32A5"/>
    <w:rsid w:val="00EB34ED"/>
    <w:rsid w:val="00EB7BE0"/>
    <w:rsid w:val="00EC0B64"/>
    <w:rsid w:val="00EC28D1"/>
    <w:rsid w:val="00EC315E"/>
    <w:rsid w:val="00ED077C"/>
    <w:rsid w:val="00ED1190"/>
    <w:rsid w:val="00ED6544"/>
    <w:rsid w:val="00EE0277"/>
    <w:rsid w:val="00EE142C"/>
    <w:rsid w:val="00EE1DA9"/>
    <w:rsid w:val="00EE3E00"/>
    <w:rsid w:val="00EE5DD2"/>
    <w:rsid w:val="00EE62F4"/>
    <w:rsid w:val="00EF1A07"/>
    <w:rsid w:val="00EF41F1"/>
    <w:rsid w:val="00EF4F08"/>
    <w:rsid w:val="00EF573B"/>
    <w:rsid w:val="00F00A79"/>
    <w:rsid w:val="00F00E86"/>
    <w:rsid w:val="00F00F8B"/>
    <w:rsid w:val="00F07C1E"/>
    <w:rsid w:val="00F105DB"/>
    <w:rsid w:val="00F132BC"/>
    <w:rsid w:val="00F13D80"/>
    <w:rsid w:val="00F14949"/>
    <w:rsid w:val="00F16AAA"/>
    <w:rsid w:val="00F20F1B"/>
    <w:rsid w:val="00F21161"/>
    <w:rsid w:val="00F218EF"/>
    <w:rsid w:val="00F21BC7"/>
    <w:rsid w:val="00F22490"/>
    <w:rsid w:val="00F23B46"/>
    <w:rsid w:val="00F266A2"/>
    <w:rsid w:val="00F32269"/>
    <w:rsid w:val="00F4457E"/>
    <w:rsid w:val="00F534BE"/>
    <w:rsid w:val="00F56A6F"/>
    <w:rsid w:val="00F5709C"/>
    <w:rsid w:val="00F64EF1"/>
    <w:rsid w:val="00F76DC9"/>
    <w:rsid w:val="00F82203"/>
    <w:rsid w:val="00F8765F"/>
    <w:rsid w:val="00F90767"/>
    <w:rsid w:val="00F94718"/>
    <w:rsid w:val="00FA10D1"/>
    <w:rsid w:val="00FA5C2F"/>
    <w:rsid w:val="00FA685B"/>
    <w:rsid w:val="00FB0C01"/>
    <w:rsid w:val="00FB1166"/>
    <w:rsid w:val="00FB6D80"/>
    <w:rsid w:val="00FC18F2"/>
    <w:rsid w:val="00FC39E5"/>
    <w:rsid w:val="00FC3A78"/>
    <w:rsid w:val="00FC4F44"/>
    <w:rsid w:val="00FC5FFE"/>
    <w:rsid w:val="00FD1005"/>
    <w:rsid w:val="00FD3180"/>
    <w:rsid w:val="00FD6C75"/>
    <w:rsid w:val="00FE124A"/>
    <w:rsid w:val="00FE71B3"/>
    <w:rsid w:val="00FF334F"/>
    <w:rsid w:val="00FF4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72B7E"/>
    <w:pPr>
      <w:jc w:val="both"/>
    </w:pPr>
    <w:rPr>
      <w:rFonts w:eastAsiaTheme="minorEastAsia"/>
      <w:sz w:val="24"/>
    </w:rPr>
  </w:style>
  <w:style w:type="paragraph" w:styleId="Heading1">
    <w:name w:val="heading 1"/>
    <w:basedOn w:val="Normal"/>
    <w:next w:val="Normal"/>
    <w:link w:val="Heading1Char"/>
    <w:uiPriority w:val="99"/>
    <w:semiHidden/>
    <w:rsid w:val="00772B7E"/>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72B7E"/>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72B7E"/>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772B7E"/>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772B7E"/>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772B7E"/>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772B7E"/>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772B7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772B7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2B7E"/>
    <w:rPr>
      <w:rFonts w:ascii="Tahoma" w:hAnsi="Tahoma" w:cs="Tahoma"/>
      <w:sz w:val="16"/>
      <w:szCs w:val="16"/>
    </w:rPr>
  </w:style>
  <w:style w:type="character" w:customStyle="1" w:styleId="BalloonTextChar">
    <w:name w:val="Balloon Text Char"/>
    <w:basedOn w:val="DefaultParagraphFont"/>
    <w:link w:val="BalloonText"/>
    <w:uiPriority w:val="99"/>
    <w:semiHidden/>
    <w:rsid w:val="00772B7E"/>
    <w:rPr>
      <w:rFonts w:ascii="Tahoma" w:eastAsiaTheme="minorEastAsia" w:hAnsi="Tahoma" w:cs="Tahoma"/>
      <w:sz w:val="16"/>
      <w:szCs w:val="16"/>
    </w:rPr>
  </w:style>
  <w:style w:type="character" w:styleId="BookTitle">
    <w:name w:val="Book Title"/>
    <w:uiPriority w:val="99"/>
    <w:semiHidden/>
    <w:qFormat/>
    <w:rsid w:val="00772B7E"/>
    <w:rPr>
      <w:i/>
      <w:iCs/>
      <w:smallCaps/>
      <w:spacing w:val="5"/>
    </w:rPr>
  </w:style>
  <w:style w:type="paragraph" w:customStyle="1" w:styleId="ECHRHeader">
    <w:name w:val="ECHR_Header"/>
    <w:aliases w:val="Ju_Header"/>
    <w:basedOn w:val="Header"/>
    <w:uiPriority w:val="4"/>
    <w:qFormat/>
    <w:rsid w:val="00772B7E"/>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772B7E"/>
    <w:pPr>
      <w:jc w:val="left"/>
    </w:pPr>
    <w:rPr>
      <w:sz w:val="8"/>
    </w:rPr>
  </w:style>
  <w:style w:type="character" w:styleId="Strong">
    <w:name w:val="Strong"/>
    <w:uiPriority w:val="99"/>
    <w:semiHidden/>
    <w:qFormat/>
    <w:rsid w:val="00772B7E"/>
    <w:rPr>
      <w:b/>
      <w:bCs/>
    </w:rPr>
  </w:style>
  <w:style w:type="paragraph" w:styleId="NoSpacing">
    <w:name w:val="No Spacing"/>
    <w:basedOn w:val="Normal"/>
    <w:link w:val="NoSpacingChar"/>
    <w:semiHidden/>
    <w:qFormat/>
    <w:rsid w:val="00772B7E"/>
    <w:rPr>
      <w:sz w:val="22"/>
    </w:rPr>
  </w:style>
  <w:style w:type="character" w:customStyle="1" w:styleId="NoSpacingChar">
    <w:name w:val="No Spacing Char"/>
    <w:basedOn w:val="DefaultParagraphFont"/>
    <w:link w:val="NoSpacing"/>
    <w:semiHidden/>
    <w:rsid w:val="00772B7E"/>
    <w:rPr>
      <w:rFonts w:eastAsiaTheme="minorEastAsia"/>
    </w:rPr>
  </w:style>
  <w:style w:type="paragraph" w:customStyle="1" w:styleId="ECHRFooterLine">
    <w:name w:val="ECHR_Footer_Line"/>
    <w:aliases w:val="Footer_Line"/>
    <w:basedOn w:val="Normal"/>
    <w:next w:val="ECHRFooter"/>
    <w:uiPriority w:val="57"/>
    <w:semiHidden/>
    <w:rsid w:val="00772B7E"/>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772B7E"/>
  </w:style>
  <w:style w:type="paragraph" w:customStyle="1" w:styleId="DecList">
    <w:name w:val="Dec_List"/>
    <w:basedOn w:val="Normal"/>
    <w:uiPriority w:val="9"/>
    <w:semiHidden/>
    <w:qFormat/>
    <w:rsid w:val="00772B7E"/>
    <w:pPr>
      <w:spacing w:before="240"/>
      <w:ind w:left="284"/>
    </w:pPr>
  </w:style>
  <w:style w:type="paragraph" w:customStyle="1" w:styleId="DummyStyle">
    <w:name w:val="Dummy_Style"/>
    <w:basedOn w:val="Normal"/>
    <w:semiHidden/>
    <w:qFormat/>
    <w:rsid w:val="00772B7E"/>
    <w:rPr>
      <w:color w:val="00B050"/>
    </w:rPr>
  </w:style>
  <w:style w:type="paragraph" w:customStyle="1" w:styleId="ECHRTitleCentre3">
    <w:name w:val="ECHR_Title_Centre_3"/>
    <w:aliases w:val="Ju_H_Article"/>
    <w:basedOn w:val="Normal"/>
    <w:next w:val="ECHRParaQuote"/>
    <w:uiPriority w:val="27"/>
    <w:qFormat/>
    <w:rsid w:val="00772B7E"/>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772B7E"/>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772B7E"/>
    <w:pPr>
      <w:numPr>
        <w:numId w:val="26"/>
      </w:numPr>
      <w:jc w:val="left"/>
    </w:pPr>
    <w:rPr>
      <w:b/>
    </w:rPr>
  </w:style>
  <w:style w:type="paragraph" w:customStyle="1" w:styleId="JuCourt">
    <w:name w:val="Ju_Court"/>
    <w:basedOn w:val="Normal"/>
    <w:next w:val="Normal"/>
    <w:uiPriority w:val="16"/>
    <w:qFormat/>
    <w:rsid w:val="00772B7E"/>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772B7E"/>
    <w:pPr>
      <w:tabs>
        <w:tab w:val="clear" w:pos="3686"/>
        <w:tab w:val="clear" w:pos="7371"/>
        <w:tab w:val="center" w:pos="6146"/>
        <w:tab w:val="right" w:pos="12293"/>
      </w:tabs>
    </w:pPr>
  </w:style>
  <w:style w:type="paragraph" w:customStyle="1" w:styleId="ECHRTitleCentre2">
    <w:name w:val="ECHR_Title_Centre_2"/>
    <w:aliases w:val="Dec_H_Case"/>
    <w:basedOn w:val="Normal"/>
    <w:next w:val="ECHRPara"/>
    <w:uiPriority w:val="8"/>
    <w:qFormat/>
    <w:rsid w:val="00772B7E"/>
    <w:pPr>
      <w:spacing w:after="240"/>
      <w:jc w:val="center"/>
      <w:outlineLvl w:val="0"/>
    </w:pPr>
    <w:rPr>
      <w:rFonts w:asciiTheme="majorHAnsi" w:hAnsiTheme="majorHAnsi"/>
    </w:rPr>
  </w:style>
  <w:style w:type="paragraph" w:customStyle="1" w:styleId="JuInitialled">
    <w:name w:val="Ju_Initialled"/>
    <w:basedOn w:val="Normal"/>
    <w:uiPriority w:val="31"/>
    <w:qFormat/>
    <w:rsid w:val="00772B7E"/>
    <w:pPr>
      <w:tabs>
        <w:tab w:val="center" w:pos="6407"/>
      </w:tabs>
      <w:spacing w:before="720"/>
      <w:jc w:val="right"/>
    </w:pPr>
  </w:style>
  <w:style w:type="paragraph" w:styleId="Title">
    <w:name w:val="Title"/>
    <w:basedOn w:val="Normal"/>
    <w:next w:val="Normal"/>
    <w:link w:val="TitleChar"/>
    <w:uiPriority w:val="99"/>
    <w:semiHidden/>
    <w:qFormat/>
    <w:rsid w:val="00772B7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772B7E"/>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772B7E"/>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772B7E"/>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772B7E"/>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772B7E"/>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772B7E"/>
    <w:pPr>
      <w:keepNext/>
      <w:keepLines/>
      <w:spacing w:before="240" w:after="120"/>
      <w:ind w:left="1236"/>
    </w:pPr>
    <w:rPr>
      <w:sz w:val="20"/>
    </w:rPr>
  </w:style>
  <w:style w:type="character" w:customStyle="1" w:styleId="JuITMark">
    <w:name w:val="Ju_ITMark"/>
    <w:basedOn w:val="DefaultParagraphFont"/>
    <w:uiPriority w:val="38"/>
    <w:qFormat/>
    <w:rsid w:val="00772B7E"/>
    <w:rPr>
      <w:vanish w:val="0"/>
      <w:color w:val="auto"/>
      <w:sz w:val="14"/>
      <w:bdr w:val="none" w:sz="0" w:space="0" w:color="auto"/>
      <w:shd w:val="clear" w:color="auto" w:fill="BEE5FF" w:themeFill="background1" w:themeFillTint="33"/>
    </w:rPr>
  </w:style>
  <w:style w:type="paragraph" w:customStyle="1" w:styleId="JuListi">
    <w:name w:val="Ju_List_i"/>
    <w:basedOn w:val="Normal"/>
    <w:next w:val="JuLista"/>
    <w:uiPriority w:val="28"/>
    <w:qFormat/>
    <w:rsid w:val="00772B7E"/>
    <w:pPr>
      <w:ind w:left="794"/>
    </w:pPr>
  </w:style>
  <w:style w:type="character" w:customStyle="1" w:styleId="JUNAMES">
    <w:name w:val="JU_NAMES"/>
    <w:uiPriority w:val="17"/>
    <w:qFormat/>
    <w:rsid w:val="00772B7E"/>
    <w:rPr>
      <w:caps w:val="0"/>
      <w:smallCaps/>
    </w:rPr>
  </w:style>
  <w:style w:type="paragraph" w:styleId="Header">
    <w:name w:val="header"/>
    <w:basedOn w:val="Normal"/>
    <w:link w:val="HeaderChar"/>
    <w:uiPriority w:val="57"/>
    <w:semiHidden/>
    <w:rsid w:val="00772B7E"/>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772B7E"/>
    <w:rPr>
      <w:sz w:val="24"/>
    </w:rPr>
  </w:style>
  <w:style w:type="character" w:customStyle="1" w:styleId="Heading1Char">
    <w:name w:val="Heading 1 Char"/>
    <w:basedOn w:val="DefaultParagraphFont"/>
    <w:link w:val="Heading1"/>
    <w:uiPriority w:val="99"/>
    <w:semiHidden/>
    <w:rsid w:val="00772B7E"/>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772B7E"/>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772B7E"/>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772B7E"/>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qFormat/>
    <w:rsid w:val="00772B7E"/>
    <w:pPr>
      <w:ind w:left="284"/>
    </w:pPr>
  </w:style>
  <w:style w:type="paragraph" w:customStyle="1" w:styleId="JuCase">
    <w:name w:val="Ju_Case"/>
    <w:basedOn w:val="Normal"/>
    <w:next w:val="ECHRPara"/>
    <w:uiPriority w:val="10"/>
    <w:rsid w:val="00772B7E"/>
    <w:pPr>
      <w:ind w:firstLine="284"/>
    </w:pPr>
    <w:rPr>
      <w:b/>
    </w:rPr>
  </w:style>
  <w:style w:type="character" w:customStyle="1" w:styleId="Heading3Char">
    <w:name w:val="Heading 3 Char"/>
    <w:basedOn w:val="DefaultParagraphFont"/>
    <w:link w:val="Heading3"/>
    <w:uiPriority w:val="99"/>
    <w:semiHidden/>
    <w:rsid w:val="00772B7E"/>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772B7E"/>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772B7E"/>
    <w:rPr>
      <w:rFonts w:asciiTheme="majorHAnsi" w:eastAsiaTheme="majorEastAsia" w:hAnsiTheme="majorHAnsi" w:cstheme="majorBidi"/>
      <w:b/>
      <w:bCs/>
      <w:color w:val="808080"/>
    </w:rPr>
  </w:style>
  <w:style w:type="character" w:styleId="SubtleEmphasis">
    <w:name w:val="Subtle Emphasis"/>
    <w:uiPriority w:val="99"/>
    <w:semiHidden/>
    <w:qFormat/>
    <w:rsid w:val="00772B7E"/>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772B7E"/>
    <w:pPr>
      <w:keepNext/>
      <w:keepLines/>
      <w:spacing w:before="720" w:after="240"/>
      <w:outlineLvl w:val="0"/>
    </w:pPr>
    <w:rPr>
      <w:rFonts w:asciiTheme="majorHAnsi" w:hAnsiTheme="majorHAnsi"/>
      <w:sz w:val="28"/>
    </w:rPr>
  </w:style>
  <w:style w:type="character" w:styleId="Emphasis">
    <w:name w:val="Emphasis"/>
    <w:uiPriority w:val="99"/>
    <w:semiHidden/>
    <w:qFormat/>
    <w:rsid w:val="00772B7E"/>
    <w:rPr>
      <w:b/>
      <w:bCs/>
      <w:i/>
      <w:iCs/>
      <w:spacing w:val="10"/>
      <w:bdr w:val="none" w:sz="0" w:space="0" w:color="auto"/>
      <w:shd w:val="clear" w:color="auto" w:fill="auto"/>
    </w:rPr>
  </w:style>
  <w:style w:type="paragraph" w:styleId="Footer">
    <w:name w:val="footer"/>
    <w:basedOn w:val="Normal"/>
    <w:link w:val="FooterChar"/>
    <w:uiPriority w:val="57"/>
    <w:semiHidden/>
    <w:rsid w:val="00772B7E"/>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772B7E"/>
    <w:rPr>
      <w:sz w:val="24"/>
    </w:rPr>
  </w:style>
  <w:style w:type="character" w:styleId="FootnoteReference">
    <w:name w:val="footnote reference"/>
    <w:basedOn w:val="DefaultParagraphFont"/>
    <w:uiPriority w:val="99"/>
    <w:semiHidden/>
    <w:rsid w:val="00772B7E"/>
    <w:rPr>
      <w:vertAlign w:val="superscript"/>
    </w:rPr>
  </w:style>
  <w:style w:type="paragraph" w:styleId="FootnoteText">
    <w:name w:val="footnote text"/>
    <w:basedOn w:val="Normal"/>
    <w:link w:val="FootnoteTextChar"/>
    <w:uiPriority w:val="99"/>
    <w:semiHidden/>
    <w:rsid w:val="00772B7E"/>
    <w:rPr>
      <w:sz w:val="20"/>
      <w:szCs w:val="20"/>
    </w:rPr>
  </w:style>
  <w:style w:type="character" w:customStyle="1" w:styleId="FootnoteTextChar">
    <w:name w:val="Footnote Text Char"/>
    <w:basedOn w:val="DefaultParagraphFont"/>
    <w:link w:val="FootnoteText"/>
    <w:uiPriority w:val="99"/>
    <w:semiHidden/>
    <w:rsid w:val="00772B7E"/>
    <w:rPr>
      <w:rFonts w:eastAsiaTheme="minorEastAsia"/>
      <w:sz w:val="20"/>
      <w:szCs w:val="20"/>
    </w:rPr>
  </w:style>
  <w:style w:type="character" w:customStyle="1" w:styleId="Heading6Char">
    <w:name w:val="Heading 6 Char"/>
    <w:basedOn w:val="DefaultParagraphFont"/>
    <w:link w:val="Heading6"/>
    <w:uiPriority w:val="99"/>
    <w:semiHidden/>
    <w:rsid w:val="00772B7E"/>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772B7E"/>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772B7E"/>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772B7E"/>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772B7E"/>
    <w:rPr>
      <w:color w:val="0072BC" w:themeColor="hyperlink"/>
      <w:u w:val="single"/>
    </w:rPr>
  </w:style>
  <w:style w:type="character" w:styleId="IntenseEmphasis">
    <w:name w:val="Intense Emphasis"/>
    <w:uiPriority w:val="99"/>
    <w:semiHidden/>
    <w:qFormat/>
    <w:rsid w:val="00772B7E"/>
    <w:rPr>
      <w:b/>
      <w:bCs/>
    </w:rPr>
  </w:style>
  <w:style w:type="paragraph" w:styleId="IntenseQuote">
    <w:name w:val="Intense Quote"/>
    <w:basedOn w:val="Normal"/>
    <w:next w:val="Normal"/>
    <w:link w:val="IntenseQuoteChar"/>
    <w:uiPriority w:val="99"/>
    <w:semiHidden/>
    <w:qFormat/>
    <w:rsid w:val="00772B7E"/>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772B7E"/>
    <w:rPr>
      <w:rFonts w:eastAsiaTheme="minorEastAsia"/>
      <w:b/>
      <w:bCs/>
      <w:i/>
      <w:iCs/>
      <w:lang w:bidi="lv-LV"/>
    </w:rPr>
  </w:style>
  <w:style w:type="character" w:styleId="IntenseReference">
    <w:name w:val="Intense Reference"/>
    <w:uiPriority w:val="99"/>
    <w:semiHidden/>
    <w:qFormat/>
    <w:rsid w:val="00772B7E"/>
    <w:rPr>
      <w:smallCaps/>
      <w:spacing w:val="5"/>
      <w:u w:val="single"/>
    </w:rPr>
  </w:style>
  <w:style w:type="paragraph" w:styleId="ListParagraph">
    <w:name w:val="List Paragraph"/>
    <w:basedOn w:val="Normal"/>
    <w:uiPriority w:val="99"/>
    <w:semiHidden/>
    <w:qFormat/>
    <w:rsid w:val="00772B7E"/>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772B7E"/>
    <w:pPr>
      <w:spacing w:before="200"/>
      <w:ind w:left="360" w:right="360"/>
    </w:pPr>
    <w:rPr>
      <w:i/>
      <w:iCs/>
      <w:sz w:val="22"/>
    </w:rPr>
  </w:style>
  <w:style w:type="character" w:customStyle="1" w:styleId="QuoteChar">
    <w:name w:val="Quote Char"/>
    <w:basedOn w:val="DefaultParagraphFont"/>
    <w:link w:val="Quote"/>
    <w:uiPriority w:val="99"/>
    <w:semiHidden/>
    <w:rsid w:val="00772B7E"/>
    <w:rPr>
      <w:rFonts w:eastAsiaTheme="minorEastAsia"/>
      <w:i/>
      <w:iCs/>
      <w:lang w:bidi="lv-LV"/>
    </w:rPr>
  </w:style>
  <w:style w:type="character" w:styleId="SubtleReference">
    <w:name w:val="Subtle Reference"/>
    <w:uiPriority w:val="99"/>
    <w:semiHidden/>
    <w:qFormat/>
    <w:rsid w:val="00772B7E"/>
    <w:rPr>
      <w:smallCaps/>
    </w:rPr>
  </w:style>
  <w:style w:type="table" w:styleId="TableGrid">
    <w:name w:val="Table Grid"/>
    <w:basedOn w:val="TableNormal"/>
    <w:uiPriority w:val="59"/>
    <w:semiHidden/>
    <w:rsid w:val="00772B7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772B7E"/>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772B7E"/>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772B7E"/>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772B7E"/>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772B7E"/>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772B7E"/>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72B7E"/>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772B7E"/>
    <w:pPr>
      <w:spacing w:before="120" w:after="120"/>
      <w:ind w:left="425" w:firstLine="142"/>
    </w:pPr>
    <w:rPr>
      <w:sz w:val="20"/>
    </w:rPr>
  </w:style>
  <w:style w:type="paragraph" w:customStyle="1" w:styleId="ECHRPara">
    <w:name w:val="ECHR_Para"/>
    <w:aliases w:val="Ju_Para"/>
    <w:basedOn w:val="Normal"/>
    <w:link w:val="ECHRParaChar"/>
    <w:uiPriority w:val="12"/>
    <w:qFormat/>
    <w:rsid w:val="00772B7E"/>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72B7E"/>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772B7E"/>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772B7E"/>
    <w:pPr>
      <w:ind w:left="340" w:hanging="340"/>
    </w:pPr>
  </w:style>
  <w:style w:type="paragraph" w:customStyle="1" w:styleId="JuSigned">
    <w:name w:val="Ju_Signed"/>
    <w:basedOn w:val="Normal"/>
    <w:next w:val="JuParaLast"/>
    <w:uiPriority w:val="32"/>
    <w:qFormat/>
    <w:rsid w:val="00772B7E"/>
    <w:pPr>
      <w:tabs>
        <w:tab w:val="center" w:pos="851"/>
        <w:tab w:val="center" w:pos="6407"/>
      </w:tabs>
      <w:spacing w:before="720"/>
      <w:jc w:val="left"/>
    </w:pPr>
  </w:style>
  <w:style w:type="paragraph" w:customStyle="1" w:styleId="JuParaLast">
    <w:name w:val="Ju_Para_Last"/>
    <w:basedOn w:val="Normal"/>
    <w:next w:val="ECHRPara"/>
    <w:uiPriority w:val="30"/>
    <w:qFormat/>
    <w:rsid w:val="00772B7E"/>
    <w:pPr>
      <w:keepNext/>
      <w:keepLines/>
      <w:spacing w:before="240"/>
      <w:ind w:firstLine="284"/>
    </w:pPr>
  </w:style>
  <w:style w:type="paragraph" w:customStyle="1" w:styleId="JuQuotSub">
    <w:name w:val="Ju_Quot_Sub"/>
    <w:basedOn w:val="ECHRParaQuote"/>
    <w:uiPriority w:val="15"/>
    <w:qFormat/>
    <w:rsid w:val="00772B7E"/>
    <w:pPr>
      <w:ind w:left="567"/>
    </w:p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772B7E"/>
    <w:pPr>
      <w:ind w:left="346" w:firstLine="0"/>
    </w:pPr>
  </w:style>
  <w:style w:type="paragraph" w:customStyle="1" w:styleId="JuTitle">
    <w:name w:val="Ju_Title"/>
    <w:basedOn w:val="Normal"/>
    <w:next w:val="ECHRPara"/>
    <w:uiPriority w:val="3"/>
    <w:semiHidden/>
    <w:qFormat/>
    <w:rsid w:val="00772B7E"/>
    <w:pPr>
      <w:spacing w:before="720" w:after="240"/>
      <w:jc w:val="center"/>
      <w:outlineLvl w:val="0"/>
    </w:pPr>
    <w:rPr>
      <w:rFonts w:asciiTheme="majorHAnsi" w:hAnsiTheme="majorHAnsi"/>
      <w:b/>
      <w:caps/>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772B7E"/>
    <w:pPr>
      <w:ind w:left="635" w:hanging="357"/>
      <w:outlineLvl w:val="2"/>
    </w:pPr>
  </w:style>
  <w:style w:type="paragraph" w:styleId="ListBullet">
    <w:name w:val="List Bullet"/>
    <w:basedOn w:val="Normal"/>
    <w:uiPriority w:val="99"/>
    <w:semiHidden/>
    <w:rsid w:val="00014566"/>
    <w:pPr>
      <w:numPr>
        <w:numId w:val="1"/>
      </w:numPr>
    </w:pPr>
  </w:style>
  <w:style w:type="paragraph" w:customStyle="1" w:styleId="OpiHa">
    <w:name w:val="Opi_H_a"/>
    <w:basedOn w:val="ECHRHeading3"/>
    <w:uiPriority w:val="43"/>
    <w:qFormat/>
    <w:rsid w:val="00772B7E"/>
    <w:pPr>
      <w:ind w:left="833" w:hanging="357"/>
      <w:outlineLvl w:val="3"/>
    </w:pPr>
    <w:rPr>
      <w:b/>
      <w:i w:val="0"/>
      <w:sz w:val="20"/>
    </w:rPr>
  </w:style>
  <w:style w:type="paragraph" w:styleId="Subtitle">
    <w:name w:val="Subtitle"/>
    <w:basedOn w:val="Normal"/>
    <w:next w:val="Normal"/>
    <w:link w:val="SubtitleChar"/>
    <w:uiPriority w:val="99"/>
    <w:semiHidden/>
    <w:qFormat/>
    <w:rsid w:val="00772B7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772B7E"/>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772B7E"/>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772B7E"/>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772B7E"/>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OpiHA0">
    <w:name w:val="Opi_H_A"/>
    <w:basedOn w:val="ECHRHeading1"/>
    <w:next w:val="OpiPara"/>
    <w:uiPriority w:val="41"/>
    <w:qFormat/>
    <w:rsid w:val="00772B7E"/>
    <w:pPr>
      <w:tabs>
        <w:tab w:val="clear" w:pos="357"/>
      </w:tabs>
      <w:outlineLvl w:val="1"/>
    </w:pPr>
    <w:rPr>
      <w:b/>
    </w:rPr>
  </w:style>
  <w:style w:type="paragraph" w:customStyle="1" w:styleId="OpiHi">
    <w:name w:val="Opi_H_i"/>
    <w:basedOn w:val="ECHRHeading4"/>
    <w:uiPriority w:val="44"/>
    <w:qFormat/>
    <w:rsid w:val="00772B7E"/>
    <w:pPr>
      <w:ind w:left="1037" w:hanging="357"/>
      <w:outlineLvl w:val="4"/>
    </w:pPr>
    <w:rPr>
      <w:b w:val="0"/>
      <w:i/>
    </w:rPr>
  </w:style>
  <w:style w:type="paragraph" w:customStyle="1" w:styleId="OpiPara">
    <w:name w:val="Opi_Para"/>
    <w:basedOn w:val="ECHRPara"/>
    <w:uiPriority w:val="46"/>
    <w:qFormat/>
    <w:rsid w:val="00772B7E"/>
  </w:style>
  <w:style w:type="paragraph" w:customStyle="1" w:styleId="OpiParaSub">
    <w:name w:val="Opi_Para_Sub"/>
    <w:basedOn w:val="JuParaSub"/>
    <w:uiPriority w:val="47"/>
    <w:qFormat/>
    <w:rsid w:val="00772B7E"/>
  </w:style>
  <w:style w:type="paragraph" w:customStyle="1" w:styleId="OpiQuot">
    <w:name w:val="Opi_Quot"/>
    <w:basedOn w:val="ECHRParaQuote"/>
    <w:uiPriority w:val="48"/>
    <w:qFormat/>
    <w:rsid w:val="00772B7E"/>
  </w:style>
  <w:style w:type="paragraph" w:customStyle="1" w:styleId="OpiQuotSub">
    <w:name w:val="Opi_Quot_Sub"/>
    <w:basedOn w:val="JuQuotSub"/>
    <w:uiPriority w:val="49"/>
    <w:qFormat/>
    <w:rsid w:val="00772B7E"/>
  </w:style>
  <w:style w:type="paragraph" w:customStyle="1" w:styleId="OpiTranslation">
    <w:name w:val="Opi_Translation"/>
    <w:basedOn w:val="Normal"/>
    <w:next w:val="OpiPara"/>
    <w:uiPriority w:val="40"/>
    <w:qFormat/>
    <w:rsid w:val="00772B7E"/>
    <w:pPr>
      <w:jc w:val="center"/>
      <w:outlineLvl w:val="0"/>
    </w:pPr>
    <w:rPr>
      <w:i/>
    </w:rPr>
  </w:style>
  <w:style w:type="character" w:customStyle="1" w:styleId="ECHRParaChar">
    <w:name w:val="ECHR_Para Char"/>
    <w:aliases w:val="Ju_Para Char"/>
    <w:link w:val="ECHRPara"/>
    <w:uiPriority w:val="12"/>
    <w:qFormat/>
    <w:rsid w:val="00714202"/>
    <w:rPr>
      <w:rFonts w:eastAsiaTheme="minorEastAsia"/>
      <w:sz w:val="24"/>
    </w:rPr>
  </w:style>
  <w:style w:type="character" w:customStyle="1" w:styleId="column">
    <w:name w:val="column"/>
    <w:basedOn w:val="DefaultParagraphFont"/>
    <w:rsid w:val="00656495"/>
  </w:style>
  <w:style w:type="character" w:customStyle="1" w:styleId="CLLItalic">
    <w:name w:val="CLL_Italic"/>
    <w:basedOn w:val="DefaultParagraphFont"/>
    <w:uiPriority w:val="1"/>
    <w:rsid w:val="006A4570"/>
    <w:rPr>
      <w:i/>
      <w:iCs/>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98E5-BADE-4DC8-9579-D822EC354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6519CF-39A8-406C-AD9D-5A619B7665AF}">
  <ds:schemaRefs>
    <ds:schemaRef ds:uri="http://schemas.microsoft.com/sharepoint/v3/contenttype/forms"/>
  </ds:schemaRefs>
</ds:datastoreItem>
</file>

<file path=customXml/itemProps3.xml><?xml version="1.0" encoding="utf-8"?>
<ds:datastoreItem xmlns:ds="http://schemas.openxmlformats.org/officeDocument/2006/customXml" ds:itemID="{C21CDE10-A407-458D-ADD8-60038C7D65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5B1533-5D18-440B-A76C-B7303895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18600</Words>
  <Characters>10603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2018-01-31T07:39:00Z</dcterms:created>
  <dcterms:modified xsi:type="dcterms:W3CDTF">2018-04-26T13:18:00Z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21979/08</vt:lpwstr>
  </property>
  <property fmtid="{D5CDD505-2E9C-101B-9397-08002B2CF9AE}" pid="4" name="CASEID">
    <vt:lpwstr>506177</vt:lpwstr>
  </property>
  <property fmtid="{D5CDD505-2E9C-101B-9397-08002B2CF9AE}" pid="5" name="ContentTypeId">
    <vt:lpwstr>0x010100558EB02BDB9E204AB350EDD385B68E10</vt:lpwstr>
  </property>
  <property fmtid="{D5CDD505-2E9C-101B-9397-08002B2CF9AE}" pid="6" name="_NewReviewCycle">
    <vt:lpwstr/>
  </property>
</Properties>
</file>