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tabs>
          <w:tab w:val="left" w:pos="5529"/>
        </w:tabs>
        <w:jc w:val="center"/>
        <w:rPr>
          <w:rFonts w:ascii="Times New Roman" w:hAnsi="Times New Roman" w:cs="Times New Roman"/>
        </w:rPr>
      </w:pPr>
      <w:r>
        <w:rPr>
          <w:rFonts w:ascii="Times New Roman" w:hAnsi="Times New Roman"/>
        </w:rPr>
        <w:t>LIELĀ PALĀTA</w:t>
      </w: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b/>
        </w:rPr>
      </w:pPr>
      <w:bookmarkStart w:id="0" w:name="To"/>
      <w:r>
        <w:rPr>
          <w:rFonts w:ascii="Times New Roman" w:hAnsi="Times New Roman"/>
          <w:b/>
        </w:rPr>
        <w:t xml:space="preserve">LIETA </w:t>
      </w:r>
      <w:bookmarkEnd w:id="0"/>
      <w:r>
        <w:rPr>
          <w:rFonts w:ascii="Times New Roman" w:hAnsi="Times New Roman"/>
          <w:b/>
        </w:rPr>
        <w:t>JERONOVIČS pret LATVIJU</w:t>
      </w: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i/>
        </w:rPr>
      </w:pPr>
      <w:r>
        <w:rPr>
          <w:rFonts w:ascii="Times New Roman" w:hAnsi="Times New Roman"/>
          <w:i/>
        </w:rPr>
        <w:t>(Iesniegums Nr. 44898/10)</w:t>
      </w: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r>
        <w:rPr>
          <w:rFonts w:ascii="Times New Roman" w:hAnsi="Times New Roman"/>
        </w:rPr>
        <w:t>SPRIEDUMS</w:t>
      </w:r>
    </w:p>
    <w:p w:rsidR="00843893" w:rsidRPr="009D4272" w:rsidRDefault="00843893" w:rsidP="009D4272">
      <w:pPr>
        <w:jc w:val="center"/>
        <w:rPr>
          <w:rFonts w:asciiTheme="majorHAnsi" w:hAnsiTheme="majorHAnsi" w:cstheme="majorHAnsi"/>
          <w:i/>
          <w:szCs w:val="24"/>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r>
        <w:rPr>
          <w:rFonts w:ascii="Times New Roman" w:hAnsi="Times New Roman"/>
        </w:rPr>
        <w:t>STRASBŪRA</w:t>
      </w:r>
    </w:p>
    <w:p w:rsidR="00843893" w:rsidRPr="009D4272" w:rsidRDefault="00843893" w:rsidP="009D4272">
      <w:pPr>
        <w:jc w:val="center"/>
        <w:rPr>
          <w:rFonts w:ascii="Times New Roman" w:hAnsi="Times New Roman" w:cs="Times New Roman"/>
        </w:rPr>
      </w:pPr>
    </w:p>
    <w:p w:rsidR="00843893" w:rsidRPr="009D4272" w:rsidRDefault="00B71FB3" w:rsidP="009D4272">
      <w:pPr>
        <w:jc w:val="center"/>
        <w:rPr>
          <w:rFonts w:ascii="Times New Roman" w:hAnsi="Times New Roman" w:cs="Times New Roman"/>
        </w:rPr>
      </w:pPr>
      <w:r>
        <w:rPr>
          <w:rFonts w:ascii="Times New Roman" w:hAnsi="Times New Roman"/>
        </w:rPr>
        <w:t>2016. gada 5. jūlijs</w:t>
      </w: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jc w:val="center"/>
        <w:rPr>
          <w:rFonts w:ascii="Times New Roman" w:hAnsi="Times New Roman" w:cs="Times New Roman"/>
        </w:rPr>
      </w:pPr>
    </w:p>
    <w:p w:rsidR="00843893" w:rsidRPr="009D4272" w:rsidRDefault="00843893" w:rsidP="009D4272">
      <w:pPr>
        <w:rPr>
          <w:rFonts w:ascii="Times New Roman" w:hAnsi="Times New Roman" w:cs="Times New Roman"/>
          <w:i/>
          <w:sz w:val="22"/>
        </w:rPr>
      </w:pPr>
      <w:r>
        <w:rPr>
          <w:rFonts w:ascii="Times New Roman" w:hAnsi="Times New Roman"/>
          <w:i/>
          <w:sz w:val="22"/>
        </w:rPr>
        <w:t xml:space="preserve">Šis spriedums </w:t>
      </w:r>
      <w:r w:rsidR="00002E14">
        <w:rPr>
          <w:rFonts w:ascii="Times New Roman" w:hAnsi="Times New Roman"/>
          <w:i/>
          <w:sz w:val="22"/>
        </w:rPr>
        <w:t>ir stājies spēkā</w:t>
      </w:r>
      <w:r w:rsidR="000C0FB6">
        <w:rPr>
          <w:rFonts w:ascii="Times New Roman" w:hAnsi="Times New Roman"/>
          <w:i/>
          <w:sz w:val="22"/>
        </w:rPr>
        <w:t>. T</w:t>
      </w:r>
      <w:r>
        <w:rPr>
          <w:rFonts w:ascii="Times New Roman" w:hAnsi="Times New Roman"/>
          <w:i/>
          <w:sz w:val="22"/>
        </w:rPr>
        <w:t>ajā var tikt izdarītas redakcionālas izmaiņas</w:t>
      </w:r>
      <w:r w:rsidR="002C71D6">
        <w:rPr>
          <w:rFonts w:ascii="Times New Roman" w:hAnsi="Times New Roman"/>
          <w:i/>
          <w:sz w:val="22"/>
        </w:rPr>
        <w:t>.</w:t>
      </w:r>
    </w:p>
    <w:p w:rsidR="00843893" w:rsidRPr="009D4272" w:rsidRDefault="00843893" w:rsidP="009D4272">
      <w:pPr>
        <w:rPr>
          <w:rFonts w:ascii="Times New Roman" w:hAnsi="Times New Roman" w:cs="Times New Roman"/>
          <w:sz w:val="22"/>
        </w:rPr>
        <w:sectPr w:rsidR="00843893" w:rsidRPr="009D4272" w:rsidSect="00843893">
          <w:headerReference w:type="default" r:id="rId12"/>
          <w:footerReference w:type="default" r:id="rId13"/>
          <w:footnotePr>
            <w:numRestart w:val="eachSect"/>
          </w:footnotePr>
          <w:pgSz w:w="11906" w:h="16838" w:code="9"/>
          <w:pgMar w:top="2274" w:right="2274" w:bottom="2274" w:left="2274" w:header="1701" w:footer="720" w:gutter="0"/>
          <w:pgNumType w:start="1"/>
          <w:cols w:space="720"/>
          <w:noEndnote/>
        </w:sectPr>
      </w:pPr>
    </w:p>
    <w:p w:rsidR="00843893" w:rsidRPr="009D4272" w:rsidRDefault="00843893" w:rsidP="009D4272">
      <w:pPr>
        <w:pStyle w:val="JuCase"/>
      </w:pPr>
      <w:r>
        <w:lastRenderedPageBreak/>
        <w:t>Lietā Jeronovičs pret Latviju</w:t>
      </w:r>
    </w:p>
    <w:p w:rsidR="00843893" w:rsidRPr="009D4272" w:rsidRDefault="00843893" w:rsidP="009D4272">
      <w:pPr>
        <w:pStyle w:val="ECHRPara"/>
      </w:pPr>
      <w:r>
        <w:t>Eiropas Cilvēktiesību tiesa, sanākusi kā Lielā palāta šādā sastāvā:</w:t>
      </w:r>
    </w:p>
    <w:p w:rsidR="00014566" w:rsidRPr="009D4272" w:rsidRDefault="00843893" w:rsidP="009D4272">
      <w:pPr>
        <w:pStyle w:val="ECHRDecisionBody"/>
      </w:pPr>
      <w:r>
        <w:tab/>
      </w:r>
      <w:proofErr w:type="spellStart"/>
      <w:r>
        <w:rPr>
          <w:i/>
        </w:rPr>
        <w:t>Guido</w:t>
      </w:r>
      <w:proofErr w:type="spellEnd"/>
      <w:r>
        <w:rPr>
          <w:i/>
        </w:rPr>
        <w:t xml:space="preserve"> Raimondi, priekšsēdētājs,</w:t>
      </w:r>
      <w:r>
        <w:rPr>
          <w:i/>
        </w:rPr>
        <w:br/>
      </w:r>
      <w:r>
        <w:tab/>
      </w:r>
      <w:proofErr w:type="spellStart"/>
      <w:r>
        <w:rPr>
          <w:i/>
        </w:rPr>
        <w:t>Işıl</w:t>
      </w:r>
      <w:proofErr w:type="spellEnd"/>
      <w:r>
        <w:rPr>
          <w:i/>
        </w:rPr>
        <w:t xml:space="preserve"> </w:t>
      </w:r>
      <w:proofErr w:type="spellStart"/>
      <w:r>
        <w:rPr>
          <w:i/>
        </w:rPr>
        <w:t>Karakaş</w:t>
      </w:r>
      <w:proofErr w:type="spellEnd"/>
      <w:r>
        <w:rPr>
          <w:i/>
        </w:rPr>
        <w:t>,</w:t>
      </w:r>
      <w:r>
        <w:rPr>
          <w:i/>
        </w:rPr>
        <w:br/>
      </w:r>
      <w:r>
        <w:tab/>
      </w:r>
      <w:proofErr w:type="spellStart"/>
      <w:r>
        <w:rPr>
          <w:i/>
        </w:rPr>
        <w:t>Josep</w:t>
      </w:r>
      <w:proofErr w:type="spellEnd"/>
      <w:r>
        <w:rPr>
          <w:i/>
        </w:rPr>
        <w:t xml:space="preserve"> </w:t>
      </w:r>
      <w:proofErr w:type="spellStart"/>
      <w:r>
        <w:rPr>
          <w:i/>
        </w:rPr>
        <w:t>Casadevall</w:t>
      </w:r>
      <w:proofErr w:type="spellEnd"/>
      <w:r>
        <w:rPr>
          <w:i/>
        </w:rPr>
        <w:t>,</w:t>
      </w:r>
      <w:r>
        <w:rPr>
          <w:i/>
        </w:rPr>
        <w:br/>
      </w:r>
      <w:r>
        <w:tab/>
      </w:r>
      <w:proofErr w:type="spellStart"/>
      <w:r>
        <w:rPr>
          <w:i/>
        </w:rPr>
        <w:t>Mirjana</w:t>
      </w:r>
      <w:proofErr w:type="spellEnd"/>
      <w:r>
        <w:rPr>
          <w:i/>
        </w:rPr>
        <w:t xml:space="preserve"> </w:t>
      </w:r>
      <w:proofErr w:type="spellStart"/>
      <w:r>
        <w:rPr>
          <w:i/>
        </w:rPr>
        <w:t>Lazarova</w:t>
      </w:r>
      <w:proofErr w:type="spellEnd"/>
      <w:r>
        <w:rPr>
          <w:i/>
        </w:rPr>
        <w:t xml:space="preserve"> </w:t>
      </w:r>
      <w:proofErr w:type="spellStart"/>
      <w:r>
        <w:rPr>
          <w:i/>
        </w:rPr>
        <w:t>Trajkovska</w:t>
      </w:r>
      <w:proofErr w:type="spellEnd"/>
      <w:r>
        <w:rPr>
          <w:i/>
        </w:rPr>
        <w:t>,</w:t>
      </w:r>
      <w:r>
        <w:rPr>
          <w:i/>
        </w:rPr>
        <w:br/>
      </w:r>
      <w:r>
        <w:tab/>
      </w:r>
      <w:r>
        <w:rPr>
          <w:i/>
        </w:rPr>
        <w:t xml:space="preserve">Mark </w:t>
      </w:r>
      <w:proofErr w:type="spellStart"/>
      <w:r>
        <w:rPr>
          <w:i/>
        </w:rPr>
        <w:t>Villiger</w:t>
      </w:r>
      <w:proofErr w:type="spellEnd"/>
      <w:r>
        <w:rPr>
          <w:i/>
        </w:rPr>
        <w:t>,</w:t>
      </w:r>
      <w:r>
        <w:rPr>
          <w:i/>
        </w:rPr>
        <w:br/>
      </w:r>
      <w:r>
        <w:tab/>
      </w:r>
      <w:proofErr w:type="spellStart"/>
      <w:r>
        <w:rPr>
          <w:i/>
        </w:rPr>
        <w:t>Päivi</w:t>
      </w:r>
      <w:proofErr w:type="spellEnd"/>
      <w:r>
        <w:rPr>
          <w:i/>
        </w:rPr>
        <w:t xml:space="preserve"> </w:t>
      </w:r>
      <w:proofErr w:type="spellStart"/>
      <w:r>
        <w:rPr>
          <w:i/>
        </w:rPr>
        <w:t>Hirvelä</w:t>
      </w:r>
      <w:proofErr w:type="spellEnd"/>
      <w:r>
        <w:rPr>
          <w:i/>
        </w:rPr>
        <w:t>,</w:t>
      </w:r>
      <w:r>
        <w:rPr>
          <w:i/>
        </w:rPr>
        <w:br/>
      </w:r>
      <w:r>
        <w:tab/>
      </w:r>
      <w:proofErr w:type="spellStart"/>
      <w:r>
        <w:rPr>
          <w:i/>
        </w:rPr>
        <w:t>George</w:t>
      </w:r>
      <w:proofErr w:type="spellEnd"/>
      <w:r>
        <w:rPr>
          <w:i/>
        </w:rPr>
        <w:t xml:space="preserve"> </w:t>
      </w:r>
      <w:proofErr w:type="spellStart"/>
      <w:r>
        <w:rPr>
          <w:i/>
        </w:rPr>
        <w:t>Nicolaou</w:t>
      </w:r>
      <w:proofErr w:type="spellEnd"/>
      <w:r>
        <w:rPr>
          <w:i/>
        </w:rPr>
        <w:t>,</w:t>
      </w:r>
      <w:r>
        <w:rPr>
          <w:i/>
        </w:rPr>
        <w:br/>
      </w:r>
      <w:r>
        <w:tab/>
      </w:r>
      <w:r>
        <w:rPr>
          <w:i/>
        </w:rPr>
        <w:t xml:space="preserve">Ledi </w:t>
      </w:r>
      <w:proofErr w:type="spellStart"/>
      <w:r>
        <w:rPr>
          <w:i/>
        </w:rPr>
        <w:t>Bianku</w:t>
      </w:r>
      <w:proofErr w:type="spellEnd"/>
      <w:r>
        <w:rPr>
          <w:i/>
        </w:rPr>
        <w:t>,</w:t>
      </w:r>
      <w:r>
        <w:rPr>
          <w:i/>
        </w:rPr>
        <w:br/>
      </w:r>
      <w:r>
        <w:tab/>
      </w:r>
      <w:proofErr w:type="spellStart"/>
      <w:r>
        <w:rPr>
          <w:i/>
        </w:rPr>
        <w:t>Kristina</w:t>
      </w:r>
      <w:proofErr w:type="spellEnd"/>
      <w:r>
        <w:rPr>
          <w:i/>
        </w:rPr>
        <w:t xml:space="preserve"> </w:t>
      </w:r>
      <w:proofErr w:type="spellStart"/>
      <w:r>
        <w:rPr>
          <w:i/>
        </w:rPr>
        <w:t>Pardalos</w:t>
      </w:r>
      <w:proofErr w:type="spellEnd"/>
      <w:r>
        <w:rPr>
          <w:i/>
        </w:rPr>
        <w:t>,</w:t>
      </w:r>
      <w:r>
        <w:rPr>
          <w:i/>
        </w:rPr>
        <w:br/>
      </w:r>
      <w:r>
        <w:tab/>
      </w:r>
      <w:proofErr w:type="spellStart"/>
      <w:r>
        <w:rPr>
          <w:i/>
        </w:rPr>
        <w:t>Paulo</w:t>
      </w:r>
      <w:proofErr w:type="spellEnd"/>
      <w:r>
        <w:rPr>
          <w:i/>
        </w:rPr>
        <w:t xml:space="preserve"> </w:t>
      </w:r>
      <w:proofErr w:type="spellStart"/>
      <w:r>
        <w:rPr>
          <w:i/>
        </w:rPr>
        <w:t>Pinto</w:t>
      </w:r>
      <w:proofErr w:type="spellEnd"/>
      <w:r>
        <w:rPr>
          <w:i/>
        </w:rPr>
        <w:t xml:space="preserve"> </w:t>
      </w:r>
      <w:proofErr w:type="spellStart"/>
      <w:r>
        <w:rPr>
          <w:i/>
        </w:rPr>
        <w:t>de</w:t>
      </w:r>
      <w:proofErr w:type="spellEnd"/>
      <w:r>
        <w:rPr>
          <w:i/>
        </w:rPr>
        <w:t xml:space="preserve"> </w:t>
      </w:r>
      <w:proofErr w:type="spellStart"/>
      <w:r>
        <w:rPr>
          <w:i/>
        </w:rPr>
        <w:t>Albuquerque</w:t>
      </w:r>
      <w:proofErr w:type="spellEnd"/>
      <w:r>
        <w:rPr>
          <w:i/>
        </w:rPr>
        <w:t>,</w:t>
      </w:r>
      <w:r>
        <w:rPr>
          <w:i/>
        </w:rPr>
        <w:br/>
      </w:r>
      <w:r>
        <w:tab/>
      </w:r>
      <w:proofErr w:type="spellStart"/>
      <w:r>
        <w:rPr>
          <w:i/>
        </w:rPr>
        <w:t>André</w:t>
      </w:r>
      <w:proofErr w:type="spellEnd"/>
      <w:r>
        <w:rPr>
          <w:i/>
        </w:rPr>
        <w:t xml:space="preserve"> </w:t>
      </w:r>
      <w:proofErr w:type="spellStart"/>
      <w:r>
        <w:rPr>
          <w:i/>
        </w:rPr>
        <w:t>Potocki</w:t>
      </w:r>
      <w:proofErr w:type="spellEnd"/>
      <w:r>
        <w:rPr>
          <w:i/>
        </w:rPr>
        <w:t>,</w:t>
      </w:r>
      <w:r>
        <w:rPr>
          <w:i/>
        </w:rPr>
        <w:br/>
      </w:r>
      <w:r>
        <w:tab/>
      </w:r>
      <w:r>
        <w:rPr>
          <w:i/>
        </w:rPr>
        <w:t xml:space="preserve">Paul </w:t>
      </w:r>
      <w:proofErr w:type="spellStart"/>
      <w:r>
        <w:rPr>
          <w:i/>
        </w:rPr>
        <w:t>Mahoney</w:t>
      </w:r>
      <w:proofErr w:type="spellEnd"/>
      <w:r>
        <w:rPr>
          <w:i/>
        </w:rPr>
        <w:t>,</w:t>
      </w:r>
      <w:r>
        <w:rPr>
          <w:i/>
        </w:rPr>
        <w:br/>
      </w:r>
      <w:r>
        <w:tab/>
      </w:r>
      <w:proofErr w:type="spellStart"/>
      <w:r>
        <w:rPr>
          <w:i/>
        </w:rPr>
        <w:t>Aleš</w:t>
      </w:r>
      <w:proofErr w:type="spellEnd"/>
      <w:r>
        <w:rPr>
          <w:i/>
        </w:rPr>
        <w:t xml:space="preserve"> </w:t>
      </w:r>
      <w:proofErr w:type="spellStart"/>
      <w:r>
        <w:rPr>
          <w:i/>
        </w:rPr>
        <w:t>Pejchal</w:t>
      </w:r>
      <w:proofErr w:type="spellEnd"/>
      <w:r>
        <w:rPr>
          <w:i/>
        </w:rPr>
        <w:t>,</w:t>
      </w:r>
      <w:r>
        <w:rPr>
          <w:i/>
        </w:rPr>
        <w:br/>
      </w:r>
      <w:r>
        <w:tab/>
      </w:r>
      <w:proofErr w:type="spellStart"/>
      <w:r>
        <w:rPr>
          <w:i/>
        </w:rPr>
        <w:t>Johannes</w:t>
      </w:r>
      <w:proofErr w:type="spellEnd"/>
      <w:r>
        <w:rPr>
          <w:i/>
        </w:rPr>
        <w:t xml:space="preserve"> Silvis,</w:t>
      </w:r>
      <w:r>
        <w:rPr>
          <w:i/>
        </w:rPr>
        <w:br/>
      </w:r>
      <w:r>
        <w:tab/>
      </w:r>
      <w:proofErr w:type="spellStart"/>
      <w:r>
        <w:rPr>
          <w:i/>
        </w:rPr>
        <w:t>Krzysztof</w:t>
      </w:r>
      <w:proofErr w:type="spellEnd"/>
      <w:r>
        <w:rPr>
          <w:i/>
        </w:rPr>
        <w:t xml:space="preserve"> </w:t>
      </w:r>
      <w:proofErr w:type="spellStart"/>
      <w:r>
        <w:rPr>
          <w:i/>
        </w:rPr>
        <w:t>Wojtyczek</w:t>
      </w:r>
      <w:proofErr w:type="spellEnd"/>
      <w:r>
        <w:rPr>
          <w:i/>
        </w:rPr>
        <w:t>,</w:t>
      </w:r>
      <w:r>
        <w:rPr>
          <w:i/>
        </w:rPr>
        <w:br/>
      </w:r>
      <w:r>
        <w:tab/>
      </w:r>
      <w:proofErr w:type="spellStart"/>
      <w:r>
        <w:rPr>
          <w:i/>
        </w:rPr>
        <w:t>Jon</w:t>
      </w:r>
      <w:proofErr w:type="spellEnd"/>
      <w:r>
        <w:rPr>
          <w:i/>
        </w:rPr>
        <w:t xml:space="preserve"> </w:t>
      </w:r>
      <w:proofErr w:type="spellStart"/>
      <w:r>
        <w:rPr>
          <w:i/>
        </w:rPr>
        <w:t>Fridrik</w:t>
      </w:r>
      <w:proofErr w:type="spellEnd"/>
      <w:r>
        <w:rPr>
          <w:i/>
        </w:rPr>
        <w:t xml:space="preserve"> </w:t>
      </w:r>
      <w:proofErr w:type="spellStart"/>
      <w:r>
        <w:rPr>
          <w:i/>
        </w:rPr>
        <w:t>Kjølbro</w:t>
      </w:r>
      <w:proofErr w:type="spellEnd"/>
      <w:r>
        <w:rPr>
          <w:i/>
        </w:rPr>
        <w:t>, tiesneši,</w:t>
      </w:r>
      <w:r>
        <w:rPr>
          <w:i/>
        </w:rPr>
        <w:br/>
      </w:r>
      <w:r>
        <w:tab/>
      </w:r>
      <w:r>
        <w:rPr>
          <w:i/>
        </w:rPr>
        <w:t xml:space="preserve">Jautrīte Briede, </w:t>
      </w:r>
      <w:proofErr w:type="spellStart"/>
      <w:r>
        <w:rPr>
          <w:i/>
        </w:rPr>
        <w:t>ad</w:t>
      </w:r>
      <w:proofErr w:type="spellEnd"/>
      <w:r>
        <w:rPr>
          <w:i/>
        </w:rPr>
        <w:t xml:space="preserve"> </w:t>
      </w:r>
      <w:proofErr w:type="spellStart"/>
      <w:r>
        <w:rPr>
          <w:i/>
        </w:rPr>
        <w:t>hoc</w:t>
      </w:r>
      <w:proofErr w:type="spellEnd"/>
      <w:r>
        <w:rPr>
          <w:i/>
        </w:rPr>
        <w:t xml:space="preserve"> tiesnese,</w:t>
      </w:r>
      <w:r>
        <w:rPr>
          <w:i/>
        </w:rPr>
        <w:br/>
      </w:r>
      <w:r>
        <w:t xml:space="preserve">un </w:t>
      </w:r>
      <w:proofErr w:type="spellStart"/>
      <w:r>
        <w:rPr>
          <w:i/>
        </w:rPr>
        <w:t>Lawrence</w:t>
      </w:r>
      <w:proofErr w:type="spellEnd"/>
      <w:r>
        <w:rPr>
          <w:i/>
        </w:rPr>
        <w:t xml:space="preserve"> </w:t>
      </w:r>
      <w:proofErr w:type="spellStart"/>
      <w:r>
        <w:rPr>
          <w:i/>
        </w:rPr>
        <w:t>Early</w:t>
      </w:r>
      <w:proofErr w:type="spellEnd"/>
      <w:r>
        <w:t xml:space="preserve">, </w:t>
      </w:r>
      <w:r>
        <w:rPr>
          <w:i/>
        </w:rPr>
        <w:t>juriskonsults,</w:t>
      </w:r>
    </w:p>
    <w:p w:rsidR="009304E8" w:rsidRPr="009D4272" w:rsidRDefault="00014566" w:rsidP="009D4272">
      <w:pPr>
        <w:pStyle w:val="ECHRPara"/>
      </w:pPr>
      <w:r>
        <w:t xml:space="preserve">pēc apspriešanās slēgtā sēdē 2015. gada </w:t>
      </w:r>
      <w:proofErr w:type="gramStart"/>
      <w:r>
        <w:t>1.jūlijā</w:t>
      </w:r>
      <w:proofErr w:type="gramEnd"/>
      <w:r>
        <w:t xml:space="preserve"> un 2016.gada 9.maijā,</w:t>
      </w:r>
    </w:p>
    <w:p w:rsidR="00014566" w:rsidRPr="009D4272" w:rsidRDefault="00014566" w:rsidP="009D4272">
      <w:pPr>
        <w:pStyle w:val="ECHRPara"/>
      </w:pPr>
      <w:r>
        <w:t>pasludina šādu spriedumu, kas pieņemts pēdējā no minētajiem datumiem:</w:t>
      </w:r>
    </w:p>
    <w:p w:rsidR="00014566" w:rsidRPr="009D4272" w:rsidRDefault="00014566" w:rsidP="009D4272">
      <w:pPr>
        <w:pStyle w:val="ECHRTitle1"/>
      </w:pPr>
      <w:r>
        <w:t>TIESVEDĪBA</w:t>
      </w:r>
    </w:p>
    <w:p w:rsidR="00014566" w:rsidRPr="009D4272" w:rsidRDefault="003D7F16" w:rsidP="009D4272">
      <w:pPr>
        <w:pStyle w:val="ECHRPara"/>
      </w:pPr>
      <w:r w:rsidRPr="009D4272">
        <w:fldChar w:fldCharType="begin"/>
      </w:r>
      <w:r w:rsidR="00A956FC" w:rsidRPr="009D4272">
        <w:instrText xml:space="preserve"> SEQ level0 \*arabic </w:instrText>
      </w:r>
      <w:r w:rsidRPr="009D4272">
        <w:fldChar w:fldCharType="separate"/>
      </w:r>
      <w:r w:rsidR="009D4272" w:rsidRPr="009D4272">
        <w:rPr>
          <w:noProof/>
        </w:rPr>
        <w:t>1</w:t>
      </w:r>
      <w:r w:rsidRPr="009D4272">
        <w:fldChar w:fldCharType="end"/>
      </w:r>
      <w:r w:rsidR="00A956FC">
        <w:t xml:space="preserve">.  Lietas pamatā ir iesniegums (Nr. 44898/10), kuru pret Latvijas Republiku Tiesā saskaņā ar Cilvēktiesību un pamatbrīvību aizsardzības konvencijas („Konvencija”) 34. pantu 2010. gada </w:t>
      </w:r>
      <w:proofErr w:type="gramStart"/>
      <w:r w:rsidR="00A956FC">
        <w:t>26.jūlijā</w:t>
      </w:r>
      <w:proofErr w:type="gramEnd"/>
      <w:r w:rsidR="00A956FC">
        <w:t xml:space="preserve"> iesniedza Latvijas pilsonis Viktors Jeronovičs („iesniedzējs”).</w:t>
      </w:r>
    </w:p>
    <w:p w:rsidR="00A956FC" w:rsidRPr="009D4272" w:rsidRDefault="003D7F16" w:rsidP="009D4272">
      <w:pPr>
        <w:pStyle w:val="ECHRPara"/>
      </w:pPr>
      <w:r w:rsidRPr="009D4272">
        <w:fldChar w:fldCharType="begin"/>
      </w:r>
      <w:r w:rsidR="00A956FC" w:rsidRPr="009D4272">
        <w:instrText xml:space="preserve"> SEQ level0 \*arabic </w:instrText>
      </w:r>
      <w:r w:rsidRPr="009D4272">
        <w:fldChar w:fldCharType="separate"/>
      </w:r>
      <w:r w:rsidR="009D4272" w:rsidRPr="009D4272">
        <w:rPr>
          <w:noProof/>
        </w:rPr>
        <w:t>2</w:t>
      </w:r>
      <w:r w:rsidRPr="009D4272">
        <w:fldChar w:fldCharType="end"/>
      </w:r>
      <w:r w:rsidR="00A956FC">
        <w:t xml:space="preserve">.  Iesniedzēju, kuram tika piešķirta juridiskā palīdzība, pārstāvēja Rīgā praktizējoša advokāte </w:t>
      </w:r>
      <w:proofErr w:type="spellStart"/>
      <w:r w:rsidR="00A956FC">
        <w:t>I.Nikuļceva</w:t>
      </w:r>
      <w:proofErr w:type="spellEnd"/>
      <w:r w:rsidR="00A956FC">
        <w:t>. Latvijas valdību („Valdība”) pārstāvēja tās pārstāve no Ārlietu ministrijas K. Līce.</w:t>
      </w:r>
    </w:p>
    <w:p w:rsidR="00A505E1" w:rsidRPr="009D4272" w:rsidRDefault="003D7F16" w:rsidP="009D4272">
      <w:pPr>
        <w:pStyle w:val="ECHRPara"/>
      </w:pPr>
      <w:r w:rsidRPr="009D4272">
        <w:fldChar w:fldCharType="begin"/>
      </w:r>
      <w:r w:rsidR="00A505E1" w:rsidRPr="009D4272">
        <w:instrText xml:space="preserve"> SEQ level0 \*arabic </w:instrText>
      </w:r>
      <w:r w:rsidRPr="009D4272">
        <w:fldChar w:fldCharType="separate"/>
      </w:r>
      <w:r w:rsidR="009D4272" w:rsidRPr="009D4272">
        <w:rPr>
          <w:noProof/>
        </w:rPr>
        <w:t>3</w:t>
      </w:r>
      <w:r w:rsidRPr="009D4272">
        <w:fldChar w:fldCharType="end"/>
      </w:r>
      <w:r w:rsidR="00A505E1">
        <w:t>.  Iesniedzējs apgalvoja, jo īpaši, ka prokurora atteikums atjaunot divus kriminālprocesus</w:t>
      </w:r>
      <w:r w:rsidR="00D60093">
        <w:t>,</w:t>
      </w:r>
      <w:r w:rsidR="00A505E1">
        <w:t xml:space="preserve"> par </w:t>
      </w:r>
      <w:r w:rsidR="00D60093">
        <w:t xml:space="preserve">kuriem tika iesniegta </w:t>
      </w:r>
      <w:r w:rsidR="00A505E1">
        <w:t>Valdības vienpusēj</w:t>
      </w:r>
      <w:r w:rsidR="00D60093">
        <w:t>ā deklarācija</w:t>
      </w:r>
      <w:r w:rsidR="00A505E1">
        <w:t xml:space="preserve">, kas pieņemta saistībā ar viņa iepriekšējo iesniegumu Nr. 547/02, ir liegusi viņam efektīvus tiesiskās aizsardzības līdzekļus attiecībā uz viņa apgalvojumiem saskaņā ar Konvencijas 3. un </w:t>
      </w:r>
      <w:proofErr w:type="gramStart"/>
      <w:r w:rsidR="00A505E1">
        <w:t>13.pantu</w:t>
      </w:r>
      <w:proofErr w:type="gramEnd"/>
      <w:r w:rsidR="00A505E1">
        <w:t>.</w:t>
      </w:r>
    </w:p>
    <w:bookmarkStart w:id="1" w:name="para4"/>
    <w:p w:rsidR="00034E71" w:rsidRPr="009D4272" w:rsidRDefault="003D7F16" w:rsidP="009D4272">
      <w:pPr>
        <w:pStyle w:val="ECHRPara"/>
      </w:pPr>
      <w:r w:rsidRPr="009D4272">
        <w:fldChar w:fldCharType="begin"/>
      </w:r>
      <w:r w:rsidR="003F2728" w:rsidRPr="009D4272">
        <w:instrText xml:space="preserve"> SEQ level0 \*arabic </w:instrText>
      </w:r>
      <w:r w:rsidRPr="009D4272">
        <w:fldChar w:fldCharType="separate"/>
      </w:r>
      <w:r w:rsidR="009D4272" w:rsidRPr="009D4272">
        <w:rPr>
          <w:noProof/>
        </w:rPr>
        <w:t>4</w:t>
      </w:r>
      <w:r w:rsidRPr="009D4272">
        <w:fldChar w:fldCharType="end"/>
      </w:r>
      <w:bookmarkEnd w:id="1"/>
      <w:r w:rsidR="003F2728">
        <w:t>.  Iesniegums tika iedalīts Tiesas otrajai nodaļai (Tiesas reglamenta 52.pu</w:t>
      </w:r>
      <w:r w:rsidR="00D60093">
        <w:t>n</w:t>
      </w:r>
      <w:r w:rsidR="003F2728">
        <w:t>kta 1.</w:t>
      </w:r>
      <w:r w:rsidR="00BB64D7">
        <w:t>daļa</w:t>
      </w:r>
      <w:r w:rsidR="003F2728">
        <w:t>).</w:t>
      </w:r>
    </w:p>
    <w:p w:rsidR="00A505E1" w:rsidRPr="009D4272" w:rsidRDefault="00D11955" w:rsidP="009D4272">
      <w:pPr>
        <w:pStyle w:val="ECHRPara"/>
      </w:pPr>
      <w:proofErr w:type="gramStart"/>
      <w:r>
        <w:t>2012.gada</w:t>
      </w:r>
      <w:proofErr w:type="gramEnd"/>
      <w:r>
        <w:t xml:space="preserve"> 9.oktobrī lietu izskatīja šīs nodaļas palāta, kuras sastāvā bija priekšsēdētāja </w:t>
      </w:r>
      <w:proofErr w:type="spellStart"/>
      <w:r>
        <w:rPr>
          <w:i/>
        </w:rPr>
        <w:t>Danutė</w:t>
      </w:r>
      <w:proofErr w:type="spellEnd"/>
      <w:r>
        <w:rPr>
          <w:i/>
        </w:rPr>
        <w:t> </w:t>
      </w:r>
      <w:proofErr w:type="spellStart"/>
      <w:r>
        <w:rPr>
          <w:i/>
        </w:rPr>
        <w:t>Jočienè</w:t>
      </w:r>
      <w:proofErr w:type="spellEnd"/>
      <w:r>
        <w:t xml:space="preserve">, tiesneši </w:t>
      </w:r>
      <w:r>
        <w:rPr>
          <w:i/>
        </w:rPr>
        <w:t xml:space="preserve">Ineta Ziemele, </w:t>
      </w:r>
      <w:proofErr w:type="spellStart"/>
      <w:r>
        <w:rPr>
          <w:i/>
        </w:rPr>
        <w:t>Dragoljub</w:t>
      </w:r>
      <w:proofErr w:type="spellEnd"/>
      <w:r>
        <w:rPr>
          <w:i/>
        </w:rPr>
        <w:t xml:space="preserve"> </w:t>
      </w:r>
      <w:proofErr w:type="spellStart"/>
      <w:r>
        <w:rPr>
          <w:i/>
        </w:rPr>
        <w:t>Popović</w:t>
      </w:r>
      <w:proofErr w:type="spellEnd"/>
      <w:r>
        <w:rPr>
          <w:i/>
        </w:rPr>
        <w:t xml:space="preserve">, </w:t>
      </w:r>
      <w:proofErr w:type="spellStart"/>
      <w:r>
        <w:rPr>
          <w:i/>
        </w:rPr>
        <w:t>Işıl</w:t>
      </w:r>
      <w:proofErr w:type="spellEnd"/>
      <w:r>
        <w:rPr>
          <w:i/>
        </w:rPr>
        <w:t xml:space="preserve"> </w:t>
      </w:r>
      <w:proofErr w:type="spellStart"/>
      <w:r>
        <w:rPr>
          <w:i/>
        </w:rPr>
        <w:t>Karakaş</w:t>
      </w:r>
      <w:proofErr w:type="spellEnd"/>
      <w:r>
        <w:rPr>
          <w:i/>
        </w:rPr>
        <w:t xml:space="preserve">, </w:t>
      </w:r>
      <w:proofErr w:type="spellStart"/>
      <w:r>
        <w:rPr>
          <w:i/>
        </w:rPr>
        <w:t>Guido</w:t>
      </w:r>
      <w:proofErr w:type="spellEnd"/>
      <w:r>
        <w:rPr>
          <w:i/>
        </w:rPr>
        <w:t xml:space="preserve"> Raimondi, </w:t>
      </w:r>
      <w:proofErr w:type="spellStart"/>
      <w:r>
        <w:rPr>
          <w:i/>
        </w:rPr>
        <w:t>Paulo</w:t>
      </w:r>
      <w:proofErr w:type="spellEnd"/>
      <w:r>
        <w:rPr>
          <w:i/>
        </w:rPr>
        <w:t xml:space="preserve"> </w:t>
      </w:r>
      <w:proofErr w:type="spellStart"/>
      <w:r>
        <w:rPr>
          <w:i/>
        </w:rPr>
        <w:t>Pinto</w:t>
      </w:r>
      <w:proofErr w:type="spellEnd"/>
      <w:r>
        <w:rPr>
          <w:i/>
        </w:rPr>
        <w:t xml:space="preserve"> </w:t>
      </w:r>
      <w:proofErr w:type="spellStart"/>
      <w:r>
        <w:rPr>
          <w:i/>
        </w:rPr>
        <w:t>de</w:t>
      </w:r>
      <w:proofErr w:type="spellEnd"/>
      <w:r>
        <w:rPr>
          <w:i/>
        </w:rPr>
        <w:t xml:space="preserve"> </w:t>
      </w:r>
      <w:proofErr w:type="spellStart"/>
      <w:r>
        <w:rPr>
          <w:i/>
        </w:rPr>
        <w:t>Albuquerque</w:t>
      </w:r>
      <w:proofErr w:type="spellEnd"/>
      <w:r>
        <w:t xml:space="preserve"> un </w:t>
      </w:r>
      <w:proofErr w:type="spellStart"/>
      <w:r>
        <w:rPr>
          <w:i/>
        </w:rPr>
        <w:t>Helen</w:t>
      </w:r>
      <w:proofErr w:type="spellEnd"/>
      <w:r>
        <w:rPr>
          <w:i/>
        </w:rPr>
        <w:t xml:space="preserve"> </w:t>
      </w:r>
      <w:r>
        <w:rPr>
          <w:i/>
        </w:rPr>
        <w:lastRenderedPageBreak/>
        <w:t>Keller</w:t>
      </w:r>
      <w:r>
        <w:t>,</w:t>
      </w:r>
      <w:proofErr w:type="gramStart"/>
      <w:r>
        <w:t xml:space="preserve">  </w:t>
      </w:r>
      <w:proofErr w:type="gramEnd"/>
      <w:r>
        <w:t xml:space="preserve">un nodaļas sekretārs </w:t>
      </w:r>
      <w:proofErr w:type="spellStart"/>
      <w:r>
        <w:rPr>
          <w:i/>
        </w:rPr>
        <w:t>Stanley</w:t>
      </w:r>
      <w:proofErr w:type="spellEnd"/>
      <w:r>
        <w:rPr>
          <w:i/>
        </w:rPr>
        <w:t xml:space="preserve"> </w:t>
      </w:r>
      <w:proofErr w:type="spellStart"/>
      <w:r>
        <w:rPr>
          <w:i/>
        </w:rPr>
        <w:t>Naismith</w:t>
      </w:r>
      <w:proofErr w:type="spellEnd"/>
      <w:r>
        <w:t xml:space="preserve">. Palāta ar balsu vairākumu nolēma paziņot atbildētājai Valdībai par sūdzībām saskaņā ar Konvencijas 3. un </w:t>
      </w:r>
      <w:proofErr w:type="gramStart"/>
      <w:r>
        <w:t>13.pantu</w:t>
      </w:r>
      <w:proofErr w:type="gramEnd"/>
      <w:r>
        <w:t xml:space="preserve"> par efektīvas izmeklēšanas trūkumu saistībā ar slikto izturēšanos pret iesniedzēju un efektīva tiesību aizsardzības līdzekļa trūkumu attiecībā uz to, un atzina iesniegumu pārējā daļā par nepieņemamu</w:t>
      </w:r>
      <w:r w:rsidR="00D60093">
        <w:t xml:space="preserve"> izskatīšanai</w:t>
      </w:r>
      <w:r>
        <w:t>.</w:t>
      </w:r>
    </w:p>
    <w:p w:rsidR="00AB275A" w:rsidRPr="009D4272" w:rsidRDefault="003D7F16" w:rsidP="009D4272">
      <w:pPr>
        <w:pStyle w:val="ECHRPara"/>
      </w:pPr>
      <w:r w:rsidRPr="009D4272">
        <w:fldChar w:fldCharType="begin"/>
      </w:r>
      <w:r w:rsidR="00034E71" w:rsidRPr="009D4272">
        <w:instrText xml:space="preserve"> SEQ level0 \*arabic </w:instrText>
      </w:r>
      <w:r w:rsidRPr="009D4272">
        <w:fldChar w:fldCharType="separate"/>
      </w:r>
      <w:r w:rsidR="009D4272" w:rsidRPr="009D4272">
        <w:rPr>
          <w:noProof/>
        </w:rPr>
        <w:t>5</w:t>
      </w:r>
      <w:r w:rsidRPr="009D4272">
        <w:fldChar w:fldCharType="end"/>
      </w:r>
      <w:r w:rsidR="00034E71">
        <w:t>.  Pēc izmaiņām Tiesas nodaļu sastāvā (Tiesas reglamenta 25.punkta 1.</w:t>
      </w:r>
      <w:r w:rsidR="00532B7C">
        <w:t>daļa</w:t>
      </w:r>
      <w:r w:rsidR="00034E71">
        <w:t xml:space="preserve">), lieta tika nozīmēta </w:t>
      </w:r>
      <w:r w:rsidR="00BB64D7">
        <w:t xml:space="preserve">izskatīšanai </w:t>
      </w:r>
      <w:r w:rsidR="00034E71">
        <w:t>nesen izveidotajai Ceturtajai nodaļai (Tiesas reglamenta 52.punkta 1.</w:t>
      </w:r>
      <w:r w:rsidR="00532B7C">
        <w:t>daļa</w:t>
      </w:r>
      <w:r w:rsidR="00034E71">
        <w:t>).</w:t>
      </w:r>
    </w:p>
    <w:p w:rsidR="00A505E1" w:rsidRPr="009D4272" w:rsidRDefault="00AB275A" w:rsidP="009D4272">
      <w:pPr>
        <w:pStyle w:val="ECHRPara"/>
      </w:pPr>
      <w:proofErr w:type="gramStart"/>
      <w:r>
        <w:t>2015.gada</w:t>
      </w:r>
      <w:proofErr w:type="gramEnd"/>
      <w:r>
        <w:t xml:space="preserve"> 3.februārī šīs nodaļas palāta, kuras sastāvā bija priekšsēdētājs </w:t>
      </w:r>
      <w:proofErr w:type="spellStart"/>
      <w:r>
        <w:rPr>
          <w:i/>
        </w:rPr>
        <w:t>Guido</w:t>
      </w:r>
      <w:proofErr w:type="spellEnd"/>
      <w:r>
        <w:rPr>
          <w:i/>
        </w:rPr>
        <w:t xml:space="preserve"> Raimondi</w:t>
      </w:r>
      <w:r>
        <w:t xml:space="preserve">, tiesneši </w:t>
      </w:r>
      <w:proofErr w:type="spellStart"/>
      <w:r>
        <w:rPr>
          <w:i/>
        </w:rPr>
        <w:t>Päivi</w:t>
      </w:r>
      <w:proofErr w:type="spellEnd"/>
      <w:r>
        <w:rPr>
          <w:i/>
        </w:rPr>
        <w:t xml:space="preserve"> </w:t>
      </w:r>
      <w:proofErr w:type="spellStart"/>
      <w:r>
        <w:rPr>
          <w:i/>
        </w:rPr>
        <w:t>Hirvelä</w:t>
      </w:r>
      <w:proofErr w:type="spellEnd"/>
      <w:r>
        <w:rPr>
          <w:i/>
        </w:rPr>
        <w:t xml:space="preserve">, </w:t>
      </w:r>
      <w:proofErr w:type="spellStart"/>
      <w:r>
        <w:rPr>
          <w:i/>
        </w:rPr>
        <w:t>George</w:t>
      </w:r>
      <w:proofErr w:type="spellEnd"/>
      <w:r>
        <w:rPr>
          <w:i/>
        </w:rPr>
        <w:t xml:space="preserve"> </w:t>
      </w:r>
      <w:proofErr w:type="spellStart"/>
      <w:r>
        <w:rPr>
          <w:i/>
        </w:rPr>
        <w:t>Nicolaou</w:t>
      </w:r>
      <w:proofErr w:type="spellEnd"/>
      <w:r>
        <w:rPr>
          <w:i/>
        </w:rPr>
        <w:t xml:space="preserve">, Ledi </w:t>
      </w:r>
      <w:proofErr w:type="spellStart"/>
      <w:r>
        <w:rPr>
          <w:i/>
        </w:rPr>
        <w:t>Bianku</w:t>
      </w:r>
      <w:proofErr w:type="spellEnd"/>
      <w:r>
        <w:rPr>
          <w:i/>
        </w:rPr>
        <w:t xml:space="preserve">, </w:t>
      </w:r>
      <w:proofErr w:type="spellStart"/>
      <w:r>
        <w:rPr>
          <w:i/>
        </w:rPr>
        <w:t>Zdravka</w:t>
      </w:r>
      <w:proofErr w:type="spellEnd"/>
      <w:r>
        <w:rPr>
          <w:i/>
        </w:rPr>
        <w:t xml:space="preserve"> </w:t>
      </w:r>
      <w:proofErr w:type="spellStart"/>
      <w:r>
        <w:rPr>
          <w:i/>
        </w:rPr>
        <w:t>Kalaydjieva</w:t>
      </w:r>
      <w:proofErr w:type="spellEnd"/>
      <w:r>
        <w:rPr>
          <w:i/>
        </w:rPr>
        <w:t xml:space="preserve">, Paul </w:t>
      </w:r>
      <w:proofErr w:type="spellStart"/>
      <w:r>
        <w:rPr>
          <w:i/>
        </w:rPr>
        <w:t>Mahoney</w:t>
      </w:r>
      <w:proofErr w:type="spellEnd"/>
      <w:r>
        <w:t xml:space="preserve"> un </w:t>
      </w:r>
      <w:proofErr w:type="spellStart"/>
      <w:r>
        <w:rPr>
          <w:i/>
        </w:rPr>
        <w:t>Krzysztof</w:t>
      </w:r>
      <w:proofErr w:type="spellEnd"/>
      <w:r>
        <w:rPr>
          <w:i/>
        </w:rPr>
        <w:t xml:space="preserve"> </w:t>
      </w:r>
      <w:proofErr w:type="spellStart"/>
      <w:r>
        <w:rPr>
          <w:i/>
        </w:rPr>
        <w:t>Wojtyczek</w:t>
      </w:r>
      <w:proofErr w:type="spellEnd"/>
      <w:r>
        <w:t xml:space="preserve"> un nodaļas sekretār</w:t>
      </w:r>
      <w:r w:rsidR="00194FE8">
        <w:t>e</w:t>
      </w:r>
      <w:r>
        <w:t xml:space="preserve"> </w:t>
      </w:r>
      <w:proofErr w:type="spellStart"/>
      <w:r>
        <w:rPr>
          <w:i/>
        </w:rPr>
        <w:t>Françoise</w:t>
      </w:r>
      <w:proofErr w:type="spellEnd"/>
      <w:r>
        <w:rPr>
          <w:i/>
        </w:rPr>
        <w:t xml:space="preserve"> </w:t>
      </w:r>
      <w:proofErr w:type="spellStart"/>
      <w:r>
        <w:rPr>
          <w:i/>
        </w:rPr>
        <w:t>Elens-Passos</w:t>
      </w:r>
      <w:r>
        <w:t>,</w:t>
      </w:r>
      <w:proofErr w:type="spellEnd"/>
      <w:r>
        <w:t xml:space="preserve"> </w:t>
      </w:r>
      <w:r w:rsidR="00194FE8">
        <w:t>nodeva lietu izskatīšanai</w:t>
      </w:r>
      <w:r>
        <w:t xml:space="preserve"> Lielajai Palātai, un neviena no pusēm nav apstrīdējušas šo </w:t>
      </w:r>
      <w:r w:rsidR="00194FE8">
        <w:t>nodošanu</w:t>
      </w:r>
      <w:r>
        <w:t xml:space="preserve"> (Konvencijas 30. pants un Tiesas reglamenta 72.punkts).</w:t>
      </w:r>
    </w:p>
    <w:p w:rsidR="00233805" w:rsidRPr="009D4272" w:rsidRDefault="003D7F16" w:rsidP="009D4272">
      <w:pPr>
        <w:pStyle w:val="ECHRPara"/>
        <w:rPr>
          <w:rFonts w:ascii="Times New (W1)" w:hAnsi="Times New (W1)"/>
        </w:rPr>
      </w:pPr>
      <w:r w:rsidRPr="009D4272">
        <w:rPr>
          <w:rFonts w:ascii="Times New (W1)" w:hAnsi="Times New (W1)"/>
        </w:rPr>
        <w:fldChar w:fldCharType="begin"/>
      </w:r>
      <w:r w:rsidR="008106C6" w:rsidRPr="009D4272">
        <w:rPr>
          <w:rFonts w:ascii="Times New (W1)" w:hAnsi="Times New (W1)"/>
        </w:rPr>
        <w:instrText xml:space="preserve"> SEQ level0 \*arabic </w:instrText>
      </w:r>
      <w:r w:rsidRPr="009D4272">
        <w:rPr>
          <w:rFonts w:ascii="Times New (W1)" w:hAnsi="Times New (W1)"/>
        </w:rPr>
        <w:fldChar w:fldCharType="separate"/>
      </w:r>
      <w:r w:rsidR="009D4272" w:rsidRPr="009D4272">
        <w:rPr>
          <w:rFonts w:ascii="Times New (W1)" w:hAnsi="Times New (W1)"/>
          <w:noProof/>
        </w:rPr>
        <w:t>6</w:t>
      </w:r>
      <w:r w:rsidRPr="009D4272">
        <w:rPr>
          <w:rFonts w:ascii="Times New (W1)" w:hAnsi="Times New (W1)"/>
        </w:rPr>
        <w:fldChar w:fldCharType="end"/>
      </w:r>
      <w:r w:rsidR="008106C6">
        <w:rPr>
          <w:rFonts w:ascii="Times New (W1)" w:hAnsi="Times New (W1)"/>
        </w:rPr>
        <w:t xml:space="preserve">.  Lielās palātas sastāvs tika noteikts saskaņā ar Konvencijas </w:t>
      </w:r>
      <w:proofErr w:type="gramStart"/>
      <w:r w:rsidR="008106C6">
        <w:rPr>
          <w:rFonts w:ascii="Times New (W1)" w:hAnsi="Times New (W1)"/>
        </w:rPr>
        <w:t>26.panta</w:t>
      </w:r>
      <w:proofErr w:type="gramEnd"/>
      <w:r w:rsidR="008106C6">
        <w:rPr>
          <w:rFonts w:ascii="Times New (W1)" w:hAnsi="Times New (W1)"/>
        </w:rPr>
        <w:t xml:space="preserve"> 4. un 5.punktu un Tiesas reglamenta 24.punktu. </w:t>
      </w:r>
      <w:r w:rsidR="008106C6">
        <w:t xml:space="preserve">Attiecībā uz Latviju ievēlētā tiesnese Ineta Ziemele </w:t>
      </w:r>
      <w:r w:rsidR="00CE0C64">
        <w:t>atstatīja sevi</w:t>
      </w:r>
      <w:r w:rsidR="008106C6">
        <w:t xml:space="preserve"> </w:t>
      </w:r>
      <w:proofErr w:type="gramStart"/>
      <w:r w:rsidR="008106C6">
        <w:t>2014.gada</w:t>
      </w:r>
      <w:proofErr w:type="gramEnd"/>
      <w:r w:rsidR="008106C6">
        <w:t xml:space="preserve"> 31.decembrī</w:t>
      </w:r>
      <w:r w:rsidR="00BB64D7">
        <w:t>,</w:t>
      </w:r>
      <w:r w:rsidR="008106C6">
        <w:t xml:space="preserve"> un 2015.gada 31.martā Lielās palāt</w:t>
      </w:r>
      <w:r w:rsidR="00CE0C64">
        <w:t>as priekšsēdētājs iecēla Jautrīt</w:t>
      </w:r>
      <w:r w:rsidR="008106C6">
        <w:t xml:space="preserve">i Briedi par </w:t>
      </w:r>
      <w:proofErr w:type="spellStart"/>
      <w:r w:rsidR="008106C6">
        <w:rPr>
          <w:i/>
        </w:rPr>
        <w:t>ad</w:t>
      </w:r>
      <w:proofErr w:type="spellEnd"/>
      <w:r w:rsidR="008106C6">
        <w:rPr>
          <w:i/>
        </w:rPr>
        <w:t xml:space="preserve"> </w:t>
      </w:r>
      <w:proofErr w:type="spellStart"/>
      <w:r w:rsidR="008106C6">
        <w:rPr>
          <w:i/>
        </w:rPr>
        <w:t>hoc</w:t>
      </w:r>
      <w:proofErr w:type="spellEnd"/>
      <w:r w:rsidR="008106C6">
        <w:t xml:space="preserve"> tiesnesi (Konvencijas 26.panta 4.punkts un Tiesas reglamenta 29.punkta 1.</w:t>
      </w:r>
      <w:r w:rsidR="00532B7C">
        <w:t>daļa</w:t>
      </w:r>
      <w:r w:rsidR="008106C6">
        <w:t>).</w:t>
      </w:r>
    </w:p>
    <w:p w:rsidR="00FA4E0A" w:rsidRPr="009D4272" w:rsidRDefault="008C4700" w:rsidP="009D4272">
      <w:pPr>
        <w:pStyle w:val="ECHRPara"/>
      </w:pPr>
      <w:proofErr w:type="gramStart"/>
      <w:r>
        <w:t>2016.gada</w:t>
      </w:r>
      <w:proofErr w:type="gramEnd"/>
      <w:r>
        <w:t xml:space="preserve"> 9.maijā aizstājējs tiesnesis </w:t>
      </w:r>
      <w:proofErr w:type="spellStart"/>
      <w:r>
        <w:rPr>
          <w:i/>
        </w:rPr>
        <w:t>Jon</w:t>
      </w:r>
      <w:proofErr w:type="spellEnd"/>
      <w:r>
        <w:rPr>
          <w:i/>
        </w:rPr>
        <w:t xml:space="preserve"> </w:t>
      </w:r>
      <w:proofErr w:type="spellStart"/>
      <w:r>
        <w:rPr>
          <w:i/>
        </w:rPr>
        <w:t>Fridrik</w:t>
      </w:r>
      <w:proofErr w:type="spellEnd"/>
      <w:r>
        <w:rPr>
          <w:i/>
        </w:rPr>
        <w:t xml:space="preserve"> </w:t>
      </w:r>
      <w:proofErr w:type="spellStart"/>
      <w:r>
        <w:rPr>
          <w:i/>
        </w:rPr>
        <w:t>Kjølbro</w:t>
      </w:r>
      <w:proofErr w:type="spellEnd"/>
      <w:r>
        <w:t xml:space="preserve"> aizvietoja </w:t>
      </w:r>
      <w:proofErr w:type="spellStart"/>
      <w:r>
        <w:rPr>
          <w:i/>
        </w:rPr>
        <w:t>Dean</w:t>
      </w:r>
      <w:proofErr w:type="spellEnd"/>
      <w:r>
        <w:rPr>
          <w:i/>
        </w:rPr>
        <w:t xml:space="preserve"> </w:t>
      </w:r>
      <w:proofErr w:type="spellStart"/>
      <w:r>
        <w:rPr>
          <w:i/>
        </w:rPr>
        <w:t>Spielmann</w:t>
      </w:r>
      <w:proofErr w:type="spellEnd"/>
      <w:r>
        <w:t>, kurš nevarēja piedalīties turpmākajā lietas izskatīšanā (</w:t>
      </w:r>
      <w:r w:rsidR="00815AC4">
        <w:t xml:space="preserve">Tiesas reglamenta </w:t>
      </w:r>
      <w:r>
        <w:t>24.punkta 3.</w:t>
      </w:r>
      <w:r w:rsidR="00532B7C">
        <w:t>daļa</w:t>
      </w:r>
      <w:r>
        <w:t>).</w:t>
      </w:r>
    </w:p>
    <w:p w:rsidR="000C1C58" w:rsidRPr="009D4272" w:rsidRDefault="003D7F16" w:rsidP="009D4272">
      <w:pPr>
        <w:pStyle w:val="ECHRPara"/>
        <w:rPr>
          <w:rFonts w:ascii="Times New (W1)" w:hAnsi="Times New (W1)"/>
        </w:rPr>
      </w:pPr>
      <w:r w:rsidRPr="009D4272">
        <w:rPr>
          <w:rFonts w:ascii="Times New (W1)" w:hAnsi="Times New (W1)"/>
        </w:rPr>
        <w:fldChar w:fldCharType="begin"/>
      </w:r>
      <w:r w:rsidR="00151690" w:rsidRPr="009D4272">
        <w:rPr>
          <w:rFonts w:ascii="Times New (W1)" w:hAnsi="Times New (W1)"/>
        </w:rPr>
        <w:instrText xml:space="preserve"> SEQ level0 \*arabic </w:instrText>
      </w:r>
      <w:r w:rsidRPr="009D4272">
        <w:rPr>
          <w:rFonts w:ascii="Times New (W1)" w:hAnsi="Times New (W1)"/>
        </w:rPr>
        <w:fldChar w:fldCharType="separate"/>
      </w:r>
      <w:r w:rsidR="009D4272" w:rsidRPr="009D4272">
        <w:rPr>
          <w:rFonts w:ascii="Times New (W1)" w:hAnsi="Times New (W1)"/>
          <w:noProof/>
        </w:rPr>
        <w:t>7</w:t>
      </w:r>
      <w:r w:rsidRPr="009D4272">
        <w:rPr>
          <w:rFonts w:ascii="Times New (W1)" w:hAnsi="Times New (W1)"/>
        </w:rPr>
        <w:fldChar w:fldCharType="end"/>
      </w:r>
      <w:r w:rsidR="00532B7C">
        <w:rPr>
          <w:rFonts w:ascii="Times New (W1)" w:hAnsi="Times New (W1)"/>
        </w:rPr>
        <w:t>.  Iesniedzējs un Valdība</w:t>
      </w:r>
      <w:r w:rsidR="00151690">
        <w:rPr>
          <w:rFonts w:ascii="Times New (W1)" w:hAnsi="Times New (W1)"/>
        </w:rPr>
        <w:t xml:space="preserve"> iesniedza </w:t>
      </w:r>
      <w:r w:rsidR="00532B7C">
        <w:rPr>
          <w:rFonts w:ascii="Times New (W1)" w:hAnsi="Times New (W1)"/>
        </w:rPr>
        <w:t>apsvērumus</w:t>
      </w:r>
      <w:r w:rsidR="00C3108D">
        <w:rPr>
          <w:rFonts w:ascii="Times New (W1)" w:hAnsi="Times New (W1)"/>
        </w:rPr>
        <w:t xml:space="preserve"> par iesnieguma</w:t>
      </w:r>
      <w:r w:rsidR="00151690">
        <w:rPr>
          <w:rFonts w:ascii="Times New (W1)" w:hAnsi="Times New (W1)"/>
        </w:rPr>
        <w:t xml:space="preserve"> pieņemamību un būtību.</w:t>
      </w:r>
    </w:p>
    <w:p w:rsidR="000C1C58" w:rsidRPr="009D4272" w:rsidRDefault="003D7F16" w:rsidP="009D4272">
      <w:pPr>
        <w:pStyle w:val="ECHRPara"/>
        <w:rPr>
          <w:rFonts w:ascii="Times New (W1)" w:hAnsi="Times New (W1)"/>
        </w:rPr>
      </w:pPr>
      <w:r w:rsidRPr="009D4272">
        <w:rPr>
          <w:rFonts w:ascii="Times New (W1)" w:hAnsi="Times New (W1)"/>
        </w:rPr>
        <w:fldChar w:fldCharType="begin"/>
      </w:r>
      <w:r w:rsidR="00151690" w:rsidRPr="009D4272">
        <w:rPr>
          <w:rFonts w:ascii="Times New (W1)" w:hAnsi="Times New (W1)"/>
        </w:rPr>
        <w:instrText xml:space="preserve"> SEQ level0 \*arabic </w:instrText>
      </w:r>
      <w:r w:rsidRPr="009D4272">
        <w:rPr>
          <w:rFonts w:ascii="Times New (W1)" w:hAnsi="Times New (W1)"/>
        </w:rPr>
        <w:fldChar w:fldCharType="separate"/>
      </w:r>
      <w:r w:rsidR="009D4272" w:rsidRPr="009D4272">
        <w:rPr>
          <w:rFonts w:ascii="Times New (W1)" w:hAnsi="Times New (W1)"/>
          <w:noProof/>
        </w:rPr>
        <w:t>8</w:t>
      </w:r>
      <w:r w:rsidRPr="009D4272">
        <w:rPr>
          <w:rFonts w:ascii="Times New (W1)" w:hAnsi="Times New (W1)"/>
        </w:rPr>
        <w:fldChar w:fldCharType="end"/>
      </w:r>
      <w:r w:rsidR="00151690">
        <w:rPr>
          <w:rFonts w:ascii="Times New (W1)" w:hAnsi="Times New (W1)"/>
        </w:rPr>
        <w:t>.  </w:t>
      </w:r>
      <w:r w:rsidR="00151690">
        <w:t>Turklāt no nevalstiskās organizācijas Helsinku Cilvēktiesību fonds</w:t>
      </w:r>
      <w:r w:rsidR="00532B7C">
        <w:t xml:space="preserve"> (</w:t>
      </w:r>
      <w:r w:rsidR="00532B7C" w:rsidRPr="00532B7C">
        <w:rPr>
          <w:i/>
        </w:rPr>
        <w:t xml:space="preserve">Helsinki </w:t>
      </w:r>
      <w:proofErr w:type="spellStart"/>
      <w:r w:rsidR="00532B7C" w:rsidRPr="00532B7C">
        <w:rPr>
          <w:i/>
        </w:rPr>
        <w:t>Foundation</w:t>
      </w:r>
      <w:proofErr w:type="spellEnd"/>
      <w:r w:rsidR="00532B7C" w:rsidRPr="00532B7C">
        <w:rPr>
          <w:i/>
        </w:rPr>
        <w:t xml:space="preserve"> </w:t>
      </w:r>
      <w:proofErr w:type="spellStart"/>
      <w:r w:rsidR="00532B7C" w:rsidRPr="00532B7C">
        <w:rPr>
          <w:i/>
        </w:rPr>
        <w:t>for</w:t>
      </w:r>
      <w:proofErr w:type="spellEnd"/>
      <w:r w:rsidR="00532B7C" w:rsidRPr="00532B7C">
        <w:rPr>
          <w:i/>
        </w:rPr>
        <w:t xml:space="preserve"> </w:t>
      </w:r>
      <w:proofErr w:type="spellStart"/>
      <w:r w:rsidR="00532B7C" w:rsidRPr="00532B7C">
        <w:rPr>
          <w:i/>
        </w:rPr>
        <w:t>Human</w:t>
      </w:r>
      <w:proofErr w:type="spellEnd"/>
      <w:r w:rsidR="00532B7C" w:rsidRPr="00532B7C">
        <w:rPr>
          <w:i/>
        </w:rPr>
        <w:t xml:space="preserve"> </w:t>
      </w:r>
      <w:proofErr w:type="spellStart"/>
      <w:r w:rsidR="00532B7C" w:rsidRPr="00532B7C">
        <w:rPr>
          <w:i/>
        </w:rPr>
        <w:t>Rights</w:t>
      </w:r>
      <w:proofErr w:type="spellEnd"/>
      <w:r w:rsidR="00532B7C">
        <w:t>)</w:t>
      </w:r>
      <w:r w:rsidR="00151690">
        <w:t xml:space="preserve">, kas atrodas Varšavā, Polijā, kuram tika </w:t>
      </w:r>
      <w:r w:rsidR="00532B7C">
        <w:t>ļauts</w:t>
      </w:r>
      <w:r w:rsidR="00151690">
        <w:t xml:space="preserve"> iesaistīties rakstveida procesā (Konvencijas </w:t>
      </w:r>
      <w:proofErr w:type="gramStart"/>
      <w:r w:rsidR="00151690">
        <w:t>36.panta</w:t>
      </w:r>
      <w:proofErr w:type="gramEnd"/>
      <w:r w:rsidR="00151690">
        <w:t xml:space="preserve"> 2.punkts un Tiesas reglamenta 44.punkta 3.</w:t>
      </w:r>
      <w:r w:rsidR="00532B7C">
        <w:t>daļa</w:t>
      </w:r>
      <w:r w:rsidR="00151690">
        <w:t xml:space="preserve">), tika saņemti trešās puses </w:t>
      </w:r>
      <w:r w:rsidR="00BB64D7">
        <w:t>apsvērumi</w:t>
      </w:r>
      <w:r w:rsidR="00151690">
        <w:t>.</w:t>
      </w:r>
    </w:p>
    <w:p w:rsidR="006E1AC3" w:rsidRPr="009D4272" w:rsidRDefault="003D7F16" w:rsidP="009D4272">
      <w:pPr>
        <w:pStyle w:val="ECHRPara"/>
      </w:pPr>
      <w:r w:rsidRPr="009D4272">
        <w:fldChar w:fldCharType="begin"/>
      </w:r>
      <w:r w:rsidR="00A956FC" w:rsidRPr="009D4272">
        <w:instrText xml:space="preserve"> SEQ level0 \*arabic </w:instrText>
      </w:r>
      <w:r w:rsidRPr="009D4272">
        <w:fldChar w:fldCharType="separate"/>
      </w:r>
      <w:r w:rsidR="009D4272" w:rsidRPr="009D4272">
        <w:rPr>
          <w:noProof/>
        </w:rPr>
        <w:t>9</w:t>
      </w:r>
      <w:r w:rsidRPr="009D4272">
        <w:fldChar w:fldCharType="end"/>
      </w:r>
      <w:r w:rsidR="00A956FC">
        <w:t xml:space="preserve">.  Noklausīšanās notika publiski Cilvēktiesību ēkā </w:t>
      </w:r>
      <w:r w:rsidR="005D0D50">
        <w:t xml:space="preserve">Strasbūrā, </w:t>
      </w:r>
      <w:proofErr w:type="gramStart"/>
      <w:r w:rsidR="005D0D50">
        <w:t>2015.gada</w:t>
      </w:r>
      <w:proofErr w:type="gramEnd"/>
      <w:r w:rsidR="005D0D50">
        <w:t xml:space="preserve"> 1.jūlijā (Tiesas r</w:t>
      </w:r>
      <w:r w:rsidR="00A956FC">
        <w:t xml:space="preserve">eglamenta 59.punkta </w:t>
      </w:r>
      <w:r w:rsidR="00532B7C">
        <w:t>3. daļa</w:t>
      </w:r>
      <w:r w:rsidR="00A956FC">
        <w:t>).</w:t>
      </w:r>
    </w:p>
    <w:p w:rsidR="00A956FC" w:rsidRPr="009D4272" w:rsidRDefault="00A956FC" w:rsidP="009D4272">
      <w:pPr>
        <w:pStyle w:val="ECHRPara"/>
      </w:pPr>
      <w:r>
        <w:t xml:space="preserve">Tiesas </w:t>
      </w:r>
      <w:r w:rsidR="00532B7C">
        <w:t>sēdē piedalījās</w:t>
      </w:r>
      <w:r>
        <w:t>:</w:t>
      </w:r>
    </w:p>
    <w:p w:rsidR="00A956FC" w:rsidRPr="009D4272" w:rsidRDefault="00A956FC" w:rsidP="00532B7C">
      <w:pPr>
        <w:pStyle w:val="JuCourt"/>
        <w:tabs>
          <w:tab w:val="clear" w:pos="7371"/>
          <w:tab w:val="left" w:pos="2297"/>
        </w:tabs>
      </w:pPr>
      <w:r>
        <w:t>(a)  </w:t>
      </w:r>
      <w:r>
        <w:rPr>
          <w:i/>
        </w:rPr>
        <w:t>Valdības vārdā</w:t>
      </w:r>
      <w:r w:rsidR="00532B7C">
        <w:rPr>
          <w:i/>
        </w:rPr>
        <w:tab/>
      </w:r>
      <w:r>
        <w:br/>
        <w:t xml:space="preserve">K. </w:t>
      </w:r>
      <w:r>
        <w:rPr>
          <w:rStyle w:val="JUNAMES"/>
        </w:rPr>
        <w:t>Līce</w:t>
      </w:r>
      <w:r>
        <w:t>,</w:t>
      </w:r>
      <w:r>
        <w:tab/>
      </w:r>
      <w:r>
        <w:rPr>
          <w:i/>
        </w:rPr>
        <w:t>pārstāve</w:t>
      </w:r>
      <w:r>
        <w:t>,</w:t>
      </w:r>
      <w:r>
        <w:br/>
        <w:t xml:space="preserve">R. </w:t>
      </w:r>
      <w:proofErr w:type="spellStart"/>
      <w:r>
        <w:rPr>
          <w:rStyle w:val="JUNAMES"/>
        </w:rPr>
        <w:t>Rūse</w:t>
      </w:r>
      <w:proofErr w:type="spellEnd"/>
      <w:r>
        <w:t>,</w:t>
      </w:r>
      <w:r>
        <w:tab/>
      </w:r>
      <w:r w:rsidR="00126DCE">
        <w:rPr>
          <w:i/>
        </w:rPr>
        <w:t>juriskonsulte</w:t>
      </w:r>
      <w:r>
        <w:t>,</w:t>
      </w:r>
      <w:r>
        <w:br/>
        <w:t xml:space="preserve">A. </w:t>
      </w:r>
      <w:proofErr w:type="spellStart"/>
      <w:r>
        <w:rPr>
          <w:rStyle w:val="JUNAMES"/>
        </w:rPr>
        <w:t>Mickevičs</w:t>
      </w:r>
      <w:proofErr w:type="spellEnd"/>
      <w:r>
        <w:t>,</w:t>
      </w:r>
      <w:r>
        <w:tab/>
      </w:r>
      <w:r>
        <w:rPr>
          <w:i/>
        </w:rPr>
        <w:t>konsultants</w:t>
      </w:r>
      <w:r>
        <w:t>;</w:t>
      </w:r>
    </w:p>
    <w:p w:rsidR="00A956FC" w:rsidRPr="009D4272" w:rsidRDefault="00A956FC" w:rsidP="009D4272">
      <w:pPr>
        <w:pStyle w:val="JuCourt"/>
      </w:pPr>
      <w:r>
        <w:t>(b)  </w:t>
      </w:r>
      <w:r>
        <w:rPr>
          <w:i/>
        </w:rPr>
        <w:t>iesniedzēja vārdā</w:t>
      </w:r>
      <w:r w:rsidR="000A6BD9">
        <w:br/>
      </w:r>
      <w:r>
        <w:rPr>
          <w:rStyle w:val="JUNAMES"/>
        </w:rPr>
        <w:t xml:space="preserve">I. </w:t>
      </w:r>
      <w:proofErr w:type="spellStart"/>
      <w:r>
        <w:rPr>
          <w:rStyle w:val="JUNAMES"/>
        </w:rPr>
        <w:t>Nikuļceva</w:t>
      </w:r>
      <w:proofErr w:type="spellEnd"/>
      <w:r>
        <w:t>,</w:t>
      </w:r>
      <w:r>
        <w:tab/>
      </w:r>
      <w:r w:rsidR="00126DCE">
        <w:rPr>
          <w:i/>
        </w:rPr>
        <w:t>advokāte</w:t>
      </w:r>
      <w:r>
        <w:t>.</w:t>
      </w:r>
    </w:p>
    <w:p w:rsidR="00DF21AE" w:rsidRPr="009D4272" w:rsidRDefault="00DF21AE" w:rsidP="009D4272">
      <w:pPr>
        <w:pStyle w:val="ECHRPara"/>
      </w:pPr>
    </w:p>
    <w:p w:rsidR="00014566" w:rsidRPr="009D4272" w:rsidRDefault="00A956FC" w:rsidP="009D4272">
      <w:pPr>
        <w:pStyle w:val="ECHRPara"/>
      </w:pPr>
      <w:r>
        <w:t xml:space="preserve">Tiesa uzklausīja </w:t>
      </w:r>
      <w:r w:rsidR="00056242">
        <w:t>K.</w:t>
      </w:r>
      <w:r>
        <w:t xml:space="preserve">Līces un </w:t>
      </w:r>
      <w:proofErr w:type="spellStart"/>
      <w:r w:rsidR="00056242">
        <w:t>I.</w:t>
      </w:r>
      <w:r>
        <w:t>Nikuļcevas</w:t>
      </w:r>
      <w:proofErr w:type="spellEnd"/>
      <w:r>
        <w:t xml:space="preserve"> </w:t>
      </w:r>
      <w:r w:rsidR="000A6BD9">
        <w:t>uzrunas</w:t>
      </w:r>
      <w:r>
        <w:t>.</w:t>
      </w:r>
    </w:p>
    <w:p w:rsidR="00014566" w:rsidRPr="009D4272" w:rsidRDefault="00014566" w:rsidP="009D4272">
      <w:pPr>
        <w:pStyle w:val="ECHRTitle1"/>
      </w:pPr>
      <w:r>
        <w:lastRenderedPageBreak/>
        <w:t>FAKTI</w:t>
      </w:r>
    </w:p>
    <w:p w:rsidR="00014566" w:rsidRPr="009D4272" w:rsidRDefault="00014566" w:rsidP="009D4272">
      <w:pPr>
        <w:pStyle w:val="ECHRHeading1"/>
      </w:pPr>
      <w:r>
        <w:t>I. LIETAS APSTĀKĻI</w:t>
      </w:r>
    </w:p>
    <w:p w:rsidR="001A33E6" w:rsidRPr="009D4272" w:rsidRDefault="003D7F16" w:rsidP="009D4272">
      <w:pPr>
        <w:pStyle w:val="ECHRPara"/>
      </w:pPr>
      <w:r w:rsidRPr="009D4272">
        <w:fldChar w:fldCharType="begin"/>
      </w:r>
      <w:r w:rsidR="00A956FC" w:rsidRPr="009D4272">
        <w:instrText xml:space="preserve"> SEQ level0 \*arabic </w:instrText>
      </w:r>
      <w:r w:rsidRPr="009D4272">
        <w:fldChar w:fldCharType="separate"/>
      </w:r>
      <w:r w:rsidR="009D4272" w:rsidRPr="009D4272">
        <w:rPr>
          <w:noProof/>
        </w:rPr>
        <w:t>10</w:t>
      </w:r>
      <w:r w:rsidRPr="009D4272">
        <w:fldChar w:fldCharType="end"/>
      </w:r>
      <w:r w:rsidR="00A956FC">
        <w:t>.  Iesniedzējs ir dzimis 1962. gadā un atrodas ieslodzījumā Daugavpils cietumā.</w:t>
      </w:r>
    </w:p>
    <w:p w:rsidR="001A33E6" w:rsidRPr="009D4272" w:rsidRDefault="001A33E6" w:rsidP="009D4272">
      <w:pPr>
        <w:pStyle w:val="ECHRHeading2"/>
      </w:pPr>
      <w:r>
        <w:t>A. Fakti</w:t>
      </w:r>
      <w:bookmarkStart w:id="2" w:name="para2"/>
    </w:p>
    <w:bookmarkEnd w:id="2"/>
    <w:p w:rsidR="001A33E6" w:rsidRPr="009D4272" w:rsidRDefault="003D7F16" w:rsidP="009D4272">
      <w:pPr>
        <w:pStyle w:val="ECHRPara"/>
      </w:pPr>
      <w:r w:rsidRPr="009D4272">
        <w:fldChar w:fldCharType="begin"/>
      </w:r>
      <w:r w:rsidR="005E7D0B" w:rsidRPr="009D4272">
        <w:instrText xml:space="preserve"> SEQ level0 \*arabic </w:instrText>
      </w:r>
      <w:r w:rsidRPr="009D4272">
        <w:fldChar w:fldCharType="separate"/>
      </w:r>
      <w:r w:rsidR="009D4272" w:rsidRPr="009D4272">
        <w:rPr>
          <w:noProof/>
        </w:rPr>
        <w:t>11</w:t>
      </w:r>
      <w:r w:rsidRPr="009D4272">
        <w:fldChar w:fldCharType="end"/>
      </w:r>
      <w:r w:rsidR="005E7D0B">
        <w:t>.  1998. gada 25. aprīlī policija aizturēja iesniedzēju un citu personu</w:t>
      </w:r>
      <w:r w:rsidR="00056242">
        <w:t>,</w:t>
      </w:r>
      <w:r w:rsidR="005E7D0B">
        <w:t xml:space="preserve"> </w:t>
      </w:r>
      <w:proofErr w:type="spellStart"/>
      <w:r w:rsidR="005E7D0B">
        <w:t>A.Vovruško</w:t>
      </w:r>
      <w:proofErr w:type="spellEnd"/>
      <w:r w:rsidR="00056242">
        <w:t>,</w:t>
      </w:r>
      <w:r w:rsidR="005E7D0B">
        <w:t xml:space="preserve"> uz aizdomu pamata par uzbrukumu</w:t>
      </w:r>
      <w:r w:rsidR="004510BB">
        <w:t xml:space="preserve"> </w:t>
      </w:r>
      <w:r w:rsidR="00056242">
        <w:t xml:space="preserve">P.M. </w:t>
      </w:r>
      <w:r w:rsidR="004510BB">
        <w:t>laupīšanas nolūkā</w:t>
      </w:r>
      <w:r w:rsidR="00056242">
        <w:t xml:space="preserve"> vainu pastiprinošos apstākļos.</w:t>
      </w:r>
    </w:p>
    <w:p w:rsidR="001A33E6"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12</w:t>
      </w:r>
      <w:r w:rsidRPr="009D4272">
        <w:rPr>
          <w:noProof/>
        </w:rPr>
        <w:fldChar w:fldCharType="end"/>
      </w:r>
      <w:r w:rsidR="00E17C5D">
        <w:t>.  Šajā sakarā tika uzsākts kriminālprocess, kura laikā iesniedzējs un viņa līdzatbildētājs savu vainu neatzina.</w:t>
      </w:r>
    </w:p>
    <w:bookmarkStart w:id="3" w:name="para3"/>
    <w:bookmarkStart w:id="4" w:name="para10"/>
    <w:bookmarkStart w:id="5" w:name="para11"/>
    <w:p w:rsidR="001A33E6" w:rsidRPr="009D4272" w:rsidRDefault="003D7F16" w:rsidP="009D4272">
      <w:pPr>
        <w:pStyle w:val="ECHRPara"/>
        <w:rPr>
          <w:i/>
        </w:rPr>
      </w:pPr>
      <w:r w:rsidRPr="009D4272">
        <w:fldChar w:fldCharType="begin"/>
      </w:r>
      <w:r w:rsidR="001A33E6" w:rsidRPr="009D4272">
        <w:instrText xml:space="preserve"> SEQ level0 \*arabic </w:instrText>
      </w:r>
      <w:r w:rsidRPr="009D4272">
        <w:fldChar w:fldCharType="separate"/>
      </w:r>
      <w:r w:rsidR="009D4272" w:rsidRPr="009D4272">
        <w:rPr>
          <w:noProof/>
        </w:rPr>
        <w:t>13</w:t>
      </w:r>
      <w:r w:rsidRPr="009D4272">
        <w:fldChar w:fldCharType="end"/>
      </w:r>
      <w:bookmarkEnd w:id="3"/>
      <w:bookmarkEnd w:id="4"/>
      <w:bookmarkEnd w:id="5"/>
      <w:r w:rsidR="001A33E6">
        <w:t>.  </w:t>
      </w:r>
      <w:proofErr w:type="gramStart"/>
      <w:r w:rsidR="001A33E6">
        <w:t>2000.gada</w:t>
      </w:r>
      <w:proofErr w:type="gramEnd"/>
      <w:r w:rsidR="001A33E6">
        <w:t xml:space="preserve"> 27.septembrī iesniedzējs un viņa līdzatbildētājs tika atzīti par vainīgiem minētajās apsūdzībās</w:t>
      </w:r>
      <w:r w:rsidR="007C7193">
        <w:t>,</w:t>
      </w:r>
      <w:r w:rsidR="001A33E6">
        <w:t xml:space="preserve"> un Rīgas apgabaltiesa piesprieda viņiem attiecīgi deviņu un divpadsmit gadu ieslodzījumu.</w:t>
      </w:r>
    </w:p>
    <w:p w:rsidR="001A33E6"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14</w:t>
      </w:r>
      <w:r w:rsidRPr="009D4272">
        <w:rPr>
          <w:noProof/>
        </w:rPr>
        <w:fldChar w:fldCharType="end"/>
      </w:r>
      <w:r w:rsidR="00E17C5D">
        <w:t>.  Iesniedzējs iesniedza apelācijas sūdzību un lūdza atļauju piedalīties savas apelācijas sūdzīb</w:t>
      </w:r>
      <w:r w:rsidR="00056242">
        <w:t>as izskatīšanā Augstākajā tiesā, kas viņam netika piešķirta.</w:t>
      </w:r>
    </w:p>
    <w:bookmarkStart w:id="6" w:name="SecondSetOfCP"/>
    <w:p w:rsidR="001A33E6" w:rsidRPr="009D4272" w:rsidRDefault="003D7F16" w:rsidP="009D4272">
      <w:pPr>
        <w:pStyle w:val="ECHRPara"/>
      </w:pPr>
      <w:r w:rsidRPr="009D4272">
        <w:fldChar w:fldCharType="begin"/>
      </w:r>
      <w:r w:rsidR="001A33E6" w:rsidRPr="009D4272">
        <w:instrText xml:space="preserve"> SEQ level0 \*arabic </w:instrText>
      </w:r>
      <w:r w:rsidRPr="009D4272">
        <w:fldChar w:fldCharType="separate"/>
      </w:r>
      <w:r w:rsidR="009D4272" w:rsidRPr="009D4272">
        <w:rPr>
          <w:noProof/>
        </w:rPr>
        <w:t>15</w:t>
      </w:r>
      <w:r w:rsidRPr="009D4272">
        <w:rPr>
          <w:noProof/>
        </w:rPr>
        <w:fldChar w:fldCharType="end"/>
      </w:r>
      <w:bookmarkEnd w:id="6"/>
      <w:r w:rsidR="001A33E6">
        <w:t xml:space="preserve">.  Pēc viņa nopratināšanas policijas iecirknī, kas </w:t>
      </w:r>
      <w:r w:rsidR="00056242">
        <w:t>notika</w:t>
      </w:r>
      <w:r w:rsidR="001A33E6">
        <w:t xml:space="preserve"> pēc aizturēšanas, iesniedzējs sūdzējās prokuratūrā, ka policijas darbinieki ir slikti pret viņu izturējušies, cenšoties iegūt viņa atzīšanos (lai iegūtu sīkāku informāciju par iesniedzēja līdzatbildētāja līdzīgiem apgalvojumiem par sliktu izturēšanos, skatīt lietu </w:t>
      </w:r>
      <w:proofErr w:type="spellStart"/>
      <w:r w:rsidR="001A33E6">
        <w:rPr>
          <w:i/>
        </w:rPr>
        <w:t>Vovruško</w:t>
      </w:r>
      <w:proofErr w:type="spellEnd"/>
      <w:r w:rsidR="001A33E6">
        <w:rPr>
          <w:i/>
        </w:rPr>
        <w:t xml:space="preserve"> pret Latviju</w:t>
      </w:r>
      <w:r w:rsidR="001A33E6">
        <w:t xml:space="preserve">, Nr. 11065/02, </w:t>
      </w:r>
      <w:proofErr w:type="gramStart"/>
      <w:r w:rsidR="001A33E6">
        <w:t>2012.gada</w:t>
      </w:r>
      <w:proofErr w:type="gramEnd"/>
      <w:r w:rsidR="001A33E6">
        <w:t xml:space="preserve"> 11.decembris).</w:t>
      </w:r>
    </w:p>
    <w:bookmarkStart w:id="7" w:name="para13"/>
    <w:p w:rsidR="001A33E6" w:rsidRPr="009D4272" w:rsidRDefault="003D7F16" w:rsidP="009D4272">
      <w:pPr>
        <w:pStyle w:val="ECHRPara"/>
      </w:pPr>
      <w:r w:rsidRPr="009D4272">
        <w:fldChar w:fldCharType="begin"/>
      </w:r>
      <w:r w:rsidR="007B2272" w:rsidRPr="009D4272">
        <w:instrText xml:space="preserve"> SEQ level0 \*arabic </w:instrText>
      </w:r>
      <w:r w:rsidRPr="009D4272">
        <w:fldChar w:fldCharType="separate"/>
      </w:r>
      <w:r w:rsidR="009D4272" w:rsidRPr="009D4272">
        <w:rPr>
          <w:noProof/>
        </w:rPr>
        <w:t>16</w:t>
      </w:r>
      <w:r w:rsidRPr="009D4272">
        <w:rPr>
          <w:noProof/>
        </w:rPr>
        <w:fldChar w:fldCharType="end"/>
      </w:r>
      <w:bookmarkEnd w:id="7"/>
      <w:r w:rsidR="007B2272">
        <w:t xml:space="preserve">.  Tā rezultātā pret policijas darbiniekiem tika </w:t>
      </w:r>
      <w:r w:rsidR="007C7193">
        <w:t xml:space="preserve">uzsākts </w:t>
      </w:r>
      <w:r w:rsidR="007B2272">
        <w:t xml:space="preserve">kriminālprocess (lietas Nr. 50207598) par ļaunprātīgu dienesta stāvokļa izmantošanu. </w:t>
      </w:r>
      <w:proofErr w:type="gramStart"/>
      <w:r w:rsidR="007B2272">
        <w:t>2001.gada</w:t>
      </w:r>
      <w:proofErr w:type="gramEnd"/>
      <w:r w:rsidR="007B2272">
        <w:t xml:space="preserve"> 19.martā Rīgas rajona policijas pārvaldes izmeklētājs izbeidza šo kriminālprocesu pierādījumu trūkuma dēļ. Izmeklētājs, cita starpā, konstatēja, ka iesniedzēja apgalvojumi bij</w:t>
      </w:r>
      <w:r w:rsidR="008B1406">
        <w:t>a nesakarīgi un secināja, ka „</w:t>
      </w:r>
      <w:r w:rsidR="007B2272">
        <w:t>vieglos” miesas bojājumus viņš varēja iegūt savas aizturēšanas laikā.</w:t>
      </w:r>
    </w:p>
    <w:p w:rsidR="001A33E6" w:rsidRPr="009D4272" w:rsidRDefault="001A33E6" w:rsidP="009D4272">
      <w:pPr>
        <w:pStyle w:val="ECHRHeading2"/>
      </w:pPr>
      <w:r>
        <w:t xml:space="preserve">B. </w:t>
      </w:r>
      <w:r w:rsidR="00C3108D">
        <w:t>Iesniegums</w:t>
      </w:r>
      <w:r>
        <w:t xml:space="preserve"> Nr. 547/02 un Tiesas </w:t>
      </w:r>
      <w:proofErr w:type="gramStart"/>
      <w:r>
        <w:t>2009.gada</w:t>
      </w:r>
      <w:proofErr w:type="gramEnd"/>
      <w:r>
        <w:t xml:space="preserve"> 10.februāra lēmums</w:t>
      </w:r>
    </w:p>
    <w:bookmarkStart w:id="8" w:name="ApplComplaints_Art3"/>
    <w:p w:rsidR="001A33E6" w:rsidRPr="009D4272" w:rsidRDefault="003D7F16" w:rsidP="009D4272">
      <w:pPr>
        <w:pStyle w:val="ECHRPara"/>
      </w:pPr>
      <w:r w:rsidRPr="009D4272">
        <w:fldChar w:fldCharType="begin"/>
      </w:r>
      <w:r w:rsidR="001A33E6" w:rsidRPr="009D4272">
        <w:instrText xml:space="preserve"> SEQ level0 \*arabic </w:instrText>
      </w:r>
      <w:r w:rsidRPr="009D4272">
        <w:fldChar w:fldCharType="separate"/>
      </w:r>
      <w:r w:rsidR="009D4272" w:rsidRPr="009D4272">
        <w:rPr>
          <w:noProof/>
        </w:rPr>
        <w:t>17</w:t>
      </w:r>
      <w:r w:rsidRPr="009D4272">
        <w:rPr>
          <w:noProof/>
        </w:rPr>
        <w:fldChar w:fldCharType="end"/>
      </w:r>
      <w:bookmarkEnd w:id="8"/>
      <w:r w:rsidR="001A33E6">
        <w:t>.  </w:t>
      </w:r>
      <w:proofErr w:type="gramStart"/>
      <w:r w:rsidR="001A33E6">
        <w:t>2001.gada</w:t>
      </w:r>
      <w:proofErr w:type="gramEnd"/>
      <w:r w:rsidR="001A33E6">
        <w:t xml:space="preserve"> 8.oktobrī iesniedzējs iesniedza Tiesā iesniegumu (Nr. 547/02). Viņš apgalvoja, ka ir pārkāpts Konvencijas </w:t>
      </w:r>
      <w:proofErr w:type="gramStart"/>
      <w:r w:rsidR="001A33E6">
        <w:t>3.pants</w:t>
      </w:r>
      <w:proofErr w:type="gramEnd"/>
      <w:r w:rsidR="001A33E6">
        <w:t xml:space="preserve">, sūdzoties par to, ka pirmstiesas izmeklēšanas laikā pret viņu ir slikti izturējušies un par </w:t>
      </w:r>
      <w:r w:rsidR="00056242">
        <w:t xml:space="preserve">viņa sūdzību </w:t>
      </w:r>
      <w:r w:rsidR="001A33E6">
        <w:t xml:space="preserve">efektīvas izmeklēšanas trūkumu. Viņš </w:t>
      </w:r>
      <w:r w:rsidR="006C48A4">
        <w:t>apgalvoja, ka ir pārkāpts</w:t>
      </w:r>
      <w:r w:rsidR="001A33E6">
        <w:t xml:space="preserve"> </w:t>
      </w:r>
      <w:r w:rsidR="006C48A4">
        <w:t xml:space="preserve">arī </w:t>
      </w:r>
      <w:r w:rsidR="001A33E6">
        <w:t xml:space="preserve">Konvencijas </w:t>
      </w:r>
      <w:proofErr w:type="gramStart"/>
      <w:r w:rsidR="001A33E6">
        <w:t>3.pant</w:t>
      </w:r>
      <w:r w:rsidR="006C48A4">
        <w:t>s</w:t>
      </w:r>
      <w:proofErr w:type="gramEnd"/>
      <w:r w:rsidR="001A33E6">
        <w:t xml:space="preserve"> (apstākļi </w:t>
      </w:r>
      <w:r w:rsidR="008C03DD">
        <w:t xml:space="preserve">ieslodzījuma vietās </w:t>
      </w:r>
      <w:r w:rsidR="001A33E6">
        <w:t xml:space="preserve">pēc viņa </w:t>
      </w:r>
      <w:r w:rsidR="008C03DD">
        <w:t>notiesāšanas</w:t>
      </w:r>
      <w:r w:rsidR="001A33E6">
        <w:t>), 5.panta 3.punkt</w:t>
      </w:r>
      <w:r w:rsidR="006C48A4">
        <w:t>s</w:t>
      </w:r>
      <w:r w:rsidR="001A33E6">
        <w:t xml:space="preserve"> (pirmstiesas ap</w:t>
      </w:r>
      <w:r w:rsidR="00C36856">
        <w:t>cietinājuma ilgums), 5.panta 5.</w:t>
      </w:r>
      <w:r w:rsidR="001A33E6">
        <w:t>punkt</w:t>
      </w:r>
      <w:r w:rsidR="006C48A4">
        <w:t>s</w:t>
      </w:r>
      <w:r w:rsidR="001A33E6">
        <w:t xml:space="preserve"> (kompensācijas trūkums), 6.panta 1.punkt</w:t>
      </w:r>
      <w:r w:rsidR="006C48A4">
        <w:t>s</w:t>
      </w:r>
      <w:r w:rsidR="001A33E6">
        <w:t xml:space="preserve"> (</w:t>
      </w:r>
      <w:r w:rsidR="00CD0020">
        <w:t xml:space="preserve">atteikums </w:t>
      </w:r>
      <w:r w:rsidR="00AB560F">
        <w:t xml:space="preserve">nogādāšanai uz </w:t>
      </w:r>
      <w:r w:rsidR="001A33E6">
        <w:t xml:space="preserve">Augstākās tiesas sēdi un </w:t>
      </w:r>
      <w:r w:rsidR="006C48A4">
        <w:t>kopējais</w:t>
      </w:r>
      <w:r w:rsidR="001A33E6">
        <w:t xml:space="preserve"> kriminālprocesa ilgums) un 6.panta 1. </w:t>
      </w:r>
      <w:r w:rsidR="00056242">
        <w:lastRenderedPageBreak/>
        <w:t>p</w:t>
      </w:r>
      <w:r w:rsidR="001A33E6">
        <w:t>unkt</w:t>
      </w:r>
      <w:r w:rsidR="00056242">
        <w:t xml:space="preserve">s </w:t>
      </w:r>
      <w:r w:rsidR="00C36856">
        <w:t>kopsakarā</w:t>
      </w:r>
      <w:r w:rsidR="001A33E6">
        <w:t xml:space="preserve"> ar Konvencijas 13. un 14.pantu (juridiskās palīdzības trūkums). Viņš iesniedza jaunu sūdzību </w:t>
      </w:r>
      <w:r w:rsidR="006C48A4">
        <w:t xml:space="preserve">par Konvencijas </w:t>
      </w:r>
      <w:proofErr w:type="gramStart"/>
      <w:r w:rsidR="006C48A4">
        <w:t>6.panta</w:t>
      </w:r>
      <w:proofErr w:type="gramEnd"/>
      <w:r w:rsidR="006C48A4">
        <w:t xml:space="preserve"> 1.punkta pārkāpumu</w:t>
      </w:r>
      <w:r w:rsidR="001A33E6">
        <w:t xml:space="preserve">, apgalvojot, ka kriminālprocess, kura rezultātā viņš tika </w:t>
      </w:r>
      <w:r w:rsidR="00776A8C">
        <w:t>notiesāts</w:t>
      </w:r>
      <w:r w:rsidR="001A33E6">
        <w:t xml:space="preserve">, bija netaisnīgs, jo viņa atzīšanās </w:t>
      </w:r>
      <w:r w:rsidR="00E4578C">
        <w:t>bija</w:t>
      </w:r>
      <w:r w:rsidR="001A33E6">
        <w:t xml:space="preserve"> iegūta sliktas izturēšanās rezultātā, pārkāpjot </w:t>
      </w:r>
      <w:r w:rsidR="00056242">
        <w:t xml:space="preserve">Konvencijas </w:t>
      </w:r>
      <w:r w:rsidR="001A33E6">
        <w:t>3.pantu</w:t>
      </w:r>
      <w:r w:rsidR="00311311">
        <w:t>.</w:t>
      </w:r>
    </w:p>
    <w:p w:rsidR="001A33E6"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18</w:t>
      </w:r>
      <w:r w:rsidRPr="009D4272">
        <w:rPr>
          <w:noProof/>
        </w:rPr>
        <w:fldChar w:fldCharType="end"/>
      </w:r>
      <w:r w:rsidR="00E17C5D">
        <w:t>.  </w:t>
      </w:r>
      <w:proofErr w:type="gramStart"/>
      <w:r w:rsidR="00E17C5D">
        <w:t>2007.gada</w:t>
      </w:r>
      <w:proofErr w:type="gramEnd"/>
      <w:r w:rsidR="00E17C5D">
        <w:t xml:space="preserve"> 22.februārī Valdībai tika paziņots par iesniedzēja sūdzībām, cita starpā, saistībā ar slikto izturēšanos pret viņu un </w:t>
      </w:r>
      <w:r w:rsidR="00311311">
        <w:t xml:space="preserve">šo iesniedzēja </w:t>
      </w:r>
      <w:r w:rsidR="007E5F0C">
        <w:t>sūdzību</w:t>
      </w:r>
      <w:r w:rsidR="00C36856">
        <w:t xml:space="preserve"> </w:t>
      </w:r>
      <w:r w:rsidR="007E5F0C">
        <w:t>ne</w:t>
      </w:r>
      <w:r w:rsidR="00E17C5D">
        <w:t>efektīv</w:t>
      </w:r>
      <w:r w:rsidR="007E5F0C">
        <w:t>u</w:t>
      </w:r>
      <w:r w:rsidR="00E17C5D">
        <w:t xml:space="preserve"> izmeklēšan</w:t>
      </w:r>
      <w:r w:rsidR="007E5F0C">
        <w:t>u</w:t>
      </w:r>
      <w:r w:rsidR="00E17C5D">
        <w:t>.</w:t>
      </w:r>
    </w:p>
    <w:bookmarkStart w:id="9" w:name="UDtext"/>
    <w:p w:rsidR="001A33E6" w:rsidRPr="009D4272" w:rsidRDefault="003D7F16" w:rsidP="009D4272">
      <w:pPr>
        <w:pStyle w:val="ECHRPara"/>
        <w:rPr>
          <w:szCs w:val="24"/>
        </w:rPr>
      </w:pPr>
      <w:r w:rsidRPr="009D4272">
        <w:fldChar w:fldCharType="begin"/>
      </w:r>
      <w:r w:rsidR="001A33E6" w:rsidRPr="009D4272">
        <w:instrText xml:space="preserve"> SEQ level0 \*arabic </w:instrText>
      </w:r>
      <w:r w:rsidRPr="009D4272">
        <w:fldChar w:fldCharType="separate"/>
      </w:r>
      <w:r w:rsidR="009D4272" w:rsidRPr="009D4272">
        <w:rPr>
          <w:noProof/>
        </w:rPr>
        <w:t>19</w:t>
      </w:r>
      <w:r w:rsidRPr="009D4272">
        <w:rPr>
          <w:noProof/>
        </w:rPr>
        <w:fldChar w:fldCharType="end"/>
      </w:r>
      <w:bookmarkEnd w:id="9"/>
      <w:r w:rsidR="001A33E6">
        <w:t>.  </w:t>
      </w:r>
      <w:proofErr w:type="gramStart"/>
      <w:r w:rsidR="001A33E6">
        <w:t>2008.gada</w:t>
      </w:r>
      <w:proofErr w:type="gramEnd"/>
      <w:r w:rsidR="001A33E6">
        <w:t xml:space="preserve"> 30.aprīlī Valdība iesniedza šādu vienpusēju deklarāciju:</w:t>
      </w:r>
    </w:p>
    <w:p w:rsidR="001A33E6" w:rsidRPr="009D4272" w:rsidRDefault="008B1406" w:rsidP="009D4272">
      <w:pPr>
        <w:pStyle w:val="ECHRParaQuote"/>
      </w:pPr>
      <w:r>
        <w:t>„</w:t>
      </w:r>
      <w:r w:rsidR="001A33E6">
        <w:t xml:space="preserve">Latvijas Republikas valdība (turpmāk tekstā - Valdība), kuru pārstāv [tās] pārstāve Inga Reina, atzīst, ka Viktora Jeronoviča (turpmāk tekstā - iesniedzēja) fiziskā ietekmēšana no policijas darbinieku puses, kā arī attiecīgo iesniedzēja sūdzību izmeklēšanas efektivitāte, </w:t>
      </w:r>
      <w:r w:rsidR="007E5F0C">
        <w:t>pieeja</w:t>
      </w:r>
      <w:r w:rsidR="001A33E6">
        <w:t xml:space="preserve"> juridiskai palīdzībai un spēkā esoš</w:t>
      </w:r>
      <w:r w:rsidR="007E5F0C">
        <w:t>ajiem</w:t>
      </w:r>
      <w:r w:rsidR="001A33E6">
        <w:t xml:space="preserve"> ties</w:t>
      </w:r>
      <w:r w:rsidR="007E5F0C">
        <w:t xml:space="preserve">ību </w:t>
      </w:r>
      <w:r w:rsidR="001A33E6">
        <w:t>aizsardzības līdzekļi</w:t>
      </w:r>
      <w:r w:rsidR="007E5F0C">
        <w:t>em</w:t>
      </w:r>
      <w:r w:rsidR="001A33E6">
        <w:t xml:space="preserve"> </w:t>
      </w:r>
      <w:r w:rsidR="007E5F0C">
        <w:t xml:space="preserve">zaudējumu </w:t>
      </w:r>
      <w:r w:rsidR="00D72FF0">
        <w:t>atlīdzības</w:t>
      </w:r>
      <w:r w:rsidR="007E5F0C">
        <w:t xml:space="preserve"> </w:t>
      </w:r>
      <w:r w:rsidR="00D72FF0">
        <w:t>pieteikuma noformēšanai,</w:t>
      </w:r>
      <w:r w:rsidR="001A33E6">
        <w:t xml:space="preserve"> kriminālprocesa [pret iesniedzēju] ilgums, kā arī efektīva tiesību aizsardzības līdzekļa trūkums neatbilst Eiropas Cilvēktiesību konvencijas (turpmāk tekstā - Konvencijas) </w:t>
      </w:r>
      <w:proofErr w:type="gramStart"/>
      <w:r w:rsidR="001A33E6">
        <w:t>4.pantā</w:t>
      </w:r>
      <w:proofErr w:type="gramEnd"/>
      <w:r w:rsidR="001A33E6">
        <w:t>, [5.panta 5.punktā], [6.panta 1.punktā], 13.pantā un 14.pantā nostiprinātajiem standartiem. Ņemot to vērā, Valdība apņemas veikt visus nepieciešamos pasākumus, lai turpmāk izvairītos no līdzīgiem pārkāpumiem, kā arī nodrošinātu efektīvus tiesību aizsardzības līdzekļus.</w:t>
      </w:r>
    </w:p>
    <w:p w:rsidR="001A33E6" w:rsidRPr="009D4272" w:rsidRDefault="001A33E6" w:rsidP="009D4272">
      <w:pPr>
        <w:pStyle w:val="ECHRParaQuote"/>
      </w:pPr>
      <w:r>
        <w:t>Ievērojot to, ka pusēm nav izdevies šajā lietā panākt mierizlīgumu, Valdība paziņo, ka tā piedāvā izmaksāt</w:t>
      </w:r>
      <w:r>
        <w:rPr>
          <w:i/>
        </w:rPr>
        <w:t xml:space="preserve"> </w:t>
      </w:r>
      <w:proofErr w:type="spellStart"/>
      <w:r>
        <w:rPr>
          <w:i/>
        </w:rPr>
        <w:t>ex</w:t>
      </w:r>
      <w:proofErr w:type="spellEnd"/>
      <w:r>
        <w:rPr>
          <w:i/>
        </w:rPr>
        <w:t xml:space="preserve"> gratia</w:t>
      </w:r>
      <w:r>
        <w:t xml:space="preserve"> kompensāciju iesniedzējam </w:t>
      </w:r>
      <w:r w:rsidR="008F0B63">
        <w:t>EUR</w:t>
      </w:r>
      <w:r w:rsidR="008F0B63">
        <w:t xml:space="preserve"> </w:t>
      </w:r>
      <w:r>
        <w:t xml:space="preserve">4 500 ([aptuveni] 3 163 LVL) apmērā, šī summa ir </w:t>
      </w:r>
      <w:r w:rsidR="00703603">
        <w:t xml:space="preserve">visaptveroša </w:t>
      </w:r>
      <w:r>
        <w:t xml:space="preserve">summa un ietver visu naudas un morālo kaitējumu kopā ar visām no tā izrietošajām izmaksām un izdevumiem, bez jebkādiem nodokļiem, kas var būt piemērojami, lai izbeigtu Eiropas Cilvēktiesību tiesā (turpmāk tekstā - Tiesa) izskatāmo tiesvedību lietā </w:t>
      </w:r>
      <w:r>
        <w:rPr>
          <w:i/>
        </w:rPr>
        <w:t>Jeronovičs pret Latviju</w:t>
      </w:r>
      <w:r w:rsidR="00C3108D">
        <w:t xml:space="preserve"> (iesniegums</w:t>
      </w:r>
      <w:r>
        <w:t xml:space="preserve"> Nr. 547/02).</w:t>
      </w:r>
    </w:p>
    <w:p w:rsidR="001A33E6" w:rsidRPr="009D4272" w:rsidRDefault="001A33E6" w:rsidP="009D4272">
      <w:pPr>
        <w:pStyle w:val="ECHRParaQuote"/>
      </w:pPr>
      <w:r>
        <w:t>...</w:t>
      </w:r>
    </w:p>
    <w:p w:rsidR="001A33E6" w:rsidRPr="009D4272" w:rsidRDefault="001A33E6" w:rsidP="009D4272">
      <w:pPr>
        <w:pStyle w:val="ECHRParaQuote"/>
      </w:pPr>
      <w:r>
        <w:t>Šis maksājums veidos galīgo šīs lietas atrisinājumu.”</w:t>
      </w:r>
    </w:p>
    <w:bookmarkStart w:id="10" w:name="DecAcceptingDecl"/>
    <w:bookmarkStart w:id="11" w:name="para17"/>
    <w:p w:rsidR="001A33E6" w:rsidRPr="009D4272" w:rsidRDefault="003D7F16" w:rsidP="009D4272">
      <w:pPr>
        <w:pStyle w:val="ECHRPara"/>
      </w:pPr>
      <w:r w:rsidRPr="009D4272">
        <w:fldChar w:fldCharType="begin"/>
      </w:r>
      <w:r w:rsidR="001A33E6" w:rsidRPr="009D4272">
        <w:instrText xml:space="preserve"> SEQ level0 \*arabic </w:instrText>
      </w:r>
      <w:r w:rsidRPr="009D4272">
        <w:fldChar w:fldCharType="separate"/>
      </w:r>
      <w:r w:rsidR="009D4272" w:rsidRPr="009D4272">
        <w:rPr>
          <w:noProof/>
        </w:rPr>
        <w:t>20</w:t>
      </w:r>
      <w:r w:rsidRPr="009D4272">
        <w:rPr>
          <w:noProof/>
        </w:rPr>
        <w:fldChar w:fldCharType="end"/>
      </w:r>
      <w:bookmarkEnd w:id="10"/>
      <w:bookmarkEnd w:id="11"/>
      <w:r w:rsidR="001A33E6">
        <w:t>.  </w:t>
      </w:r>
      <w:proofErr w:type="gramStart"/>
      <w:r w:rsidR="001A33E6">
        <w:t>2009.gada</w:t>
      </w:r>
      <w:proofErr w:type="gramEnd"/>
      <w:r w:rsidR="001A33E6">
        <w:t xml:space="preserve"> 10.februārī Tiesas trešās nodaļas palāta, kurai šī lieta tika </w:t>
      </w:r>
      <w:r w:rsidR="007E5F0C">
        <w:t>nozīmēta</w:t>
      </w:r>
      <w:r w:rsidR="001A33E6">
        <w:t>, pieņēma lēmumu, kurā, cita starpā, tā ņēma vērā Valdības deklarācijas nosacījumus un saskaņā ar Konvencijas 37.panta 1.punktu izslēdza vienpusējā deklarācijā minētās sūdzības no izskatāmo lietu saraksta. Attiecīgās lēmuma rindkopas ir šādas:</w:t>
      </w:r>
    </w:p>
    <w:p w:rsidR="001A33E6" w:rsidRPr="009D4272" w:rsidRDefault="008B1406" w:rsidP="009D4272">
      <w:pPr>
        <w:pStyle w:val="ECHRParaQuote"/>
      </w:pPr>
      <w:r>
        <w:t>„</w:t>
      </w:r>
      <w:r w:rsidR="001A33E6">
        <w:t>48. Tiesa sākumā konstatē, ka puses nav panākušas vienošanos par šīs lietas mierizlīguma noteikumiem. Tā tomēr atkārtoti uzsver, ka</w:t>
      </w:r>
      <w:r w:rsidR="005F64BB">
        <w:t>,</w:t>
      </w:r>
      <w:r w:rsidR="001A33E6">
        <w:t xml:space="preserve"> no vienas puses</w:t>
      </w:r>
      <w:r w:rsidR="005F64BB">
        <w:t>,</w:t>
      </w:r>
      <w:r w:rsidR="001A33E6">
        <w:t xml:space="preserve"> ir jānošķir apgalvojumi, kas pausti strikti </w:t>
      </w:r>
      <w:r w:rsidR="005F64BB">
        <w:t>konfidenciālo</w:t>
      </w:r>
      <w:r w:rsidR="001A33E6">
        <w:t xml:space="preserve"> sarunu par mierizlīgumu kontekstā, un no otras puses - vienpusējie apgalvojumi, kā šis, k</w:t>
      </w:r>
      <w:r w:rsidR="005F64BB">
        <w:t xml:space="preserve">o publiski paudusi </w:t>
      </w:r>
      <w:r w:rsidR="007E5F0C">
        <w:t>valdība-atbildētāja</w:t>
      </w:r>
      <w:r w:rsidR="001A33E6">
        <w:t xml:space="preserve">, un sacīkstes princips Tiesā. Saskaņā ar Konvencijas </w:t>
      </w:r>
      <w:proofErr w:type="gramStart"/>
      <w:r w:rsidR="001A33E6">
        <w:t>38.panta</w:t>
      </w:r>
      <w:proofErr w:type="gramEnd"/>
      <w:r w:rsidR="001A33E6">
        <w:t xml:space="preserve"> 2.punktu  un Tiesas reglamenta 62.punkta 2.</w:t>
      </w:r>
      <w:r w:rsidR="005F64BB">
        <w:t>daļu</w:t>
      </w:r>
      <w:r w:rsidR="001A33E6">
        <w:t xml:space="preserve"> Tiesa turpinās izskatīt lietu, pamatojoties uz Valdības vienpusējo deklarāciju un pušu iesniegtajiem apgalvojumiem ārpus sarunām par mierizlīgumu, un neņems vērā pušu apgalvojumus, kas </w:t>
      </w:r>
      <w:r w:rsidR="007E5F0C">
        <w:t>ir</w:t>
      </w:r>
      <w:r w:rsidR="001A33E6">
        <w:t xml:space="preserve"> pausti m</w:t>
      </w:r>
      <w:r w:rsidR="007E5F0C">
        <w:t xml:space="preserve">ierizlīguma izvērtēšanas </w:t>
      </w:r>
      <w:r w:rsidR="001A33E6">
        <w:t xml:space="preserve">kontekstā, un iemeslus, kāpēc puses nespēja vienoties par mierizlīguma noteikumiem (skatīt </w:t>
      </w:r>
      <w:proofErr w:type="spellStart"/>
      <w:r w:rsidR="001A33E6">
        <w:rPr>
          <w:i/>
        </w:rPr>
        <w:t>Tahsin</w:t>
      </w:r>
      <w:proofErr w:type="spellEnd"/>
      <w:r w:rsidR="001A33E6">
        <w:rPr>
          <w:i/>
        </w:rPr>
        <w:t xml:space="preserve"> </w:t>
      </w:r>
      <w:proofErr w:type="spellStart"/>
      <w:r w:rsidR="001A33E6">
        <w:rPr>
          <w:i/>
        </w:rPr>
        <w:t>Acar</w:t>
      </w:r>
      <w:proofErr w:type="spellEnd"/>
      <w:r w:rsidR="001A33E6">
        <w:rPr>
          <w:i/>
        </w:rPr>
        <w:t xml:space="preserve"> pret Turciju</w:t>
      </w:r>
      <w:r w:rsidR="001A33E6">
        <w:t xml:space="preserve"> (sākotnējais iebildums) [LP], Nr. 26307/95, 74.rindkopa, ECT</w:t>
      </w:r>
      <w:r w:rsidR="00D75E39">
        <w:t>K</w:t>
      </w:r>
      <w:r w:rsidR="001A33E6">
        <w:t xml:space="preserve"> 2003</w:t>
      </w:r>
      <w:r w:rsidR="001A33E6">
        <w:noBreakHyphen/>
        <w:t>VI).</w:t>
      </w:r>
    </w:p>
    <w:p w:rsidR="001A33E6" w:rsidRPr="009D4272" w:rsidRDefault="001A33E6" w:rsidP="009D4272">
      <w:pPr>
        <w:pStyle w:val="ECHRParaQuote"/>
      </w:pPr>
      <w:r>
        <w:lastRenderedPageBreak/>
        <w:t xml:space="preserve">49.  Tiesa turpmāk atsaucas uz Konvencijas </w:t>
      </w:r>
      <w:proofErr w:type="gramStart"/>
      <w:r>
        <w:t>37.panta</w:t>
      </w:r>
      <w:proofErr w:type="gramEnd"/>
      <w:r>
        <w:t xml:space="preserve"> 1.punktu, kura attiecīgās daļas paredz:</w:t>
      </w:r>
    </w:p>
    <w:p w:rsidR="001A33E6" w:rsidRPr="009D4272" w:rsidRDefault="008B1406" w:rsidP="009D4272">
      <w:pPr>
        <w:pStyle w:val="ECHRParaQuote"/>
      </w:pPr>
      <w:r>
        <w:t>„</w:t>
      </w:r>
      <w:r w:rsidR="009D4272">
        <w:t xml:space="preserve">1.  Jebkurā tiesvedības stadijā Tiesa var nolemt </w:t>
      </w:r>
      <w:r w:rsidR="00F80EC8">
        <w:t>svītrot</w:t>
      </w:r>
      <w:r w:rsidR="009D4272">
        <w:t xml:space="preserve"> sūdzību no izskatāmo lietu saraksta, ja apstākļi ļauj secināt, ka</w:t>
      </w:r>
    </w:p>
    <w:p w:rsidR="001A33E6" w:rsidRPr="009D4272" w:rsidRDefault="001A33E6" w:rsidP="009D4272">
      <w:pPr>
        <w:pStyle w:val="ECHRParaQuote"/>
      </w:pPr>
      <w:r>
        <w:t>...</w:t>
      </w:r>
    </w:p>
    <w:p w:rsidR="001A33E6" w:rsidRPr="009D4272" w:rsidRDefault="001A33E6" w:rsidP="009D4272">
      <w:pPr>
        <w:pStyle w:val="ECHRParaQuote"/>
      </w:pPr>
      <w:r>
        <w:t>c) jebkura cita Tiesas konstatēta iemesla dēļ vairs nav attaisnojama sūdzības turpmāka izskatīšana.</w:t>
      </w:r>
    </w:p>
    <w:p w:rsidR="001A33E6" w:rsidRPr="009D4272" w:rsidRDefault="001A33E6" w:rsidP="009D4272">
      <w:pPr>
        <w:pStyle w:val="ECHRParaQuote"/>
      </w:pPr>
      <w:r>
        <w:t>Tomēr Tiesa turpina sūdzības izskatīšanu, ja to prasa Konvencijā un tās protokolos noteikto cilvēktiesību ievērošana.”</w:t>
      </w:r>
    </w:p>
    <w:p w:rsidR="001A33E6" w:rsidRPr="009D4272" w:rsidRDefault="001A33E6" w:rsidP="009D4272">
      <w:pPr>
        <w:pStyle w:val="ECHRParaQuote"/>
      </w:pPr>
      <w:r>
        <w:t xml:space="preserve">50.  Tiesa vēlreiz atkārto, ka noteiktos apstākļos var būt lietderīgi </w:t>
      </w:r>
      <w:r w:rsidR="00C3108D">
        <w:t>svītrot iesniegumu</w:t>
      </w:r>
      <w:r>
        <w:t xml:space="preserve"> no izskatāmo lietu saraksta saskaņā ar Konvencijas </w:t>
      </w:r>
      <w:proofErr w:type="gramStart"/>
      <w:r>
        <w:t>37.panta</w:t>
      </w:r>
      <w:proofErr w:type="gramEnd"/>
      <w:r>
        <w:t xml:space="preserve"> 1.punkta c) apakšpunktu</w:t>
      </w:r>
      <w:r w:rsidR="00E84420">
        <w:t>, pamatojoties uz v</w:t>
      </w:r>
      <w:r w:rsidR="00EB1E71">
        <w:t xml:space="preserve">aldības-atbildētājas </w:t>
      </w:r>
      <w:r>
        <w:t xml:space="preserve">vienpusējo deklarāciju, neskatoties uz to, ka iesniedzējs vēlas, lai lietas izskatīšana tiktu turpināta. Katrā gadījumā lietas konkrētie apstākļi noteiks, vai vienpusējā deklarācija sniedz pietiekamu pamatojumu secinājumiem attiecībā uz Konvencijā noteiktajām cilvēktiesībām, lai Tiesai nebūtu nepieciešams turpināt </w:t>
      </w:r>
      <w:r w:rsidR="001147A7">
        <w:t xml:space="preserve">tās </w:t>
      </w:r>
      <w:r>
        <w:t xml:space="preserve">lietas izskatīšanu (skatīt </w:t>
      </w:r>
      <w:proofErr w:type="spellStart"/>
      <w:r>
        <w:rPr>
          <w:i/>
        </w:rPr>
        <w:t>Tahsin</w:t>
      </w:r>
      <w:proofErr w:type="spellEnd"/>
      <w:r>
        <w:rPr>
          <w:i/>
        </w:rPr>
        <w:t> </w:t>
      </w:r>
      <w:proofErr w:type="spellStart"/>
      <w:r>
        <w:rPr>
          <w:i/>
        </w:rPr>
        <w:t>Acar</w:t>
      </w:r>
      <w:proofErr w:type="spellEnd"/>
      <w:r>
        <w:t>,</w:t>
      </w:r>
      <w:r w:rsidR="001147A7">
        <w:t xml:space="preserve"> </w:t>
      </w:r>
      <w:r>
        <w:t xml:space="preserve">citēts iepriekš, 75. rindkopa; skatīt arī, piemēram, </w:t>
      </w:r>
      <w:proofErr w:type="spellStart"/>
      <w:r>
        <w:rPr>
          <w:i/>
        </w:rPr>
        <w:t>Van</w:t>
      </w:r>
      <w:proofErr w:type="spellEnd"/>
      <w:r>
        <w:rPr>
          <w:i/>
        </w:rPr>
        <w:t> </w:t>
      </w:r>
      <w:proofErr w:type="spellStart"/>
      <w:r>
        <w:rPr>
          <w:i/>
        </w:rPr>
        <w:t>Houten</w:t>
      </w:r>
      <w:proofErr w:type="spellEnd"/>
      <w:r>
        <w:rPr>
          <w:i/>
        </w:rPr>
        <w:t xml:space="preserve"> pret Nīderlandi</w:t>
      </w:r>
      <w:r>
        <w:t xml:space="preserve"> (</w:t>
      </w:r>
      <w:r w:rsidR="00250244">
        <w:t>svītrošana no lietu saraksta</w:t>
      </w:r>
      <w:r>
        <w:t>), Nr. 25149/03, 33. rindkopa, ECT</w:t>
      </w:r>
      <w:r w:rsidR="000B211F">
        <w:t>K</w:t>
      </w:r>
      <w:r>
        <w:t xml:space="preserve"> 2005</w:t>
      </w:r>
      <w:r>
        <w:noBreakHyphen/>
        <w:t xml:space="preserve">IX; </w:t>
      </w:r>
      <w:r>
        <w:rPr>
          <w:i/>
        </w:rPr>
        <w:t>Zviedrijas transporta darbinieku apvienība pret Zviedriju</w:t>
      </w:r>
      <w:r>
        <w:t xml:space="preserve"> (</w:t>
      </w:r>
      <w:r w:rsidR="00250244">
        <w:t>svītrošana no lietu saraksta</w:t>
      </w:r>
      <w:r>
        <w:t xml:space="preserve">), Nr. 53507/99, 24. rindkopa, </w:t>
      </w:r>
      <w:proofErr w:type="gramStart"/>
      <w:r>
        <w:t>2006.gada</w:t>
      </w:r>
      <w:proofErr w:type="gramEnd"/>
      <w:r>
        <w:t xml:space="preserve"> 18.jūlijs; </w:t>
      </w:r>
      <w:proofErr w:type="spellStart"/>
      <w:r>
        <w:rPr>
          <w:i/>
        </w:rPr>
        <w:t>Kalanyos</w:t>
      </w:r>
      <w:proofErr w:type="spellEnd"/>
      <w:r>
        <w:rPr>
          <w:i/>
        </w:rPr>
        <w:t xml:space="preserve"> un citi pret Rumāniju</w:t>
      </w:r>
      <w:r>
        <w:t xml:space="preserve">, Nr. 57884/00, 25. rindkopa, 2007.gada 26.aprīlis; </w:t>
      </w:r>
      <w:proofErr w:type="spellStart"/>
      <w:r>
        <w:rPr>
          <w:i/>
        </w:rPr>
        <w:t>Kladivík</w:t>
      </w:r>
      <w:proofErr w:type="spellEnd"/>
      <w:r>
        <w:rPr>
          <w:i/>
        </w:rPr>
        <w:t xml:space="preserve"> un </w:t>
      </w:r>
      <w:proofErr w:type="spellStart"/>
      <w:r>
        <w:rPr>
          <w:i/>
        </w:rPr>
        <w:t>Kašiar</w:t>
      </w:r>
      <w:proofErr w:type="spellEnd"/>
      <w:r>
        <w:rPr>
          <w:i/>
        </w:rPr>
        <w:t xml:space="preserve"> pret Slovākiju</w:t>
      </w:r>
      <w:r>
        <w:t xml:space="preserve"> (lēmums) (</w:t>
      </w:r>
      <w:r w:rsidR="00250244">
        <w:t>svītrošana no lietu saraksta</w:t>
      </w:r>
      <w:r>
        <w:t xml:space="preserve">), Nr. 41484/04, 2007.gada 28.augusts; </w:t>
      </w:r>
      <w:proofErr w:type="spellStart"/>
      <w:r>
        <w:rPr>
          <w:i/>
        </w:rPr>
        <w:t>Sulwińska</w:t>
      </w:r>
      <w:proofErr w:type="spellEnd"/>
      <w:r>
        <w:rPr>
          <w:i/>
        </w:rPr>
        <w:t xml:space="preserve"> pret Poliju</w:t>
      </w:r>
      <w:r>
        <w:t xml:space="preserve"> (lēmums) (</w:t>
      </w:r>
      <w:r w:rsidR="00250244">
        <w:t>svītrošana no lietu saraksta</w:t>
      </w:r>
      <w:r>
        <w:t xml:space="preserve">), Nr. 28953/03, 2007.gada 18.septembris; </w:t>
      </w:r>
      <w:proofErr w:type="spellStart"/>
      <w:r>
        <w:rPr>
          <w:i/>
        </w:rPr>
        <w:t>Stark</w:t>
      </w:r>
      <w:proofErr w:type="spellEnd"/>
      <w:r>
        <w:rPr>
          <w:i/>
        </w:rPr>
        <w:t xml:space="preserve"> un citi pret Somiju</w:t>
      </w:r>
      <w:r>
        <w:t xml:space="preserve"> (</w:t>
      </w:r>
      <w:r w:rsidR="00250244">
        <w:t>svītrošana no lietu saraksta</w:t>
      </w:r>
      <w:r>
        <w:t xml:space="preserve">), Nr. 39559/02, 23. rindkopa, 2007.gada 9.oktobris; </w:t>
      </w:r>
      <w:proofErr w:type="spellStart"/>
      <w:r>
        <w:rPr>
          <w:i/>
        </w:rPr>
        <w:t>Feldhaus</w:t>
      </w:r>
      <w:proofErr w:type="spellEnd"/>
      <w:r>
        <w:rPr>
          <w:i/>
        </w:rPr>
        <w:t xml:space="preserve"> pret Vāciju</w:t>
      </w:r>
      <w:r>
        <w:t xml:space="preserve"> (lēmums) (</w:t>
      </w:r>
      <w:r w:rsidR="00250244">
        <w:t>svītrošana no lietu saraksta</w:t>
      </w:r>
      <w:r>
        <w:t xml:space="preserve">), Nr. 10583/02, 2008.gada 13.maijs; un </w:t>
      </w:r>
      <w:proofErr w:type="spellStart"/>
      <w:r>
        <w:rPr>
          <w:i/>
        </w:rPr>
        <w:t>Kapitonovs</w:t>
      </w:r>
      <w:proofErr w:type="spellEnd"/>
      <w:r>
        <w:rPr>
          <w:i/>
        </w:rPr>
        <w:t xml:space="preserve"> pret Latviju</w:t>
      </w:r>
      <w:r>
        <w:t xml:space="preserve"> (lēmums) (</w:t>
      </w:r>
      <w:r w:rsidR="00250244">
        <w:t>svītrošana no lietu saraksta</w:t>
      </w:r>
      <w:r>
        <w:t>), Nr.</w:t>
      </w:r>
      <w:r w:rsidR="00250244">
        <w:t xml:space="preserve"> 16999/02, 2008.gada 24.jūnijs).</w:t>
      </w:r>
    </w:p>
    <w:p w:rsidR="001A33E6" w:rsidRPr="009D4272" w:rsidRDefault="001A33E6" w:rsidP="009D4272">
      <w:pPr>
        <w:pStyle w:val="ECHRParaQuote"/>
      </w:pPr>
      <w:r>
        <w:t>...</w:t>
      </w:r>
    </w:p>
    <w:p w:rsidR="001A33E6" w:rsidRPr="009D4272" w:rsidRDefault="001A33E6" w:rsidP="009D4272">
      <w:pPr>
        <w:pStyle w:val="ECHRParaQuote"/>
      </w:pPr>
      <w:r>
        <w:t xml:space="preserve">52.  Attiecībā uz </w:t>
      </w:r>
      <w:r w:rsidR="000B211F">
        <w:t>iesniedzēja apgalvojumiem par slikto izturēšanos apcietinājuma laikā</w:t>
      </w:r>
      <w:r>
        <w:t xml:space="preserve"> un veikt</w:t>
      </w:r>
      <w:r w:rsidR="007E5F0C">
        <w:t>ās</w:t>
      </w:r>
      <w:r>
        <w:t xml:space="preserve"> iz</w:t>
      </w:r>
      <w:r w:rsidR="007E5F0C">
        <w:t>meklēšanas</w:t>
      </w:r>
      <w:r>
        <w:t xml:space="preserve"> efektivitāti, kaut gan Tiesa līdz šim nav</w:t>
      </w:r>
      <w:r w:rsidR="000B211F">
        <w:t xml:space="preserve"> konstatējusi </w:t>
      </w:r>
      <w:proofErr w:type="gramStart"/>
      <w:r w:rsidR="000B211F">
        <w:t>3.panta</w:t>
      </w:r>
      <w:proofErr w:type="gramEnd"/>
      <w:r w:rsidR="000B211F">
        <w:t xml:space="preserve"> pārkāpumu, ko būtu pieļāvusi Latvijas policija,</w:t>
      </w:r>
      <w:r>
        <w:t xml:space="preserve"> konkrētajā kontekstā, Tiesa tomēr norāda uz tās skaidro un ļoti plašo judikatūru šajā sakarā (skatīt, </w:t>
      </w:r>
      <w:proofErr w:type="spellStart"/>
      <w:r>
        <w:rPr>
          <w:i/>
        </w:rPr>
        <w:t>Selmouni</w:t>
      </w:r>
      <w:proofErr w:type="spellEnd"/>
      <w:r>
        <w:rPr>
          <w:i/>
        </w:rPr>
        <w:t xml:space="preserve"> pret Franciju</w:t>
      </w:r>
      <w:r>
        <w:t xml:space="preserve"> [LP], Nr. 25803/94, 95.-106. rindkopa, ECT</w:t>
      </w:r>
      <w:r w:rsidR="000B211F">
        <w:t>K</w:t>
      </w:r>
      <w:r>
        <w:t xml:space="preserve"> 1999</w:t>
      </w:r>
      <w:r>
        <w:noBreakHyphen/>
        <w:t xml:space="preserve">V; </w:t>
      </w:r>
      <w:proofErr w:type="spellStart"/>
      <w:r>
        <w:rPr>
          <w:i/>
        </w:rPr>
        <w:t>Dikme</w:t>
      </w:r>
      <w:proofErr w:type="spellEnd"/>
      <w:r>
        <w:rPr>
          <w:i/>
        </w:rPr>
        <w:t xml:space="preserve"> pret Turciju</w:t>
      </w:r>
      <w:r>
        <w:t>, Nr. 20869/92, 73.-104. rindkopa, ECT</w:t>
      </w:r>
      <w:r w:rsidR="000B211F">
        <w:t>K</w:t>
      </w:r>
      <w:r>
        <w:t xml:space="preserve"> 2000</w:t>
      </w:r>
      <w:r>
        <w:noBreakHyphen/>
        <w:t xml:space="preserve">VIII; un </w:t>
      </w:r>
      <w:proofErr w:type="spellStart"/>
      <w:r>
        <w:rPr>
          <w:i/>
        </w:rPr>
        <w:t>Karaduman</w:t>
      </w:r>
      <w:proofErr w:type="spellEnd"/>
      <w:r>
        <w:rPr>
          <w:i/>
        </w:rPr>
        <w:t xml:space="preserve"> un citi pret Turciju</w:t>
      </w:r>
      <w:r>
        <w:t xml:space="preserve">, Nr. 8810/03, 64.-82.rindkopa, 2008.gada 17.jūnijs). Tas pats attiecas uz principiem, kas regulē juridiskās palīdzības piešķiršanu, kas ir daļa no tiesībām uz </w:t>
      </w:r>
      <w:r w:rsidR="000B211F">
        <w:t xml:space="preserve">pieeju </w:t>
      </w:r>
      <w:r>
        <w:t xml:space="preserve">tiesai (skatīt, piemēram, </w:t>
      </w:r>
      <w:proofErr w:type="spellStart"/>
      <w:r>
        <w:rPr>
          <w:i/>
        </w:rPr>
        <w:t>Aerts</w:t>
      </w:r>
      <w:proofErr w:type="spellEnd"/>
      <w:r>
        <w:rPr>
          <w:i/>
        </w:rPr>
        <w:t xml:space="preserve"> pret Beļģiju</w:t>
      </w:r>
      <w:r>
        <w:t xml:space="preserve">, </w:t>
      </w:r>
      <w:proofErr w:type="gramStart"/>
      <w:r>
        <w:t>1998.gada</w:t>
      </w:r>
      <w:proofErr w:type="gramEnd"/>
      <w:r>
        <w:t xml:space="preserve"> 30.jūlijs, 59.-60. rindkopa, </w:t>
      </w:r>
      <w:r>
        <w:rPr>
          <w:i/>
        </w:rPr>
        <w:t>Ziņojumi par 1998.gada spriedumiem un lēmumiem</w:t>
      </w:r>
      <w:r>
        <w:noBreakHyphen/>
        <w:t xml:space="preserve">V; </w:t>
      </w:r>
      <w:r>
        <w:rPr>
          <w:i/>
        </w:rPr>
        <w:t xml:space="preserve">P., </w:t>
      </w:r>
      <w:proofErr w:type="spellStart"/>
      <w:r>
        <w:rPr>
          <w:i/>
        </w:rPr>
        <w:t>C.un</w:t>
      </w:r>
      <w:proofErr w:type="spellEnd"/>
      <w:r>
        <w:rPr>
          <w:i/>
        </w:rPr>
        <w:t xml:space="preserve"> S. pret Apvienoto Karalisti</w:t>
      </w:r>
      <w:r w:rsidR="003B0C46">
        <w:rPr>
          <w:i/>
        </w:rPr>
        <w:t>,</w:t>
      </w:r>
      <w:r>
        <w:t xml:space="preserve"> Nr. 56547/00, 88.-91. rindkopa, ECT</w:t>
      </w:r>
      <w:r w:rsidR="000B211F">
        <w:t>K</w:t>
      </w:r>
      <w:r>
        <w:t xml:space="preserve"> 2002</w:t>
      </w:r>
      <w:r>
        <w:noBreakHyphen/>
        <w:t xml:space="preserve">VI; </w:t>
      </w:r>
      <w:proofErr w:type="spellStart"/>
      <w:r>
        <w:rPr>
          <w:i/>
        </w:rPr>
        <w:t>Bertuzzi</w:t>
      </w:r>
      <w:proofErr w:type="spellEnd"/>
      <w:r>
        <w:rPr>
          <w:i/>
        </w:rPr>
        <w:t xml:space="preserve"> pret Franciju</w:t>
      </w:r>
      <w:r>
        <w:t>, Nr. 36378/97, 23.-32. rindkopa, ECT</w:t>
      </w:r>
      <w:r w:rsidR="000B211F">
        <w:t>K</w:t>
      </w:r>
      <w:r>
        <w:t xml:space="preserve"> 2003</w:t>
      </w:r>
      <w:r>
        <w:noBreakHyphen/>
        <w:t xml:space="preserve">III; un </w:t>
      </w:r>
      <w:proofErr w:type="spellStart"/>
      <w:r>
        <w:rPr>
          <w:i/>
        </w:rPr>
        <w:t>Staroszczyk</w:t>
      </w:r>
      <w:proofErr w:type="spellEnd"/>
      <w:r>
        <w:rPr>
          <w:i/>
        </w:rPr>
        <w:t xml:space="preserve"> pret Poliju</w:t>
      </w:r>
      <w:r>
        <w:t>, Nr. 59519/00, 127.-129.rindkopa, 2007.gada 22.marts).</w:t>
      </w:r>
    </w:p>
    <w:p w:rsidR="001A33E6" w:rsidRPr="009D4272" w:rsidRDefault="001A33E6" w:rsidP="009D4272">
      <w:pPr>
        <w:pStyle w:val="ECHRParaQuote"/>
      </w:pPr>
      <w:r>
        <w:t>53.  Savā deklarācijā šajā lietā Valdība ir atzinusi, ka izturēšanās, kam iesniedzējs bija pakļauts no policijas darbinieku puses apcietinājuma laikā</w:t>
      </w:r>
      <w:r w:rsidR="003B0C46" w:rsidRPr="003B0C46">
        <w:t xml:space="preserve"> </w:t>
      </w:r>
      <w:r w:rsidR="003B0C46">
        <w:t>policijā</w:t>
      </w:r>
      <w:r>
        <w:t>, veids, kādā tika veikta izmeklēšana šajā sakarā, iesniedzēja kompensācijas prasību izskatīšana un, jo īpaši, viņa pieteikuma par juridisko palīdzību</w:t>
      </w:r>
      <w:r w:rsidR="0024057E">
        <w:t xml:space="preserve"> kompensācijas procesam</w:t>
      </w:r>
      <w:r>
        <w:t xml:space="preserve"> noraidī</w:t>
      </w:r>
      <w:r w:rsidR="0024057E">
        <w:t>šana</w:t>
      </w:r>
      <w:r>
        <w:t xml:space="preserve">, kā arī pret viņu </w:t>
      </w:r>
      <w:r w:rsidR="0024057E">
        <w:t>uzsāktā</w:t>
      </w:r>
      <w:r>
        <w:t xml:space="preserve"> kriminālprocesa ilgums pārkāpa Konvencijas 3. pantu, </w:t>
      </w:r>
      <w:proofErr w:type="gramStart"/>
      <w:r>
        <w:t>5.panta</w:t>
      </w:r>
      <w:proofErr w:type="gramEnd"/>
      <w:r>
        <w:t xml:space="preserve"> 5.punktu, 6.panta 1.punktu, 13. pantu un 14.pantu. </w:t>
      </w:r>
      <w:r w:rsidR="0024057E">
        <w:t>Valdība ir piedāvājusi</w:t>
      </w:r>
      <w:r>
        <w:t xml:space="preserve"> izmaksāt iesniedzējam </w:t>
      </w:r>
      <w:r w:rsidR="008F0B63">
        <w:t>EUR</w:t>
      </w:r>
      <w:r w:rsidR="008F0B63">
        <w:t xml:space="preserve"> </w:t>
      </w:r>
      <w:r>
        <w:t>4 500 kompensāciju un apņemties veikt visus nepieciešamos pasākumus, lai turpmāk novērstu līdzīgus pārkāpumus.</w:t>
      </w:r>
    </w:p>
    <w:p w:rsidR="001A33E6" w:rsidRPr="009D4272" w:rsidRDefault="001A33E6" w:rsidP="009D4272">
      <w:pPr>
        <w:pStyle w:val="ECHRParaQuote"/>
      </w:pPr>
      <w:r>
        <w:lastRenderedPageBreak/>
        <w:t xml:space="preserve">54.  Ņemot vērā Valdības deklarācijā ietverto apņemšanos būtību, Tiesa uzskata, ka vairs nav pamata turpināt konkrēto sūdzību izskatīšanu. Šis lēmums neizslēdz iespēju iesniedzējam izmantot jebkurus citus pieejamos tiesību aizsardzības līdzekļus. Tas pats attiecas uz sūdzību saskaņā </w:t>
      </w:r>
      <w:r w:rsidR="0024057E">
        <w:t xml:space="preserve">ar </w:t>
      </w:r>
      <w:r>
        <w:t xml:space="preserve">7.protokola </w:t>
      </w:r>
      <w:proofErr w:type="gramStart"/>
      <w:r>
        <w:t>2.pantu</w:t>
      </w:r>
      <w:proofErr w:type="gramEnd"/>
      <w:r>
        <w:t>, kas pēc būtības ir identisks sūdzībai saskaņā ar Konvencijas 6.panta 1.punktu par konkrētā kriminālprocesa ilgumu (38.rindkopa</w:t>
      </w:r>
      <w:r w:rsidR="0024057E" w:rsidRPr="0024057E">
        <w:t xml:space="preserve"> </w:t>
      </w:r>
      <w:r w:rsidR="007E5F0C">
        <w:t>īsumā</w:t>
      </w:r>
      <w:r>
        <w:t xml:space="preserve">). Tiesa turklāt ir pārliecinājusies, ka attiecībā uz Konvencijā un tās protokolos noteiktajām cilvēktiesībām tai nav nepieciešams turpināt </w:t>
      </w:r>
      <w:r w:rsidR="00DC7E48">
        <w:t>iesnieguma</w:t>
      </w:r>
      <w:r>
        <w:t xml:space="preserve"> </w:t>
      </w:r>
      <w:r w:rsidR="0024057E">
        <w:t>izskatīšanu</w:t>
      </w:r>
      <w:r>
        <w:t xml:space="preserve"> šajā daļā (</w:t>
      </w:r>
      <w:proofErr w:type="gramStart"/>
      <w:r>
        <w:t>37.panta</w:t>
      </w:r>
      <w:proofErr w:type="gramEnd"/>
      <w:r>
        <w:t xml:space="preserve"> 1.punkts</w:t>
      </w:r>
      <w:r w:rsidR="0024057E" w:rsidRPr="0024057E">
        <w:t xml:space="preserve"> </w:t>
      </w:r>
      <w:r w:rsidR="0024057E">
        <w:t>īsumā</w:t>
      </w:r>
      <w:r>
        <w:t>).</w:t>
      </w:r>
    </w:p>
    <w:p w:rsidR="001A33E6" w:rsidRPr="009D4272" w:rsidRDefault="00DE331F" w:rsidP="009D4272">
      <w:pPr>
        <w:pStyle w:val="ECHRParaQuote"/>
      </w:pPr>
      <w:r>
        <w:t xml:space="preserve">55.  Attiecīgi lieta ir izslēdzama no izskatāmo lietu sarakstu, </w:t>
      </w:r>
      <w:r w:rsidR="0024057E">
        <w:t>ciktāl</w:t>
      </w:r>
      <w:r>
        <w:t xml:space="preserve"> tā attiecas uz šā lēmuma 28., 37. un 38. rindkopā minētajām sūdzībām.”</w:t>
      </w:r>
    </w:p>
    <w:p w:rsidR="001A33E6"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21</w:t>
      </w:r>
      <w:r w:rsidRPr="009D4272">
        <w:rPr>
          <w:noProof/>
        </w:rPr>
        <w:fldChar w:fldCharType="end"/>
      </w:r>
      <w:r w:rsidR="00E17C5D">
        <w:t xml:space="preserve">.  Tajā pašā lēmumā Tiesa pasludināja par pieņemamām </w:t>
      </w:r>
      <w:r w:rsidR="0024057E">
        <w:t xml:space="preserve">izskatīšanai </w:t>
      </w:r>
      <w:r w:rsidR="00E17C5D">
        <w:t xml:space="preserve">sūdzības par iesniedzēja </w:t>
      </w:r>
      <w:r w:rsidR="00584175">
        <w:t>ieslodzījuma</w:t>
      </w:r>
      <w:r w:rsidR="00E17C5D">
        <w:t xml:space="preserve"> apstākļiem (</w:t>
      </w:r>
      <w:proofErr w:type="gramStart"/>
      <w:r w:rsidR="00E17C5D">
        <w:t>3.pants</w:t>
      </w:r>
      <w:proofErr w:type="gramEnd"/>
      <w:r w:rsidR="00E17C5D">
        <w:t xml:space="preserve">) un atteikumu </w:t>
      </w:r>
      <w:r w:rsidR="003343DE">
        <w:t xml:space="preserve">iesniedzēja </w:t>
      </w:r>
      <w:r w:rsidR="00584175">
        <w:t>nogādāšanai uz</w:t>
      </w:r>
      <w:r w:rsidR="0039135E">
        <w:t xml:space="preserve"> </w:t>
      </w:r>
      <w:r w:rsidR="003343DE">
        <w:t>Augstāk</w:t>
      </w:r>
      <w:r w:rsidR="0039135E">
        <w:t>ā</w:t>
      </w:r>
      <w:r w:rsidR="003343DE">
        <w:t>s</w:t>
      </w:r>
      <w:r w:rsidR="0039135E">
        <w:t xml:space="preserve"> t</w:t>
      </w:r>
      <w:r w:rsidR="003343DE">
        <w:t>iesas sēd</w:t>
      </w:r>
      <w:r w:rsidR="00584175">
        <w:t>i</w:t>
      </w:r>
      <w:r w:rsidR="00E17C5D">
        <w:t xml:space="preserve"> (6.pants), un noraidīja visas pārējās sūdzības, tai skaitā sūdzību par to, ka kriminālprocess bija netaisnīgs sakarā ar to, ka pierādījumi tika iegūti spaidu </w:t>
      </w:r>
      <w:r w:rsidR="00283414">
        <w:t>ietekmē</w:t>
      </w:r>
      <w:r w:rsidR="00E17C5D">
        <w:t xml:space="preserve"> (6.pants). Par pēdējo punktu Tiesa konstatēja šādi:</w:t>
      </w:r>
    </w:p>
    <w:p w:rsidR="001A33E6" w:rsidRPr="009D4272" w:rsidRDefault="008B1406" w:rsidP="009D4272">
      <w:pPr>
        <w:pStyle w:val="ECHRParaQuote"/>
      </w:pPr>
      <w:r>
        <w:t>„</w:t>
      </w:r>
      <w:r w:rsidR="001A33E6">
        <w:t xml:space="preserve">39.  Atsaucoties uz Konvencijas </w:t>
      </w:r>
      <w:proofErr w:type="gramStart"/>
      <w:r w:rsidR="001A33E6">
        <w:t>6.panta</w:t>
      </w:r>
      <w:proofErr w:type="gramEnd"/>
      <w:r w:rsidR="001A33E6">
        <w:t xml:space="preserve"> 1.punktu un 2., 7. un 13.pantu, iesniedzējs sūdzējās par vispārējo viņa notiesāšanas par bruņotu laupīšanu, kas iespējams tika pastrādāta 1998.gada aprīlī, netaisnīgumu. Viņš apgalvoja, ka šajā sakarā atzīšanās no viņa ir iegūta spaidu </w:t>
      </w:r>
      <w:r w:rsidR="00024007">
        <w:t>ietekmē,</w:t>
      </w:r>
      <w:r w:rsidR="001A33E6">
        <w:t xml:space="preserve"> un ka tiesas noraidīja vairākus viņa izteiktos lūgumus par konfrontāciju. Visbeidzot, iesniedzējs apgalvoja, ka viņš ir ticis notiesāts tikai viņa etniskās un sociālās izcelsmes un viņa iepriekšējās sodāmības dēļ.</w:t>
      </w:r>
    </w:p>
    <w:p w:rsidR="001A33E6" w:rsidRPr="009D4272" w:rsidRDefault="001A33E6" w:rsidP="009D4272">
      <w:pPr>
        <w:pStyle w:val="ECHRParaQuote"/>
      </w:pPr>
      <w:r>
        <w:t>...</w:t>
      </w:r>
    </w:p>
    <w:p w:rsidR="001A33E6" w:rsidRPr="009D4272" w:rsidRDefault="001A33E6" w:rsidP="009D4272">
      <w:pPr>
        <w:pStyle w:val="ECHRParaQuote"/>
      </w:pPr>
      <w:r>
        <w:t xml:space="preserve">84.  Tiesa, ņemot vērā visus tās rīcībā esošos pierādījumus un ciktāl tai ir jurisdikcija izskatīt paustos apgalvojumus, nekonstatē nekādus ar likuma normām, uz kurām iesniedzējs atsaucas, garantētos tiesību un brīvību pārkāpumus. Jo īpaši tā vēlreiz atkārto, ka tās funkcija neparedz risināt faktos vai likumos pieļautās kļūdas no nacionālo tiesu puses, ja vien un ciktāl tās nepārkāpj ar Konvenciju aizsargātās tiesības un brīvības, kas šajā gadījumā nav izdarīts (skatīt starp citiem avotiem, </w:t>
      </w:r>
      <w:proofErr w:type="spellStart"/>
      <w:r>
        <w:rPr>
          <w:i/>
        </w:rPr>
        <w:t>Khan</w:t>
      </w:r>
      <w:proofErr w:type="spellEnd"/>
      <w:r>
        <w:rPr>
          <w:i/>
        </w:rPr>
        <w:t xml:space="preserve"> pret Apvienoto Karalisti</w:t>
      </w:r>
      <w:r>
        <w:t>, Nr. 35394/97, 34. rindkopa, ECT</w:t>
      </w:r>
      <w:r w:rsidR="0091388F">
        <w:t>K</w:t>
      </w:r>
      <w:r>
        <w:t xml:space="preserve"> 2000</w:t>
      </w:r>
      <w:r>
        <w:noBreakHyphen/>
        <w:t>V).</w:t>
      </w:r>
    </w:p>
    <w:p w:rsidR="001A33E6" w:rsidRPr="009D4272" w:rsidRDefault="00636D2A" w:rsidP="009D4272">
      <w:pPr>
        <w:pStyle w:val="ECHRParaQuote"/>
        <w:rPr>
          <w:snapToGrid w:val="0"/>
        </w:rPr>
      </w:pPr>
      <w:r>
        <w:t>85.  No tā izriet, ka šīs sūdzības ir acīmredzami nepamatotas un noraidāmas saskaņā ar Konvencijas 35. panta 3. un 4.punktu.</w:t>
      </w:r>
    </w:p>
    <w:p w:rsidR="001A33E6" w:rsidRPr="009D4272" w:rsidRDefault="003D7F16" w:rsidP="009D4272">
      <w:pPr>
        <w:pStyle w:val="ECHRPara"/>
        <w:rPr>
          <w:i/>
        </w:rPr>
      </w:pPr>
      <w:r w:rsidRPr="009D4272">
        <w:fldChar w:fldCharType="begin"/>
      </w:r>
      <w:r w:rsidR="00E17C5D" w:rsidRPr="009D4272">
        <w:instrText xml:space="preserve"> SEQ level0 \*arabic </w:instrText>
      </w:r>
      <w:r w:rsidRPr="009D4272">
        <w:fldChar w:fldCharType="separate"/>
      </w:r>
      <w:r w:rsidR="009D4272" w:rsidRPr="009D4272">
        <w:rPr>
          <w:noProof/>
        </w:rPr>
        <w:t>22</w:t>
      </w:r>
      <w:r w:rsidRPr="009D4272">
        <w:rPr>
          <w:noProof/>
        </w:rPr>
        <w:fldChar w:fldCharType="end"/>
      </w:r>
      <w:r w:rsidR="00E17C5D">
        <w:t>.  </w:t>
      </w:r>
      <w:proofErr w:type="gramStart"/>
      <w:r w:rsidR="00E17C5D">
        <w:t>2009.gada</w:t>
      </w:r>
      <w:proofErr w:type="gramEnd"/>
      <w:r w:rsidR="00E17C5D">
        <w:t xml:space="preserve"> 1.decembrī Tiesa pasludināja spriedumu - lietā </w:t>
      </w:r>
      <w:r w:rsidR="00E17C5D">
        <w:rPr>
          <w:i/>
        </w:rPr>
        <w:t>Jeronovičs pret Latviju</w:t>
      </w:r>
      <w:r w:rsidR="00E17C5D">
        <w:t xml:space="preserve"> (Nr. 547/02) - konstatējot Konvencijas 3.panta (</w:t>
      </w:r>
      <w:r w:rsidR="00145EB9">
        <w:t>ieslodzījuma</w:t>
      </w:r>
      <w:r w:rsidR="00E17C5D">
        <w:t xml:space="preserve"> apstākļi) un 6.panta 1.punkta (</w:t>
      </w:r>
      <w:r w:rsidR="00ED616B">
        <w:t xml:space="preserve">atteikums </w:t>
      </w:r>
      <w:r w:rsidR="00145EB9">
        <w:t>nogādāšanai</w:t>
      </w:r>
      <w:r w:rsidR="00E17C5D">
        <w:t xml:space="preserve"> </w:t>
      </w:r>
      <w:r w:rsidR="00145EB9">
        <w:t xml:space="preserve">uz </w:t>
      </w:r>
      <w:r w:rsidR="00E17C5D">
        <w:t>Augstāk</w:t>
      </w:r>
      <w:r w:rsidR="00024007">
        <w:t>ās tiesas s</w:t>
      </w:r>
      <w:r w:rsidR="005030A3">
        <w:t>ēd</w:t>
      </w:r>
      <w:r w:rsidR="00145EB9">
        <w:t>i</w:t>
      </w:r>
      <w:r w:rsidR="00E17C5D">
        <w:t>) pārkāpumu un piešķirot 5 000 eiro [EUR] kompensāciju par morālo kaitējumu saistībā ar 3.panta pārkāpumu.</w:t>
      </w:r>
    </w:p>
    <w:p w:rsidR="001A33E6" w:rsidRPr="009D4272" w:rsidRDefault="009471D7" w:rsidP="009D4272">
      <w:pPr>
        <w:pStyle w:val="ECHRHeading2"/>
      </w:pPr>
      <w:r>
        <w:t>C. Turpmākie</w:t>
      </w:r>
      <w:r w:rsidR="001A33E6">
        <w:t xml:space="preserve"> </w:t>
      </w:r>
      <w:r>
        <w:t>procesi</w:t>
      </w:r>
      <w:r w:rsidR="001A33E6">
        <w:t xml:space="preserve"> Latvijas iestādēs saistībā ar kriminālprocesa atjaunošanu</w:t>
      </w:r>
    </w:p>
    <w:p w:rsidR="001A33E6"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23</w:t>
      </w:r>
      <w:r w:rsidRPr="009D4272">
        <w:rPr>
          <w:noProof/>
        </w:rPr>
        <w:fldChar w:fldCharType="end"/>
      </w:r>
      <w:r w:rsidR="00E17C5D">
        <w:t>.  </w:t>
      </w:r>
      <w:proofErr w:type="gramStart"/>
      <w:r w:rsidR="00E17C5D">
        <w:t>2010.gada</w:t>
      </w:r>
      <w:proofErr w:type="gramEnd"/>
      <w:r w:rsidR="00E17C5D">
        <w:t xml:space="preserve"> 11.oktobrī iesniedzējs </w:t>
      </w:r>
      <w:r w:rsidR="003F756E">
        <w:t>lūdza</w:t>
      </w:r>
      <w:r w:rsidR="00E17C5D">
        <w:t xml:space="preserve"> prokuratūrai atjaunot kriminālprocesu, kurā viņš bija atzīts par vainīgu (skatīt iepriekš </w:t>
      </w:r>
      <w:r w:rsidRPr="009D4272">
        <w:fldChar w:fldCharType="begin"/>
      </w:r>
      <w:r w:rsidR="00B92C3C" w:rsidRPr="009D4272">
        <w:instrText xml:space="preserve"> REF para10 \h </w:instrText>
      </w:r>
      <w:r w:rsidRPr="009D4272">
        <w:fldChar w:fldCharType="separate"/>
      </w:r>
      <w:r w:rsidR="009D4272" w:rsidRPr="009D4272">
        <w:rPr>
          <w:noProof/>
        </w:rPr>
        <w:t>13</w:t>
      </w:r>
      <w:r w:rsidRPr="009D4272">
        <w:fldChar w:fldCharType="end"/>
      </w:r>
      <w:r w:rsidR="008B1406">
        <w:t>.</w:t>
      </w:r>
      <w:r w:rsidR="00E17C5D">
        <w:t xml:space="preserve"> rindkopu), kā arī kriminālprocesu saistībā ar slikto izturēšanos pret viņu no policijas darbinieku puses (skatīt iepriekš </w:t>
      </w:r>
      <w:r w:rsidRPr="009D4272">
        <w:fldChar w:fldCharType="begin"/>
      </w:r>
      <w:r w:rsidR="007B2272" w:rsidRPr="009D4272">
        <w:instrText xml:space="preserve"> REF para13 \h </w:instrText>
      </w:r>
      <w:r w:rsidRPr="009D4272">
        <w:fldChar w:fldCharType="separate"/>
      </w:r>
      <w:r w:rsidR="009D4272" w:rsidRPr="009D4272">
        <w:rPr>
          <w:noProof/>
        </w:rPr>
        <w:t>16</w:t>
      </w:r>
      <w:r w:rsidRPr="009D4272">
        <w:fldChar w:fldCharType="end"/>
      </w:r>
      <w:r w:rsidR="008B1406">
        <w:t>.</w:t>
      </w:r>
      <w:r w:rsidR="00E17C5D">
        <w:t xml:space="preserve"> rindkopu). Viņš atsaucās uz </w:t>
      </w:r>
      <w:r w:rsidR="00E17C5D">
        <w:lastRenderedPageBreak/>
        <w:t xml:space="preserve">Valdības </w:t>
      </w:r>
      <w:proofErr w:type="gramStart"/>
      <w:r w:rsidR="00E17C5D">
        <w:t>2008.gada</w:t>
      </w:r>
      <w:proofErr w:type="gramEnd"/>
      <w:r w:rsidR="00E17C5D">
        <w:t xml:space="preserve"> 30.aprīļa vienpusējās deklarācijas noteikumiem un Kriminālprocesa likuma 655.panta 3.punktu, 656.panta 3.punktu un 657.pantu (skatīt turpmāk </w:t>
      </w:r>
      <w:r w:rsidRPr="009D4272">
        <w:fldChar w:fldCharType="begin"/>
      </w:r>
      <w:r w:rsidR="00B65C2F" w:rsidRPr="009D4272">
        <w:instrText xml:space="preserve"> REF para26 \h </w:instrText>
      </w:r>
      <w:r w:rsidRPr="009D4272">
        <w:fldChar w:fldCharType="separate"/>
      </w:r>
      <w:r w:rsidR="009D4272" w:rsidRPr="009D4272">
        <w:rPr>
          <w:noProof/>
        </w:rPr>
        <w:t>28</w:t>
      </w:r>
      <w:r w:rsidRPr="009D4272">
        <w:fldChar w:fldCharType="end"/>
      </w:r>
      <w:r w:rsidR="008B1406">
        <w:t>.</w:t>
      </w:r>
      <w:r w:rsidR="00E17C5D">
        <w:t xml:space="preserve"> līdz </w:t>
      </w:r>
      <w:r w:rsidRPr="009D4272">
        <w:fldChar w:fldCharType="begin"/>
      </w:r>
      <w:r w:rsidR="00B65C2F" w:rsidRPr="009D4272">
        <w:instrText xml:space="preserve"> REF para29 \h </w:instrText>
      </w:r>
      <w:r w:rsidRPr="009D4272">
        <w:fldChar w:fldCharType="separate"/>
      </w:r>
      <w:r w:rsidR="009D4272" w:rsidRPr="009D4272">
        <w:rPr>
          <w:noProof/>
        </w:rPr>
        <w:t>31</w:t>
      </w:r>
      <w:r w:rsidRPr="009D4272">
        <w:fldChar w:fldCharType="end"/>
      </w:r>
      <w:r w:rsidR="008B1406">
        <w:t>.</w:t>
      </w:r>
      <w:r w:rsidR="00E17C5D">
        <w:t xml:space="preserve"> rindkopu).</w:t>
      </w:r>
    </w:p>
    <w:bookmarkStart w:id="12" w:name="pros1"/>
    <w:p w:rsidR="001A33E6" w:rsidRPr="009D4272" w:rsidRDefault="003D7F16" w:rsidP="009D4272">
      <w:pPr>
        <w:pStyle w:val="ECHRPara"/>
      </w:pPr>
      <w:r w:rsidRPr="009D4272">
        <w:fldChar w:fldCharType="begin"/>
      </w:r>
      <w:r w:rsidR="001A33E6" w:rsidRPr="009D4272">
        <w:instrText xml:space="preserve"> SEQ level0 \*arabic </w:instrText>
      </w:r>
      <w:r w:rsidRPr="009D4272">
        <w:fldChar w:fldCharType="separate"/>
      </w:r>
      <w:r w:rsidR="009D4272" w:rsidRPr="009D4272">
        <w:rPr>
          <w:noProof/>
        </w:rPr>
        <w:t>24</w:t>
      </w:r>
      <w:r w:rsidRPr="009D4272">
        <w:rPr>
          <w:noProof/>
        </w:rPr>
        <w:fldChar w:fldCharType="end"/>
      </w:r>
      <w:bookmarkEnd w:id="12"/>
      <w:r w:rsidR="001A33E6">
        <w:t>.  </w:t>
      </w:r>
      <w:proofErr w:type="gramStart"/>
      <w:r w:rsidR="001A33E6">
        <w:t>2010.gada</w:t>
      </w:r>
      <w:proofErr w:type="gramEnd"/>
      <w:r w:rsidR="001A33E6">
        <w:t xml:space="preserve"> 17.novembrī Rīgas tiesu apgabala prokurors noraidīja iesniedzēja prasību, konstatējot, ka neviens no Kriminālprocesa likuma 655.panta 2.punktā minētajiem kriminālprocesa atjaunošanas </w:t>
      </w:r>
      <w:r w:rsidR="00517078">
        <w:t>pamatiem</w:t>
      </w:r>
      <w:r w:rsidR="001A33E6">
        <w:t xml:space="preserve"> nav piemēroj</w:t>
      </w:r>
      <w:r w:rsidR="005D1448">
        <w:t>ams. Prokurors konstatēja arī šādi</w:t>
      </w:r>
      <w:r w:rsidR="001A33E6">
        <w:t>:</w:t>
      </w:r>
    </w:p>
    <w:p w:rsidR="001A33E6" w:rsidRPr="009D4272" w:rsidRDefault="008B1406" w:rsidP="009D4272">
      <w:pPr>
        <w:pStyle w:val="ECHRParaQuote"/>
      </w:pPr>
      <w:r>
        <w:t>„</w:t>
      </w:r>
      <w:r w:rsidR="001A33E6">
        <w:t>...Lieta</w:t>
      </w:r>
      <w:r w:rsidR="001A33E6">
        <w:rPr>
          <w:i/>
        </w:rPr>
        <w:t xml:space="preserve"> Jeronovičs pret Latviju</w:t>
      </w:r>
      <w:r w:rsidR="001A33E6">
        <w:t xml:space="preserve"> (Nr. 547/02) ietver Valdības vienpusējo deklarāciju, kuras secinājumi ir piemērojami tikai apstākļiem un notikumiem, kuri ir izskatīti šīs lietas ietvaros. No Eiropas Cilvēktiesību tiesas </w:t>
      </w:r>
      <w:proofErr w:type="gramStart"/>
      <w:r w:rsidR="001A33E6">
        <w:t>2009.gada</w:t>
      </w:r>
      <w:proofErr w:type="gramEnd"/>
      <w:r w:rsidR="001A33E6">
        <w:t xml:space="preserve"> 1.decembrī pieņemtā sprieduma nevar secināt, ka Tiesa izskatīja un izvērtēja kādas tiesīb</w:t>
      </w:r>
      <w:r w:rsidR="003E52EE">
        <w:t>sargājošās iestādes</w:t>
      </w:r>
      <w:r w:rsidR="001A33E6">
        <w:t xml:space="preserve"> amatpersonu veiktās darbības kriminālprocesa pirmstiesas izmeklēšanas laikā ... Attiecīgi [Tiesas] </w:t>
      </w:r>
      <w:proofErr w:type="gramStart"/>
      <w:r w:rsidR="001A33E6">
        <w:t>2009.gada</w:t>
      </w:r>
      <w:proofErr w:type="gramEnd"/>
      <w:r w:rsidR="001A33E6">
        <w:t xml:space="preserve"> 1.decembra spriedumā un Valdības 2008.gada 30.aprīļa vienpusējā deklarācijā izdarītie secinājumi nevar būt piemērojami vai saistīti ar kriminālprocesu...”</w:t>
      </w:r>
    </w:p>
    <w:p w:rsidR="001A33E6"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25</w:t>
      </w:r>
      <w:r w:rsidRPr="009D4272">
        <w:rPr>
          <w:noProof/>
        </w:rPr>
        <w:fldChar w:fldCharType="end"/>
      </w:r>
      <w:r w:rsidR="00E17C5D">
        <w:t>.  </w:t>
      </w:r>
      <w:proofErr w:type="gramStart"/>
      <w:r w:rsidR="00E17C5D">
        <w:t>2010.gada</w:t>
      </w:r>
      <w:proofErr w:type="gramEnd"/>
      <w:r w:rsidR="00E17C5D">
        <w:t xml:space="preserve"> 9.decembrī iesniegtajā apelācijas sūdzībā iesniedzējs atkārtoja, ka bija juridisks pamats kriminālprocesa atjaunošanai attiecībā uz slikto izturēšanos pret viņu, pamatojoties uz to, ka Valdības vienpusējā deklarācijā tika skaidri atzīts Konvencijas 3.panta pārkāpums, apstāklis, kurš </w:t>
      </w:r>
      <w:r w:rsidR="00706340">
        <w:t>kļuva</w:t>
      </w:r>
      <w:r w:rsidR="00E17C5D">
        <w:t xml:space="preserve"> par iemeslu šīs sūdzības </w:t>
      </w:r>
      <w:r w:rsidR="00F241FA">
        <w:t xml:space="preserve">svītrošanai </w:t>
      </w:r>
      <w:r w:rsidR="00E17C5D">
        <w:t xml:space="preserve">no Tiesā izskatāmo lietu saraksta. Viņš turpmāk norādīja, ka laikā, kad viņa krimināllietu izskatīja nacionālās tiesas, tiesu iestādēm nebija zināms, ka izmeklēšana saistībā ar viņa apgalvojumu par slikto izturēšanos pret viņu </w:t>
      </w:r>
      <w:r w:rsidR="00706340">
        <w:t>neatbilda</w:t>
      </w:r>
      <w:bookmarkStart w:id="13" w:name="pros2"/>
      <w:r w:rsidR="00706340">
        <w:t xml:space="preserve"> </w:t>
      </w:r>
      <w:proofErr w:type="gramStart"/>
      <w:r w:rsidR="00706340">
        <w:t>3.panta</w:t>
      </w:r>
      <w:proofErr w:type="gramEnd"/>
      <w:r w:rsidR="00706340">
        <w:t xml:space="preserve"> prasībām</w:t>
      </w:r>
      <w:r w:rsidR="00E17C5D">
        <w:t>.</w:t>
      </w:r>
    </w:p>
    <w:bookmarkStart w:id="14" w:name="para23"/>
    <w:p w:rsidR="00011700" w:rsidRPr="009D4272" w:rsidRDefault="003D7F16" w:rsidP="009D4272">
      <w:pPr>
        <w:pStyle w:val="ECHRPara"/>
      </w:pPr>
      <w:r w:rsidRPr="009D4272">
        <w:fldChar w:fldCharType="begin"/>
      </w:r>
      <w:r w:rsidR="007D4C9E" w:rsidRPr="009D4272">
        <w:instrText xml:space="preserve"> SEQ level0 \*arabic </w:instrText>
      </w:r>
      <w:r w:rsidRPr="009D4272">
        <w:fldChar w:fldCharType="separate"/>
      </w:r>
      <w:r w:rsidR="009D4272" w:rsidRPr="009D4272">
        <w:rPr>
          <w:noProof/>
        </w:rPr>
        <w:t>26</w:t>
      </w:r>
      <w:r w:rsidRPr="009D4272">
        <w:rPr>
          <w:noProof/>
        </w:rPr>
        <w:fldChar w:fldCharType="end"/>
      </w:r>
      <w:bookmarkEnd w:id="13"/>
      <w:bookmarkEnd w:id="14"/>
      <w:r w:rsidR="007D4C9E">
        <w:t>.  </w:t>
      </w:r>
      <w:proofErr w:type="gramStart"/>
      <w:r w:rsidR="007D4C9E">
        <w:t>2010.gada</w:t>
      </w:r>
      <w:proofErr w:type="gramEnd"/>
      <w:r w:rsidR="007D4C9E">
        <w:t xml:space="preserve"> 20.decembra galīgajā lēmumā </w:t>
      </w:r>
      <w:r w:rsidR="00156EBA">
        <w:t>virs</w:t>
      </w:r>
      <w:r w:rsidR="007D4C9E">
        <w:t xml:space="preserve">prokurors atstāja </w:t>
      </w:r>
      <w:r w:rsidR="003E52EE">
        <w:t>negrozītu</w:t>
      </w:r>
      <w:r w:rsidR="007D4C9E">
        <w:t xml:space="preserve"> 2010.gada 17.novembra lēmumu. Prokurors norādīja, ka saskaņā ar Kriminālprocesa likuma 655.panta 2.punktu atjaunot kriminālprocesu, kurā ir spēkā stājies tiesas spriedums vai lēmums, var tikai sakarā ar tādiem jaunatklātiem apstākļiem, kuri ir minēti šajā pa</w:t>
      </w:r>
      <w:r w:rsidR="003E52EE">
        <w:t>ntā. Prokurors arī konstatēja šādi</w:t>
      </w:r>
      <w:r w:rsidR="007D4C9E">
        <w:t>:</w:t>
      </w:r>
    </w:p>
    <w:p w:rsidR="00B643B8" w:rsidRPr="009D4272" w:rsidRDefault="008B1406" w:rsidP="009D4272">
      <w:pPr>
        <w:pStyle w:val="ECHRParaQuote"/>
      </w:pPr>
      <w:r>
        <w:t>„</w:t>
      </w:r>
      <w:r w:rsidR="00011700">
        <w:t xml:space="preserve">Izskatot </w:t>
      </w:r>
      <w:r w:rsidR="00011700">
        <w:rPr>
          <w:rStyle w:val="JuQuotChar"/>
        </w:rPr>
        <w:t xml:space="preserve">iepriekš minēto, </w:t>
      </w:r>
      <w:r w:rsidR="00C80A76">
        <w:rPr>
          <w:rStyle w:val="JuQuotChar"/>
        </w:rPr>
        <w:t>par pamatotu un pareizu</w:t>
      </w:r>
      <w:r w:rsidR="00011700">
        <w:rPr>
          <w:rStyle w:val="JuQuotChar"/>
        </w:rPr>
        <w:t xml:space="preserve"> </w:t>
      </w:r>
      <w:r w:rsidR="00C80A76">
        <w:rPr>
          <w:rStyle w:val="JuQuotChar"/>
        </w:rPr>
        <w:t xml:space="preserve">uzskatu </w:t>
      </w:r>
      <w:r w:rsidR="00011700">
        <w:rPr>
          <w:rStyle w:val="JuQuotChar"/>
        </w:rPr>
        <w:t xml:space="preserve">prokurores </w:t>
      </w:r>
      <w:proofErr w:type="gramStart"/>
      <w:r w:rsidR="00011700">
        <w:rPr>
          <w:rStyle w:val="JuQuotChar"/>
        </w:rPr>
        <w:t>2010.gada</w:t>
      </w:r>
      <w:proofErr w:type="gramEnd"/>
      <w:r w:rsidR="00011700">
        <w:rPr>
          <w:rStyle w:val="JuQuotChar"/>
        </w:rPr>
        <w:t xml:space="preserve"> 17.novembrī </w:t>
      </w:r>
      <w:r w:rsidR="00C80A76">
        <w:rPr>
          <w:rStyle w:val="JuQuotChar"/>
        </w:rPr>
        <w:t>lēmumā secināto</w:t>
      </w:r>
      <w:r w:rsidR="00011700">
        <w:rPr>
          <w:rStyle w:val="JuQuotChar"/>
        </w:rPr>
        <w:t xml:space="preserve">, </w:t>
      </w:r>
      <w:r w:rsidR="00C80A76">
        <w:rPr>
          <w:rStyle w:val="JuQuotChar"/>
        </w:rPr>
        <w:t>ka</w:t>
      </w:r>
      <w:r w:rsidR="00156EBA">
        <w:rPr>
          <w:rStyle w:val="JuQuotChar"/>
        </w:rPr>
        <w:t xml:space="preserve"> </w:t>
      </w:r>
      <w:r w:rsidR="00011700">
        <w:rPr>
          <w:rStyle w:val="JuQuotChar"/>
        </w:rPr>
        <w:t>Jūsu 2</w:t>
      </w:r>
      <w:r w:rsidR="00C80A76">
        <w:rPr>
          <w:rStyle w:val="JuQuotChar"/>
        </w:rPr>
        <w:t xml:space="preserve">010.gada 11.oktobra pieteikums par </w:t>
      </w:r>
      <w:r w:rsidR="00011700">
        <w:rPr>
          <w:rStyle w:val="JuQuotChar"/>
        </w:rPr>
        <w:t>kriminālprocesa atjaunošana l</w:t>
      </w:r>
      <w:r w:rsidR="00C80A76">
        <w:rPr>
          <w:rStyle w:val="JuQuotChar"/>
        </w:rPr>
        <w:t xml:space="preserve">ietās Nr. 06725198 un 50207598 sakarā ar </w:t>
      </w:r>
      <w:r w:rsidR="00011700">
        <w:rPr>
          <w:rStyle w:val="JuQuotChar"/>
        </w:rPr>
        <w:t>jaunatklātiem apstā</w:t>
      </w:r>
      <w:r w:rsidR="00C80A76">
        <w:rPr>
          <w:rStyle w:val="JuQuotChar"/>
        </w:rPr>
        <w:t>kļiem</w:t>
      </w:r>
      <w:r w:rsidR="00011700">
        <w:rPr>
          <w:rStyle w:val="JuQuotChar"/>
        </w:rPr>
        <w:t xml:space="preserve"> </w:t>
      </w:r>
      <w:r w:rsidR="00C80A76">
        <w:rPr>
          <w:rStyle w:val="JuQuotChar"/>
        </w:rPr>
        <w:t>nesatur</w:t>
      </w:r>
      <w:r w:rsidR="00011700">
        <w:rPr>
          <w:rStyle w:val="JuQuotChar"/>
        </w:rPr>
        <w:t xml:space="preserve"> nevien</w:t>
      </w:r>
      <w:r w:rsidR="00C80A76">
        <w:rPr>
          <w:rStyle w:val="JuQuotChar"/>
        </w:rPr>
        <w:t>u</w:t>
      </w:r>
      <w:r w:rsidR="00011700">
        <w:rPr>
          <w:rStyle w:val="JuQuotChar"/>
        </w:rPr>
        <w:t xml:space="preserve"> no Kriminālprocesa likuma 655.panta 2.punktā </w:t>
      </w:r>
      <w:r w:rsidR="00C80A76">
        <w:rPr>
          <w:rStyle w:val="JuQuotChar"/>
        </w:rPr>
        <w:t>paredzētajiem</w:t>
      </w:r>
      <w:r w:rsidR="00011700">
        <w:rPr>
          <w:rStyle w:val="JuQuotChar"/>
        </w:rPr>
        <w:t xml:space="preserve"> apstākļiem, </w:t>
      </w:r>
      <w:r w:rsidR="00C80A76">
        <w:rPr>
          <w:rStyle w:val="JuQuotChar"/>
        </w:rPr>
        <w:t>balstoties uz kuriem varētu atjaunot</w:t>
      </w:r>
      <w:r w:rsidR="00011700">
        <w:rPr>
          <w:rStyle w:val="JuQuotChar"/>
        </w:rPr>
        <w:t xml:space="preserve"> iepriekš minēto</w:t>
      </w:r>
      <w:r w:rsidR="00C80A76">
        <w:rPr>
          <w:rStyle w:val="JuQuotChar"/>
        </w:rPr>
        <w:t>s</w:t>
      </w:r>
      <w:r w:rsidR="00011700">
        <w:rPr>
          <w:rStyle w:val="JuQuotChar"/>
        </w:rPr>
        <w:t xml:space="preserve"> kriminālprocesu</w:t>
      </w:r>
      <w:r w:rsidR="00C80A76">
        <w:rPr>
          <w:rStyle w:val="JuQuotChar"/>
        </w:rPr>
        <w:t>s</w:t>
      </w:r>
      <w:r w:rsidR="006A77E6">
        <w:rPr>
          <w:rStyle w:val="JuQuotChar"/>
        </w:rPr>
        <w:t xml:space="preserve">. </w:t>
      </w:r>
      <w:r w:rsidR="00011700">
        <w:rPr>
          <w:rStyle w:val="JuQuotChar"/>
        </w:rPr>
        <w:t>Jūsu pieteikuma izskatīšanas laikā prokuror</w:t>
      </w:r>
      <w:r w:rsidR="00C80A76">
        <w:rPr>
          <w:rStyle w:val="JuQuotChar"/>
        </w:rPr>
        <w:t>e nav konstatējusi</w:t>
      </w:r>
      <w:r w:rsidR="00011700">
        <w:rPr>
          <w:rStyle w:val="JuQuotChar"/>
        </w:rPr>
        <w:t xml:space="preserve"> nevienu no šiem apstākļiem, tāpēc uzskatu </w:t>
      </w:r>
      <w:r w:rsidR="00C80A76">
        <w:rPr>
          <w:rStyle w:val="JuQuotChar"/>
        </w:rPr>
        <w:t>par pamatotu prokurores</w:t>
      </w:r>
      <w:r w:rsidR="00011700">
        <w:rPr>
          <w:rStyle w:val="JuQuotChar"/>
        </w:rPr>
        <w:t xml:space="preserve"> lēmumu par atteikumu atjaunot kriminālprocesu l</w:t>
      </w:r>
      <w:r w:rsidR="00C80A76">
        <w:rPr>
          <w:rStyle w:val="JuQuotChar"/>
        </w:rPr>
        <w:t>ietās Nr. 06725198 un 50207598 sakarā ar jaunatklātiem apstākļiem</w:t>
      </w:r>
      <w:r w:rsidR="00011700">
        <w:rPr>
          <w:rStyle w:val="JuQuotChar"/>
        </w:rPr>
        <w:t>.</w:t>
      </w:r>
    </w:p>
    <w:p w:rsidR="007E364F" w:rsidRPr="009D4272" w:rsidRDefault="007E364F" w:rsidP="009D4272">
      <w:pPr>
        <w:pStyle w:val="ECHRParaQuote"/>
      </w:pPr>
      <w:r>
        <w:t xml:space="preserve">Kā jau iepriekš minēts, Kriminālprocesa likums </w:t>
      </w:r>
      <w:r w:rsidR="00171FA8">
        <w:t xml:space="preserve">ir </w:t>
      </w:r>
      <w:r w:rsidR="00156EBA">
        <w:t>detalizēti</w:t>
      </w:r>
      <w:r>
        <w:t xml:space="preserve"> </w:t>
      </w:r>
      <w:r w:rsidR="00171FA8">
        <w:t>noteicis</w:t>
      </w:r>
      <w:r>
        <w:t xml:space="preserve"> visus apstākļus, </w:t>
      </w:r>
      <w:r w:rsidR="00171FA8">
        <w:t>kuri ir uzskatāmi</w:t>
      </w:r>
      <w:r>
        <w:t xml:space="preserve"> par jaunatklātiem</w:t>
      </w:r>
      <w:r w:rsidR="00156EBA">
        <w:t>,</w:t>
      </w:r>
      <w:r>
        <w:t xml:space="preserve"> un pamatojoties uz kuriem var atjaunot kriminālprocesu</w:t>
      </w:r>
      <w:r w:rsidR="00171FA8">
        <w:t>s</w:t>
      </w:r>
      <w:r>
        <w:t>, kur</w:t>
      </w:r>
      <w:r w:rsidR="00171FA8">
        <w:t>os</w:t>
      </w:r>
      <w:r>
        <w:t xml:space="preserve"> ir spēkā stājies tiesas spriedums vai lēmums. Kriminālprocesa likums </w:t>
      </w:r>
      <w:r w:rsidR="00171FA8">
        <w:t>neparedz iespējas šos apstākļus paplašināt</w:t>
      </w:r>
      <w:r>
        <w:t xml:space="preserve">. Izskatot Jūsu sūdzību, nekonstatēju nevienu no Kriminālprocesa likuma 655.panta 2.punktā minētajiem jaunatklātajiem apstākļiem. Tāpat </w:t>
      </w:r>
      <w:r w:rsidR="0078056C">
        <w:t>nekonstatēju, ka kāda starptautiskā tiesa būtu sniegusi</w:t>
      </w:r>
      <w:r>
        <w:t xml:space="preserve"> viedokli</w:t>
      </w:r>
      <w:r w:rsidR="0078056C">
        <w:t>, ka</w:t>
      </w:r>
      <w:r>
        <w:t xml:space="preserve"> </w:t>
      </w:r>
      <w:r w:rsidR="0078056C">
        <w:t xml:space="preserve">Latvijas tiesas spriedums </w:t>
      </w:r>
      <w:r>
        <w:t xml:space="preserve">lietā Nr. 50207598 un </w:t>
      </w:r>
      <w:r w:rsidR="0078056C">
        <w:t xml:space="preserve">tajā ietvertie secinājumi – spēkā </w:t>
      </w:r>
      <w:r w:rsidR="0078056C">
        <w:lastRenderedPageBreak/>
        <w:t>stājušais</w:t>
      </w:r>
      <w:r>
        <w:t xml:space="preserve"> Rīgas apgabaltiesas Krimināllietu tiesas </w:t>
      </w:r>
      <w:r w:rsidR="0078056C">
        <w:t xml:space="preserve">kolēģijas </w:t>
      </w:r>
      <w:proofErr w:type="gramStart"/>
      <w:r w:rsidR="0078056C">
        <w:t>2000.gada</w:t>
      </w:r>
      <w:proofErr w:type="gramEnd"/>
      <w:r w:rsidR="0078056C">
        <w:t xml:space="preserve"> 27.septembra </w:t>
      </w:r>
      <w:r>
        <w:t xml:space="preserve">spriedums, </w:t>
      </w:r>
      <w:r w:rsidR="0078056C">
        <w:t>neatbilstu</w:t>
      </w:r>
      <w:r>
        <w:t xml:space="preserve"> </w:t>
      </w:r>
      <w:r w:rsidR="0078056C">
        <w:t xml:space="preserve">Latvijai saistošajiem </w:t>
      </w:r>
      <w:r>
        <w:t xml:space="preserve">starptautiskajiem </w:t>
      </w:r>
      <w:r w:rsidR="0078056C">
        <w:t>tiesību aktiem</w:t>
      </w:r>
      <w:r>
        <w:t xml:space="preserve">. </w:t>
      </w:r>
      <w:r w:rsidR="00D31B12">
        <w:t xml:space="preserve">Šādu viedoklis </w:t>
      </w:r>
      <w:r>
        <w:t xml:space="preserve">Eiropas Cilvēktiesību tiesa </w:t>
      </w:r>
      <w:r w:rsidR="00D31B12">
        <w:t>nav paudusi</w:t>
      </w:r>
      <w:r>
        <w:t xml:space="preserve"> </w:t>
      </w:r>
      <w:r w:rsidR="00D31B12">
        <w:t>ne</w:t>
      </w:r>
      <w:r>
        <w:t xml:space="preserve"> 2009.gada 1.decembra </w:t>
      </w:r>
      <w:r w:rsidR="00D31B12">
        <w:t xml:space="preserve">lēmumā, ne </w:t>
      </w:r>
      <w:r>
        <w:t xml:space="preserve">2009.gada 10.februāra lēmumā, </w:t>
      </w:r>
      <w:r w:rsidR="00D31B12">
        <w:t>kurā</w:t>
      </w:r>
      <w:r>
        <w:t xml:space="preserve"> starptautiskā tiesa </w:t>
      </w:r>
      <w:r w:rsidR="00D31B12">
        <w:t>lēmusi</w:t>
      </w:r>
      <w:r>
        <w:t xml:space="preserve"> </w:t>
      </w:r>
      <w:r w:rsidR="00D31B12">
        <w:t>par Jūsu pieteikuma pieņemšanu izskatīšanai</w:t>
      </w:r>
      <w:r>
        <w:t xml:space="preserve">. </w:t>
      </w:r>
      <w:r w:rsidR="0093048F">
        <w:t>Vienlaikus vēlos norādīt</w:t>
      </w:r>
      <w:r>
        <w:t xml:space="preserve">, ka pretēji Jūsu apgalvojumiem, Eiropas Cilvēktiesību tiesa savā </w:t>
      </w:r>
      <w:proofErr w:type="gramStart"/>
      <w:r>
        <w:t>2009.gada</w:t>
      </w:r>
      <w:proofErr w:type="gramEnd"/>
      <w:r>
        <w:t xml:space="preserve"> 10.februāra lēmumā </w:t>
      </w:r>
      <w:r w:rsidR="0093048F">
        <w:t>ir norādījusi</w:t>
      </w:r>
      <w:r>
        <w:t xml:space="preserve">, ka, </w:t>
      </w:r>
      <w:r w:rsidR="0093048F">
        <w:t xml:space="preserve">uz </w:t>
      </w:r>
      <w:r>
        <w:t xml:space="preserve">pieņemot lēmumu par necilvēcīgu izturēšanos no policijas darbinieku puses krimināllietas izmeklēšanas laikā, tā </w:t>
      </w:r>
      <w:r w:rsidR="0093048F">
        <w:t>nekonstatēja</w:t>
      </w:r>
      <w:r>
        <w:t xml:space="preserve"> starptautisko </w:t>
      </w:r>
      <w:r w:rsidR="0093048F">
        <w:t>tiesību aktu</w:t>
      </w:r>
      <w:r>
        <w:t xml:space="preserve"> pārkāpumu</w:t>
      </w:r>
      <w:r w:rsidR="00801E87">
        <w:t>s</w:t>
      </w:r>
      <w:r>
        <w:t>.</w:t>
      </w:r>
    </w:p>
    <w:p w:rsidR="00DE7E07" w:rsidRPr="009D4272" w:rsidRDefault="00011700" w:rsidP="009D4272">
      <w:pPr>
        <w:pStyle w:val="ECHRParaQuote"/>
      </w:pPr>
      <w:r>
        <w:t>Savā pieteikumā jūs uzsvērāt, ka kriminālproces</w:t>
      </w:r>
      <w:r w:rsidR="0065178F">
        <w:t>i</w:t>
      </w:r>
      <w:r>
        <w:t xml:space="preserve"> lietās Nr. 06725198 un 50207598 ir atjaunojam</w:t>
      </w:r>
      <w:r w:rsidR="0065178F">
        <w:t>i</w:t>
      </w:r>
      <w:r>
        <w:t xml:space="preserve"> saistībā </w:t>
      </w:r>
      <w:r w:rsidR="0065178F">
        <w:t xml:space="preserve">ar Latvijas Republikas Valdības pārstāves </w:t>
      </w:r>
      <w:proofErr w:type="gramStart"/>
      <w:r w:rsidR="0065178F">
        <w:t>2008.gada</w:t>
      </w:r>
      <w:proofErr w:type="gramEnd"/>
      <w:r w:rsidR="0065178F">
        <w:t xml:space="preserve"> 30.aprīļa </w:t>
      </w:r>
      <w:r>
        <w:t>Latvijas Rep</w:t>
      </w:r>
      <w:r w:rsidR="0065178F">
        <w:t xml:space="preserve">ublikas </w:t>
      </w:r>
      <w:r w:rsidR="00A127EE">
        <w:t>V</w:t>
      </w:r>
      <w:r w:rsidR="0065178F">
        <w:t>aldības vienpusējā deklarācijā minēto</w:t>
      </w:r>
      <w:r>
        <w:t xml:space="preserve">, </w:t>
      </w:r>
      <w:r w:rsidR="0065178F">
        <w:t>proti, ka</w:t>
      </w:r>
      <w:r>
        <w:t xml:space="preserve"> Latvijas Republikas Valdība atz</w:t>
      </w:r>
      <w:r w:rsidR="00A127EE">
        <w:t>īst</w:t>
      </w:r>
      <w:r>
        <w:t xml:space="preserve">, ka fiziskā </w:t>
      </w:r>
      <w:r w:rsidR="00A127EE">
        <w:t>izturēšanās</w:t>
      </w:r>
      <w:r>
        <w:t xml:space="preserve"> </w:t>
      </w:r>
      <w:r w:rsidR="00A127EE">
        <w:t xml:space="preserve">pret Viktoru </w:t>
      </w:r>
      <w:proofErr w:type="spellStart"/>
      <w:r w:rsidR="00A127EE">
        <w:t>Jeronoviču</w:t>
      </w:r>
      <w:proofErr w:type="spellEnd"/>
      <w:r w:rsidR="00A127EE">
        <w:t xml:space="preserve"> </w:t>
      </w:r>
      <w:r>
        <w:t xml:space="preserve">no policijas darbinieku puses, iesniedzēja sūdzību izmeklēšanas efektivitāte, </w:t>
      </w:r>
      <w:r w:rsidR="00A127EE">
        <w:t xml:space="preserve">pieeja </w:t>
      </w:r>
      <w:r>
        <w:t>juridiskai palīdzībai un efektīviem t</w:t>
      </w:r>
      <w:r w:rsidR="00A127EE">
        <w:t xml:space="preserve">iesību aizsardzības līdzekļiem </w:t>
      </w:r>
      <w:r>
        <w:t>zaudējumu</w:t>
      </w:r>
      <w:r w:rsidR="00A127EE">
        <w:t xml:space="preserve"> atlīdzības pieteikuma noformēšanai</w:t>
      </w:r>
      <w:r>
        <w:t>, kriminālprocesa ilgums un efektīvu tiesību aizsardzības līdzekļu trūkums neatbilst Eiropas Cilvēktiesību un pamatbrīvību aizsardzības konvencijas 3.pantā, 5.panta 5.punktā, 6.panta 1.punktā, 13.pantā un 14.panta ietvertajiem standartiem.</w:t>
      </w:r>
      <w:r>
        <w:rPr>
          <w:i/>
        </w:rPr>
        <w:t xml:space="preserve"> </w:t>
      </w:r>
      <w:r>
        <w:t xml:space="preserve">Vēlos paskaidrot, ka saskaņā ar Kriminālprocesa likuma 655.panta 2.punktu iepriekš minētā Latvijas Republikas Valdības vienpusējā deklarācija netiek atzīta par jaunatklātu apstākli un tādējādi nevar tikt uzskatīta par pamatu kriminālprocesa atjaunošanai lietās Nr. 06725198. un 50207598. </w:t>
      </w:r>
    </w:p>
    <w:p w:rsidR="00984EC9" w:rsidRPr="009D4272" w:rsidRDefault="00D81AEF" w:rsidP="009D4272">
      <w:pPr>
        <w:pStyle w:val="ECHRParaQuote"/>
      </w:pPr>
      <w:r>
        <w:t xml:space="preserve">Ņemot vērā iepriekš minētos apsvērumus, nav iemesla atcelt [...] </w:t>
      </w:r>
      <w:proofErr w:type="gramStart"/>
      <w:r>
        <w:t>2010.gada</w:t>
      </w:r>
      <w:proofErr w:type="gramEnd"/>
      <w:r>
        <w:t xml:space="preserve"> 17.novembra lēmumu par att</w:t>
      </w:r>
      <w:r w:rsidR="00425682">
        <w:t xml:space="preserve">eikumu atjaunot kriminālprocesu sakarā ar </w:t>
      </w:r>
      <w:r>
        <w:t>jaunatklātiem apstākļiem...”</w:t>
      </w:r>
    </w:p>
    <w:p w:rsidR="00EA7C3C" w:rsidRPr="009D4272" w:rsidRDefault="00EA7C3C" w:rsidP="009D4272">
      <w:pPr>
        <w:pStyle w:val="ECHRHeading1"/>
      </w:pPr>
      <w:r>
        <w:t>II.  PIEMĒROJAMIE NACIONĀLIE UN STARPTAUTISKIE TIESĪBU AKTI UN DOKUMENTI</w:t>
      </w:r>
    </w:p>
    <w:p w:rsidR="00EA7C3C" w:rsidRPr="009D4272" w:rsidRDefault="00EA7C3C" w:rsidP="009D4272">
      <w:pPr>
        <w:pStyle w:val="ECHRHeading2"/>
      </w:pPr>
      <w:r>
        <w:t>A. Piemērojamie nacionālie tiesību akti</w:t>
      </w:r>
    </w:p>
    <w:p w:rsidR="00EA7C3C" w:rsidRPr="009D4272" w:rsidRDefault="00EA7C3C" w:rsidP="009D4272">
      <w:pPr>
        <w:pStyle w:val="ECHRHeading3"/>
      </w:pPr>
      <w:r>
        <w:t>1.  Piemērojamās Kriminālprocesa likuma daļas</w:t>
      </w:r>
    </w:p>
    <w:bookmarkStart w:id="15" w:name="para24"/>
    <w:p w:rsidR="00EA7C3C" w:rsidRPr="009D4272" w:rsidRDefault="003D7F16" w:rsidP="009D4272">
      <w:pPr>
        <w:pStyle w:val="ECHRPara"/>
      </w:pPr>
      <w:r w:rsidRPr="009D4272">
        <w:fldChar w:fldCharType="begin"/>
      </w:r>
      <w:r w:rsidR="007D4C9E" w:rsidRPr="009D4272">
        <w:instrText xml:space="preserve"> SEQ level0 \*arabic </w:instrText>
      </w:r>
      <w:r w:rsidRPr="009D4272">
        <w:fldChar w:fldCharType="separate"/>
      </w:r>
      <w:r w:rsidR="009D4272" w:rsidRPr="009D4272">
        <w:rPr>
          <w:noProof/>
        </w:rPr>
        <w:t>27</w:t>
      </w:r>
      <w:r w:rsidRPr="009D4272">
        <w:rPr>
          <w:noProof/>
        </w:rPr>
        <w:fldChar w:fldCharType="end"/>
      </w:r>
      <w:bookmarkEnd w:id="15"/>
      <w:r w:rsidR="007D4C9E">
        <w:t>.  </w:t>
      </w:r>
      <w:r w:rsidR="00B01E3B">
        <w:t xml:space="preserve">Kriminālprocesa likuma </w:t>
      </w:r>
      <w:r w:rsidR="007D4C9E">
        <w:t>393.pants ir daļa no septītās sadaļas, kas attiecas uz pirmstiesas kriminālprocesu, paredz izbeigtā kriminālprocesa un kriminālvajāšanas atjaunošanu. Tas nosaka:</w:t>
      </w:r>
    </w:p>
    <w:p w:rsidR="00EA7C3C" w:rsidRPr="009D4272" w:rsidRDefault="00001038" w:rsidP="009D4272">
      <w:pPr>
        <w:pStyle w:val="ECHRParaQuote"/>
      </w:pPr>
      <w:r>
        <w:t>„</w:t>
      </w:r>
      <w:r w:rsidR="00DE331F">
        <w:t>(1) Procesuāli pilnvarota persona izbeigtu kriminālprocesu</w:t>
      </w:r>
      <w:proofErr w:type="gramStart"/>
      <w:r w:rsidR="00DE331F">
        <w:t xml:space="preserve"> vai pret personu izbeigtu kriminālvajāšanu var atjaunot, atceļot lēmumu par izbeigšanu, ja konstatēts, ka tā pieņemšanai nebija likumīga pamata</w:t>
      </w:r>
      <w:proofErr w:type="gramEnd"/>
      <w:r w:rsidR="00DE331F">
        <w:t>, vai ja atklāti jauni apstākļi, kuri nebija zināmi procesa virzītājam lēmuma pieņemšanas brīdī un kuriem ir būtiska nozīme lēmuma pieņemšanā.</w:t>
      </w:r>
    </w:p>
    <w:p w:rsidR="00EA7C3C" w:rsidRPr="009D4272" w:rsidRDefault="00DE331F" w:rsidP="009D4272">
      <w:pPr>
        <w:pStyle w:val="ECHRParaQuote"/>
      </w:pPr>
      <w:r>
        <w:t>(2) Pirmstiesas kriminālprocesu un kriminālvajāšanu var atjaunot, ja nav iestājies kriminālatbildības noilgums.”</w:t>
      </w:r>
    </w:p>
    <w:bookmarkStart w:id="16" w:name="Section655"/>
    <w:bookmarkStart w:id="17" w:name="para26"/>
    <w:p w:rsidR="00EA7C3C" w:rsidRPr="009D4272" w:rsidRDefault="003D7F16" w:rsidP="009D4272">
      <w:pPr>
        <w:pStyle w:val="ECHRPara"/>
      </w:pPr>
      <w:r w:rsidRPr="009D4272">
        <w:fldChar w:fldCharType="begin"/>
      </w:r>
      <w:r w:rsidR="00EA7C3C" w:rsidRPr="009D4272">
        <w:instrText xml:space="preserve"> SEQ level0 \*arabic </w:instrText>
      </w:r>
      <w:r w:rsidRPr="009D4272">
        <w:fldChar w:fldCharType="separate"/>
      </w:r>
      <w:r w:rsidR="009D4272" w:rsidRPr="009D4272">
        <w:rPr>
          <w:noProof/>
        </w:rPr>
        <w:t>28</w:t>
      </w:r>
      <w:r w:rsidRPr="009D4272">
        <w:fldChar w:fldCharType="end"/>
      </w:r>
      <w:bookmarkEnd w:id="16"/>
      <w:bookmarkEnd w:id="17"/>
      <w:r w:rsidR="00EA7C3C">
        <w:t>.  </w:t>
      </w:r>
      <w:r w:rsidR="00DF7888">
        <w:t>Kriminālprocesa 655.-</w:t>
      </w:r>
      <w:r w:rsidR="00EA7C3C">
        <w:t>657.pants ir daļa no trīspadsmitās sadaļas, kas ietver spēkā esošu nolēmumu jaunu izskatīšanu.</w:t>
      </w:r>
    </w:p>
    <w:bookmarkStart w:id="18" w:name="para27"/>
    <w:p w:rsidR="00EA7C3C" w:rsidRPr="009D4272" w:rsidRDefault="003D7F16" w:rsidP="009D4272">
      <w:pPr>
        <w:pStyle w:val="ECHRPara"/>
      </w:pPr>
      <w:r w:rsidRPr="009D4272">
        <w:fldChar w:fldCharType="begin"/>
      </w:r>
      <w:r w:rsidR="008750A8" w:rsidRPr="009D4272">
        <w:instrText xml:space="preserve"> SEQ level0 \*arabic </w:instrText>
      </w:r>
      <w:r w:rsidRPr="009D4272">
        <w:fldChar w:fldCharType="separate"/>
      </w:r>
      <w:r w:rsidR="009D4272" w:rsidRPr="009D4272">
        <w:rPr>
          <w:noProof/>
        </w:rPr>
        <w:t>29</w:t>
      </w:r>
      <w:r w:rsidRPr="009D4272">
        <w:rPr>
          <w:noProof/>
        </w:rPr>
        <w:fldChar w:fldCharType="end"/>
      </w:r>
      <w:bookmarkEnd w:id="18"/>
      <w:r w:rsidR="008750A8">
        <w:t>.  655.pants nosaka pamatojumu, ar ko izbeigts kriminālprocess var tikt atjaunots sakarā ar jaunatklātiem apstākļiem:</w:t>
      </w:r>
    </w:p>
    <w:p w:rsidR="00EA7C3C" w:rsidRPr="009D4272" w:rsidRDefault="00001038" w:rsidP="009D4272">
      <w:pPr>
        <w:pStyle w:val="ECHRParaQuote"/>
      </w:pPr>
      <w:r>
        <w:lastRenderedPageBreak/>
        <w:t>„</w:t>
      </w:r>
      <w:r w:rsidR="00DE331F">
        <w:t>(1) Atjaunot kriminālprocesu, kurā ir spēkā stājies tiesas spriedums vai lēmums, var sakarā ar jaunatklātiem apstākļiem.</w:t>
      </w:r>
    </w:p>
    <w:p w:rsidR="00EA7C3C" w:rsidRPr="009D4272" w:rsidRDefault="00EA7C3C" w:rsidP="009D4272">
      <w:pPr>
        <w:pStyle w:val="ECHRParaQuote"/>
      </w:pPr>
      <w:r>
        <w:t>(2) Par jaunatklātiem uzskatāmi šādi apstākļi:</w:t>
      </w:r>
    </w:p>
    <w:p w:rsidR="00EA7C3C" w:rsidRPr="009D4272" w:rsidRDefault="00DE331F" w:rsidP="009D4272">
      <w:pPr>
        <w:pStyle w:val="ECHRParaQuote"/>
      </w:pPr>
      <w:r>
        <w:t>1) ar spēkā stājušos tiesas spriedumu atzītas cietušā vai liecinieka apzināti nepatiesas liecības, apzināti nepatiess eksperta atzinums, tulkojums, lietisko pierādījumu, izmeklēšanas un tiesas darbību protokolu vai lēmumu viltojums, kā arī citu pierādījumu viltojums, kuri bijuši pamatā nelikumīga nolēmuma pieņemšanai;</w:t>
      </w:r>
    </w:p>
    <w:p w:rsidR="00EA7C3C" w:rsidRPr="009D4272" w:rsidRDefault="00EA7C3C" w:rsidP="009D4272">
      <w:pPr>
        <w:pStyle w:val="ECHRParaQuote"/>
      </w:pPr>
      <w:r>
        <w:t>2) ar spēkā stājušos tiesas spriedumu atzīta tiesneša, prokurora vai izmeklētāja noziedzīga ļaunprātība, kas bijusi pamatā nelikumīga nolēmuma pieņemšanai;</w:t>
      </w:r>
    </w:p>
    <w:p w:rsidR="00EA7C3C" w:rsidRPr="009D4272" w:rsidRDefault="00DE331F" w:rsidP="009D4272">
      <w:pPr>
        <w:pStyle w:val="ECHRParaQuote"/>
      </w:pPr>
      <w:r>
        <w:t>3) citi apstākļi, kas, pieņemot nolēmumu, nav bijuši zināmi tiesai un kas paši par sevi vai kopā ar agrāk konstatētajiem apstākļiem norāda, ka persona nav vainīga vai izdarījusi vieglāku vai smagāku noziedzīgu nodarījumu nekā tas, par kuru tā notiesāta, vai arī kas liecina par attaisnotā vai tās personas vainu, attiecībā uz kuru kriminālprocess bijis izbeigts;</w:t>
      </w:r>
    </w:p>
    <w:p w:rsidR="00EA7C3C" w:rsidRPr="009D4272" w:rsidRDefault="00EA7C3C" w:rsidP="009D4272">
      <w:pPr>
        <w:pStyle w:val="ECHRParaQuote"/>
      </w:pPr>
      <w:r>
        <w:t>4) Satversmes tiesas atzinums par tādas tiesību normas vai tās interpretācijas neatbilstību Satversmei, uz kuras pamata spēkā stājies nolēmums;</w:t>
      </w:r>
    </w:p>
    <w:p w:rsidR="00EA7C3C" w:rsidRPr="009D4272" w:rsidRDefault="00DE331F" w:rsidP="009D4272">
      <w:pPr>
        <w:pStyle w:val="ECHRParaQuote"/>
      </w:pPr>
      <w:r>
        <w:t>5) starptautiskas tiesu institūcijas atzinums par to, ka Latvijas nolēmums, kas stājies spēkā, neatbilst Latvijai saistošiem starptautiskajiem normatīvajiem aktiem.</w:t>
      </w:r>
    </w:p>
    <w:p w:rsidR="00E128A9" w:rsidRPr="009D4272" w:rsidRDefault="00DE331F" w:rsidP="009D4272">
      <w:pPr>
        <w:pStyle w:val="ECHRParaQuote"/>
      </w:pPr>
      <w:r>
        <w:t>(3) Ja nav iespējams taisīt spriedumu tāpēc, ka iestājies noilgums, izdots amnestijas akts, apžēlotas atsevišķas personas vai miris apsūdzētais, šā panta otrās daļas 1. un 2.punktā minēto jaunatklāto apstākļu esamību konstatē izmeklēšana, ko izdara šajā nodaļā paredzētajā kārtībā.</w:t>
      </w:r>
    </w:p>
    <w:p w:rsidR="00EA7C3C" w:rsidRPr="009D4272" w:rsidRDefault="00153DC2" w:rsidP="009D4272">
      <w:pPr>
        <w:pStyle w:val="ECHRParaQuote"/>
      </w:pPr>
      <w:r>
        <w:t>...”</w:t>
      </w:r>
    </w:p>
    <w:bookmarkStart w:id="19" w:name="p655."/>
    <w:bookmarkEnd w:id="19"/>
    <w:p w:rsidR="00EA7C3C" w:rsidRPr="009D4272" w:rsidRDefault="003D7F16" w:rsidP="009D4272">
      <w:pPr>
        <w:pStyle w:val="ECHRPara"/>
      </w:pPr>
      <w:r w:rsidRPr="009D4272">
        <w:fldChar w:fldCharType="begin"/>
      </w:r>
      <w:r w:rsidR="00EA7C3C" w:rsidRPr="009D4272">
        <w:instrText xml:space="preserve"> SEQ level0 \*arabic </w:instrText>
      </w:r>
      <w:r w:rsidRPr="009D4272">
        <w:fldChar w:fldCharType="separate"/>
      </w:r>
      <w:r w:rsidR="009D4272" w:rsidRPr="009D4272">
        <w:rPr>
          <w:noProof/>
        </w:rPr>
        <w:t>30</w:t>
      </w:r>
      <w:r w:rsidRPr="009D4272">
        <w:fldChar w:fldCharType="end"/>
      </w:r>
      <w:r w:rsidR="00EA7C3C">
        <w:t>.  Saskaņā ar 656.panta 1.punktu attaisnojoša sprieduma vai lēmuma par kriminālprocesa izbeigšanu jauna izskatīšana ir atļauta tikai likumā noteiktajā kriminālatbildības noilguma termiņa laikā un ne vēlāk kā vienu gadu no jaunatklāto apstākļu konstatēšanas dienas.</w:t>
      </w:r>
    </w:p>
    <w:bookmarkStart w:id="20" w:name="para28"/>
    <w:bookmarkStart w:id="21" w:name="para29"/>
    <w:p w:rsidR="00EA7C3C" w:rsidRPr="009D4272" w:rsidRDefault="003D7F16" w:rsidP="009D4272">
      <w:pPr>
        <w:pStyle w:val="ECHRPara"/>
      </w:pPr>
      <w:r w:rsidRPr="009D4272">
        <w:fldChar w:fldCharType="begin"/>
      </w:r>
      <w:r w:rsidR="007D4C9E" w:rsidRPr="009D4272">
        <w:instrText xml:space="preserve"> SEQ level0 \*arabic </w:instrText>
      </w:r>
      <w:r w:rsidRPr="009D4272">
        <w:fldChar w:fldCharType="separate"/>
      </w:r>
      <w:r w:rsidR="009D4272" w:rsidRPr="009D4272">
        <w:rPr>
          <w:noProof/>
        </w:rPr>
        <w:t>31</w:t>
      </w:r>
      <w:r w:rsidRPr="009D4272">
        <w:rPr>
          <w:noProof/>
        </w:rPr>
        <w:fldChar w:fldCharType="end"/>
      </w:r>
      <w:bookmarkEnd w:id="20"/>
      <w:bookmarkEnd w:id="21"/>
      <w:r w:rsidR="007D4C9E">
        <w:t>.  Saskaņā ar 657.pantu tiesības atjaunot kriminālprocesu sakarā ar jaunatklātiem apstākļiem ir prokuroram. Ja prokurors atsakās atjaunot kriminālprocesu sakarā ar jaunatklātiem apstākļiem, viņš par to pieņem motivētu lēmumu un paziņo par to pieteicējam, nosūtot viņam lēmuma kopiju un izskaidrojot tiesības 10 dienu laikā no saņemšanas brīža pārsūdzēt šo lēmumu amatā augstākam prokuroram, kura lēmums nav pārsūdzams.</w:t>
      </w:r>
    </w:p>
    <w:p w:rsidR="00EA7C3C" w:rsidRPr="009D4272" w:rsidRDefault="00EA7C3C" w:rsidP="009D4272">
      <w:pPr>
        <w:pStyle w:val="ECHRHeading3"/>
      </w:pPr>
      <w:r>
        <w:t>2.  Piemērojamās Prokuratūras likuma daļas</w:t>
      </w:r>
    </w:p>
    <w:p w:rsidR="00EA7C3C" w:rsidRPr="009D4272" w:rsidRDefault="003D7F16" w:rsidP="009D4272">
      <w:pPr>
        <w:pStyle w:val="ECHRPara"/>
      </w:pPr>
      <w:r w:rsidRPr="009D4272">
        <w:rPr>
          <w:rStyle w:val="ECHRParaChar"/>
        </w:rPr>
        <w:fldChar w:fldCharType="begin"/>
      </w:r>
      <w:r w:rsidR="00EA7C3C" w:rsidRPr="009D4272">
        <w:rPr>
          <w:rStyle w:val="ECHRParaChar"/>
        </w:rPr>
        <w:instrText xml:space="preserve"> SEQ level0 \*arabic </w:instrText>
      </w:r>
      <w:r w:rsidRPr="009D4272">
        <w:rPr>
          <w:rStyle w:val="ECHRParaChar"/>
        </w:rPr>
        <w:fldChar w:fldCharType="separate"/>
      </w:r>
      <w:r w:rsidR="009D4272" w:rsidRPr="009D4272">
        <w:rPr>
          <w:rStyle w:val="ECHRParaChar"/>
          <w:noProof/>
        </w:rPr>
        <w:t>32</w:t>
      </w:r>
      <w:r w:rsidRPr="009D4272">
        <w:rPr>
          <w:rStyle w:val="ECHRParaChar"/>
        </w:rPr>
        <w:fldChar w:fldCharType="end"/>
      </w:r>
      <w:r w:rsidR="00EA7C3C">
        <w:t>.  </w:t>
      </w:r>
      <w:proofErr w:type="gramStart"/>
      <w:r w:rsidR="00EA7C3C">
        <w:t>16.pants</w:t>
      </w:r>
      <w:proofErr w:type="gramEnd"/>
      <w:r w:rsidR="00EA7C3C">
        <w:t xml:space="preserve"> paredz šo:</w:t>
      </w:r>
    </w:p>
    <w:p w:rsidR="00EA7C3C" w:rsidRPr="009D4272" w:rsidRDefault="00001038" w:rsidP="009D4272">
      <w:pPr>
        <w:pStyle w:val="ECHRParaQuote"/>
      </w:pPr>
      <w:r>
        <w:t>„</w:t>
      </w:r>
      <w:r w:rsidR="00153DC2">
        <w:t>(1) Prokurors, saņēmis informāciju par likuma pārkāpumu, likumā noteiktajā kārtībā izdara pārbaudi, ja:</w:t>
      </w:r>
    </w:p>
    <w:p w:rsidR="00EA7C3C" w:rsidRPr="009D4272" w:rsidRDefault="00DE331F" w:rsidP="009D4272">
      <w:pPr>
        <w:pStyle w:val="ECHRParaQuote"/>
      </w:pPr>
      <w:r>
        <w:t>i) informācijā ir ziņas par noziegumu;</w:t>
      </w:r>
    </w:p>
    <w:p w:rsidR="00EA7C3C" w:rsidRPr="009D4272" w:rsidRDefault="00EA7C3C" w:rsidP="009D4272">
      <w:pPr>
        <w:pStyle w:val="ECHRParaQuote"/>
      </w:pPr>
      <w:r>
        <w:t>...</w:t>
      </w:r>
    </w:p>
    <w:p w:rsidR="00EA7C3C" w:rsidRPr="009D4272" w:rsidRDefault="00EA7C3C" w:rsidP="009D4272">
      <w:pPr>
        <w:pStyle w:val="ECHRParaQuote"/>
      </w:pPr>
      <w:r>
        <w:t>(2) Prokuroram ir pienākums veikt nepieciešamos pasākumus personu un valsts tiesību un likumīgo interešu aizsardzībai, ja:</w:t>
      </w:r>
    </w:p>
    <w:p w:rsidR="00EA7C3C" w:rsidRPr="009D4272" w:rsidRDefault="00EA7C3C" w:rsidP="009D4272">
      <w:pPr>
        <w:pStyle w:val="ECHRParaQuote"/>
      </w:pPr>
      <w:r>
        <w:t>i) ģenerālprokurors vai virsprokurori atzīst šādas pārbaudes nepieciešamību;</w:t>
      </w:r>
      <w:proofErr w:type="gramStart"/>
      <w:r>
        <w:t xml:space="preserve"> .</w:t>
      </w:r>
      <w:proofErr w:type="gramEnd"/>
      <w:r>
        <w:t>..</w:t>
      </w:r>
    </w:p>
    <w:p w:rsidR="00EA7C3C" w:rsidRPr="009D4272" w:rsidRDefault="00EA7C3C" w:rsidP="009D4272">
      <w:pPr>
        <w:pStyle w:val="ECHRParaQuote"/>
      </w:pPr>
      <w:proofErr w:type="spellStart"/>
      <w:r>
        <w:lastRenderedPageBreak/>
        <w:t>ii</w:t>
      </w:r>
      <w:proofErr w:type="spellEnd"/>
      <w:r>
        <w:t>) šāds pienākums ir noteikts citos likumos</w:t>
      </w:r>
      <w:proofErr w:type="gramStart"/>
      <w:r>
        <w:t xml:space="preserve"> .</w:t>
      </w:r>
      <w:proofErr w:type="gramEnd"/>
      <w:r>
        <w:t>..</w:t>
      </w:r>
    </w:p>
    <w:p w:rsidR="00EA7C3C" w:rsidRPr="009D4272" w:rsidRDefault="00EA7C3C" w:rsidP="009D4272">
      <w:pPr>
        <w:pStyle w:val="ECHRParaQuote"/>
      </w:pPr>
      <w:r>
        <w:t>(3) Prokurors izdara pārbaudi arī tad, ja ir saņemts iesniegums no personas par tās tiesību vai likumīgo interešu pārkāpumu, turklāt šis iesniegums jau ir izskatīts kompetentā valsts institūcijā un ir saņemts tās atteikums novērst iesniegumā minēto likuma pārkāpumu vai likumā noteiktajā termiņā vispār nav sniegta atbilde.  ...”</w:t>
      </w:r>
    </w:p>
    <w:p w:rsidR="00EA7C3C"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33</w:t>
      </w:r>
      <w:r w:rsidRPr="009D4272">
        <w:rPr>
          <w:noProof/>
        </w:rPr>
        <w:fldChar w:fldCharType="end"/>
      </w:r>
      <w:r w:rsidR="00E17C5D">
        <w:t>.  </w:t>
      </w:r>
      <w:proofErr w:type="gramStart"/>
      <w:r w:rsidR="00E17C5D">
        <w:t>17.pants</w:t>
      </w:r>
      <w:proofErr w:type="gramEnd"/>
      <w:r w:rsidR="00E17C5D">
        <w:t xml:space="preserve"> nosaka prokurora pilnvaras, veicot iesnieguma pārbaudi:</w:t>
      </w:r>
    </w:p>
    <w:p w:rsidR="00EA7C3C" w:rsidRPr="009D4272" w:rsidRDefault="00EA7C3C" w:rsidP="009D4272">
      <w:pPr>
        <w:pStyle w:val="ECHRParaQuote"/>
      </w:pPr>
      <w:r>
        <w:t>“(1) Prokuroram, likumā noteiktajā kārtībā veicot iesnieguma pārbaudi, ir tiesības:</w:t>
      </w:r>
    </w:p>
    <w:p w:rsidR="00EA7C3C" w:rsidRPr="009D4272" w:rsidRDefault="00DE331F" w:rsidP="009D4272">
      <w:pPr>
        <w:pStyle w:val="ECHRParaQuote"/>
      </w:pPr>
      <w:r>
        <w:t>i) pieprasīt un saņemt no valsts pārvaldes institūcijām</w:t>
      </w:r>
      <w:proofErr w:type="gramStart"/>
      <w:r>
        <w:t xml:space="preserve"> .</w:t>
      </w:r>
      <w:proofErr w:type="gramEnd"/>
      <w:r>
        <w:t>.. normatīvos aktus, dokumentus un citu informāciju, kā arī netraucēti ieiet šo institūciju telpās;</w:t>
      </w:r>
    </w:p>
    <w:p w:rsidR="00EA7C3C" w:rsidRPr="009D4272" w:rsidRDefault="00DE331F" w:rsidP="009D4272">
      <w:pPr>
        <w:pStyle w:val="ECHRParaQuote"/>
      </w:pPr>
      <w:proofErr w:type="spellStart"/>
      <w:r>
        <w:t>ii</w:t>
      </w:r>
      <w:proofErr w:type="spellEnd"/>
      <w:r>
        <w:t>) uzdot</w:t>
      </w:r>
      <w:proofErr w:type="gramStart"/>
      <w:r>
        <w:t xml:space="preserve"> .</w:t>
      </w:r>
      <w:proofErr w:type="gramEnd"/>
      <w:r>
        <w:t>.. iestāžu un organizāciju vadītājiem un citām amatpersonām veikt pārbaudes, revīzijas un ekspertīzes un iesniegt atzinumus, kā arī sniegt speciālistu palīdzību prokurora veiktajās pārbaudēs;</w:t>
      </w:r>
    </w:p>
    <w:p w:rsidR="00EA7C3C" w:rsidRPr="009D4272" w:rsidRDefault="00DE331F" w:rsidP="009D4272">
      <w:pPr>
        <w:pStyle w:val="ECHRParaQuote"/>
      </w:pPr>
      <w:proofErr w:type="spellStart"/>
      <w:r>
        <w:t>iii</w:t>
      </w:r>
      <w:proofErr w:type="spellEnd"/>
      <w:r>
        <w:t>) uzaicināt personu un saņemt no tās paskaidrojumu par likuma pārkāpumu...</w:t>
      </w:r>
    </w:p>
    <w:p w:rsidR="00EA7C3C" w:rsidRPr="009D4272" w:rsidRDefault="00DE331F" w:rsidP="009D4272">
      <w:pPr>
        <w:pStyle w:val="ECHRParaQuote"/>
      </w:pPr>
      <w:r>
        <w:t>(2) Prokuroram, konstatējot likuma pārkāpumu, atbilstoši tā raksturam ir pienākums:</w:t>
      </w:r>
    </w:p>
    <w:p w:rsidR="00EA7C3C" w:rsidRPr="009D4272" w:rsidRDefault="00EA7C3C" w:rsidP="009D4272">
      <w:pPr>
        <w:pStyle w:val="ECHRParaQuote"/>
      </w:pPr>
      <w:r>
        <w:t>...</w:t>
      </w:r>
    </w:p>
    <w:p w:rsidR="00EA7C3C" w:rsidRPr="009D4272" w:rsidRDefault="00EA7C3C" w:rsidP="009D4272">
      <w:pPr>
        <w:pStyle w:val="ECHRParaQuote"/>
      </w:pPr>
      <w:proofErr w:type="spellStart"/>
      <w:r>
        <w:t>iii</w:t>
      </w:r>
      <w:proofErr w:type="spellEnd"/>
      <w:r>
        <w:t>) iesniegt prasības pieteikumu tiesā;</w:t>
      </w:r>
    </w:p>
    <w:p w:rsidR="00EA7C3C" w:rsidRPr="009D4272" w:rsidRDefault="00DE331F" w:rsidP="009D4272">
      <w:pPr>
        <w:pStyle w:val="ECHRParaQuote"/>
      </w:pPr>
      <w:proofErr w:type="spellStart"/>
      <w:r>
        <w:t>iv</w:t>
      </w:r>
      <w:proofErr w:type="spellEnd"/>
      <w:r>
        <w:t>) uzsākt kriminālprocesu; vai</w:t>
      </w:r>
    </w:p>
    <w:p w:rsidR="00A04F83" w:rsidRPr="009D4272" w:rsidRDefault="00DE331F" w:rsidP="009D4272">
      <w:pPr>
        <w:pStyle w:val="ECHRParaQuote"/>
      </w:pPr>
      <w:r>
        <w:t>v) ierosināt izskatīt jautājumu par saukšanu pie administratīvās vai disciplinārās atbildības.”</w:t>
      </w:r>
    </w:p>
    <w:p w:rsidR="00A04F83" w:rsidRPr="009D4272" w:rsidRDefault="00A04F83" w:rsidP="009D4272">
      <w:pPr>
        <w:pStyle w:val="ECHRHeading2"/>
      </w:pPr>
      <w:r>
        <w:t>B. Vīnes konvencija par starptautisko līgumu tiesībām (1969)</w:t>
      </w:r>
    </w:p>
    <w:bookmarkStart w:id="22" w:name="para34"/>
    <w:p w:rsidR="00A04F83" w:rsidRPr="009D4272" w:rsidRDefault="003D7F16" w:rsidP="009D4272">
      <w:pPr>
        <w:pStyle w:val="ECHRPara"/>
      </w:pPr>
      <w:r w:rsidRPr="009D4272">
        <w:fldChar w:fldCharType="begin"/>
      </w:r>
      <w:r w:rsidR="00EA2BF6" w:rsidRPr="009D4272">
        <w:instrText xml:space="preserve"> SEQ level0 \*arabic </w:instrText>
      </w:r>
      <w:r w:rsidRPr="009D4272">
        <w:fldChar w:fldCharType="separate"/>
      </w:r>
      <w:r w:rsidR="009D4272" w:rsidRPr="009D4272">
        <w:rPr>
          <w:noProof/>
        </w:rPr>
        <w:t>34</w:t>
      </w:r>
      <w:r w:rsidRPr="009D4272">
        <w:fldChar w:fldCharType="end"/>
      </w:r>
      <w:bookmarkEnd w:id="22"/>
      <w:r w:rsidR="00EA2BF6">
        <w:t xml:space="preserve">.  Vīnes konvencijas par starptautisko līgumu tiesībām, kura stājās spēkā </w:t>
      </w:r>
      <w:proofErr w:type="gramStart"/>
      <w:r w:rsidR="00EA2BF6">
        <w:t>1980.gada</w:t>
      </w:r>
      <w:proofErr w:type="gramEnd"/>
      <w:r w:rsidR="00EA2BF6">
        <w:t xml:space="preserve"> 27.janvārī, 27.pants paredz:</w:t>
      </w:r>
    </w:p>
    <w:p w:rsidR="00EA2BF6" w:rsidRPr="009D4272" w:rsidRDefault="00EA2BF6" w:rsidP="009D4272">
      <w:pPr>
        <w:pStyle w:val="ECHRTitleCentre3"/>
        <w:rPr>
          <w:rFonts w:eastAsiaTheme="majorEastAsia"/>
        </w:rPr>
      </w:pPr>
      <w:r>
        <w:t>Nacionālo tiesību normu un līguma ievērošana</w:t>
      </w:r>
    </w:p>
    <w:p w:rsidR="00A04F83" w:rsidRPr="009D4272" w:rsidRDefault="00001038" w:rsidP="009D4272">
      <w:pPr>
        <w:pStyle w:val="ECHRParaQuote"/>
        <w:rPr>
          <w:rFonts w:eastAsiaTheme="majorEastAsia"/>
        </w:rPr>
      </w:pPr>
      <w:r>
        <w:t>„</w:t>
      </w:r>
      <w:r w:rsidR="00153DC2">
        <w:t xml:space="preserve">Dalībnieks nevar atsaukties uz nacionālo tiesību normu prasībām, lai attaisnotu līguma neizpildi.  Šis noteikums neietekmē </w:t>
      </w:r>
      <w:proofErr w:type="gramStart"/>
      <w:r w:rsidR="00153DC2">
        <w:t>46.panta</w:t>
      </w:r>
      <w:proofErr w:type="gramEnd"/>
      <w:r w:rsidR="00153DC2">
        <w:t xml:space="preserve"> noteikumus.”</w:t>
      </w:r>
    </w:p>
    <w:p w:rsidR="00EA7C3C" w:rsidRPr="009D4272" w:rsidRDefault="00A04F83" w:rsidP="009D4272">
      <w:pPr>
        <w:pStyle w:val="ECHRHeading2"/>
      </w:pPr>
      <w:r>
        <w:t>C. Piemērojamie Eiropas Padomes dokumenti</w:t>
      </w:r>
    </w:p>
    <w:bookmarkStart w:id="23" w:name="CoERec"/>
    <w:bookmarkStart w:id="24" w:name="para32"/>
    <w:p w:rsidR="00EA7C3C" w:rsidRPr="009D4272" w:rsidRDefault="003D7F16" w:rsidP="009D4272">
      <w:pPr>
        <w:pStyle w:val="ECHRPara"/>
        <w:rPr>
          <w:rFonts w:cstheme="minorHAnsi"/>
          <w:bCs/>
          <w:szCs w:val="24"/>
        </w:rPr>
      </w:pPr>
      <w:r w:rsidRPr="009D4272">
        <w:fldChar w:fldCharType="begin"/>
      </w:r>
      <w:r w:rsidR="00EA7C3C" w:rsidRPr="009D4272">
        <w:instrText xml:space="preserve"> SEQ level0 \*arabic </w:instrText>
      </w:r>
      <w:r w:rsidRPr="009D4272">
        <w:fldChar w:fldCharType="separate"/>
      </w:r>
      <w:r w:rsidR="009D4272" w:rsidRPr="009D4272">
        <w:rPr>
          <w:noProof/>
        </w:rPr>
        <w:t>35</w:t>
      </w:r>
      <w:r w:rsidRPr="009D4272">
        <w:fldChar w:fldCharType="end"/>
      </w:r>
      <w:bookmarkEnd w:id="23"/>
      <w:bookmarkEnd w:id="24"/>
      <w:r w:rsidR="00EA7C3C">
        <w:t xml:space="preserve">.  Eiropas Padomes Ministru komitejas </w:t>
      </w:r>
      <w:proofErr w:type="gramStart"/>
      <w:r w:rsidR="00EA7C3C">
        <w:t>2000.gada</w:t>
      </w:r>
      <w:proofErr w:type="gramEnd"/>
      <w:r w:rsidR="00EA7C3C">
        <w:t xml:space="preserve"> Rekomendācija Nr. R(2000)2 „Par atsevišķu lietu pārskatīšanu vai izskatīšanu no jauna nacionālajā līmenī pēc pieņemtajiem Eiropas Cilvēktiesību tiesas spriedumiem” paredz šo: </w:t>
      </w:r>
    </w:p>
    <w:p w:rsidR="00EA7C3C" w:rsidRPr="009D4272" w:rsidRDefault="00001038" w:rsidP="009D4272">
      <w:pPr>
        <w:pStyle w:val="ECHRParaQuote"/>
      </w:pPr>
      <w:r>
        <w:t>„</w:t>
      </w:r>
      <w:r w:rsidR="00EA7C3C">
        <w:t xml:space="preserve">Ministru komiteja saskaņā ar Eiropas Padomes Statūtu </w:t>
      </w:r>
      <w:proofErr w:type="gramStart"/>
      <w:r w:rsidR="00EA7C3C">
        <w:t>15.panta</w:t>
      </w:r>
      <w:proofErr w:type="gramEnd"/>
      <w:r w:rsidR="00EA7C3C">
        <w:t xml:space="preserve"> b) apakšpunkta nosacījumiem,</w:t>
      </w:r>
    </w:p>
    <w:p w:rsidR="00EA7C3C" w:rsidRPr="009D4272" w:rsidRDefault="00EA7C3C" w:rsidP="009D4272">
      <w:pPr>
        <w:pStyle w:val="ECHRParaQuote"/>
      </w:pPr>
      <w:r>
        <w:t>Ņemot vērā to, ka Eiropas Padomes mērķis ir panākt ciešāku savienību starp tās dalībvalstīm;</w:t>
      </w:r>
    </w:p>
    <w:p w:rsidR="00EA7C3C" w:rsidRPr="009D4272" w:rsidRDefault="00EA7C3C" w:rsidP="009D4272">
      <w:pPr>
        <w:pStyle w:val="ECHRParaQuote"/>
      </w:pPr>
      <w:r>
        <w:t>Ņemot vērā Cilvēktiesību un pamatbrīvību aizsardzības konvenciju (turpmāk tekstā - Konvencija);</w:t>
      </w:r>
    </w:p>
    <w:p w:rsidR="00EA7C3C" w:rsidRPr="009D4272" w:rsidRDefault="00EA7C3C" w:rsidP="009D4272">
      <w:pPr>
        <w:pStyle w:val="ECHRParaQuote"/>
      </w:pPr>
      <w:r>
        <w:lastRenderedPageBreak/>
        <w:t xml:space="preserve">Atzīmējot, </w:t>
      </w:r>
      <w:r w:rsidR="004A4E88">
        <w:t xml:space="preserve">ka saskaņā ar </w:t>
      </w:r>
      <w:r>
        <w:t xml:space="preserve">Cilvēktiesību un pamatbrīvību aizsardzības konvencijas (turpmāk tekstā - Konvencija) </w:t>
      </w:r>
      <w:proofErr w:type="gramStart"/>
      <w:r>
        <w:t>46.pantu</w:t>
      </w:r>
      <w:proofErr w:type="gramEnd"/>
      <w:r>
        <w:t xml:space="preserve"> dalībvalstis ir atzinušas saistības ievērot </w:t>
      </w:r>
      <w:r w:rsidR="00001038">
        <w:t>Eiropas Cilvēktiesību tiesas („</w:t>
      </w:r>
      <w:r>
        <w:t>Tiesa”) galīgo spriedumu jebkurā lietā, kurā tās ir puse, un ka Ministru komiteja uzrauga tā izpildi;</w:t>
      </w:r>
    </w:p>
    <w:p w:rsidR="00EA7C3C" w:rsidRPr="009D4272" w:rsidRDefault="00EA7C3C" w:rsidP="009D4272">
      <w:pPr>
        <w:pStyle w:val="ECHRParaQuote"/>
      </w:pPr>
      <w:r>
        <w:t xml:space="preserve">Ņemot vērā to, ka konkrētos apstākļos iepriekš minētais pienākums var ietvert tādu pasākumu pieņemšanu, izņemot tikai saskaņā ar Konvencijas </w:t>
      </w:r>
      <w:proofErr w:type="gramStart"/>
      <w:r>
        <w:t>41.pantu</w:t>
      </w:r>
      <w:proofErr w:type="gramEnd"/>
      <w:r>
        <w:t xml:space="preserve"> Tiesas piešķirto atlīdzību un/vai vispārējos pasākumus, kas nodrošina to, ka cietusī puse, cik vien iespējams, atrodas tādā pašā situācijā, kādā tā bija pirms Konvencijas pārkāpuma (</w:t>
      </w:r>
      <w:proofErr w:type="spellStart"/>
      <w:r>
        <w:rPr>
          <w:i/>
        </w:rPr>
        <w:t>restitutio</w:t>
      </w:r>
      <w:proofErr w:type="spellEnd"/>
      <w:r>
        <w:rPr>
          <w:i/>
        </w:rPr>
        <w:t xml:space="preserve"> in </w:t>
      </w:r>
      <w:proofErr w:type="spellStart"/>
      <w:r>
        <w:rPr>
          <w:i/>
        </w:rPr>
        <w:t>integrum</w:t>
      </w:r>
      <w:proofErr w:type="spellEnd"/>
      <w:r>
        <w:t>)</w:t>
      </w:r>
      <w:r w:rsidR="00001038">
        <w:t xml:space="preserve"> (atjaunošana iepriekšējā veidā)</w:t>
      </w:r>
      <w:r>
        <w:t>;</w:t>
      </w:r>
    </w:p>
    <w:p w:rsidR="00EA7C3C" w:rsidRPr="009D4272" w:rsidRDefault="00EA7C3C" w:rsidP="009D4272">
      <w:pPr>
        <w:pStyle w:val="ECHRParaQuote"/>
      </w:pPr>
      <w:r>
        <w:t xml:space="preserve">Atzīmējot, ka </w:t>
      </w:r>
      <w:r w:rsidR="00A13468">
        <w:t>valsts-</w:t>
      </w:r>
      <w:r>
        <w:t xml:space="preserve">atbildētājas kompetentajām iestādēm ir jāizlemj, kādi ir vispiemērotākie pasākumi, lai panāktu </w:t>
      </w:r>
      <w:proofErr w:type="spellStart"/>
      <w:r>
        <w:rPr>
          <w:i/>
        </w:rPr>
        <w:t>restitutio</w:t>
      </w:r>
      <w:proofErr w:type="spellEnd"/>
      <w:r>
        <w:rPr>
          <w:i/>
        </w:rPr>
        <w:t xml:space="preserve"> in </w:t>
      </w:r>
      <w:proofErr w:type="spellStart"/>
      <w:r>
        <w:rPr>
          <w:i/>
        </w:rPr>
        <w:t>integrum</w:t>
      </w:r>
      <w:proofErr w:type="spellEnd"/>
      <w:r>
        <w:rPr>
          <w:i/>
        </w:rPr>
        <w:t xml:space="preserve">, </w:t>
      </w:r>
      <w:r>
        <w:t>ņemot vērā</w:t>
      </w:r>
      <w:r>
        <w:rPr>
          <w:i/>
        </w:rPr>
        <w:t xml:space="preserve"> </w:t>
      </w:r>
      <w:r>
        <w:t>saskaņā ar nacionālo tiesību sistēmu pieejamos līdzekļus;</w:t>
      </w:r>
    </w:p>
    <w:p w:rsidR="00EA7C3C" w:rsidRPr="009D4272" w:rsidRDefault="00EA7C3C" w:rsidP="009D4272">
      <w:pPr>
        <w:pStyle w:val="ECHRParaQuote"/>
      </w:pPr>
      <w:r>
        <w:t xml:space="preserve">Ņemot vērā, ka tomēr Ministru komitejas īstenotā Tiesas spriedumu izpildes uzraudzība parāda, ka izņēmuma gadījumos lietas atkārtota izskatīšana vai procesa atjaunošana ir bijis visefektīvākais, ja ne vienīgais līdzeklis </w:t>
      </w:r>
      <w:proofErr w:type="spellStart"/>
      <w:r>
        <w:rPr>
          <w:i/>
        </w:rPr>
        <w:t>restitutio</w:t>
      </w:r>
      <w:proofErr w:type="spellEnd"/>
      <w:r>
        <w:rPr>
          <w:i/>
        </w:rPr>
        <w:t xml:space="preserve"> in </w:t>
      </w:r>
      <w:proofErr w:type="spellStart"/>
      <w:r>
        <w:rPr>
          <w:i/>
        </w:rPr>
        <w:t>integrum</w:t>
      </w:r>
      <w:proofErr w:type="spellEnd"/>
      <w:r>
        <w:t xml:space="preserve"> panākšanai; </w:t>
      </w:r>
    </w:p>
    <w:p w:rsidR="00EA7C3C" w:rsidRPr="009D4272" w:rsidRDefault="007C4CD7" w:rsidP="009D4272">
      <w:pPr>
        <w:pStyle w:val="ECHRParaQuote"/>
      </w:pPr>
      <w:r>
        <w:t xml:space="preserve">I. Aicina līgumslēdzējas puses, ņemot vērā šos apsvērumus, nodrošināt, lai nacionālā līmenī pastāv atbilstošas iespējas cik vien iespējams </w:t>
      </w:r>
      <w:r w:rsidR="004A4E88">
        <w:t xml:space="preserve">panākt </w:t>
      </w:r>
      <w:proofErr w:type="spellStart"/>
      <w:r>
        <w:rPr>
          <w:i/>
        </w:rPr>
        <w:t>restitutio</w:t>
      </w:r>
      <w:proofErr w:type="spellEnd"/>
      <w:r>
        <w:rPr>
          <w:i/>
        </w:rPr>
        <w:t xml:space="preserve"> in </w:t>
      </w:r>
      <w:proofErr w:type="spellStart"/>
      <w:r>
        <w:rPr>
          <w:i/>
        </w:rPr>
        <w:t>integrum</w:t>
      </w:r>
      <w:proofErr w:type="spellEnd"/>
      <w:r>
        <w:t>;</w:t>
      </w:r>
    </w:p>
    <w:p w:rsidR="00EA7C3C" w:rsidRPr="009D4272" w:rsidRDefault="007C4CD7" w:rsidP="009D4272">
      <w:pPr>
        <w:pStyle w:val="ECHRParaQuote"/>
      </w:pPr>
      <w:r>
        <w:t xml:space="preserve">II.  Mudina Līgumslēdzējas puses, jo īpaši, pārbaudīt savas nacionālās tiesību sistēmas ar </w:t>
      </w:r>
      <w:r w:rsidR="004A4E88">
        <w:t>mērķi</w:t>
      </w:r>
      <w:r>
        <w:t xml:space="preserve"> nodrošināt to, ka pastāv pietiekamas lietas atkārtotas izskatīšanas, tai skaitā procesa atjaunošanas, iespējas instancēs, </w:t>
      </w:r>
      <w:proofErr w:type="gramStart"/>
      <w:r>
        <w:t>kur Tiesa</w:t>
      </w:r>
      <w:proofErr w:type="gramEnd"/>
      <w:r>
        <w:t xml:space="preserve"> ir konstatējusi Konvencijas pārkāpumu, jo īpaši, ja:</w:t>
      </w:r>
    </w:p>
    <w:p w:rsidR="00EA7C3C" w:rsidRPr="009D4272" w:rsidRDefault="00EA7C3C" w:rsidP="009D4272">
      <w:pPr>
        <w:pStyle w:val="ECHRParaQuote"/>
      </w:pPr>
      <w:r>
        <w:t>i. cietusī puse turpina ciest ļoti nopietnas negatīvas sekas lietas nacionālā lēmuma iznākuma dēļ, kas netiek pienācīgi novērsts ar taisnīgu atlīdzību un nevar tikt novērsts savādāk kā ar lietas atkārtotu izskatīšanu vai atjaunošanu, un</w:t>
      </w:r>
    </w:p>
    <w:p w:rsidR="00EA7C3C" w:rsidRPr="009D4272" w:rsidRDefault="00EA7C3C" w:rsidP="009D4272">
      <w:pPr>
        <w:pStyle w:val="ECHRParaQuote"/>
      </w:pPr>
      <w:proofErr w:type="spellStart"/>
      <w:r>
        <w:t>ii</w:t>
      </w:r>
      <w:proofErr w:type="spellEnd"/>
      <w:r>
        <w:t>.  Tiesas spriedums liek secināt, ka</w:t>
      </w:r>
    </w:p>
    <w:p w:rsidR="00EA7C3C" w:rsidRPr="009D4272" w:rsidRDefault="00EA7C3C" w:rsidP="009D4272">
      <w:pPr>
        <w:pStyle w:val="ECHRParaQuote"/>
      </w:pPr>
      <w:r>
        <w:t xml:space="preserve">a. apstrīdētais nacionālais lēmums pēc būtības ir pretrunā </w:t>
      </w:r>
      <w:r w:rsidR="004A4E88">
        <w:t>Konvencijai</w:t>
      </w:r>
      <w:r>
        <w:t>, vai</w:t>
      </w:r>
    </w:p>
    <w:p w:rsidR="00A9028C" w:rsidRPr="009D4272" w:rsidRDefault="00EA7C3C" w:rsidP="009D4272">
      <w:pPr>
        <w:pStyle w:val="ECHRParaQuote"/>
      </w:pPr>
      <w:r>
        <w:t xml:space="preserve">b. konstatētais pārkāpums balstās uz procesuālām kļūdām vai tik nopietnām nepilnībām, ka tiek </w:t>
      </w:r>
      <w:r w:rsidR="004A4E88">
        <w:t xml:space="preserve">nopietni </w:t>
      </w:r>
      <w:r>
        <w:t>apšaubīts iekšzemes tiesvedības, par kuru ir iesniegta sūdzība, iznākums.”</w:t>
      </w:r>
    </w:p>
    <w:p w:rsidR="00361328"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36</w:t>
      </w:r>
      <w:r w:rsidRPr="009D4272">
        <w:rPr>
          <w:noProof/>
        </w:rPr>
        <w:fldChar w:fldCharType="end"/>
      </w:r>
      <w:r w:rsidR="00E17C5D">
        <w:t>.  Paskaidrojošais memorands Ministru komitejas rekomendācij</w:t>
      </w:r>
      <w:r w:rsidR="004A4E88">
        <w:t>ai</w:t>
      </w:r>
      <w:r w:rsidR="00E17C5D">
        <w:t xml:space="preserve"> Nr. R (2000) 2, cita starpā, ietver šādus komentārus:</w:t>
      </w:r>
    </w:p>
    <w:p w:rsidR="006A7189" w:rsidRPr="009D4272" w:rsidRDefault="00001038" w:rsidP="009D4272">
      <w:pPr>
        <w:pStyle w:val="ECHRParaQuote"/>
      </w:pPr>
      <w:r>
        <w:t>„</w:t>
      </w:r>
      <w:r w:rsidR="00361328">
        <w:t xml:space="preserve">...10.  Konvencijas iestāžu prakse ir pierādījusi, ka, galvenokārt, krimināltiesību jomā vislielākā nozīme ir lietas atkārtotai izskatīšanai, tai skaitā tiesvedības atjaunošanai. Tomēr rekomendācija neaprobežojas tikai ar krimināltiesībām, bet ietver jebkuru lietu kategoriju, jo īpaši tās, kas atbilst i) un </w:t>
      </w:r>
      <w:proofErr w:type="spellStart"/>
      <w:r w:rsidR="00361328">
        <w:t>ii</w:t>
      </w:r>
      <w:proofErr w:type="spellEnd"/>
      <w:r w:rsidR="00361328">
        <w:t xml:space="preserve">) apakšpunktā uzskaitītajiem kritērijiem. Šo papildu kritēriju mērķis ir noteikt tās izņēmuma situācijas, kurās indivīdu tiesību nodrošināšanas un Tiesas spriedumu efektīvas īstenošanas mērķis prevalē pār </w:t>
      </w:r>
      <w:proofErr w:type="spellStart"/>
      <w:r w:rsidR="00361328">
        <w:rPr>
          <w:i/>
        </w:rPr>
        <w:t>res</w:t>
      </w:r>
      <w:proofErr w:type="spellEnd"/>
      <w:r w:rsidR="00361328">
        <w:rPr>
          <w:i/>
        </w:rPr>
        <w:t xml:space="preserve"> </w:t>
      </w:r>
      <w:proofErr w:type="spellStart"/>
      <w:r w:rsidR="00361328">
        <w:rPr>
          <w:i/>
        </w:rPr>
        <w:t>judicata</w:t>
      </w:r>
      <w:proofErr w:type="spellEnd"/>
      <w:r w:rsidR="00361328">
        <w:t xml:space="preserve"> doktrīnā esošajiem principiem, jo īpaši tiesiskās noteiktības principu, neskatoties uz šo principu neapstrīdamo nozīmi.</w:t>
      </w:r>
    </w:p>
    <w:p w:rsidR="00361328" w:rsidRPr="009D4272" w:rsidRDefault="00967D20" w:rsidP="009D4272">
      <w:pPr>
        <w:pStyle w:val="ECHRParaQuote"/>
      </w:pPr>
      <w:r>
        <w:t xml:space="preserve">11.  i) apakšpunkts ir paredzēts attiecībā uz situāciju, kad cietusī puse turpina piedzīvot ļoti smagas negatīvas sekas, ko nav iespējams atlīdzināt tikai ar kompensāciju, nacionālo </w:t>
      </w:r>
      <w:r w:rsidR="00C152BB">
        <w:t>tiesas procesu</w:t>
      </w:r>
      <w:r>
        <w:t xml:space="preserve"> iznākuma dēļ. Tas, jo īpaši, attiecas uz personām, kurām ir piespriests ilgstošs cietumsods un kuras joprojām atrodas ieslodzījumā, ka</w:t>
      </w:r>
      <w:r w:rsidR="00001038">
        <w:t>d Konvencijas iestādes izskata „</w:t>
      </w:r>
      <w:r>
        <w:t>lietu”. ...</w:t>
      </w:r>
    </w:p>
    <w:p w:rsidR="00361328" w:rsidRPr="009D4272" w:rsidRDefault="006E1AC3" w:rsidP="009D4272">
      <w:pPr>
        <w:pStyle w:val="ECHRParaQuote"/>
      </w:pPr>
      <w:r>
        <w:lastRenderedPageBreak/>
        <w:t>... Situāciju piemēri, kuru mērķis saskaņā ar b) punktu ir, kad cietušai pusei nav laika un iespējas sagatavot savu aizstāvību kriminālprocesā, kad pārliecība ir balstīta uz paziņojumiem, kas iegūti spīdzināšanas vai</w:t>
      </w:r>
      <w:proofErr w:type="gramStart"/>
      <w:r>
        <w:t xml:space="preserve"> .</w:t>
      </w:r>
      <w:proofErr w:type="gramEnd"/>
      <w:r>
        <w:t>..”</w:t>
      </w:r>
    </w:p>
    <w:p w:rsidR="00CA7A99" w:rsidRPr="009D4272" w:rsidRDefault="00014566" w:rsidP="009D4272">
      <w:pPr>
        <w:pStyle w:val="ECHRTitle1"/>
      </w:pPr>
      <w:r>
        <w:t>JURIDISKAIS ASPEKTS</w:t>
      </w:r>
    </w:p>
    <w:p w:rsidR="00014566" w:rsidRPr="009D4272" w:rsidRDefault="00014566" w:rsidP="009D4272">
      <w:pPr>
        <w:pStyle w:val="ECHRHeading1"/>
      </w:pPr>
      <w:r>
        <w:t>I. IESPĒJAM</w:t>
      </w:r>
      <w:r w:rsidR="00545042">
        <w:t>AIS</w:t>
      </w:r>
      <w:r>
        <w:t xml:space="preserve"> KONVENCIJAS 3.UN 13.PANTA PĀRKĀPUM</w:t>
      </w:r>
      <w:r w:rsidR="00545042">
        <w:t>S</w:t>
      </w:r>
    </w:p>
    <w:p w:rsidR="00014566" w:rsidRPr="009D4272" w:rsidRDefault="003D7F16" w:rsidP="009D4272">
      <w:pPr>
        <w:pStyle w:val="ECHRPara"/>
      </w:pPr>
      <w:r w:rsidRPr="009D4272">
        <w:fldChar w:fldCharType="begin"/>
      </w:r>
      <w:r w:rsidR="00A956FC" w:rsidRPr="009D4272">
        <w:instrText xml:space="preserve"> SEQ level0 \*arabic </w:instrText>
      </w:r>
      <w:r w:rsidRPr="009D4272">
        <w:fldChar w:fldCharType="separate"/>
      </w:r>
      <w:r w:rsidR="009D4272" w:rsidRPr="009D4272">
        <w:rPr>
          <w:noProof/>
        </w:rPr>
        <w:t>37</w:t>
      </w:r>
      <w:r w:rsidRPr="009D4272">
        <w:fldChar w:fldCharType="end"/>
      </w:r>
      <w:r w:rsidR="00A956FC">
        <w:t xml:space="preserve">.  Iesniedzējs sūdzējās, ka, neskatoties uz to, ka Tiesa savā </w:t>
      </w:r>
      <w:proofErr w:type="gramStart"/>
      <w:r w:rsidR="00A956FC">
        <w:t>2009.gada</w:t>
      </w:r>
      <w:proofErr w:type="gramEnd"/>
      <w:r w:rsidR="00A956FC">
        <w:t xml:space="preserve"> 10.februāra lēmumā lietā </w:t>
      </w:r>
      <w:r w:rsidR="00A956FC">
        <w:rPr>
          <w:i/>
        </w:rPr>
        <w:t>Jeronovičs pret Latviju</w:t>
      </w:r>
      <w:r w:rsidR="00A956FC">
        <w:t xml:space="preserve"> (Nr. 547/02) ir pieņēmusi Valdības vienpusējo deklarāciju, kurā </w:t>
      </w:r>
      <w:r w:rsidR="00C84ED8">
        <w:t>Valdība</w:t>
      </w:r>
      <w:r w:rsidR="00A956FC">
        <w:t xml:space="preserve"> ir atzinusi vairākus </w:t>
      </w:r>
      <w:r w:rsidR="00C84ED8">
        <w:t>iesniedzēja</w:t>
      </w:r>
      <w:r w:rsidR="00A956FC">
        <w:t xml:space="preserve"> ar Konvenciju aizsargāto tiesību pārkāpumus, tai skaitā slikto izturēšanos pret viņu no policijas darbinieku puses, prokuratūra </w:t>
      </w:r>
      <w:r w:rsidR="00C84ED8">
        <w:t xml:space="preserve">šajā sakarā </w:t>
      </w:r>
      <w:r w:rsidR="00A956FC">
        <w:t xml:space="preserve">ir noraidījusi divu kriminālprocesu atjaunošanu. Šis atteikums liedza </w:t>
      </w:r>
      <w:r w:rsidR="00C84ED8">
        <w:t>iesniedzējam</w:t>
      </w:r>
      <w:r w:rsidR="00A956FC">
        <w:t xml:space="preserve"> jebkādu </w:t>
      </w:r>
      <w:r w:rsidR="00C84ED8">
        <w:t>tiesisku aizsardzību</w:t>
      </w:r>
      <w:r w:rsidR="00A956FC">
        <w:t xml:space="preserve"> </w:t>
      </w:r>
      <w:r w:rsidR="00C84ED8">
        <w:t>saistībā ar</w:t>
      </w:r>
      <w:r w:rsidR="00A956FC">
        <w:t xml:space="preserve"> viņa apgalvojumiem Konvencijas 3. un 13 pant</w:t>
      </w:r>
      <w:r w:rsidR="00C84ED8">
        <w:t>a kontekstā</w:t>
      </w:r>
      <w:r w:rsidR="00A956FC">
        <w:t xml:space="preserve">, </w:t>
      </w:r>
      <w:r w:rsidR="00C84ED8">
        <w:t>kas nosaka šādi</w:t>
      </w:r>
      <w:r w:rsidR="00A956FC">
        <w:t>:</w:t>
      </w:r>
    </w:p>
    <w:p w:rsidR="00564BD4" w:rsidRPr="009D4272" w:rsidRDefault="00564BD4" w:rsidP="009D4272">
      <w:pPr>
        <w:pStyle w:val="ECHRTitleCentre3"/>
      </w:pPr>
      <w:r>
        <w:t>3. pants</w:t>
      </w:r>
    </w:p>
    <w:p w:rsidR="00CE48D1" w:rsidRPr="009D4272" w:rsidRDefault="00001038" w:rsidP="009D4272">
      <w:pPr>
        <w:pStyle w:val="ECHRParaQuote"/>
      </w:pPr>
      <w:r>
        <w:t>„</w:t>
      </w:r>
      <w:r w:rsidR="00564BD4">
        <w:t>Nevienu nedrīkst spīdzināt vai cietsirdīgi vai pazemojoši ar viņu apieties vai sodīt.”</w:t>
      </w:r>
    </w:p>
    <w:p w:rsidR="00CE48D1" w:rsidRPr="009D4272" w:rsidRDefault="002070D3" w:rsidP="009D4272">
      <w:pPr>
        <w:pStyle w:val="ECHRTitleCentre3"/>
      </w:pPr>
      <w:r>
        <w:t>13. pants</w:t>
      </w:r>
    </w:p>
    <w:p w:rsidR="009F5B3B" w:rsidRPr="009D4272" w:rsidRDefault="00001038" w:rsidP="009D4272">
      <w:pPr>
        <w:pStyle w:val="ECHRParaQuote"/>
      </w:pPr>
      <w:r>
        <w:t>„</w:t>
      </w:r>
      <w:r w:rsidR="00CE48D1">
        <w:t>Ikvienam, kura tiesības un brīvības, kas noteiktas [šajā] Konvencijā, ir pārkāptas, ir tiesības uz efektīvu aizsardzību no valsts institūciju puses, neskatoties uz to, ka</w:t>
      </w:r>
      <w:proofErr w:type="gramStart"/>
      <w:r w:rsidR="00CE48D1">
        <w:t xml:space="preserve">  </w:t>
      </w:r>
      <w:proofErr w:type="gramEnd"/>
      <w:r w:rsidR="00CE48D1">
        <w:t>pārkāpumu ir izdarījušas personas, pildot publiskos dienesta pienākumus.”</w:t>
      </w:r>
    </w:p>
    <w:p w:rsidR="009F5B3B" w:rsidRPr="009D4272" w:rsidRDefault="009F5B3B" w:rsidP="009D4272">
      <w:pPr>
        <w:pStyle w:val="ECHRHeading2"/>
      </w:pPr>
      <w:r>
        <w:t>A. Tiesas lietas izskatīšanas tvērums</w:t>
      </w:r>
    </w:p>
    <w:p w:rsidR="009F5B3B" w:rsidRPr="009D4272" w:rsidRDefault="003D7F16" w:rsidP="009D4272">
      <w:pPr>
        <w:pStyle w:val="ECHRPara"/>
      </w:pPr>
      <w:r w:rsidRPr="009D4272">
        <w:fldChar w:fldCharType="begin"/>
      </w:r>
      <w:r w:rsidR="009F5B3B" w:rsidRPr="009D4272">
        <w:instrText xml:space="preserve"> SEQ level0 \*arabic </w:instrText>
      </w:r>
      <w:r w:rsidRPr="009D4272">
        <w:fldChar w:fldCharType="separate"/>
      </w:r>
      <w:r w:rsidR="009D4272" w:rsidRPr="009D4272">
        <w:rPr>
          <w:noProof/>
        </w:rPr>
        <w:t>38</w:t>
      </w:r>
      <w:r w:rsidRPr="009D4272">
        <w:fldChar w:fldCharType="end"/>
      </w:r>
      <w:r w:rsidR="009F5B3B">
        <w:t xml:space="preserve">.  Tiesa sākumā atzīmē, ka savos apsvērumos iesniedzējs sūdzējās arī par iestāžu atteikumu atjaunot kriminālprocesu, kura rezultātā viņš tika </w:t>
      </w:r>
      <w:r w:rsidR="00DF753A">
        <w:t>notiesāts</w:t>
      </w:r>
      <w:r w:rsidR="009F5B3B">
        <w:t>. Valdība arī</w:t>
      </w:r>
      <w:r w:rsidR="009754EB">
        <w:t xml:space="preserve"> minēja šo jautājumu savos apsvērumos</w:t>
      </w:r>
      <w:r w:rsidR="009F5B3B">
        <w:t xml:space="preserve">. Tomēr </w:t>
      </w:r>
      <w:r w:rsidR="00E721B4">
        <w:t xml:space="preserve">iesniedzēja </w:t>
      </w:r>
      <w:r w:rsidR="009F5B3B">
        <w:t xml:space="preserve">sūdzība tika noraidīta ar Tiesas </w:t>
      </w:r>
      <w:proofErr w:type="gramStart"/>
      <w:r w:rsidR="009F5B3B">
        <w:t>2012.gada</w:t>
      </w:r>
      <w:proofErr w:type="gramEnd"/>
      <w:r w:rsidR="009F5B3B">
        <w:t xml:space="preserve"> 9.oktobra lēmumu (skatīt iepriekš </w:t>
      </w:r>
      <w:r w:rsidRPr="009D4272">
        <w:fldChar w:fldCharType="begin"/>
      </w:r>
      <w:r w:rsidR="00206E84" w:rsidRPr="009D4272">
        <w:instrText xml:space="preserve"> REF para4 \h </w:instrText>
      </w:r>
      <w:r w:rsidRPr="009D4272">
        <w:fldChar w:fldCharType="separate"/>
      </w:r>
      <w:r w:rsidR="009D4272" w:rsidRPr="009D4272">
        <w:rPr>
          <w:noProof/>
        </w:rPr>
        <w:t>4</w:t>
      </w:r>
      <w:r w:rsidRPr="009D4272">
        <w:fldChar w:fldCharType="end"/>
      </w:r>
      <w:r w:rsidR="00001038">
        <w:t>.</w:t>
      </w:r>
      <w:r w:rsidR="009F5B3B">
        <w:t xml:space="preserve"> rindkopu).</w:t>
      </w:r>
    </w:p>
    <w:p w:rsidR="009F5B3B" w:rsidRPr="009D4272" w:rsidRDefault="00E721B4" w:rsidP="009D4272">
      <w:pPr>
        <w:pStyle w:val="ECHRPara"/>
      </w:pPr>
      <w:r>
        <w:t xml:space="preserve">Tādēļ </w:t>
      </w:r>
      <w:r w:rsidR="00A44675">
        <w:t xml:space="preserve">Tiesa vērtēs tikai tos faktus, kuri attiecas uz iesniedzēja sūdzībām </w:t>
      </w:r>
      <w:r>
        <w:t>atbilstoši Konvencijas</w:t>
      </w:r>
      <w:r w:rsidR="00A44675">
        <w:t xml:space="preserve"> 3. un </w:t>
      </w:r>
      <w:proofErr w:type="gramStart"/>
      <w:r w:rsidR="00A44675">
        <w:t>13.pant</w:t>
      </w:r>
      <w:r>
        <w:t>am</w:t>
      </w:r>
      <w:proofErr w:type="gramEnd"/>
      <w:r w:rsidR="00A44675">
        <w:t xml:space="preserve"> attiecībā uz nacionālo iestāžu atteikumu atjaunot krimināl</w:t>
      </w:r>
      <w:r>
        <w:t>procesu</w:t>
      </w:r>
      <w:r w:rsidR="00A44675">
        <w:t xml:space="preserve"> par </w:t>
      </w:r>
      <w:r>
        <w:t>iesniedzēja</w:t>
      </w:r>
      <w:r w:rsidR="00A44675">
        <w:t xml:space="preserve"> apgalvojumiem par sliktu izturēšanos no policijas darbinieku puses.</w:t>
      </w:r>
    </w:p>
    <w:p w:rsidR="00D03A35" w:rsidRPr="009D4272" w:rsidRDefault="0005442F" w:rsidP="009D4272">
      <w:pPr>
        <w:pStyle w:val="ECHRHeading2"/>
      </w:pPr>
      <w:r>
        <w:t>B</w:t>
      </w:r>
      <w:r w:rsidR="009F5B3B">
        <w:t>. Pieņemamība</w:t>
      </w:r>
    </w:p>
    <w:p w:rsidR="00D03A35" w:rsidRPr="009D4272" w:rsidRDefault="003D7F16" w:rsidP="009D4272">
      <w:pPr>
        <w:pStyle w:val="ECHRPara"/>
      </w:pPr>
      <w:r w:rsidRPr="009D4272">
        <w:fldChar w:fldCharType="begin"/>
      </w:r>
      <w:r w:rsidR="00D03A35" w:rsidRPr="009D4272">
        <w:instrText xml:space="preserve"> SEQ level0 \*arabic </w:instrText>
      </w:r>
      <w:r w:rsidRPr="009D4272">
        <w:fldChar w:fldCharType="separate"/>
      </w:r>
      <w:r w:rsidR="009D4272" w:rsidRPr="009D4272">
        <w:rPr>
          <w:noProof/>
        </w:rPr>
        <w:t>39</w:t>
      </w:r>
      <w:r w:rsidRPr="009D4272">
        <w:fldChar w:fldCharType="end"/>
      </w:r>
      <w:r w:rsidR="00D03A35">
        <w:t xml:space="preserve">.  Tiesa atzīmē, ka Valdība izvirzīja vairākus iebildumus par šī iesnieguma pieņemamību. </w:t>
      </w:r>
      <w:r w:rsidR="006C3760">
        <w:t>Valdība</w:t>
      </w:r>
      <w:r w:rsidR="00D03A35">
        <w:t xml:space="preserve"> apgalvoja, ka iesniedzēja sūdzības </w:t>
      </w:r>
      <w:r w:rsidR="006C3760">
        <w:t xml:space="preserve">neatbilda </w:t>
      </w:r>
      <w:r w:rsidR="00C96E32">
        <w:t xml:space="preserve">Tiesas jurisdikcijai </w:t>
      </w:r>
      <w:proofErr w:type="spellStart"/>
      <w:r w:rsidR="006C3760" w:rsidRPr="006C3760">
        <w:rPr>
          <w:i/>
        </w:rPr>
        <w:t>ratione</w:t>
      </w:r>
      <w:proofErr w:type="spellEnd"/>
      <w:r w:rsidR="006C3760" w:rsidRPr="006C3760">
        <w:rPr>
          <w:i/>
        </w:rPr>
        <w:t xml:space="preserve"> </w:t>
      </w:r>
      <w:proofErr w:type="spellStart"/>
      <w:r w:rsidR="006C3760" w:rsidRPr="006C3760">
        <w:rPr>
          <w:i/>
        </w:rPr>
        <w:t>materiae</w:t>
      </w:r>
      <w:proofErr w:type="spellEnd"/>
      <w:r w:rsidR="006C3760">
        <w:t xml:space="preserve"> Konvencijas izpratnē</w:t>
      </w:r>
      <w:r w:rsidR="00D03A35">
        <w:t xml:space="preserve">; ka iesniedzējs nav izmantojis ar nacionālajiem tiesību aktiem pieejamos </w:t>
      </w:r>
      <w:r w:rsidR="00A43801">
        <w:t>tiesību</w:t>
      </w:r>
      <w:r w:rsidR="008A0BED">
        <w:t xml:space="preserve"> </w:t>
      </w:r>
      <w:r w:rsidR="008A0BED">
        <w:lastRenderedPageBreak/>
        <w:t>aizsardzības līdzekļus;</w:t>
      </w:r>
      <w:r w:rsidR="00D03A35">
        <w:t xml:space="preserve"> ka viņš nav iesniedzis </w:t>
      </w:r>
      <w:r w:rsidR="00DC7E48">
        <w:t>Tiesai iesniegumu</w:t>
      </w:r>
      <w:r w:rsidR="00D03A35">
        <w:t xml:space="preserve"> sešu mēnešu laikā, kā to pared</w:t>
      </w:r>
      <w:r w:rsidR="008A0BED">
        <w:t xml:space="preserve">z Konvencijas </w:t>
      </w:r>
      <w:proofErr w:type="gramStart"/>
      <w:r w:rsidR="008A0BED">
        <w:t>35.panta</w:t>
      </w:r>
      <w:proofErr w:type="gramEnd"/>
      <w:r w:rsidR="008A0BED">
        <w:t xml:space="preserve"> 1.punkts;</w:t>
      </w:r>
      <w:r w:rsidR="00D03A35">
        <w:t xml:space="preserve"> un ka viņam nebija cietušā statuss.</w:t>
      </w:r>
    </w:p>
    <w:p w:rsidR="00D03A35" w:rsidRPr="009D4272" w:rsidRDefault="00CE112D" w:rsidP="009D4272">
      <w:pPr>
        <w:pStyle w:val="ECHRHeading3"/>
      </w:pPr>
      <w:proofErr w:type="gramStart"/>
      <w:r>
        <w:t xml:space="preserve">1.  Pušu </w:t>
      </w:r>
      <w:r w:rsidR="00D5332F">
        <w:t>argumenti</w:t>
      </w:r>
      <w:proofErr w:type="gramEnd"/>
    </w:p>
    <w:p w:rsidR="003D046F" w:rsidRPr="009D4272" w:rsidRDefault="003D046F" w:rsidP="009D4272">
      <w:pPr>
        <w:pStyle w:val="ECHRHeading4"/>
      </w:pPr>
      <w:r>
        <w:t>(a) Valdība</w:t>
      </w:r>
    </w:p>
    <w:p w:rsidR="00C93220" w:rsidRPr="009D4272" w:rsidRDefault="00DD3E69" w:rsidP="009D4272">
      <w:pPr>
        <w:pStyle w:val="ECHRHeading5"/>
      </w:pPr>
      <w:r>
        <w:t>(i) Sūdzību atbilstība Konvencijai</w:t>
      </w:r>
    </w:p>
    <w:bookmarkStart w:id="25" w:name="par35"/>
    <w:p w:rsidR="002B68D0" w:rsidRPr="009D4272" w:rsidRDefault="003D7F16" w:rsidP="009D4272">
      <w:pPr>
        <w:pStyle w:val="ECHRPara"/>
      </w:pPr>
      <w:r w:rsidRPr="009D4272">
        <w:fldChar w:fldCharType="begin"/>
      </w:r>
      <w:r w:rsidR="003013C9" w:rsidRPr="009D4272">
        <w:instrText xml:space="preserve"> SEQ level0 \*arabic </w:instrText>
      </w:r>
      <w:r w:rsidRPr="009D4272">
        <w:fldChar w:fldCharType="separate"/>
      </w:r>
      <w:r w:rsidR="009D4272" w:rsidRPr="009D4272">
        <w:rPr>
          <w:noProof/>
        </w:rPr>
        <w:t>40</w:t>
      </w:r>
      <w:r w:rsidRPr="009D4272">
        <w:fldChar w:fldCharType="end"/>
      </w:r>
      <w:bookmarkEnd w:id="25"/>
      <w:r w:rsidR="003013C9">
        <w:t>.  Valdība apgalvoja, ka iesniedzēja sūdzība</w:t>
      </w:r>
      <w:r w:rsidR="0035041D">
        <w:t>s neatbilst</w:t>
      </w:r>
      <w:r w:rsidR="003013C9">
        <w:t xml:space="preserve"> </w:t>
      </w:r>
      <w:r w:rsidR="00C96E32">
        <w:t xml:space="preserve">Tiesas jurisdikcijai </w:t>
      </w:r>
      <w:proofErr w:type="spellStart"/>
      <w:r w:rsidR="00C96E32" w:rsidRPr="006C3760">
        <w:rPr>
          <w:i/>
        </w:rPr>
        <w:t>ratione</w:t>
      </w:r>
      <w:proofErr w:type="spellEnd"/>
      <w:r w:rsidR="00C96E32" w:rsidRPr="006C3760">
        <w:rPr>
          <w:i/>
        </w:rPr>
        <w:t xml:space="preserve"> </w:t>
      </w:r>
      <w:proofErr w:type="spellStart"/>
      <w:r w:rsidR="00C96E32" w:rsidRPr="006C3760">
        <w:rPr>
          <w:i/>
        </w:rPr>
        <w:t>materiae</w:t>
      </w:r>
      <w:proofErr w:type="spellEnd"/>
      <w:r w:rsidR="00C96E32">
        <w:t xml:space="preserve"> Konvencijas izpratnē</w:t>
      </w:r>
      <w:r w:rsidR="003013C9">
        <w:t xml:space="preserve">, jo Konvencija </w:t>
      </w:r>
      <w:r w:rsidR="00E63565">
        <w:t>nepiešķir</w:t>
      </w:r>
      <w:r w:rsidR="003013C9">
        <w:t xml:space="preserve"> tiesības </w:t>
      </w:r>
      <w:r w:rsidR="0035041D">
        <w:t xml:space="preserve">apsūdzēt vai notiesāt </w:t>
      </w:r>
      <w:r w:rsidR="00E63565">
        <w:t>treš</w:t>
      </w:r>
      <w:r w:rsidR="0035041D">
        <w:t>o</w:t>
      </w:r>
      <w:r w:rsidR="00E63565">
        <w:t xml:space="preserve"> </w:t>
      </w:r>
      <w:r w:rsidR="0035041D">
        <w:t>personu</w:t>
      </w:r>
      <w:r w:rsidR="00E63565">
        <w:t xml:space="preserve"> </w:t>
      </w:r>
      <w:r w:rsidR="003013C9">
        <w:t>par noziedzīg</w:t>
      </w:r>
      <w:r w:rsidR="0035041D">
        <w:t>a</w:t>
      </w:r>
      <w:r w:rsidR="003013C9">
        <w:t xml:space="preserve"> nodarījum</w:t>
      </w:r>
      <w:r w:rsidR="0035041D">
        <w:t>a izdarīšanu</w:t>
      </w:r>
      <w:r w:rsidR="003013C9">
        <w:t xml:space="preserve">, </w:t>
      </w:r>
      <w:r w:rsidR="00E63565">
        <w:t>un</w:t>
      </w:r>
      <w:r w:rsidR="003013C9">
        <w:t xml:space="preserve"> </w:t>
      </w:r>
      <w:r w:rsidR="00E63565">
        <w:t>ne</w:t>
      </w:r>
      <w:r w:rsidR="003013C9">
        <w:t xml:space="preserve">garantē tiesības panākt izbeigta kriminālprocesa atjaunošanu. Jebkāda pretēja interpretācija būtu pretrunā </w:t>
      </w:r>
      <w:r w:rsidR="005A60AD">
        <w:t>tiesisk</w:t>
      </w:r>
      <w:r w:rsidR="003D7BAB">
        <w:t>ās</w:t>
      </w:r>
      <w:r w:rsidR="003013C9">
        <w:t xml:space="preserve"> noteiktības un subsidiaritātes principiem.</w:t>
      </w:r>
    </w:p>
    <w:p w:rsidR="006E1AC3" w:rsidRPr="009D4272" w:rsidRDefault="003D7F16" w:rsidP="009D4272">
      <w:pPr>
        <w:pStyle w:val="ECHRPara"/>
        <w:rPr>
          <w:i/>
        </w:rPr>
      </w:pPr>
      <w:r w:rsidRPr="009D4272">
        <w:fldChar w:fldCharType="begin"/>
      </w:r>
      <w:r w:rsidR="00E17C5D" w:rsidRPr="009D4272">
        <w:instrText xml:space="preserve"> SEQ level0 \*arabic </w:instrText>
      </w:r>
      <w:r w:rsidRPr="009D4272">
        <w:fldChar w:fldCharType="separate"/>
      </w:r>
      <w:r w:rsidR="009D4272" w:rsidRPr="009D4272">
        <w:rPr>
          <w:noProof/>
        </w:rPr>
        <w:t>41</w:t>
      </w:r>
      <w:r w:rsidRPr="009D4272">
        <w:rPr>
          <w:noProof/>
        </w:rPr>
        <w:fldChar w:fldCharType="end"/>
      </w:r>
      <w:r w:rsidR="00E17C5D">
        <w:t xml:space="preserve">.   Valdības </w:t>
      </w:r>
      <w:r w:rsidR="00D61FCC">
        <w:t>ieskatā</w:t>
      </w:r>
      <w:r w:rsidR="00E17C5D">
        <w:t xml:space="preserve">, </w:t>
      </w:r>
      <w:r w:rsidR="003D7BAB">
        <w:t xml:space="preserve">Konvencijas </w:t>
      </w:r>
      <w:proofErr w:type="gramStart"/>
      <w:r w:rsidR="00E17C5D">
        <w:t>3.panta</w:t>
      </w:r>
      <w:proofErr w:type="gramEnd"/>
      <w:r w:rsidR="00E17C5D">
        <w:t xml:space="preserve"> procesuālais aspekts neprasa tiesvedības atjaunošanu, ja Tiesa ir konstatējusi šī panta pārkāpumu. Konkrētajā lietā, pretēji lietai </w:t>
      </w:r>
      <w:r w:rsidR="00E17C5D">
        <w:rPr>
          <w:i/>
        </w:rPr>
        <w:t>Cēsnieks pret Latviju</w:t>
      </w:r>
      <w:r w:rsidR="00E17C5D">
        <w:t xml:space="preserve"> ((lēmums), Nr. 9278/06, </w:t>
      </w:r>
      <w:proofErr w:type="gramStart"/>
      <w:r w:rsidR="00E17C5D">
        <w:t>2012.gada</w:t>
      </w:r>
      <w:proofErr w:type="gramEnd"/>
      <w:r w:rsidR="00E17C5D">
        <w:t xml:space="preserve"> 6.marts), nerodas jautājums par sliktās izturēšanās pret iesniedzēju ietekmi uz pret viņu ierosinātā kriminālprocesa taisnīgumu, jo iesniedzēja sūdzība saskaņā ar Konvencijas 6.pantu tika atzīta par nepieņemamu</w:t>
      </w:r>
      <w:r w:rsidR="003D7BAB">
        <w:t xml:space="preserve"> izskatīšanai</w:t>
      </w:r>
      <w:r w:rsidR="00E17C5D">
        <w:t>.</w:t>
      </w:r>
    </w:p>
    <w:p w:rsidR="00DC6406" w:rsidRPr="009D4272" w:rsidRDefault="003D7F16" w:rsidP="009D4272">
      <w:pPr>
        <w:pStyle w:val="ECHRPara"/>
        <w:rPr>
          <w:i/>
          <w:szCs w:val="24"/>
        </w:rPr>
      </w:pPr>
      <w:r w:rsidRPr="009D4272">
        <w:fldChar w:fldCharType="begin"/>
      </w:r>
      <w:r w:rsidR="00E17C5D" w:rsidRPr="009D4272">
        <w:instrText xml:space="preserve"> SEQ level0 \*arabic </w:instrText>
      </w:r>
      <w:r w:rsidRPr="009D4272">
        <w:fldChar w:fldCharType="separate"/>
      </w:r>
      <w:r w:rsidR="009D4272" w:rsidRPr="009D4272">
        <w:rPr>
          <w:noProof/>
        </w:rPr>
        <w:t>42</w:t>
      </w:r>
      <w:r w:rsidRPr="009D4272">
        <w:rPr>
          <w:noProof/>
        </w:rPr>
        <w:fldChar w:fldCharType="end"/>
      </w:r>
      <w:r w:rsidR="00E17C5D">
        <w:t xml:space="preserve">.  Valdība atzina, ka konkrētos apstākļos Tiesa ir norādījusi, ka lietas atkārtota izskatīšana vai tiesvedības atjaunošana radītu visefektīvāko, ja ne vienīgo, veidu, kā panākt </w:t>
      </w:r>
      <w:proofErr w:type="spellStart"/>
      <w:r w:rsidR="00E17C5D">
        <w:rPr>
          <w:i/>
        </w:rPr>
        <w:t>restitutio</w:t>
      </w:r>
      <w:proofErr w:type="spellEnd"/>
      <w:r w:rsidR="00E17C5D">
        <w:rPr>
          <w:i/>
        </w:rPr>
        <w:t xml:space="preserve"> in </w:t>
      </w:r>
      <w:proofErr w:type="spellStart"/>
      <w:r w:rsidR="00E17C5D">
        <w:rPr>
          <w:i/>
        </w:rPr>
        <w:t>integrum</w:t>
      </w:r>
      <w:proofErr w:type="spellEnd"/>
      <w:r w:rsidR="00E17C5D">
        <w:t>.</w:t>
      </w:r>
      <w:r w:rsidR="00E17C5D">
        <w:rPr>
          <w:i/>
        </w:rPr>
        <w:t xml:space="preserve"> </w:t>
      </w:r>
      <w:r w:rsidR="00E17C5D">
        <w:t xml:space="preserve">Tomēr, </w:t>
      </w:r>
      <w:r w:rsidR="00D61FCC">
        <w:t>Valdība</w:t>
      </w:r>
      <w:r w:rsidR="00E17C5D">
        <w:t xml:space="preserve"> uzsvēra, ka vairums lietu, kurās Tiesa ir atzinusi, ka lietas atkārtota izskatīšana vai atjaunošana būtu piemērots tiesiskās aizsardzības veids ir saistītas ar ties</w:t>
      </w:r>
      <w:r w:rsidR="00855D15">
        <w:t>as procesiem</w:t>
      </w:r>
      <w:r w:rsidR="00E17C5D">
        <w:t xml:space="preserve">, </w:t>
      </w:r>
      <w:r w:rsidR="00855D15">
        <w:t>kas</w:t>
      </w:r>
      <w:r w:rsidR="00E17C5D">
        <w:t xml:space="preserve"> </w:t>
      </w:r>
      <w:r w:rsidR="00855D15">
        <w:t xml:space="preserve">pārkāpa </w:t>
      </w:r>
      <w:r w:rsidR="00E17C5D">
        <w:t xml:space="preserve">Konvencijas </w:t>
      </w:r>
      <w:proofErr w:type="gramStart"/>
      <w:r w:rsidR="00E17C5D">
        <w:t>6.panta</w:t>
      </w:r>
      <w:proofErr w:type="gramEnd"/>
      <w:r w:rsidR="00E17C5D">
        <w:t xml:space="preserve"> prasīb</w:t>
      </w:r>
      <w:r w:rsidR="00855D15">
        <w:t>as</w:t>
      </w:r>
      <w:r w:rsidR="00E17C5D">
        <w:t xml:space="preserve"> un kur</w:t>
      </w:r>
      <w:r w:rsidR="00855D15">
        <w:t>i</w:t>
      </w:r>
      <w:r w:rsidR="00E17C5D">
        <w:t xml:space="preserve"> bija noteicoš</w:t>
      </w:r>
      <w:r w:rsidR="00855D15">
        <w:t>ie</w:t>
      </w:r>
      <w:r w:rsidR="00E17C5D">
        <w:t xml:space="preserve"> </w:t>
      </w:r>
      <w:r w:rsidR="00855D15">
        <w:t>konkrētajam</w:t>
      </w:r>
      <w:r w:rsidR="00E17C5D">
        <w:t xml:space="preserve"> iesniedzējam (Valdība atsaucās uz </w:t>
      </w:r>
      <w:proofErr w:type="spellStart"/>
      <w:r w:rsidR="00E17C5D">
        <w:rPr>
          <w:i/>
        </w:rPr>
        <w:t>Verein</w:t>
      </w:r>
      <w:proofErr w:type="spellEnd"/>
      <w:r w:rsidR="00E17C5D">
        <w:rPr>
          <w:i/>
        </w:rPr>
        <w:t xml:space="preserve"> </w:t>
      </w:r>
      <w:proofErr w:type="spellStart"/>
      <w:r w:rsidR="00E17C5D">
        <w:rPr>
          <w:i/>
        </w:rPr>
        <w:t>gegen</w:t>
      </w:r>
      <w:proofErr w:type="spellEnd"/>
      <w:r w:rsidR="00E17C5D">
        <w:rPr>
          <w:i/>
        </w:rPr>
        <w:t xml:space="preserve"> </w:t>
      </w:r>
      <w:proofErr w:type="spellStart"/>
      <w:r w:rsidR="00E17C5D">
        <w:rPr>
          <w:i/>
        </w:rPr>
        <w:t>Tierfabriken</w:t>
      </w:r>
      <w:proofErr w:type="spellEnd"/>
      <w:r w:rsidR="00E17C5D">
        <w:rPr>
          <w:i/>
        </w:rPr>
        <w:t xml:space="preserve"> </w:t>
      </w:r>
      <w:proofErr w:type="spellStart"/>
      <w:r w:rsidR="00E17C5D">
        <w:rPr>
          <w:i/>
        </w:rPr>
        <w:t>Schweiz</w:t>
      </w:r>
      <w:proofErr w:type="spellEnd"/>
      <w:r w:rsidR="00E17C5D">
        <w:rPr>
          <w:i/>
        </w:rPr>
        <w:t xml:space="preserve"> (</w:t>
      </w:r>
      <w:proofErr w:type="spellStart"/>
      <w:r w:rsidR="00E17C5D">
        <w:rPr>
          <w:i/>
        </w:rPr>
        <w:t>VgT</w:t>
      </w:r>
      <w:proofErr w:type="spellEnd"/>
      <w:r w:rsidR="00E17C5D">
        <w:rPr>
          <w:i/>
        </w:rPr>
        <w:t>) pret Šveici (Nr. 2)</w:t>
      </w:r>
      <w:r w:rsidR="00E17C5D">
        <w:t xml:space="preserve"> [LP], Nr. 32772/02, 89.rindkopa, ECT</w:t>
      </w:r>
      <w:r w:rsidR="008C4A92">
        <w:t>K</w:t>
      </w:r>
      <w:r w:rsidR="00E17C5D">
        <w:t xml:space="preserve"> 2009, un </w:t>
      </w:r>
      <w:proofErr w:type="spellStart"/>
      <w:r w:rsidR="00E17C5D">
        <w:rPr>
          <w:i/>
        </w:rPr>
        <w:t>Davydov</w:t>
      </w:r>
      <w:proofErr w:type="spellEnd"/>
      <w:r w:rsidR="00E17C5D">
        <w:rPr>
          <w:i/>
        </w:rPr>
        <w:t xml:space="preserve"> pret Krieviju</w:t>
      </w:r>
      <w:r w:rsidR="00E17C5D">
        <w:t>, Nr. 18967/07, 27. rindkopa, 2014.gada 30.oktobris). Valdība arī uzsvēra, ka atšķirībā no, piemēram, tikai kompensācijas piešķiršanas, ties</w:t>
      </w:r>
      <w:r w:rsidR="00312D94">
        <w:t>as procesa</w:t>
      </w:r>
      <w:r w:rsidR="00E17C5D">
        <w:t xml:space="preserve"> atjaunošana bija izņēmuma gadījumos izmantojams līdzeklis, </w:t>
      </w:r>
      <w:r w:rsidR="00283CCF">
        <w:t>ņemot vērā</w:t>
      </w:r>
      <w:r w:rsidR="00E17C5D">
        <w:t xml:space="preserve"> trešo pušu tiesīb</w:t>
      </w:r>
      <w:r w:rsidR="009A5639">
        <w:t>as</w:t>
      </w:r>
      <w:r w:rsidR="00E17C5D">
        <w:t xml:space="preserve"> un </w:t>
      </w:r>
      <w:proofErr w:type="spellStart"/>
      <w:r w:rsidR="00E17C5D">
        <w:rPr>
          <w:i/>
        </w:rPr>
        <w:t>res</w:t>
      </w:r>
      <w:proofErr w:type="spellEnd"/>
      <w:r w:rsidR="00E17C5D">
        <w:rPr>
          <w:i/>
        </w:rPr>
        <w:t xml:space="preserve"> </w:t>
      </w:r>
      <w:proofErr w:type="spellStart"/>
      <w:r w:rsidR="00E17C5D">
        <w:rPr>
          <w:i/>
        </w:rPr>
        <w:t>judicata</w:t>
      </w:r>
      <w:proofErr w:type="spellEnd"/>
      <w:r w:rsidR="00E17C5D">
        <w:t xml:space="preserve"> principu.</w:t>
      </w:r>
    </w:p>
    <w:p w:rsidR="002103A4" w:rsidRPr="009D4272" w:rsidRDefault="00AC6DF2" w:rsidP="009D4272">
      <w:pPr>
        <w:pStyle w:val="ECHRPara"/>
      </w:pPr>
      <w:r>
        <w:t xml:space="preserve">Attiecībā uz krimināllietām </w:t>
      </w:r>
      <w:r w:rsidR="009A5639">
        <w:t>Valdība</w:t>
      </w:r>
      <w:r>
        <w:t xml:space="preserve"> arī uzsvēra, ka </w:t>
      </w:r>
      <w:r w:rsidR="009A5639">
        <w:t>procesa</w:t>
      </w:r>
      <w:r>
        <w:t xml:space="preserve"> atjaunošana varētu izrādīties problemātiska, ņemot vērā pagājušo laiku un tā rezultātā zaudētajiem pierādījumiem.</w:t>
      </w:r>
    </w:p>
    <w:p w:rsidR="0005024D" w:rsidRPr="009D4272" w:rsidRDefault="003D7F16" w:rsidP="009D4272">
      <w:pPr>
        <w:pStyle w:val="ECHRPara"/>
      </w:pPr>
      <w:r w:rsidRPr="009D4272">
        <w:fldChar w:fldCharType="begin"/>
      </w:r>
      <w:r w:rsidR="007A5EBA" w:rsidRPr="009D4272">
        <w:instrText xml:space="preserve"> SEQ level0 \*arabic </w:instrText>
      </w:r>
      <w:r w:rsidRPr="009D4272">
        <w:fldChar w:fldCharType="separate"/>
      </w:r>
      <w:r w:rsidR="009D4272" w:rsidRPr="009D4272">
        <w:rPr>
          <w:noProof/>
        </w:rPr>
        <w:t>43</w:t>
      </w:r>
      <w:r w:rsidRPr="009D4272">
        <w:fldChar w:fldCharType="end"/>
      </w:r>
      <w:r w:rsidR="007A5EBA">
        <w:t>.  Valdība uz</w:t>
      </w:r>
      <w:r w:rsidR="00763308">
        <w:t>skatīja, ka Ministru komitejas r</w:t>
      </w:r>
      <w:r w:rsidR="007A5EBA">
        <w:t xml:space="preserve">ekomendācija Nr. R (2000) 2 (skatīt iepriekš </w:t>
      </w:r>
      <w:r w:rsidRPr="009D4272">
        <w:fldChar w:fldCharType="begin"/>
      </w:r>
      <w:r w:rsidR="00870E8E" w:rsidRPr="009D4272">
        <w:instrText xml:space="preserve"> REF para32 \h </w:instrText>
      </w:r>
      <w:r w:rsidRPr="009D4272">
        <w:fldChar w:fldCharType="separate"/>
      </w:r>
      <w:r w:rsidR="009D4272" w:rsidRPr="009D4272">
        <w:rPr>
          <w:noProof/>
        </w:rPr>
        <w:t>35</w:t>
      </w:r>
      <w:r w:rsidRPr="009D4272">
        <w:fldChar w:fldCharType="end"/>
      </w:r>
      <w:r w:rsidR="00001038">
        <w:t>.</w:t>
      </w:r>
      <w:r w:rsidR="007A5EBA">
        <w:t xml:space="preserve"> rindkopu), lai gan nav tieši piemērojama šajā lietā, ietvēra nosacījumus, kas izklāsta pamatojumu ties</w:t>
      </w:r>
      <w:r w:rsidR="009A5639">
        <w:t>as procesa</w:t>
      </w:r>
      <w:r w:rsidR="007A5EBA">
        <w:t xml:space="preserve"> atjaunošanai un var tikt izmantota kā </w:t>
      </w:r>
      <w:r w:rsidR="009A5639">
        <w:t>vadlīnijas</w:t>
      </w:r>
      <w:r w:rsidR="007A5EBA">
        <w:t xml:space="preserve"> šajā lietā. Tomēr attiecībā uz šī pasākuma izņēmuma raksturu un izņēmuma apstākļu neesamību konkrētajā lietā, </w:t>
      </w:r>
      <w:r w:rsidR="00E17338">
        <w:t>Valdība</w:t>
      </w:r>
      <w:r w:rsidR="007A5EBA">
        <w:t xml:space="preserve"> secināja, ka iesniedzējam nevajadzētu </w:t>
      </w:r>
      <w:r w:rsidR="008F0830">
        <w:t>atsaukties</w:t>
      </w:r>
      <w:r w:rsidR="007A5EBA">
        <w:t xml:space="preserve"> uz </w:t>
      </w:r>
      <w:r w:rsidR="007A5EBA">
        <w:lastRenderedPageBreak/>
        <w:t>tiesībām atjaunot kriminālprocesu saistībā ar viņa sūdzībām par sliktu izturēšanos.</w:t>
      </w:r>
    </w:p>
    <w:p w:rsidR="006E1AC3" w:rsidRPr="009D4272" w:rsidRDefault="003D7F16" w:rsidP="009D4272">
      <w:pPr>
        <w:pStyle w:val="ECHRPara"/>
        <w:rPr>
          <w:iCs/>
          <w:snapToGrid w:val="0"/>
          <w:szCs w:val="24"/>
        </w:rPr>
      </w:pPr>
      <w:r w:rsidRPr="009D4272">
        <w:fldChar w:fldCharType="begin"/>
      </w:r>
      <w:r w:rsidR="00052C1B" w:rsidRPr="009D4272">
        <w:instrText xml:space="preserve"> SEQ level0 \*arabic </w:instrText>
      </w:r>
      <w:r w:rsidRPr="009D4272">
        <w:fldChar w:fldCharType="separate"/>
      </w:r>
      <w:r w:rsidR="009D4272" w:rsidRPr="009D4272">
        <w:rPr>
          <w:noProof/>
        </w:rPr>
        <w:t>44</w:t>
      </w:r>
      <w:r w:rsidRPr="009D4272">
        <w:fldChar w:fldCharType="end"/>
      </w:r>
      <w:r w:rsidR="00052C1B">
        <w:t xml:space="preserve">.  Valdība </w:t>
      </w:r>
      <w:r w:rsidR="00A106D2">
        <w:t xml:space="preserve">turpmāk </w:t>
      </w:r>
      <w:r w:rsidR="00052C1B">
        <w:t xml:space="preserve">norādīja, ka </w:t>
      </w:r>
      <w:r w:rsidR="00A106D2">
        <w:t>tās</w:t>
      </w:r>
      <w:r w:rsidR="00052C1B">
        <w:t xml:space="preserve"> pieņemtā vienpusējā deklarācija par iesniegumu Nr. 547/02 nav radījusi pienākumu atjaunot ties</w:t>
      </w:r>
      <w:r w:rsidR="00A106D2">
        <w:t>as procesu</w:t>
      </w:r>
      <w:r w:rsidR="00052C1B">
        <w:t xml:space="preserve"> pret p</w:t>
      </w:r>
      <w:r w:rsidR="00CF0373">
        <w:t>olicijas darbiniekiem. Nekas no</w:t>
      </w:r>
      <w:r w:rsidR="00052C1B">
        <w:t xml:space="preserve"> vienpusējā deklarācijā norādītā neliecina par to, ka Valdība ir uzņēmusies pienākum</w:t>
      </w:r>
      <w:r w:rsidR="00CF0373">
        <w:t>u atjaunot izmeklēšanu. Turklāt</w:t>
      </w:r>
      <w:r w:rsidR="00052C1B">
        <w:t xml:space="preserve"> Tiesas lēmums pats par sevi neprasīja, lai kriminālprocess pret policijas darbiniekiem tiktu atjaunots. Vienīgā Valdības vienpusējā deklarācijā piedāvātā atlīdzība iesniedzējam, ko Tiesa apstiprināja, bija kompensācijas izmaksa. Valdības deklarācijā bija skaidri norādīts, ka šis maksājums ietver galīgo lietas atrisinājumu.</w:t>
      </w:r>
    </w:p>
    <w:p w:rsidR="00DF42D3" w:rsidRPr="009D4272" w:rsidRDefault="003D7F16" w:rsidP="009D4272">
      <w:pPr>
        <w:pStyle w:val="ECHRPara"/>
        <w:rPr>
          <w:snapToGrid w:val="0"/>
          <w:szCs w:val="24"/>
        </w:rPr>
      </w:pPr>
      <w:r w:rsidRPr="009D4272">
        <w:fldChar w:fldCharType="begin"/>
      </w:r>
      <w:r w:rsidR="00DF42D3" w:rsidRPr="009D4272">
        <w:instrText xml:space="preserve"> SEQ level0 \*arabic </w:instrText>
      </w:r>
      <w:r w:rsidRPr="009D4272">
        <w:fldChar w:fldCharType="separate"/>
      </w:r>
      <w:r w:rsidR="009D4272" w:rsidRPr="009D4272">
        <w:rPr>
          <w:noProof/>
        </w:rPr>
        <w:t>45</w:t>
      </w:r>
      <w:r w:rsidRPr="009D4272">
        <w:fldChar w:fldCharType="end"/>
      </w:r>
      <w:r w:rsidR="00DF42D3">
        <w:t xml:space="preserve">.  Turklāt Valdības deklarācija ir pilnībā apmierinājusi Tiesas kritērijus, kas noteikti lietā </w:t>
      </w:r>
      <w:proofErr w:type="spellStart"/>
      <w:r w:rsidR="00DF42D3">
        <w:rPr>
          <w:i/>
        </w:rPr>
        <w:t>Tahsin</w:t>
      </w:r>
      <w:proofErr w:type="spellEnd"/>
      <w:r w:rsidR="00DF42D3">
        <w:rPr>
          <w:i/>
        </w:rPr>
        <w:t xml:space="preserve"> </w:t>
      </w:r>
      <w:proofErr w:type="spellStart"/>
      <w:r w:rsidR="00DF42D3">
        <w:rPr>
          <w:i/>
        </w:rPr>
        <w:t>Acar</w:t>
      </w:r>
      <w:proofErr w:type="spellEnd"/>
      <w:r w:rsidR="00DF42D3">
        <w:rPr>
          <w:i/>
        </w:rPr>
        <w:t xml:space="preserve"> pret Turciju </w:t>
      </w:r>
      <w:r w:rsidR="00DF42D3">
        <w:t>(sākotnējie iebildumi) [LP],</w:t>
      </w:r>
      <w:r w:rsidR="00DF42D3">
        <w:rPr>
          <w:i/>
        </w:rPr>
        <w:t xml:space="preserve"> </w:t>
      </w:r>
      <w:r w:rsidR="00DF42D3">
        <w:t>Nr. 26307/95, 75.-77.rindkopa, ECT</w:t>
      </w:r>
      <w:r w:rsidR="00CF0373">
        <w:t>K</w:t>
      </w:r>
      <w:r w:rsidR="00DF42D3">
        <w:t xml:space="preserve"> 2003</w:t>
      </w:r>
      <w:r w:rsidR="00DF42D3">
        <w:noBreakHyphen/>
        <w:t>VI.</w:t>
      </w:r>
    </w:p>
    <w:bookmarkStart w:id="26" w:name="para39"/>
    <w:p w:rsidR="00BD3ABF" w:rsidRPr="009D4272" w:rsidRDefault="003D7F16" w:rsidP="009D4272">
      <w:pPr>
        <w:pStyle w:val="ECHRPara"/>
        <w:rPr>
          <w:snapToGrid w:val="0"/>
          <w:szCs w:val="24"/>
        </w:rPr>
      </w:pPr>
      <w:r w:rsidRPr="009D4272">
        <w:rPr>
          <w:snapToGrid w:val="0"/>
          <w:szCs w:val="24"/>
        </w:rPr>
        <w:fldChar w:fldCharType="begin"/>
      </w:r>
      <w:r w:rsidR="00DF42D3" w:rsidRPr="009D4272">
        <w:rPr>
          <w:snapToGrid w:val="0"/>
          <w:szCs w:val="24"/>
        </w:rPr>
        <w:instrText xml:space="preserve"> SEQ level0 \*arabic </w:instrText>
      </w:r>
      <w:r w:rsidRPr="009D4272">
        <w:rPr>
          <w:snapToGrid w:val="0"/>
          <w:szCs w:val="24"/>
        </w:rPr>
        <w:fldChar w:fldCharType="separate"/>
      </w:r>
      <w:r w:rsidR="009D4272" w:rsidRPr="009D4272">
        <w:rPr>
          <w:noProof/>
          <w:snapToGrid w:val="0"/>
          <w:szCs w:val="24"/>
        </w:rPr>
        <w:t>46</w:t>
      </w:r>
      <w:r w:rsidRPr="009D4272">
        <w:rPr>
          <w:snapToGrid w:val="0"/>
          <w:szCs w:val="24"/>
        </w:rPr>
        <w:fldChar w:fldCharType="end"/>
      </w:r>
      <w:bookmarkEnd w:id="26"/>
      <w:r w:rsidR="00DF42D3">
        <w:t xml:space="preserve">.  Visbeidzot, Tiesas </w:t>
      </w:r>
      <w:proofErr w:type="gramStart"/>
      <w:r w:rsidR="00DF42D3">
        <w:t>2009.gada</w:t>
      </w:r>
      <w:proofErr w:type="gramEnd"/>
      <w:r w:rsidR="00DF42D3">
        <w:t xml:space="preserve"> 10.februāra lēmums nerada pienākumu atjaunot kriminālprocesu pret policijas darbiniekiem, jo šo lēmumu nevar </w:t>
      </w:r>
      <w:r w:rsidR="00DF42D3">
        <w:rPr>
          <w:i/>
          <w:snapToGrid w:val="0"/>
        </w:rPr>
        <w:t xml:space="preserve">per </w:t>
      </w:r>
      <w:proofErr w:type="spellStart"/>
      <w:r w:rsidR="00DF42D3">
        <w:rPr>
          <w:i/>
          <w:snapToGrid w:val="0"/>
        </w:rPr>
        <w:t>se</w:t>
      </w:r>
      <w:proofErr w:type="spellEnd"/>
      <w:r w:rsidR="00DF42D3">
        <w:t xml:space="preserve"> uzskatīt par jaunatklātu apstākli piemērojamo nacionālo tiesību aktu izpratnē, jo tas nesaturēja ne jaunus faktus, ne papildu pierādījumus, kas palīdzētu novērst izmeklēšanas trūkumus (skatīt iepriekš </w:t>
      </w:r>
      <w:r w:rsidRPr="009D4272">
        <w:rPr>
          <w:snapToGrid w:val="0"/>
          <w:szCs w:val="24"/>
        </w:rPr>
        <w:fldChar w:fldCharType="begin"/>
      </w:r>
      <w:r w:rsidR="0014547A" w:rsidRPr="009D4272">
        <w:rPr>
          <w:snapToGrid w:val="0"/>
          <w:szCs w:val="24"/>
        </w:rPr>
        <w:instrText xml:space="preserve"> REF para27 \h </w:instrText>
      </w:r>
      <w:r w:rsidRPr="009D4272">
        <w:rPr>
          <w:snapToGrid w:val="0"/>
          <w:szCs w:val="24"/>
        </w:rPr>
      </w:r>
      <w:r w:rsidRPr="009D4272">
        <w:rPr>
          <w:snapToGrid w:val="0"/>
          <w:szCs w:val="24"/>
        </w:rPr>
        <w:fldChar w:fldCharType="separate"/>
      </w:r>
      <w:r w:rsidR="009D4272" w:rsidRPr="009D4272">
        <w:rPr>
          <w:noProof/>
        </w:rPr>
        <w:t>29</w:t>
      </w:r>
      <w:r w:rsidRPr="009D4272">
        <w:rPr>
          <w:snapToGrid w:val="0"/>
          <w:szCs w:val="24"/>
        </w:rPr>
        <w:fldChar w:fldCharType="end"/>
      </w:r>
      <w:r w:rsidR="00204186">
        <w:rPr>
          <w:snapToGrid w:val="0"/>
          <w:szCs w:val="24"/>
        </w:rPr>
        <w:t>.</w:t>
      </w:r>
      <w:r w:rsidR="00DF42D3">
        <w:t xml:space="preserve"> un </w:t>
      </w:r>
      <w:r w:rsidRPr="009D4272">
        <w:rPr>
          <w:snapToGrid w:val="0"/>
          <w:szCs w:val="24"/>
        </w:rPr>
        <w:fldChar w:fldCharType="begin"/>
      </w:r>
      <w:r w:rsidR="0014547A" w:rsidRPr="009D4272">
        <w:rPr>
          <w:snapToGrid w:val="0"/>
          <w:szCs w:val="24"/>
        </w:rPr>
        <w:instrText xml:space="preserve"> REF para29 \h </w:instrText>
      </w:r>
      <w:r w:rsidRPr="009D4272">
        <w:rPr>
          <w:snapToGrid w:val="0"/>
          <w:szCs w:val="24"/>
        </w:rPr>
      </w:r>
      <w:r w:rsidRPr="009D4272">
        <w:rPr>
          <w:snapToGrid w:val="0"/>
          <w:szCs w:val="24"/>
        </w:rPr>
        <w:fldChar w:fldCharType="separate"/>
      </w:r>
      <w:r w:rsidR="009D4272" w:rsidRPr="009D4272">
        <w:rPr>
          <w:noProof/>
        </w:rPr>
        <w:t>31</w:t>
      </w:r>
      <w:r w:rsidRPr="009D4272">
        <w:rPr>
          <w:snapToGrid w:val="0"/>
          <w:szCs w:val="24"/>
        </w:rPr>
        <w:fldChar w:fldCharType="end"/>
      </w:r>
      <w:r w:rsidR="00204186">
        <w:rPr>
          <w:snapToGrid w:val="0"/>
          <w:szCs w:val="24"/>
        </w:rPr>
        <w:t>.</w:t>
      </w:r>
      <w:r w:rsidR="00DF42D3">
        <w:t xml:space="preserve"> rindkop</w:t>
      </w:r>
      <w:r w:rsidR="00580F4E">
        <w:t>u</w:t>
      </w:r>
      <w:r w:rsidR="00DF42D3">
        <w:t>).</w:t>
      </w:r>
    </w:p>
    <w:p w:rsidR="00BD3ABF" w:rsidRPr="009D4272" w:rsidRDefault="00294945" w:rsidP="009D4272">
      <w:pPr>
        <w:pStyle w:val="ECHRHeading5"/>
        <w:rPr>
          <w:snapToGrid w:val="0"/>
        </w:rPr>
      </w:pPr>
      <w:r>
        <w:t>(</w:t>
      </w:r>
      <w:proofErr w:type="spellStart"/>
      <w:r>
        <w:t>ii</w:t>
      </w:r>
      <w:proofErr w:type="spellEnd"/>
      <w:r>
        <w:t>) Apgalvojums par neizmantotajiem nacionālajiem tiesību aizsardzības līdzekļiem un sešu mēnešu noteikuma neievērošana</w:t>
      </w:r>
    </w:p>
    <w:p w:rsidR="0041414C" w:rsidRPr="009D4272" w:rsidRDefault="003D7F16" w:rsidP="009D4272">
      <w:pPr>
        <w:pStyle w:val="ECHRPara"/>
        <w:rPr>
          <w:snapToGrid w:val="0"/>
          <w:szCs w:val="24"/>
        </w:rPr>
      </w:pPr>
      <w:r w:rsidRPr="009D4272">
        <w:rPr>
          <w:snapToGrid w:val="0"/>
          <w:szCs w:val="24"/>
        </w:rPr>
        <w:fldChar w:fldCharType="begin"/>
      </w:r>
      <w:r w:rsidR="0041414C" w:rsidRPr="009D4272">
        <w:rPr>
          <w:snapToGrid w:val="0"/>
          <w:szCs w:val="24"/>
        </w:rPr>
        <w:instrText xml:space="preserve"> SEQ level0 \*arabic </w:instrText>
      </w:r>
      <w:r w:rsidRPr="009D4272">
        <w:rPr>
          <w:snapToGrid w:val="0"/>
          <w:szCs w:val="24"/>
        </w:rPr>
        <w:fldChar w:fldCharType="separate"/>
      </w:r>
      <w:r w:rsidR="009D4272" w:rsidRPr="009D4272">
        <w:rPr>
          <w:noProof/>
          <w:snapToGrid w:val="0"/>
          <w:szCs w:val="24"/>
        </w:rPr>
        <w:t>47</w:t>
      </w:r>
      <w:r w:rsidRPr="009D4272">
        <w:rPr>
          <w:snapToGrid w:val="0"/>
          <w:szCs w:val="24"/>
        </w:rPr>
        <w:fldChar w:fldCharType="end"/>
      </w:r>
      <w:r w:rsidR="0041414C">
        <w:t xml:space="preserve">.  Valdība apgalvoja, no vienas puses, ka iesniedzējs nav izmantojis visus viņam pieejamos nacionālos tiesību aizsardzības līdzekļus, </w:t>
      </w:r>
      <w:r w:rsidR="00DC38DE">
        <w:t>jo</w:t>
      </w:r>
      <w:r w:rsidR="0041414C">
        <w:t xml:space="preserve"> viņš būtu varējis pieprasīt kompensāciju no vainīgajiem par sliktu izturēšanos</w:t>
      </w:r>
      <w:r w:rsidR="00763308">
        <w:t>,</w:t>
      </w:r>
      <w:r w:rsidR="0041414C">
        <w:t xml:space="preserve"> </w:t>
      </w:r>
      <w:r w:rsidR="00DC38DE">
        <w:t>pamatojoties uz</w:t>
      </w:r>
      <w:r w:rsidR="0041414C">
        <w:t xml:space="preserve"> Civillikuma 1635. un 1779. pantu. </w:t>
      </w:r>
      <w:r w:rsidR="0052319E">
        <w:t>Valdība</w:t>
      </w:r>
      <w:r w:rsidR="0041414C">
        <w:t xml:space="preserve"> apgalvoja, ka </w:t>
      </w:r>
      <w:r w:rsidR="000B639B">
        <w:t>izbeigtais</w:t>
      </w:r>
      <w:r w:rsidR="0041414C">
        <w:t xml:space="preserve"> kriminālprocess </w:t>
      </w:r>
      <w:r w:rsidR="007625E7">
        <w:t>nebija atkarīgs ne no kāda civilprocesa, jo kriminālprocesa iznākumam</w:t>
      </w:r>
      <w:r w:rsidR="0041414C">
        <w:t xml:space="preserve">, lai gan tas </w:t>
      </w:r>
      <w:r w:rsidR="007625E7">
        <w:t>būtu bijis</w:t>
      </w:r>
      <w:r w:rsidR="0041414C">
        <w:t xml:space="preserve"> būtisks, neb</w:t>
      </w:r>
      <w:r w:rsidR="007625E7">
        <w:t>ūtu</w:t>
      </w:r>
      <w:r w:rsidR="0041414C">
        <w:t xml:space="preserve"> izšķiroša ietekme uz civilprocesa iznākumu. Šajā sakarā </w:t>
      </w:r>
      <w:r w:rsidR="007625E7">
        <w:t xml:space="preserve">Valdība </w:t>
      </w:r>
      <w:r w:rsidR="0041414C">
        <w:t xml:space="preserve">atsaucās uz lietu </w:t>
      </w:r>
      <w:r w:rsidR="0041414C">
        <w:rPr>
          <w:i/>
          <w:snapToGrid w:val="0"/>
        </w:rPr>
        <w:t>Y pret Latviju</w:t>
      </w:r>
      <w:r w:rsidR="0041414C">
        <w:t xml:space="preserve"> (Nr. 61183/08, 71. rindkopa, </w:t>
      </w:r>
      <w:proofErr w:type="gramStart"/>
      <w:r w:rsidR="0041414C">
        <w:t>2014.gada</w:t>
      </w:r>
      <w:proofErr w:type="gramEnd"/>
      <w:r w:rsidR="0041414C">
        <w:t xml:space="preserve"> 21.oktobris)</w:t>
      </w:r>
      <w:r w:rsidR="00CE1ED0">
        <w:t>,</w:t>
      </w:r>
      <w:r w:rsidR="0041414C">
        <w:t xml:space="preserve"> kā arī </w:t>
      </w:r>
      <w:r w:rsidR="00CE1ED0">
        <w:t xml:space="preserve">uz </w:t>
      </w:r>
      <w:r w:rsidR="0041414C">
        <w:t xml:space="preserve">nacionālo judikatūru, ieskaitot Rīgas apgabaltiesas 2012.gada 31.oktobra spriedumu, ar kuru sūdzības iesniedzējam tika piešķirta kompensācija par sliktu izturēšanos no policijas darbinieku puses aptuveni </w:t>
      </w:r>
      <w:r w:rsidR="008F0B63">
        <w:t xml:space="preserve">EUR </w:t>
      </w:r>
      <w:r w:rsidR="0041414C">
        <w:t>1 420 apmērā.</w:t>
      </w:r>
    </w:p>
    <w:p w:rsidR="006E1AC3" w:rsidRPr="009D4272" w:rsidRDefault="003D7F16" w:rsidP="009D4272">
      <w:pPr>
        <w:pStyle w:val="ECHRPara"/>
        <w:rPr>
          <w:snapToGrid w:val="0"/>
          <w:szCs w:val="24"/>
        </w:rPr>
      </w:pPr>
      <w:r w:rsidRPr="009D4272">
        <w:rPr>
          <w:snapToGrid w:val="0"/>
          <w:szCs w:val="24"/>
        </w:rPr>
        <w:fldChar w:fldCharType="begin"/>
      </w:r>
      <w:r w:rsidR="0041414C" w:rsidRPr="009D4272">
        <w:rPr>
          <w:snapToGrid w:val="0"/>
          <w:szCs w:val="24"/>
        </w:rPr>
        <w:instrText xml:space="preserve"> SEQ level0 \*arabic </w:instrText>
      </w:r>
      <w:r w:rsidRPr="009D4272">
        <w:rPr>
          <w:snapToGrid w:val="0"/>
          <w:szCs w:val="24"/>
        </w:rPr>
        <w:fldChar w:fldCharType="separate"/>
      </w:r>
      <w:r w:rsidR="009D4272" w:rsidRPr="009D4272">
        <w:rPr>
          <w:noProof/>
          <w:snapToGrid w:val="0"/>
          <w:szCs w:val="24"/>
        </w:rPr>
        <w:t>48</w:t>
      </w:r>
      <w:r w:rsidRPr="009D4272">
        <w:rPr>
          <w:snapToGrid w:val="0"/>
          <w:szCs w:val="24"/>
        </w:rPr>
        <w:fldChar w:fldCharType="end"/>
      </w:r>
      <w:r w:rsidR="0041414C">
        <w:t xml:space="preserve">.  No otras puses, iesniedzēja lūgums atjaunot </w:t>
      </w:r>
      <w:r w:rsidR="00CE1ED0">
        <w:t>procesu</w:t>
      </w:r>
      <w:r w:rsidR="0041414C">
        <w:t>, pamatojoties uz Krim</w:t>
      </w:r>
      <w:r w:rsidR="00DF7888">
        <w:t>inālprocesa likuma 393. un 655.-</w:t>
      </w:r>
      <w:r w:rsidR="0041414C">
        <w:t xml:space="preserve">657.pantu, nebija efektīvs </w:t>
      </w:r>
      <w:r w:rsidR="00CE1ED0">
        <w:t>tiesību aizsardzības līdzeklis</w:t>
      </w:r>
      <w:r w:rsidR="0041414C">
        <w:t xml:space="preserve"> un nevarēja tikt ņemts vērā, aprēķinot sešu mēnešu termiņu.</w:t>
      </w:r>
    </w:p>
    <w:p w:rsidR="0041414C" w:rsidRPr="009D4272" w:rsidRDefault="007C4CD7" w:rsidP="009D4272">
      <w:pPr>
        <w:pStyle w:val="ECHRPara"/>
        <w:rPr>
          <w:snapToGrid w:val="0"/>
          <w:szCs w:val="24"/>
        </w:rPr>
      </w:pPr>
      <w:r>
        <w:t xml:space="preserve">Precīzāk, atsaucoties uz Tiesas judikatūru, kā tas noteikts lietā </w:t>
      </w:r>
      <w:r>
        <w:rPr>
          <w:i/>
          <w:snapToGrid w:val="0"/>
        </w:rPr>
        <w:t>H. pret Islandi</w:t>
      </w:r>
      <w:r>
        <w:t xml:space="preserve"> ((lēmums) Nr. 29785/07, </w:t>
      </w:r>
      <w:proofErr w:type="gramStart"/>
      <w:r>
        <w:t>2011.gada</w:t>
      </w:r>
      <w:proofErr w:type="gramEnd"/>
      <w:r>
        <w:t xml:space="preserve"> 27.septembris), Valdība apgalvoja, ka nacionālie tiesību akti, uz kuriem iesniedzējs atsaucās, tas ir Kriminālprocesa likuma 393. un 655.</w:t>
      </w:r>
      <w:r w:rsidR="00DF7888">
        <w:t>-</w:t>
      </w:r>
      <w:r>
        <w:t xml:space="preserve">657.pants, kaut gan kopumā </w:t>
      </w:r>
      <w:r w:rsidR="003612FB">
        <w:t>paredzēja</w:t>
      </w:r>
      <w:r>
        <w:t xml:space="preserve"> izbeigtas tiesvedības atjaunošanas juridisko pamatojumu, tomēr nebija </w:t>
      </w:r>
      <w:r>
        <w:lastRenderedPageBreak/>
        <w:t>piemērot</w:t>
      </w:r>
      <w:r w:rsidR="00763308">
        <w:t>s</w:t>
      </w:r>
      <w:r>
        <w:t xml:space="preserve"> iesniedzēja gadījumā, jo viņa lūgums atjaunot </w:t>
      </w:r>
      <w:r w:rsidR="003612FB">
        <w:t>procesu</w:t>
      </w:r>
      <w:r>
        <w:t xml:space="preserve"> bija balstīts uz šajā lietā pieņemto vienpusējo deklarāciju. </w:t>
      </w:r>
      <w:r w:rsidR="003612FB">
        <w:t xml:space="preserve">Kriminālprocesa </w:t>
      </w:r>
      <w:r>
        <w:t>393.pants bija nesaraujami saistīts ar 655.pantu, un 655.panta 2. pu</w:t>
      </w:r>
      <w:r w:rsidR="00204186">
        <w:t xml:space="preserve">nkta 3. </w:t>
      </w:r>
      <w:r w:rsidR="003612FB">
        <w:t>apakšpunkts</w:t>
      </w:r>
      <w:r w:rsidR="00204186">
        <w:t xml:space="preserve"> atsaucās uz „</w:t>
      </w:r>
      <w:r>
        <w:t xml:space="preserve">jaunatklātu apstākļu” definīciju, proti, tādiem apstākļiem, kuri, pieņemot nolēmumu, nav bijuši zināmi tiesai vai prokuroram un kas paši par sevi vai kopā ar agrāk konstatētajiem apstākļiem norāda, ka konkrētā persona nav vainīga vai izdarījusi vieglāku vai smagāku noziedzīgu nodarījumu nekā tas, par kuru tā notiesāta (skatīt iepriekš </w:t>
      </w:r>
      <w:r w:rsidR="003D7F16" w:rsidRPr="009D4272">
        <w:rPr>
          <w:iCs/>
          <w:snapToGrid w:val="0"/>
          <w:szCs w:val="24"/>
        </w:rPr>
        <w:fldChar w:fldCharType="begin"/>
      </w:r>
      <w:r w:rsidR="00E077F3" w:rsidRPr="009D4272">
        <w:rPr>
          <w:iCs/>
          <w:snapToGrid w:val="0"/>
          <w:szCs w:val="24"/>
        </w:rPr>
        <w:instrText xml:space="preserve"> REF para27 \h </w:instrText>
      </w:r>
      <w:r w:rsidR="003D7F16" w:rsidRPr="009D4272">
        <w:rPr>
          <w:iCs/>
          <w:snapToGrid w:val="0"/>
          <w:szCs w:val="24"/>
        </w:rPr>
      </w:r>
      <w:r w:rsidR="003D7F16" w:rsidRPr="009D4272">
        <w:rPr>
          <w:iCs/>
          <w:snapToGrid w:val="0"/>
          <w:szCs w:val="24"/>
        </w:rPr>
        <w:fldChar w:fldCharType="separate"/>
      </w:r>
      <w:r w:rsidR="009D4272" w:rsidRPr="009D4272">
        <w:rPr>
          <w:noProof/>
        </w:rPr>
        <w:t>29</w:t>
      </w:r>
      <w:r w:rsidR="003D7F16" w:rsidRPr="009D4272">
        <w:rPr>
          <w:iCs/>
          <w:snapToGrid w:val="0"/>
          <w:szCs w:val="24"/>
        </w:rPr>
        <w:fldChar w:fldCharType="end"/>
      </w:r>
      <w:r w:rsidR="00204186">
        <w:rPr>
          <w:iCs/>
          <w:snapToGrid w:val="0"/>
          <w:szCs w:val="24"/>
        </w:rPr>
        <w:t>.</w:t>
      </w:r>
      <w:r>
        <w:t xml:space="preserve"> rindkopu). Ne lietā Nr. 547/02 iesniegtā vienpusējā deklarācija, uz kuru iesniedzējs atsaucās kā</w:t>
      </w:r>
      <w:r w:rsidR="009470AF">
        <w:t xml:space="preserve"> uz</w:t>
      </w:r>
      <w:r>
        <w:t xml:space="preserve"> pamatojumu izmeklēšanas atjaunošanai, ne Tiesas </w:t>
      </w:r>
      <w:proofErr w:type="gramStart"/>
      <w:r>
        <w:t>2009.gada</w:t>
      </w:r>
      <w:proofErr w:type="gramEnd"/>
      <w:r w:rsidR="00E80DBC">
        <w:t xml:space="preserve"> 10.februāra lēmums par lietas svītrošanu</w:t>
      </w:r>
      <w:r>
        <w:t xml:space="preserve"> no izskatāmo lietu saraksta nevar tikt uzskatīt</w:t>
      </w:r>
      <w:r w:rsidR="009470AF">
        <w:t>i</w:t>
      </w:r>
      <w:r>
        <w:t xml:space="preserve"> par jaunatklātiem apstākļiem, jo tie nesatur nekādu jaunu informāciju vai faktus, kas būtu izmeklēšanai būtiski attiecībā uz slikto izturēšanos pret iesniedzēju, tas ir, kas spētu novērst izmeklēšanas trūkumus.</w:t>
      </w:r>
    </w:p>
    <w:p w:rsidR="00BD3ABF" w:rsidRPr="009D4272" w:rsidRDefault="0041414C" w:rsidP="009D4272">
      <w:pPr>
        <w:pStyle w:val="ECHRPara"/>
        <w:rPr>
          <w:snapToGrid w:val="0"/>
          <w:szCs w:val="24"/>
        </w:rPr>
      </w:pPr>
      <w:r>
        <w:t>Tā</w:t>
      </w:r>
      <w:r w:rsidR="009470AF">
        <w:t>dēļ,</w:t>
      </w:r>
      <w:r>
        <w:t xml:space="preserve"> </w:t>
      </w:r>
      <w:r w:rsidR="009470AF">
        <w:t>ņemot vērā</w:t>
      </w:r>
      <w:r w:rsidR="009464F5">
        <w:t xml:space="preserve"> to</w:t>
      </w:r>
      <w:r w:rsidR="009470AF">
        <w:t xml:space="preserve">, ka iesniedzējs iesniedza </w:t>
      </w:r>
      <w:r w:rsidR="000B69E6">
        <w:t>iesniegumu</w:t>
      </w:r>
      <w:r>
        <w:t xml:space="preserve"> </w:t>
      </w:r>
      <w:proofErr w:type="gramStart"/>
      <w:r>
        <w:t>2010.gada</w:t>
      </w:r>
      <w:proofErr w:type="gramEnd"/>
      <w:r>
        <w:t xml:space="preserve"> 26.jūlijā, tas ir</w:t>
      </w:r>
      <w:r w:rsidR="009470AF">
        <w:t>,</w:t>
      </w:r>
      <w:r>
        <w:t xml:space="preserve"> vairāk kā sešus mēnešus pēc apstrīdētā kriminālprocesa izbeigšanas, </w:t>
      </w:r>
      <w:r w:rsidR="00C25290">
        <w:t>viņš nav</w:t>
      </w:r>
      <w:r>
        <w:t xml:space="preserve"> ievērojis Konvencijas 35.pantā minēto sešu mēnešu nosacījumu.</w:t>
      </w:r>
    </w:p>
    <w:p w:rsidR="00BD3ABF" w:rsidRPr="009D4272" w:rsidRDefault="005D07C4" w:rsidP="009D4272">
      <w:pPr>
        <w:pStyle w:val="ECHRHeading5"/>
        <w:rPr>
          <w:snapToGrid w:val="0"/>
        </w:rPr>
      </w:pPr>
      <w:r>
        <w:t>(</w:t>
      </w:r>
      <w:proofErr w:type="spellStart"/>
      <w:r>
        <w:t>iii</w:t>
      </w:r>
      <w:proofErr w:type="spellEnd"/>
      <w:r>
        <w:t>) Cietušā statusa zaudēšana</w:t>
      </w:r>
    </w:p>
    <w:p w:rsidR="00BD3ABF" w:rsidRPr="009D4272" w:rsidRDefault="003D7F16" w:rsidP="009D4272">
      <w:pPr>
        <w:pStyle w:val="ECHRPara"/>
        <w:rPr>
          <w:snapToGrid w:val="0"/>
          <w:szCs w:val="24"/>
        </w:rPr>
      </w:pPr>
      <w:r w:rsidRPr="009D4272">
        <w:rPr>
          <w:snapToGrid w:val="0"/>
          <w:szCs w:val="24"/>
        </w:rPr>
        <w:fldChar w:fldCharType="begin"/>
      </w:r>
      <w:r w:rsidR="000C52DA" w:rsidRPr="009D4272">
        <w:rPr>
          <w:snapToGrid w:val="0"/>
          <w:szCs w:val="24"/>
        </w:rPr>
        <w:instrText xml:space="preserve"> SEQ level0 \*arabic </w:instrText>
      </w:r>
      <w:r w:rsidRPr="009D4272">
        <w:rPr>
          <w:snapToGrid w:val="0"/>
          <w:szCs w:val="24"/>
        </w:rPr>
        <w:fldChar w:fldCharType="separate"/>
      </w:r>
      <w:r w:rsidR="009D4272" w:rsidRPr="009D4272">
        <w:rPr>
          <w:noProof/>
          <w:snapToGrid w:val="0"/>
          <w:szCs w:val="24"/>
        </w:rPr>
        <w:t>49</w:t>
      </w:r>
      <w:r w:rsidRPr="009D4272">
        <w:rPr>
          <w:snapToGrid w:val="0"/>
          <w:szCs w:val="24"/>
        </w:rPr>
        <w:fldChar w:fldCharType="end"/>
      </w:r>
      <w:r w:rsidR="000C52DA">
        <w:t>.  Valdība norādīja, ka iesniedzējs vairs nevarēja apgalvot, ka viņš ir ciet</w:t>
      </w:r>
      <w:r w:rsidR="00BB42F3">
        <w:t>is</w:t>
      </w:r>
      <w:r w:rsidR="000C52DA">
        <w:t xml:space="preserve"> no </w:t>
      </w:r>
      <w:r w:rsidR="005E0D16">
        <w:t>tiesību pārkāpum</w:t>
      </w:r>
      <w:r w:rsidR="00BB42F3">
        <w:t>iem</w:t>
      </w:r>
      <w:r w:rsidR="005E0D16">
        <w:t>, kas ir paredzēt</w:t>
      </w:r>
      <w:r w:rsidR="00A6660A">
        <w:t>i</w:t>
      </w:r>
      <w:r w:rsidR="005E0D16">
        <w:t xml:space="preserve"> </w:t>
      </w:r>
      <w:r w:rsidR="000C52DA">
        <w:t xml:space="preserve">Konvencijas 3. un </w:t>
      </w:r>
      <w:proofErr w:type="gramStart"/>
      <w:r w:rsidR="000C52DA">
        <w:t>13.pant</w:t>
      </w:r>
      <w:r w:rsidR="00B72ED0">
        <w:t>ā</w:t>
      </w:r>
      <w:proofErr w:type="gramEnd"/>
      <w:r w:rsidR="000C52DA">
        <w:t xml:space="preserve">. </w:t>
      </w:r>
      <w:r w:rsidR="00720529">
        <w:t>Valdība</w:t>
      </w:r>
      <w:r w:rsidR="000C52DA">
        <w:t xml:space="preserve"> norādīja, ka ar vienpusējo deklarāciju ir atzinusi minēto pantu pārkāpumus, ko Tiesa apstiprināja ar </w:t>
      </w:r>
      <w:proofErr w:type="gramStart"/>
      <w:r w:rsidR="000C52DA">
        <w:t>2009.gada</w:t>
      </w:r>
      <w:proofErr w:type="gramEnd"/>
      <w:r w:rsidR="000C52DA">
        <w:t xml:space="preserve"> 10.februāra lēmumu, un ir izmaksājusi kompensāciju </w:t>
      </w:r>
      <w:r w:rsidR="008F0B63">
        <w:t>EUR</w:t>
      </w:r>
      <w:r w:rsidR="008F0B63">
        <w:t xml:space="preserve"> </w:t>
      </w:r>
      <w:r w:rsidR="000C52DA">
        <w:t>4 500 apmērā, tādējādi nodrošinot atbilstošu atlīdzību par vienpusējā deklarācijā atzītajiem pārkāpumiem.</w:t>
      </w:r>
    </w:p>
    <w:p w:rsidR="00836A90" w:rsidRPr="009D4272" w:rsidRDefault="003618C0" w:rsidP="009D4272">
      <w:pPr>
        <w:pStyle w:val="ECHRHeading4"/>
        <w:rPr>
          <w:snapToGrid w:val="0"/>
        </w:rPr>
      </w:pPr>
      <w:r>
        <w:t>(b) Iesniedzējs</w:t>
      </w:r>
    </w:p>
    <w:p w:rsidR="006A581A" w:rsidRPr="009D4272" w:rsidRDefault="005D07C4" w:rsidP="009D4272">
      <w:pPr>
        <w:pStyle w:val="ECHRHeading5"/>
      </w:pPr>
      <w:r>
        <w:t>(i) Sūdzību atbilstība Konvencijai</w:t>
      </w:r>
    </w:p>
    <w:p w:rsidR="00411C1E"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50</w:t>
      </w:r>
      <w:r w:rsidRPr="009D4272">
        <w:rPr>
          <w:noProof/>
        </w:rPr>
        <w:fldChar w:fldCharType="end"/>
      </w:r>
      <w:r w:rsidR="00E17C5D">
        <w:t xml:space="preserve">.  Iesniedzējs norādīja, ka Latvijas Valdībai, neraugoties uz </w:t>
      </w:r>
      <w:r w:rsidR="006D4AFD">
        <w:t>Konvencijas</w:t>
      </w:r>
      <w:r w:rsidR="00E17C5D">
        <w:t xml:space="preserve"> </w:t>
      </w:r>
      <w:proofErr w:type="gramStart"/>
      <w:r w:rsidR="00E17C5D">
        <w:t>3.pantā</w:t>
      </w:r>
      <w:proofErr w:type="gramEnd"/>
      <w:r w:rsidR="00E17C5D">
        <w:t xml:space="preserve"> paredzēto tiesību pārkāpuma atzīšanu un kompensācijas izmaksu, bija pienākums novērst minēto pārkāpumu, ciktāl tas </w:t>
      </w:r>
      <w:r w:rsidR="006D4AFD">
        <w:t>praksē bija iespējams</w:t>
      </w:r>
      <w:r w:rsidR="00E17C5D">
        <w:t>. Tas, ka Konvencija neietvēra mehānismu</w:t>
      </w:r>
      <w:r w:rsidR="006D4AFD">
        <w:t xml:space="preserve"> lēmuma, ar kuru Tiesa svītroja </w:t>
      </w:r>
      <w:r w:rsidR="000B69E6">
        <w:t>iesniegumu</w:t>
      </w:r>
      <w:r w:rsidR="006D4AFD">
        <w:t xml:space="preserve"> </w:t>
      </w:r>
      <w:r w:rsidR="00E17C5D">
        <w:t xml:space="preserve">no </w:t>
      </w:r>
      <w:r w:rsidR="000B69E6">
        <w:t xml:space="preserve">izskatāmo </w:t>
      </w:r>
      <w:r w:rsidR="00E17C5D">
        <w:t xml:space="preserve">lietu saraksta, izpildes uzraudzībai (izņemot situācijas, kad </w:t>
      </w:r>
      <w:r w:rsidR="006D4AFD">
        <w:t xml:space="preserve">lēmumā ir iekļauta </w:t>
      </w:r>
      <w:r w:rsidR="00535895">
        <w:t>tiesāšanas izdevumu izmaksa</w:t>
      </w:r>
      <w:r w:rsidR="00E17C5D">
        <w:t xml:space="preserve">), nenozīmēja, ka </w:t>
      </w:r>
      <w:r w:rsidR="006D4AFD">
        <w:t xml:space="preserve">Eiropas Padomei būtu jāatstāj </w:t>
      </w:r>
      <w:r w:rsidR="00E17C5D">
        <w:t xml:space="preserve">lēmums par lietas </w:t>
      </w:r>
      <w:r w:rsidR="006D4AFD">
        <w:t>svītrošanu no izskatāmo lietu saraksta</w:t>
      </w:r>
      <w:r w:rsidR="00E17C5D">
        <w:t xml:space="preserve"> pēc vienpusējas deklarācijas </w:t>
      </w:r>
      <w:r w:rsidR="006D4AFD">
        <w:t>apstiprināšanas</w:t>
      </w:r>
      <w:r w:rsidR="006D4AFD" w:rsidRPr="006D4AFD">
        <w:t xml:space="preserve"> </w:t>
      </w:r>
      <w:r w:rsidR="006D4AFD">
        <w:t>bez jebkādas uzraudzības</w:t>
      </w:r>
      <w:r w:rsidR="00E17C5D">
        <w:t xml:space="preserve">. </w:t>
      </w:r>
      <w:r w:rsidR="006D4AFD">
        <w:t xml:space="preserve">Šādi būtu jāinterpretē </w:t>
      </w:r>
      <w:r w:rsidR="00E17C5D">
        <w:t>Konvencijas 1., 19. un 32. pants un Konve</w:t>
      </w:r>
      <w:r w:rsidR="006D4AFD">
        <w:t>ncijas būtība kopumā</w:t>
      </w:r>
      <w:r w:rsidR="00E17C5D">
        <w:t xml:space="preserve">. </w:t>
      </w:r>
      <w:r w:rsidR="00176CD2">
        <w:t>U</w:t>
      </w:r>
      <w:r w:rsidR="00E17C5D">
        <w:t xml:space="preserve">zskatīt, ka valstīm </w:t>
      </w:r>
      <w:r w:rsidR="00176CD2">
        <w:t>ir</w:t>
      </w:r>
      <w:r w:rsidR="00E17C5D">
        <w:t xml:space="preserve"> </w:t>
      </w:r>
      <w:r w:rsidR="00535895">
        <w:t>saistošs</w:t>
      </w:r>
      <w:r w:rsidR="00E17C5D">
        <w:t xml:space="preserve"> pienākums izbeigt Konvencijas pārkāpumu un atlīdzināt tā sekas tikai tad, ja Tiesa ir pasludinājusi spriedumu, un nevis gadījumos, kad valsts pati ir atzinusi iesniedzēja tiesību pārkāpumu ar </w:t>
      </w:r>
      <w:r w:rsidR="00E17C5D">
        <w:lastRenderedPageBreak/>
        <w:t xml:space="preserve">vienpusējas </w:t>
      </w:r>
      <w:r w:rsidR="00176CD2">
        <w:t xml:space="preserve">deklarācijas palīdzību, būtu pretrunā Konvencijas būtībai. </w:t>
      </w:r>
      <w:r w:rsidR="00E17C5D">
        <w:t xml:space="preserve">Valdība nevar brīvi izvēlēties, nodrošināt vai nenodrošināt tiesisko aizsardzību </w:t>
      </w:r>
      <w:r w:rsidR="00535895">
        <w:t xml:space="preserve">attiecībā uz </w:t>
      </w:r>
      <w:r w:rsidR="00E17C5D">
        <w:t>iesniedzēja tiesību pārkāpumu.</w:t>
      </w:r>
    </w:p>
    <w:p w:rsidR="009B294F" w:rsidRPr="009D4272" w:rsidRDefault="003D7F16" w:rsidP="009D4272">
      <w:pPr>
        <w:pStyle w:val="ECHRPara"/>
      </w:pPr>
      <w:r w:rsidRPr="009D4272">
        <w:fldChar w:fldCharType="begin"/>
      </w:r>
      <w:r w:rsidR="006E2D1B" w:rsidRPr="009D4272">
        <w:instrText xml:space="preserve"> SEQ level0 \*arabic </w:instrText>
      </w:r>
      <w:r w:rsidRPr="009D4272">
        <w:fldChar w:fldCharType="separate"/>
      </w:r>
      <w:r w:rsidR="009D4272" w:rsidRPr="009D4272">
        <w:rPr>
          <w:noProof/>
        </w:rPr>
        <w:t>51</w:t>
      </w:r>
      <w:r w:rsidRPr="009D4272">
        <w:fldChar w:fldCharType="end"/>
      </w:r>
      <w:r w:rsidR="006E2D1B">
        <w:t>.  Ja Valdība iesniedza vienpusēju deklarāciju un Tiesa ņēma to vērā un</w:t>
      </w:r>
      <w:r w:rsidR="00176CD2">
        <w:t xml:space="preserve"> svītroja </w:t>
      </w:r>
      <w:r w:rsidR="005D026F">
        <w:t>sūdzības</w:t>
      </w:r>
      <w:r w:rsidR="006E2D1B">
        <w:t xml:space="preserve"> no izskatāmo lietu saraksta pretēji iesniedzēja vēlmei, tad Valdībai ir jāgarantē, ka tiks veikti </w:t>
      </w:r>
      <w:r w:rsidR="00176CD2">
        <w:t>individuālie</w:t>
      </w:r>
      <w:r w:rsidR="006E2D1B">
        <w:t xml:space="preserve"> pasākumi, lai novērstu iesniedzēja tiesību pārkāpumu. Savā vienpusējā deklarācij</w:t>
      </w:r>
      <w:r w:rsidR="00204186">
        <w:t xml:space="preserve">ā Valdība </w:t>
      </w:r>
      <w:r w:rsidR="00176CD2">
        <w:t xml:space="preserve">ir apņēmusies </w:t>
      </w:r>
      <w:r w:rsidR="00204186">
        <w:t>„</w:t>
      </w:r>
      <w:r w:rsidR="006E2D1B">
        <w:t>nodrošināt efektīvu tiesību aizsardzību”.</w:t>
      </w:r>
    </w:p>
    <w:p w:rsidR="0037656C" w:rsidRPr="009D4272" w:rsidRDefault="006E2D1B" w:rsidP="009D4272">
      <w:pPr>
        <w:pStyle w:val="ECHRPara"/>
      </w:pPr>
      <w:r>
        <w:t xml:space="preserve">Kriminālprocesa atjaunošana lietā Nr. 50207598 par sliktu izturēšanos pret iesniedzēju no policijas darbinieku puses bija vienīgais tiesību aizsardzības līdzeklis, kas </w:t>
      </w:r>
      <w:r w:rsidR="004A3B06">
        <w:t>izlabo</w:t>
      </w:r>
      <w:r>
        <w:t xml:space="preserve"> </w:t>
      </w:r>
      <w:r w:rsidR="004A3B06">
        <w:t xml:space="preserve">pieņemto </w:t>
      </w:r>
      <w:r>
        <w:t xml:space="preserve">lēmumu </w:t>
      </w:r>
      <w:r w:rsidR="00D512E8">
        <w:t>par</w:t>
      </w:r>
      <w:r>
        <w:t xml:space="preserve"> kriminālproces</w:t>
      </w:r>
      <w:r w:rsidR="00D512E8">
        <w:t>a izbeigšanu</w:t>
      </w:r>
      <w:r>
        <w:t xml:space="preserve"> </w:t>
      </w:r>
      <w:r w:rsidR="00D512E8">
        <w:t>attiecībā uz konkrētajiem</w:t>
      </w:r>
      <w:r>
        <w:t xml:space="preserve"> policijas darbiniekiem</w:t>
      </w:r>
      <w:r w:rsidR="00D512E8">
        <w:t>,</w:t>
      </w:r>
      <w:r>
        <w:t xml:space="preserve"> atzīst</w:t>
      </w:r>
      <w:r w:rsidR="00D512E8">
        <w:t xml:space="preserve"> policijas darbinieku atbildību</w:t>
      </w:r>
      <w:r>
        <w:t xml:space="preserve"> un nodrošina viņu sodīšanu.</w:t>
      </w:r>
    </w:p>
    <w:p w:rsidR="00DD73D8" w:rsidRPr="009D4272" w:rsidRDefault="003D7F16" w:rsidP="009D4272">
      <w:pPr>
        <w:pStyle w:val="ECHRPara"/>
      </w:pPr>
      <w:r w:rsidRPr="009D4272">
        <w:fldChar w:fldCharType="begin"/>
      </w:r>
      <w:r w:rsidR="001E47E0" w:rsidRPr="009D4272">
        <w:instrText xml:space="preserve"> SEQ level0 \*arabic </w:instrText>
      </w:r>
      <w:r w:rsidRPr="009D4272">
        <w:fldChar w:fldCharType="separate"/>
      </w:r>
      <w:r w:rsidR="009D4272" w:rsidRPr="009D4272">
        <w:rPr>
          <w:noProof/>
        </w:rPr>
        <w:t>52</w:t>
      </w:r>
      <w:r w:rsidRPr="009D4272">
        <w:fldChar w:fldCharType="end"/>
      </w:r>
      <w:r w:rsidR="001E47E0">
        <w:t>.  Iesniedzējs atsaucās arī uz šādu teikumu Tie</w:t>
      </w:r>
      <w:r w:rsidR="00D512E8">
        <w:t xml:space="preserve">sas </w:t>
      </w:r>
      <w:proofErr w:type="gramStart"/>
      <w:r w:rsidR="00D512E8">
        <w:t>2009.gada</w:t>
      </w:r>
      <w:proofErr w:type="gramEnd"/>
      <w:r w:rsidR="00D512E8">
        <w:t xml:space="preserve"> 10.februāra lēmumā</w:t>
      </w:r>
      <w:r w:rsidR="001E47E0">
        <w:t xml:space="preserve">, ar kuru tiek </w:t>
      </w:r>
      <w:r w:rsidR="005D026F">
        <w:t>svītrotas</w:t>
      </w:r>
      <w:r w:rsidR="001E47E0">
        <w:t xml:space="preserve"> iesniedzēja sūdzības par sliktu izturēšanos un efektīvas izmeklēšanas trūkumu, 54.rin</w:t>
      </w:r>
      <w:r w:rsidR="00204186">
        <w:t>dkopā (iesniegums Nr. 547/02): „</w:t>
      </w:r>
      <w:r w:rsidR="001E47E0">
        <w:t>Šis lēmums neietekmē iesniedzēja iespēju īstenot kādu citu pieejamu tiesību aizsardzības līd</w:t>
      </w:r>
      <w:r w:rsidR="00204186">
        <w:t>zekli, lai saņemtu atlīdzību” („</w:t>
      </w:r>
      <w:proofErr w:type="spellStart"/>
      <w:r w:rsidR="001E47E0">
        <w:rPr>
          <w:i/>
        </w:rPr>
        <w:t>Cette</w:t>
      </w:r>
      <w:proofErr w:type="spellEnd"/>
      <w:r w:rsidR="001E47E0">
        <w:rPr>
          <w:i/>
        </w:rPr>
        <w:t xml:space="preserve"> </w:t>
      </w:r>
      <w:proofErr w:type="spellStart"/>
      <w:r w:rsidR="001E47E0">
        <w:rPr>
          <w:i/>
        </w:rPr>
        <w:t>décision</w:t>
      </w:r>
      <w:proofErr w:type="spellEnd"/>
      <w:r w:rsidR="001E47E0">
        <w:rPr>
          <w:i/>
        </w:rPr>
        <w:t xml:space="preserve"> ne </w:t>
      </w:r>
      <w:proofErr w:type="spellStart"/>
      <w:r w:rsidR="001E47E0">
        <w:rPr>
          <w:i/>
        </w:rPr>
        <w:t>préjuge</w:t>
      </w:r>
      <w:proofErr w:type="spellEnd"/>
      <w:r w:rsidR="001E47E0">
        <w:rPr>
          <w:i/>
        </w:rPr>
        <w:t xml:space="preserve"> </w:t>
      </w:r>
      <w:proofErr w:type="spellStart"/>
      <w:r w:rsidR="001E47E0">
        <w:rPr>
          <w:i/>
        </w:rPr>
        <w:t>en</w:t>
      </w:r>
      <w:proofErr w:type="spellEnd"/>
      <w:r w:rsidR="001E47E0">
        <w:rPr>
          <w:i/>
        </w:rPr>
        <w:t xml:space="preserve"> </w:t>
      </w:r>
      <w:proofErr w:type="spellStart"/>
      <w:r w:rsidR="001E47E0">
        <w:rPr>
          <w:i/>
        </w:rPr>
        <w:t>rien</w:t>
      </w:r>
      <w:proofErr w:type="spellEnd"/>
      <w:r w:rsidR="001E47E0">
        <w:rPr>
          <w:i/>
        </w:rPr>
        <w:t xml:space="preserve"> </w:t>
      </w:r>
      <w:proofErr w:type="spellStart"/>
      <w:r w:rsidR="001E47E0">
        <w:rPr>
          <w:i/>
        </w:rPr>
        <w:t>de</w:t>
      </w:r>
      <w:proofErr w:type="spellEnd"/>
      <w:r w:rsidR="001E47E0">
        <w:rPr>
          <w:i/>
        </w:rPr>
        <w:t xml:space="preserve"> la </w:t>
      </w:r>
      <w:proofErr w:type="spellStart"/>
      <w:r w:rsidR="001E47E0">
        <w:rPr>
          <w:i/>
        </w:rPr>
        <w:t>possibilité</w:t>
      </w:r>
      <w:proofErr w:type="spellEnd"/>
      <w:r w:rsidR="001E47E0">
        <w:rPr>
          <w:i/>
        </w:rPr>
        <w:t xml:space="preserve"> </w:t>
      </w:r>
      <w:proofErr w:type="spellStart"/>
      <w:r w:rsidR="001E47E0">
        <w:rPr>
          <w:i/>
        </w:rPr>
        <w:t>pour</w:t>
      </w:r>
      <w:proofErr w:type="spellEnd"/>
      <w:r w:rsidR="001E47E0">
        <w:rPr>
          <w:i/>
        </w:rPr>
        <w:t xml:space="preserve"> </w:t>
      </w:r>
      <w:proofErr w:type="spellStart"/>
      <w:r w:rsidR="001E47E0">
        <w:rPr>
          <w:i/>
        </w:rPr>
        <w:t>le</w:t>
      </w:r>
      <w:proofErr w:type="spellEnd"/>
      <w:r w:rsidR="001E47E0">
        <w:rPr>
          <w:i/>
        </w:rPr>
        <w:t xml:space="preserve"> </w:t>
      </w:r>
      <w:proofErr w:type="spellStart"/>
      <w:r w:rsidR="001E47E0">
        <w:rPr>
          <w:i/>
        </w:rPr>
        <w:t>requérant</w:t>
      </w:r>
      <w:proofErr w:type="spellEnd"/>
      <w:r w:rsidR="001E47E0">
        <w:rPr>
          <w:i/>
        </w:rPr>
        <w:t xml:space="preserve"> </w:t>
      </w:r>
      <w:proofErr w:type="spellStart"/>
      <w:r w:rsidR="001E47E0">
        <w:rPr>
          <w:i/>
        </w:rPr>
        <w:t>d’exercer</w:t>
      </w:r>
      <w:proofErr w:type="spellEnd"/>
      <w:r w:rsidR="001E47E0">
        <w:rPr>
          <w:i/>
        </w:rPr>
        <w:t xml:space="preserve">, </w:t>
      </w:r>
      <w:proofErr w:type="spellStart"/>
      <w:r w:rsidR="001E47E0">
        <w:rPr>
          <w:i/>
        </w:rPr>
        <w:t>le</w:t>
      </w:r>
      <w:proofErr w:type="spellEnd"/>
      <w:r w:rsidR="001E47E0">
        <w:rPr>
          <w:i/>
        </w:rPr>
        <w:t xml:space="preserve"> </w:t>
      </w:r>
      <w:proofErr w:type="spellStart"/>
      <w:r w:rsidR="001E47E0">
        <w:rPr>
          <w:i/>
        </w:rPr>
        <w:t>cas</w:t>
      </w:r>
      <w:proofErr w:type="spellEnd"/>
      <w:r w:rsidR="001E47E0">
        <w:rPr>
          <w:i/>
        </w:rPr>
        <w:t xml:space="preserve"> </w:t>
      </w:r>
      <w:proofErr w:type="spellStart"/>
      <w:r w:rsidR="001E47E0">
        <w:rPr>
          <w:i/>
        </w:rPr>
        <w:t>échéant</w:t>
      </w:r>
      <w:proofErr w:type="spellEnd"/>
      <w:r w:rsidR="001E47E0">
        <w:rPr>
          <w:i/>
        </w:rPr>
        <w:t xml:space="preserve">, </w:t>
      </w:r>
      <w:proofErr w:type="spellStart"/>
      <w:r w:rsidR="001E47E0">
        <w:rPr>
          <w:i/>
        </w:rPr>
        <w:t>d’autres</w:t>
      </w:r>
      <w:proofErr w:type="spellEnd"/>
      <w:r w:rsidR="001E47E0">
        <w:rPr>
          <w:i/>
        </w:rPr>
        <w:t xml:space="preserve"> </w:t>
      </w:r>
      <w:proofErr w:type="spellStart"/>
      <w:r w:rsidR="001E47E0">
        <w:rPr>
          <w:i/>
        </w:rPr>
        <w:t>recours</w:t>
      </w:r>
      <w:proofErr w:type="spellEnd"/>
      <w:r w:rsidR="001E47E0">
        <w:rPr>
          <w:i/>
        </w:rPr>
        <w:t xml:space="preserve"> </w:t>
      </w:r>
      <w:proofErr w:type="spellStart"/>
      <w:r w:rsidR="001E47E0">
        <w:rPr>
          <w:i/>
        </w:rPr>
        <w:t>afin</w:t>
      </w:r>
      <w:proofErr w:type="spellEnd"/>
      <w:r w:rsidR="001E47E0">
        <w:rPr>
          <w:i/>
        </w:rPr>
        <w:t xml:space="preserve"> </w:t>
      </w:r>
      <w:proofErr w:type="spellStart"/>
      <w:r w:rsidR="001E47E0">
        <w:rPr>
          <w:i/>
        </w:rPr>
        <w:t>d’obtenir</w:t>
      </w:r>
      <w:proofErr w:type="spellEnd"/>
      <w:r w:rsidR="001E47E0">
        <w:rPr>
          <w:i/>
        </w:rPr>
        <w:t xml:space="preserve"> </w:t>
      </w:r>
      <w:proofErr w:type="spellStart"/>
      <w:r w:rsidR="001E47E0">
        <w:rPr>
          <w:i/>
        </w:rPr>
        <w:t>réparation</w:t>
      </w:r>
      <w:proofErr w:type="spellEnd"/>
      <w:r w:rsidR="001E47E0">
        <w:t>”).</w:t>
      </w:r>
    </w:p>
    <w:p w:rsidR="008262D6" w:rsidRPr="009D4272" w:rsidRDefault="00D87542" w:rsidP="009D4272">
      <w:pPr>
        <w:pStyle w:val="ECHRPara"/>
      </w:pPr>
      <w:r>
        <w:t xml:space="preserve">Viņš uzskatīja, ka lietā Nr. 547/02 iesniegtās vienpusējās deklarācijas formulējums deva Tiesai iemeslu uzskatīt, ka Valdība nodrošinās efektīvu aizsardzību ne tikai </w:t>
      </w:r>
      <w:r w:rsidR="00732EA4">
        <w:t xml:space="preserve">izmaksājot </w:t>
      </w:r>
      <w:r>
        <w:t>vienpusējā deklarācijā minēt</w:t>
      </w:r>
      <w:r w:rsidR="00732EA4">
        <w:t>o</w:t>
      </w:r>
      <w:r>
        <w:t xml:space="preserve"> naudas summ</w:t>
      </w:r>
      <w:r w:rsidR="00732EA4">
        <w:t>u</w:t>
      </w:r>
      <w:r>
        <w:t>, bet arī efektīv</w:t>
      </w:r>
      <w:r w:rsidR="00732EA4">
        <w:t>i izmeklējot</w:t>
      </w:r>
      <w:r>
        <w:t xml:space="preserve"> iesniedzēja sūdzības par sliktu izturēšanos </w:t>
      </w:r>
      <w:r w:rsidR="00732EA4">
        <w:t xml:space="preserve">pret viņu </w:t>
      </w:r>
      <w:r>
        <w:t xml:space="preserve">no policijas darbinieku puses. </w:t>
      </w:r>
      <w:r w:rsidR="00652FA3">
        <w:t>Ņemot vērā</w:t>
      </w:r>
      <w:r>
        <w:t xml:space="preserve"> šo pieņēmumu, Tiesa </w:t>
      </w:r>
      <w:r w:rsidR="00297332">
        <w:t>ne</w:t>
      </w:r>
      <w:r>
        <w:t xml:space="preserve">uzskatīja par nepieciešamu turpināt skatīt </w:t>
      </w:r>
      <w:r w:rsidR="000B69E6">
        <w:t>iesniegumu</w:t>
      </w:r>
      <w:r w:rsidR="00652FA3">
        <w:t xml:space="preserve"> šajā</w:t>
      </w:r>
      <w:r>
        <w:t xml:space="preserve"> daļā.</w:t>
      </w:r>
    </w:p>
    <w:p w:rsidR="008262D6" w:rsidRPr="009D4272" w:rsidRDefault="003D7F16" w:rsidP="009D4272">
      <w:pPr>
        <w:pStyle w:val="ECHRPara"/>
      </w:pPr>
      <w:r w:rsidRPr="009D4272">
        <w:fldChar w:fldCharType="begin"/>
      </w:r>
      <w:r w:rsidR="008262D6" w:rsidRPr="009D4272">
        <w:instrText xml:space="preserve"> SEQ level0 \*arabic </w:instrText>
      </w:r>
      <w:r w:rsidRPr="009D4272">
        <w:fldChar w:fldCharType="separate"/>
      </w:r>
      <w:r w:rsidR="009D4272" w:rsidRPr="009D4272">
        <w:rPr>
          <w:noProof/>
        </w:rPr>
        <w:t>53</w:t>
      </w:r>
      <w:r w:rsidRPr="009D4272">
        <w:fldChar w:fldCharType="end"/>
      </w:r>
      <w:r w:rsidR="008262D6">
        <w:t xml:space="preserve">.  Tiesas judikatūra saistībā ar valsts izvēli attiecībā uz līdzekļiem, ar kuriem tā pildīja savus pozitīvos pienākumus saskaņā ar Konvencijas </w:t>
      </w:r>
      <w:proofErr w:type="gramStart"/>
      <w:r w:rsidR="008262D6">
        <w:t>46.pantu</w:t>
      </w:r>
      <w:proofErr w:type="gramEnd"/>
      <w:r w:rsidR="008262D6">
        <w:t xml:space="preserve">, ir piemērojama </w:t>
      </w:r>
      <w:proofErr w:type="spellStart"/>
      <w:r w:rsidR="008262D6">
        <w:rPr>
          <w:i/>
        </w:rPr>
        <w:t>mutatis</w:t>
      </w:r>
      <w:proofErr w:type="spellEnd"/>
      <w:r w:rsidR="008262D6">
        <w:rPr>
          <w:i/>
        </w:rPr>
        <w:t xml:space="preserve"> </w:t>
      </w:r>
      <w:proofErr w:type="spellStart"/>
      <w:r w:rsidR="008262D6">
        <w:rPr>
          <w:i/>
        </w:rPr>
        <w:t>mutandis</w:t>
      </w:r>
      <w:proofErr w:type="spellEnd"/>
      <w:r w:rsidR="008262D6">
        <w:t xml:space="preserve"> valsts pienākumiem attiecībā uz lēmuma par </w:t>
      </w:r>
      <w:r w:rsidR="00A84833">
        <w:t>svītrošanu no lietu saraksta</w:t>
      </w:r>
      <w:r w:rsidR="008262D6">
        <w:t xml:space="preserve"> izpildi pēc vienpusējās deklarācijas (iesniedzējs atsaucās uz lietām</w:t>
      </w:r>
      <w:r w:rsidR="00204186">
        <w:t xml:space="preserve"> </w:t>
      </w:r>
      <w:proofErr w:type="spellStart"/>
      <w:r w:rsidR="008262D6">
        <w:rPr>
          <w:i/>
        </w:rPr>
        <w:t>Scozzari</w:t>
      </w:r>
      <w:proofErr w:type="spellEnd"/>
      <w:r w:rsidR="008262D6">
        <w:rPr>
          <w:i/>
        </w:rPr>
        <w:t xml:space="preserve"> </w:t>
      </w:r>
      <w:proofErr w:type="spellStart"/>
      <w:r w:rsidR="008262D6">
        <w:rPr>
          <w:i/>
        </w:rPr>
        <w:t>and</w:t>
      </w:r>
      <w:proofErr w:type="spellEnd"/>
      <w:r w:rsidR="008262D6">
        <w:rPr>
          <w:i/>
        </w:rPr>
        <w:t xml:space="preserve"> </w:t>
      </w:r>
      <w:proofErr w:type="spellStart"/>
      <w:r w:rsidR="008262D6">
        <w:rPr>
          <w:i/>
        </w:rPr>
        <w:t>Giunta</w:t>
      </w:r>
      <w:proofErr w:type="spellEnd"/>
      <w:r w:rsidR="008262D6">
        <w:rPr>
          <w:i/>
        </w:rPr>
        <w:t xml:space="preserve"> pret Itāliju</w:t>
      </w:r>
      <w:r w:rsidR="008262D6">
        <w:t xml:space="preserve"> [LP], Nr. 39221/98 un 41963/98, 249. rindkopa, ECT</w:t>
      </w:r>
      <w:r w:rsidR="00A84833">
        <w:t>K</w:t>
      </w:r>
      <w:r w:rsidR="008262D6">
        <w:t xml:space="preserve"> 2000</w:t>
      </w:r>
      <w:r w:rsidR="008262D6">
        <w:noBreakHyphen/>
        <w:t xml:space="preserve">VIII; </w:t>
      </w:r>
      <w:proofErr w:type="spellStart"/>
      <w:r w:rsidR="008262D6">
        <w:rPr>
          <w:i/>
        </w:rPr>
        <w:t>Broniowski</w:t>
      </w:r>
      <w:proofErr w:type="spellEnd"/>
      <w:r w:rsidR="008262D6">
        <w:rPr>
          <w:i/>
        </w:rPr>
        <w:t xml:space="preserve"> pret Poliju</w:t>
      </w:r>
      <w:r w:rsidR="008262D6">
        <w:t xml:space="preserve"> [LP], Nr. 31443/96, 194. rindkopa, ECT</w:t>
      </w:r>
      <w:r w:rsidR="00A84833">
        <w:t>K</w:t>
      </w:r>
      <w:r w:rsidR="008262D6">
        <w:t xml:space="preserve"> 2004</w:t>
      </w:r>
      <w:r w:rsidR="008262D6">
        <w:noBreakHyphen/>
        <w:t xml:space="preserve">V; </w:t>
      </w:r>
      <w:proofErr w:type="spellStart"/>
      <w:r w:rsidR="008262D6">
        <w:rPr>
          <w:i/>
        </w:rPr>
        <w:t>Assanidze</w:t>
      </w:r>
      <w:proofErr w:type="spellEnd"/>
      <w:r w:rsidR="008262D6">
        <w:rPr>
          <w:i/>
        </w:rPr>
        <w:t xml:space="preserve"> pret Gruziju</w:t>
      </w:r>
      <w:r w:rsidR="008262D6">
        <w:t xml:space="preserve"> [LP], Nr. 71503/01, 202.-203. rindkopa, ECT</w:t>
      </w:r>
      <w:r w:rsidR="00A84833">
        <w:t>K</w:t>
      </w:r>
      <w:r w:rsidR="008262D6">
        <w:t xml:space="preserve"> 2004</w:t>
      </w:r>
      <w:r w:rsidR="008262D6">
        <w:noBreakHyphen/>
        <w:t xml:space="preserve">II; </w:t>
      </w:r>
      <w:proofErr w:type="spellStart"/>
      <w:r w:rsidR="008262D6">
        <w:rPr>
          <w:i/>
        </w:rPr>
        <w:t>Del</w:t>
      </w:r>
      <w:proofErr w:type="spellEnd"/>
      <w:r w:rsidR="008262D6">
        <w:rPr>
          <w:i/>
        </w:rPr>
        <w:t xml:space="preserve"> </w:t>
      </w:r>
      <w:proofErr w:type="spellStart"/>
      <w:r w:rsidR="008262D6">
        <w:rPr>
          <w:i/>
        </w:rPr>
        <w:t>Río</w:t>
      </w:r>
      <w:proofErr w:type="spellEnd"/>
      <w:r w:rsidR="008262D6">
        <w:rPr>
          <w:i/>
        </w:rPr>
        <w:t xml:space="preserve"> </w:t>
      </w:r>
      <w:proofErr w:type="spellStart"/>
      <w:r w:rsidR="008262D6">
        <w:rPr>
          <w:i/>
        </w:rPr>
        <w:t>Prada</w:t>
      </w:r>
      <w:proofErr w:type="spellEnd"/>
      <w:r w:rsidR="008262D6">
        <w:t xml:space="preserve"> </w:t>
      </w:r>
      <w:r w:rsidR="008262D6">
        <w:rPr>
          <w:i/>
        </w:rPr>
        <w:t xml:space="preserve">pret Spāniju </w:t>
      </w:r>
      <w:r w:rsidR="008262D6">
        <w:t>[LP], Nr. 42750/09, 138. rindkopa, ECT</w:t>
      </w:r>
      <w:r w:rsidR="00A84833">
        <w:t>K</w:t>
      </w:r>
      <w:r w:rsidR="008262D6">
        <w:t xml:space="preserve"> 2013;</w:t>
      </w:r>
      <w:r w:rsidR="008262D6">
        <w:rPr>
          <w:i/>
        </w:rPr>
        <w:t xml:space="preserve"> </w:t>
      </w:r>
      <w:proofErr w:type="spellStart"/>
      <w:r w:rsidR="008262D6">
        <w:rPr>
          <w:i/>
        </w:rPr>
        <w:t>Fatullayev</w:t>
      </w:r>
      <w:proofErr w:type="spellEnd"/>
      <w:r w:rsidR="008262D6">
        <w:rPr>
          <w:i/>
        </w:rPr>
        <w:t xml:space="preserve"> pret Azerbaidžānu</w:t>
      </w:r>
      <w:r w:rsidR="008262D6">
        <w:t xml:space="preserve">, Nr. 40984/07, 176.-177. rindkopa, 2010.gada 22.aprīlis; un </w:t>
      </w:r>
      <w:proofErr w:type="spellStart"/>
      <w:r w:rsidR="008262D6">
        <w:rPr>
          <w:i/>
        </w:rPr>
        <w:t>Oleksandr</w:t>
      </w:r>
      <w:proofErr w:type="spellEnd"/>
      <w:r w:rsidR="008262D6">
        <w:rPr>
          <w:i/>
        </w:rPr>
        <w:t xml:space="preserve"> </w:t>
      </w:r>
      <w:proofErr w:type="spellStart"/>
      <w:r w:rsidR="008262D6">
        <w:rPr>
          <w:i/>
        </w:rPr>
        <w:t>Volkov</w:t>
      </w:r>
      <w:proofErr w:type="spellEnd"/>
      <w:r w:rsidR="008262D6">
        <w:rPr>
          <w:i/>
        </w:rPr>
        <w:t xml:space="preserve"> pret Ukrainu,</w:t>
      </w:r>
      <w:r w:rsidR="008262D6">
        <w:t xml:space="preserve"> Nr. 21722/11, 208. rindkopa, ECT</w:t>
      </w:r>
      <w:r w:rsidR="00A84833">
        <w:t>K</w:t>
      </w:r>
      <w:r w:rsidR="008262D6">
        <w:t xml:space="preserve"> 2013).</w:t>
      </w:r>
    </w:p>
    <w:p w:rsidR="008262D6" w:rsidRPr="009D4272" w:rsidRDefault="003D7F16" w:rsidP="009D4272">
      <w:pPr>
        <w:pStyle w:val="ECHRPara"/>
      </w:pPr>
      <w:r w:rsidRPr="009D4272">
        <w:fldChar w:fldCharType="begin"/>
      </w:r>
      <w:r w:rsidR="008262D6" w:rsidRPr="009D4272">
        <w:instrText xml:space="preserve"> SEQ level0 \*arabic </w:instrText>
      </w:r>
      <w:r w:rsidRPr="009D4272">
        <w:fldChar w:fldCharType="separate"/>
      </w:r>
      <w:r w:rsidR="009D4272" w:rsidRPr="009D4272">
        <w:rPr>
          <w:noProof/>
        </w:rPr>
        <w:t>54</w:t>
      </w:r>
      <w:r w:rsidRPr="009D4272">
        <w:fldChar w:fldCharType="end"/>
      </w:r>
      <w:r w:rsidR="008262D6">
        <w:t>.  </w:t>
      </w:r>
      <w:r w:rsidR="00F9244E">
        <w:t>Tas attiecas arī uz šo lietu</w:t>
      </w:r>
      <w:r w:rsidR="008262D6">
        <w:t xml:space="preserve">, jo </w:t>
      </w:r>
      <w:r w:rsidR="00F9244E">
        <w:t>īpaši ņemot vērā</w:t>
      </w:r>
      <w:r w:rsidR="008262D6">
        <w:t xml:space="preserve"> to, ka Tiesa ir konstatējusi </w:t>
      </w:r>
      <w:r w:rsidR="00F9244E">
        <w:t xml:space="preserve">Konvencijas </w:t>
      </w:r>
      <w:proofErr w:type="gramStart"/>
      <w:r w:rsidR="008262D6">
        <w:t>3.panta</w:t>
      </w:r>
      <w:proofErr w:type="gramEnd"/>
      <w:r w:rsidR="008262D6">
        <w:t xml:space="preserve"> pārkāpumu attiecībā uz līdzīgiem apgalvojumiem par </w:t>
      </w:r>
      <w:r w:rsidR="00F9244E">
        <w:t>sliktu izturēšanos un efektīvas</w:t>
      </w:r>
      <w:r w:rsidR="008262D6">
        <w:t xml:space="preserve"> izmeklēšanas trūkumu</w:t>
      </w:r>
      <w:r w:rsidR="00F9244E">
        <w:t xml:space="preserve"> nacionālā līmenī</w:t>
      </w:r>
      <w:r w:rsidR="008262D6">
        <w:t xml:space="preserve">, ko </w:t>
      </w:r>
      <w:r w:rsidR="00F9244E">
        <w:t>Tiesai</w:t>
      </w:r>
      <w:r w:rsidR="008262D6">
        <w:t xml:space="preserve"> iesniedza iesniedzēja līdzatbildētājs (iesniedzējs atsaucās uz lietu </w:t>
      </w:r>
      <w:proofErr w:type="spellStart"/>
      <w:r w:rsidR="008262D6">
        <w:rPr>
          <w:i/>
        </w:rPr>
        <w:t>Vovruško</w:t>
      </w:r>
      <w:proofErr w:type="spellEnd"/>
      <w:r w:rsidR="008262D6">
        <w:rPr>
          <w:i/>
        </w:rPr>
        <w:t xml:space="preserve"> pret Latviju</w:t>
      </w:r>
      <w:r w:rsidR="008262D6">
        <w:t xml:space="preserve">, Nr. 11065/02, 2012.gada </w:t>
      </w:r>
      <w:r w:rsidR="008262D6">
        <w:lastRenderedPageBreak/>
        <w:t xml:space="preserve">11.decembris). 2011.gada 19.marta lēmums, ar kuru tika izbeigts kriminālprocess pret policijas darbiniekiem, attiecās gan uz iesniedzēju, gan </w:t>
      </w:r>
      <w:r w:rsidR="004A3B06">
        <w:t xml:space="preserve">uz </w:t>
      </w:r>
      <w:r w:rsidR="008262D6">
        <w:t xml:space="preserve">Vovruško. Citi secinājumi </w:t>
      </w:r>
      <w:r w:rsidR="00282C42">
        <w:t>nozīmētu atšķirīgu attieksmi</w:t>
      </w:r>
      <w:r w:rsidR="008262D6">
        <w:t xml:space="preserve"> pret iesniedzēju </w:t>
      </w:r>
      <w:r w:rsidR="00282C42">
        <w:t xml:space="preserve">salīdzinot ar </w:t>
      </w:r>
      <w:r w:rsidR="008262D6">
        <w:t>Vovruško, kaut gan viņi abi atradās līdzīgā situācijā saistībā ar sliktu izturēšanos pret viņiem un efektīvas izmeklēšanas trūkumu. Iesniedzējs šajā sakarā apgalvo, ka Tiesas sprieduma rezultātā attiecībā uz Vovruško</w:t>
      </w:r>
      <w:r w:rsidR="00282C42">
        <w:t xml:space="preserve"> </w:t>
      </w:r>
      <w:r w:rsidR="008262D6">
        <w:t xml:space="preserve">iesniegto </w:t>
      </w:r>
      <w:r w:rsidR="000B69E6">
        <w:t>iesniegumu</w:t>
      </w:r>
      <w:r w:rsidR="008262D6">
        <w:t xml:space="preserve">, </w:t>
      </w:r>
      <w:r w:rsidR="00282C42">
        <w:t xml:space="preserve">Vovruško </w:t>
      </w:r>
      <w:r w:rsidR="008262D6">
        <w:t>bija tiesī</w:t>
      </w:r>
      <w:r w:rsidR="00D878C6">
        <w:t>gs</w:t>
      </w:r>
      <w:r w:rsidR="008262D6">
        <w:t xml:space="preserve"> saskaņā ar Kriminālprocesa likuma 655.panta 2.punkta 5.apakšpunktu </w:t>
      </w:r>
      <w:r w:rsidR="00D878C6">
        <w:t xml:space="preserve">lūgt </w:t>
      </w:r>
      <w:r w:rsidR="008262D6">
        <w:t xml:space="preserve">atjaunot abus kriminālprocesus </w:t>
      </w:r>
      <w:r w:rsidR="00D878C6">
        <w:t>attiecībā uz</w:t>
      </w:r>
      <w:r w:rsidR="008262D6">
        <w:t xml:space="preserve"> policijas darbiniekiem par sliktu izturēšan</w:t>
      </w:r>
      <w:r w:rsidR="00D878C6">
        <w:t>os</w:t>
      </w:r>
      <w:r w:rsidR="008262D6">
        <w:t xml:space="preserve"> pret </w:t>
      </w:r>
      <w:r w:rsidR="004A3B06">
        <w:t>abiem iesniedzējiem</w:t>
      </w:r>
      <w:r w:rsidR="008262D6">
        <w:t>.</w:t>
      </w:r>
    </w:p>
    <w:p w:rsidR="008262D6" w:rsidRPr="009D4272" w:rsidRDefault="003D7F16" w:rsidP="009D4272">
      <w:pPr>
        <w:pStyle w:val="ECHRPara"/>
        <w:rPr>
          <w:i/>
        </w:rPr>
      </w:pPr>
      <w:r w:rsidRPr="009D4272">
        <w:fldChar w:fldCharType="begin"/>
      </w:r>
      <w:r w:rsidR="006913B4" w:rsidRPr="009D4272">
        <w:instrText xml:space="preserve"> SEQ level0 \*arabic </w:instrText>
      </w:r>
      <w:r w:rsidRPr="009D4272">
        <w:fldChar w:fldCharType="separate"/>
      </w:r>
      <w:r w:rsidR="009D4272" w:rsidRPr="009D4272">
        <w:rPr>
          <w:noProof/>
        </w:rPr>
        <w:t>55</w:t>
      </w:r>
      <w:r w:rsidRPr="009D4272">
        <w:fldChar w:fldCharType="end"/>
      </w:r>
      <w:r w:rsidR="006913B4">
        <w:t xml:space="preserve">.  Kaut gan </w:t>
      </w:r>
      <w:proofErr w:type="spellStart"/>
      <w:r w:rsidR="006913B4">
        <w:rPr>
          <w:i/>
        </w:rPr>
        <w:t>restitutio</w:t>
      </w:r>
      <w:proofErr w:type="spellEnd"/>
      <w:r w:rsidR="006913B4">
        <w:rPr>
          <w:i/>
        </w:rPr>
        <w:t xml:space="preserve"> in </w:t>
      </w:r>
      <w:proofErr w:type="spellStart"/>
      <w:r w:rsidR="006913B4">
        <w:rPr>
          <w:i/>
        </w:rPr>
        <w:t>integrum</w:t>
      </w:r>
      <w:proofErr w:type="spellEnd"/>
      <w:r w:rsidR="006913B4">
        <w:t xml:space="preserve"> n</w:t>
      </w:r>
      <w:r w:rsidR="007C3E96">
        <w:t>av</w:t>
      </w:r>
      <w:r w:rsidR="006913B4">
        <w:t xml:space="preserve"> nepieciešam</w:t>
      </w:r>
      <w:r w:rsidR="007C3E96">
        <w:t>s</w:t>
      </w:r>
      <w:r w:rsidR="006913B4">
        <w:t xml:space="preserve"> visās lietās, Latvijas Valdībai vajadzētu izvēlēties līdzekļus, kas būtu gan efektīvi, gan </w:t>
      </w:r>
      <w:r w:rsidR="007C3E96">
        <w:t xml:space="preserve">arī </w:t>
      </w:r>
      <w:r w:rsidR="006913B4">
        <w:t xml:space="preserve">spētu </w:t>
      </w:r>
      <w:r w:rsidR="002B50EA">
        <w:t>atlīdzināt</w:t>
      </w:r>
      <w:r w:rsidR="006913B4">
        <w:t xml:space="preserve"> </w:t>
      </w:r>
      <w:r w:rsidR="002B50EA">
        <w:t>personai nodarīto kaitējumu.</w:t>
      </w:r>
      <w:r w:rsidR="006913B4">
        <w:t xml:space="preserve"> Valdībai būtu jāveic vispārēji un individuāli pasākumi, lai izbeigtu vienpusējā deklarācijā atzītos pārkāpumus. Tiesa</w:t>
      </w:r>
      <w:r w:rsidR="003623E6">
        <w:t>s uzdevums bija pārbaudīt</w:t>
      </w:r>
      <w:r w:rsidR="006913B4">
        <w:t xml:space="preserve">, vai pārkāpuma </w:t>
      </w:r>
      <w:r w:rsidR="00F47DEA">
        <w:t>būtība</w:t>
      </w:r>
      <w:r w:rsidR="006913B4">
        <w:t xml:space="preserve"> </w:t>
      </w:r>
      <w:r w:rsidR="003623E6">
        <w:t>deva</w:t>
      </w:r>
      <w:r w:rsidR="006913B4">
        <w:t xml:space="preserve"> </w:t>
      </w:r>
      <w:r w:rsidR="003623E6">
        <w:t xml:space="preserve">Valdībai-atbildētājai </w:t>
      </w:r>
      <w:r w:rsidR="006913B4">
        <w:t xml:space="preserve">kādas izvēles iespējas izmantot citus līdzekļus, kas nav </w:t>
      </w:r>
      <w:r w:rsidR="003623E6">
        <w:t xml:space="preserve">saistīti ar </w:t>
      </w:r>
      <w:r w:rsidR="006913B4">
        <w:t>izmeklēšanas atjaunošan</w:t>
      </w:r>
      <w:r w:rsidR="003623E6">
        <w:t>u</w:t>
      </w:r>
      <w:r w:rsidR="006913B4">
        <w:t xml:space="preserve"> attiecībā uz atbildīgajiem policijas darbiniekiem.</w:t>
      </w:r>
    </w:p>
    <w:p w:rsidR="008262D6" w:rsidRPr="009D4272" w:rsidRDefault="003D7F16" w:rsidP="009D4272">
      <w:pPr>
        <w:pStyle w:val="ECHRPara"/>
        <w:rPr>
          <w:i/>
        </w:rPr>
      </w:pPr>
      <w:r w:rsidRPr="009D4272">
        <w:fldChar w:fldCharType="begin"/>
      </w:r>
      <w:r w:rsidR="008262D6" w:rsidRPr="009D4272">
        <w:instrText xml:space="preserve"> SEQ level0 \*arabic </w:instrText>
      </w:r>
      <w:r w:rsidRPr="009D4272">
        <w:fldChar w:fldCharType="separate"/>
      </w:r>
      <w:r w:rsidR="009D4272" w:rsidRPr="009D4272">
        <w:rPr>
          <w:noProof/>
        </w:rPr>
        <w:t>56</w:t>
      </w:r>
      <w:r w:rsidRPr="009D4272">
        <w:fldChar w:fldCharType="end"/>
      </w:r>
      <w:r w:rsidR="008262D6">
        <w:t>.  Valdība nekad nav norādījusi, kas iesniedzēja sūdzību izmeklēšanai bija pieejami citi mehānismi.</w:t>
      </w:r>
    </w:p>
    <w:p w:rsidR="008262D6" w:rsidRPr="009D4272" w:rsidRDefault="003D7F16" w:rsidP="009D4272">
      <w:pPr>
        <w:pStyle w:val="ECHRPara"/>
      </w:pPr>
      <w:r w:rsidRPr="009D4272">
        <w:fldChar w:fldCharType="begin"/>
      </w:r>
      <w:r w:rsidR="008262D6" w:rsidRPr="009D4272">
        <w:instrText xml:space="preserve"> SEQ level0 \*arabic </w:instrText>
      </w:r>
      <w:r w:rsidRPr="009D4272">
        <w:fldChar w:fldCharType="separate"/>
      </w:r>
      <w:r w:rsidR="009D4272" w:rsidRPr="009D4272">
        <w:rPr>
          <w:noProof/>
        </w:rPr>
        <w:t>57</w:t>
      </w:r>
      <w:r w:rsidRPr="009D4272">
        <w:fldChar w:fldCharType="end"/>
      </w:r>
      <w:r w:rsidR="008262D6">
        <w:t xml:space="preserve">.  Kriminālprocesa likuma konkrētie panti, jo īpaši 655.pants, bija jāinterpretē tādā veidā, lai nodrošinātu kriminālprocesa atjaunošanu pēc Tiesas lēmuma par lietas </w:t>
      </w:r>
      <w:r w:rsidR="003623E6">
        <w:t>svītrošanu</w:t>
      </w:r>
      <w:r w:rsidR="008262D6">
        <w:t xml:space="preserve"> no izskatāmo lietu saraksta, pamatojoties uz vienpusējo deklarāciju.</w:t>
      </w:r>
    </w:p>
    <w:p w:rsidR="001B7476" w:rsidRPr="009D4272" w:rsidRDefault="003D7F16" w:rsidP="009D4272">
      <w:pPr>
        <w:pStyle w:val="ECHRPara"/>
      </w:pPr>
      <w:r w:rsidRPr="009D4272">
        <w:fldChar w:fldCharType="begin"/>
      </w:r>
      <w:r w:rsidR="001B7476" w:rsidRPr="009D4272">
        <w:instrText xml:space="preserve"> SEQ level0 \*arabic </w:instrText>
      </w:r>
      <w:r w:rsidRPr="009D4272">
        <w:fldChar w:fldCharType="separate"/>
      </w:r>
      <w:r w:rsidR="009D4272" w:rsidRPr="009D4272">
        <w:rPr>
          <w:noProof/>
        </w:rPr>
        <w:t>58</w:t>
      </w:r>
      <w:r w:rsidRPr="009D4272">
        <w:fldChar w:fldCharType="end"/>
      </w:r>
      <w:r w:rsidR="001B7476">
        <w:t>.  </w:t>
      </w:r>
      <w:r w:rsidR="003623E6">
        <w:t>Tur</w:t>
      </w:r>
      <w:r w:rsidR="00DF7888">
        <w:t xml:space="preserve">klāt </w:t>
      </w:r>
      <w:r w:rsidR="003623E6">
        <w:t>i</w:t>
      </w:r>
      <w:r w:rsidR="001B7476">
        <w:t xml:space="preserve">esniedzējs apgalvoja, ka </w:t>
      </w:r>
      <w:r w:rsidR="003D7BAB">
        <w:t>tiesiskās</w:t>
      </w:r>
      <w:r w:rsidR="001B7476">
        <w:t xml:space="preserve"> noteiktības princips nedrīkst liegt Valdībai atjaunot izmeklēšanu.</w:t>
      </w:r>
    </w:p>
    <w:p w:rsidR="001B7476" w:rsidRPr="009D4272" w:rsidRDefault="001B7476" w:rsidP="009D4272">
      <w:pPr>
        <w:pStyle w:val="ECHRPara"/>
      </w:pPr>
      <w:r>
        <w:t>Latvijas iestādes nekad nav pārbaudījušas iesniedzēja sūdzību būtību</w:t>
      </w:r>
      <w:r w:rsidR="007639E6">
        <w:t>,</w:t>
      </w:r>
      <w:r>
        <w:t xml:space="preserve"> un tām nekad nav bijusi iespēja atrast pareizo līdzsvaru starp nepieciešamību nodrošināt </w:t>
      </w:r>
      <w:proofErr w:type="spellStart"/>
      <w:r>
        <w:rPr>
          <w:i/>
        </w:rPr>
        <w:t>restitutio</w:t>
      </w:r>
      <w:proofErr w:type="spellEnd"/>
      <w:r>
        <w:rPr>
          <w:i/>
        </w:rPr>
        <w:t xml:space="preserve"> in </w:t>
      </w:r>
      <w:proofErr w:type="spellStart"/>
      <w:r>
        <w:rPr>
          <w:i/>
        </w:rPr>
        <w:t>integrum</w:t>
      </w:r>
      <w:proofErr w:type="spellEnd"/>
      <w:r>
        <w:t xml:space="preserve"> un </w:t>
      </w:r>
      <w:r w:rsidR="003D7BAB">
        <w:t>tiesiskās</w:t>
      </w:r>
      <w:r>
        <w:t xml:space="preserve"> noteiktības prasību. Lai gan </w:t>
      </w:r>
      <w:r w:rsidR="003D7BAB">
        <w:t>tiesiskās</w:t>
      </w:r>
      <w:r>
        <w:t xml:space="preserve"> noteiktības pienākums var dominēt pār nepieciešamību nodrošināt </w:t>
      </w:r>
      <w:proofErr w:type="spellStart"/>
      <w:r>
        <w:rPr>
          <w:i/>
        </w:rPr>
        <w:t>restitutio</w:t>
      </w:r>
      <w:proofErr w:type="spellEnd"/>
      <w:r>
        <w:rPr>
          <w:i/>
        </w:rPr>
        <w:t xml:space="preserve"> in </w:t>
      </w:r>
      <w:proofErr w:type="spellStart"/>
      <w:r>
        <w:rPr>
          <w:i/>
        </w:rPr>
        <w:t>integrum</w:t>
      </w:r>
      <w:proofErr w:type="spellEnd"/>
      <w:r>
        <w:t xml:space="preserve">, valstij tomēr bija pienākums atrast līdzsvaru starp šīm divām prasībām, izskatot iesniedzēja </w:t>
      </w:r>
      <w:r w:rsidR="003623E6">
        <w:t>sūdzību</w:t>
      </w:r>
      <w:r>
        <w:t xml:space="preserve"> atjaunot kriminālprocesu pret </w:t>
      </w:r>
      <w:r w:rsidR="003623E6">
        <w:t>konkrētajiem</w:t>
      </w:r>
      <w:r>
        <w:t xml:space="preserve"> policijas darbiniekiem.</w:t>
      </w:r>
    </w:p>
    <w:p w:rsidR="00AF5A7C" w:rsidRPr="009D4272" w:rsidRDefault="003D7F16" w:rsidP="009D4272">
      <w:pPr>
        <w:pStyle w:val="ECHRPara"/>
      </w:pPr>
      <w:r w:rsidRPr="009D4272">
        <w:fldChar w:fldCharType="begin"/>
      </w:r>
      <w:r w:rsidR="00D4365A" w:rsidRPr="009D4272">
        <w:instrText xml:space="preserve"> SEQ level0 \*arabic </w:instrText>
      </w:r>
      <w:r w:rsidRPr="009D4272">
        <w:fldChar w:fldCharType="separate"/>
      </w:r>
      <w:r w:rsidR="009D4272" w:rsidRPr="009D4272">
        <w:rPr>
          <w:noProof/>
        </w:rPr>
        <w:t>59</w:t>
      </w:r>
      <w:r w:rsidRPr="009D4272">
        <w:fldChar w:fldCharType="end"/>
      </w:r>
      <w:r w:rsidR="00D4365A">
        <w:t xml:space="preserve">.  Jebkurā gadījumā Tiesa bija kompetenta izlemt, vai Valdības darbība vai bezdarbība ir uzskatāma par kādu Konvencijas pantu pārkāpumu. Atteikums izmeklēt iesniedzēja sūdzības ir radījis situāciju, kad </w:t>
      </w:r>
      <w:r w:rsidR="00737F28">
        <w:t xml:space="preserve">Konvencijas </w:t>
      </w:r>
      <w:proofErr w:type="gramStart"/>
      <w:r w:rsidR="00D4365A">
        <w:t>3.pantā</w:t>
      </w:r>
      <w:proofErr w:type="gramEnd"/>
      <w:r w:rsidR="00D4365A">
        <w:t xml:space="preserve"> nostiprinātais aizliegums </w:t>
      </w:r>
      <w:r w:rsidR="00737F28">
        <w:t xml:space="preserve">praksē </w:t>
      </w:r>
      <w:r w:rsidR="00D4365A">
        <w:t xml:space="preserve">kļuva neefektīvs. Turklāt </w:t>
      </w:r>
      <w:r w:rsidR="00737F28">
        <w:t>iesniedzēja</w:t>
      </w:r>
      <w:r w:rsidR="00D4365A">
        <w:t xml:space="preserve"> sūdzība par to, ka viņam nebija pieejams efektīvs nacionālās iestādes tiesību aizsardzības līdzeklis, </w:t>
      </w:r>
      <w:r w:rsidR="00737F28">
        <w:t>kas ļautu saņemt</w:t>
      </w:r>
      <w:r w:rsidR="00D4365A">
        <w:t xml:space="preserve"> atlīdzību par tiesību pārkāpuma</w:t>
      </w:r>
      <w:r w:rsidR="00737F28">
        <w:t xml:space="preserve"> rezultātā</w:t>
      </w:r>
      <w:r w:rsidR="00D4365A">
        <w:t xml:space="preserve"> izraisītajām sekām</w:t>
      </w:r>
      <w:r w:rsidR="00737F28">
        <w:t>,</w:t>
      </w:r>
      <w:r w:rsidR="00D4365A">
        <w:t xml:space="preserve"> ir jāizskata </w:t>
      </w:r>
      <w:r w:rsidR="00737F28">
        <w:t xml:space="preserve">Konvencijas </w:t>
      </w:r>
      <w:proofErr w:type="gramStart"/>
      <w:r w:rsidR="00737F28">
        <w:t>13.panta</w:t>
      </w:r>
      <w:proofErr w:type="gramEnd"/>
      <w:r w:rsidR="00737F28">
        <w:t xml:space="preserve"> </w:t>
      </w:r>
      <w:r w:rsidR="001A5970">
        <w:t>kontekstā</w:t>
      </w:r>
      <w:r w:rsidR="00D4365A">
        <w:t>.</w:t>
      </w:r>
    </w:p>
    <w:p w:rsidR="00AF5A7C" w:rsidRPr="009D4272" w:rsidRDefault="00AE4D63" w:rsidP="009D4272">
      <w:pPr>
        <w:pStyle w:val="ECHRHeading5"/>
      </w:pPr>
      <w:r>
        <w:lastRenderedPageBreak/>
        <w:t>(</w:t>
      </w:r>
      <w:proofErr w:type="spellStart"/>
      <w:r>
        <w:t>ii</w:t>
      </w:r>
      <w:proofErr w:type="spellEnd"/>
      <w:r>
        <w:t xml:space="preserve">) </w:t>
      </w:r>
      <w:r w:rsidR="00DF7888">
        <w:t>Iespējamā nacionālo</w:t>
      </w:r>
      <w:r>
        <w:t xml:space="preserve"> tiesību aizsardzības līdzekļ</w:t>
      </w:r>
      <w:r w:rsidR="00DF7888">
        <w:t>u neizsmelšana</w:t>
      </w:r>
      <w:r>
        <w:t xml:space="preserve"> un sešu mēnešu nosacījuma neievērošan</w:t>
      </w:r>
      <w:r w:rsidR="00DF7888">
        <w:t>a</w:t>
      </w:r>
    </w:p>
    <w:p w:rsidR="00EA32B2" w:rsidRPr="009D4272" w:rsidRDefault="003D7F16" w:rsidP="009D4272">
      <w:pPr>
        <w:pStyle w:val="ECHRPara"/>
      </w:pPr>
      <w:r w:rsidRPr="009D4272">
        <w:fldChar w:fldCharType="begin"/>
      </w:r>
      <w:r w:rsidR="00C56184" w:rsidRPr="009D4272">
        <w:instrText xml:space="preserve"> SEQ level0 \*arabic </w:instrText>
      </w:r>
      <w:r w:rsidRPr="009D4272">
        <w:fldChar w:fldCharType="separate"/>
      </w:r>
      <w:r w:rsidR="009D4272" w:rsidRPr="009D4272">
        <w:rPr>
          <w:noProof/>
        </w:rPr>
        <w:t>60</w:t>
      </w:r>
      <w:r w:rsidRPr="009D4272">
        <w:fldChar w:fldCharType="end"/>
      </w:r>
      <w:r w:rsidR="00C56184">
        <w:t>.  Iesniedzējs lūdza Tiesu noraidīt šos apgalvojumus.</w:t>
      </w:r>
    </w:p>
    <w:p w:rsidR="00520D38" w:rsidRPr="009D4272" w:rsidRDefault="00DF7888" w:rsidP="009D4272">
      <w:pPr>
        <w:pStyle w:val="ECHRPara"/>
      </w:pPr>
      <w:r>
        <w:t>Pirmkārt, iesniedzējs</w:t>
      </w:r>
      <w:r w:rsidR="00520D38">
        <w:t xml:space="preserve"> apgalvoja, ka </w:t>
      </w:r>
      <w:r>
        <w:t>viņš neprasa</w:t>
      </w:r>
      <w:r w:rsidR="00520D38">
        <w:t xml:space="preserve"> kompensāciju, bet drīzāk kriminālprocesa atjaunošanu saistībā ar slikto izturēšanos pret viņu no policijas darbinieku puses. Šajā sakarā viņš norādīja, ka kriminālprocesa atjaunošana bija vienīgais tiesību aizsardzības līdzeklis, kas var nodrošināt viņam iespēju konstatēt iesaistīto policijas darbinieku atbildību un sodīt tos. Turklāt viņš norādīja, ka Valdība nekad nav apgalvojusi, ka tai bija pieejams kāds cits mehānisms, kas ļautu izmeklēt viņa sūdzības.</w:t>
      </w:r>
    </w:p>
    <w:p w:rsidR="006E1AC3" w:rsidRPr="009D4272" w:rsidRDefault="00DF7888" w:rsidP="009D4272">
      <w:pPr>
        <w:pStyle w:val="ECHRPara"/>
      </w:pPr>
      <w:r>
        <w:t>Tādējādi</w:t>
      </w:r>
      <w:r w:rsidR="00520D38">
        <w:t xml:space="preserve"> viņš ir izsmēlis viņam teorētiski pieejamos </w:t>
      </w:r>
      <w:r>
        <w:t xml:space="preserve">tiesību </w:t>
      </w:r>
      <w:r w:rsidR="00520D38">
        <w:t xml:space="preserve">aizsardzības līdzekļus, proti, lūgumu atjaunot kriminālprocesu saskaņā ar Kriminālprocesa 655. un 657. pantu. Tomēr šis </w:t>
      </w:r>
      <w:r>
        <w:t xml:space="preserve">tiesību </w:t>
      </w:r>
      <w:r w:rsidR="00520D38">
        <w:t>aizsardzības līdzeklis ir izrādījies neefektīvs, ņemot vērā prokuratūras sniegto interpretāciju. Šajā sakarā viņš kritizēja formālo pieeju, noraidot viņa lūgumu</w:t>
      </w:r>
      <w:r>
        <w:t xml:space="preserve"> par procesa atjaunošanu</w:t>
      </w:r>
      <w:r w:rsidR="00520D38">
        <w:t xml:space="preserve">, un apgalvoja, ka </w:t>
      </w:r>
      <w:r>
        <w:t xml:space="preserve">Kriminālprocesa </w:t>
      </w:r>
      <w:r w:rsidR="00520D38">
        <w:t xml:space="preserve">655.panta 2.punkta 5.apakšpunkts būtu jāinterpretē, ņemot vērā </w:t>
      </w:r>
      <w:r>
        <w:t xml:space="preserve">Kriminālprocesa </w:t>
      </w:r>
      <w:r w:rsidR="00520D38">
        <w:t>655.panta 3.punktā ietverto vispār</w:t>
      </w:r>
      <w:r>
        <w:t>ējo</w:t>
      </w:r>
      <w:r w:rsidR="00520D38">
        <w:t xml:space="preserve"> principu, kas tādējādi paredz kriminālprocesa atjaunošanu.</w:t>
      </w:r>
    </w:p>
    <w:p w:rsidR="006E1AC3" w:rsidRPr="009D4272" w:rsidRDefault="003D7F16" w:rsidP="009D4272">
      <w:pPr>
        <w:pStyle w:val="ECHRPara"/>
      </w:pPr>
      <w:r w:rsidRPr="009D4272">
        <w:fldChar w:fldCharType="begin"/>
      </w:r>
      <w:r w:rsidR="00661639" w:rsidRPr="009D4272">
        <w:instrText xml:space="preserve"> SEQ level0 \*arabic </w:instrText>
      </w:r>
      <w:r w:rsidRPr="009D4272">
        <w:fldChar w:fldCharType="separate"/>
      </w:r>
      <w:r w:rsidR="009D4272" w:rsidRPr="009D4272">
        <w:rPr>
          <w:noProof/>
        </w:rPr>
        <w:t>61</w:t>
      </w:r>
      <w:r w:rsidRPr="009D4272">
        <w:fldChar w:fldCharType="end"/>
      </w:r>
      <w:r w:rsidR="00661639">
        <w:t xml:space="preserve">.  Iesniedzējs apgalvoja, ka iepriekš minēto iemeslu dēļ situācija viņa gadījumā bija pilnīgi atšķirīga no iepriekš citētās lietas </w:t>
      </w:r>
      <w:r w:rsidR="00661639">
        <w:rPr>
          <w:i/>
        </w:rPr>
        <w:t>H. pret Islandi</w:t>
      </w:r>
      <w:r w:rsidR="00661639">
        <w:t>. Viņš atkārtoti uzsvēra, ka šajā lietā kriminālprocesa atjaunošana, pamat</w:t>
      </w:r>
      <w:r w:rsidR="005356E1">
        <w:t>ojoties uz Kriminālprocesa 655.</w:t>
      </w:r>
      <w:r w:rsidR="00DF7888">
        <w:t>-</w:t>
      </w:r>
      <w:r w:rsidR="00661639">
        <w:t>65</w:t>
      </w:r>
      <w:r w:rsidR="00204186">
        <w:t>7. pantu, nebija uzskatāma par „</w:t>
      </w:r>
      <w:r w:rsidR="00661639">
        <w:t>tiesību aizsardzības līdzekli</w:t>
      </w:r>
      <w:r w:rsidR="00763A96">
        <w:t>, kas nav obligāti jāizsmeļ</w:t>
      </w:r>
      <w:r w:rsidR="00661639">
        <w:t xml:space="preserve">” (viņš atsaucās uz lietu </w:t>
      </w:r>
      <w:proofErr w:type="spellStart"/>
      <w:r w:rsidR="00661639">
        <w:rPr>
          <w:i/>
        </w:rPr>
        <w:t>Withey</w:t>
      </w:r>
      <w:proofErr w:type="spellEnd"/>
      <w:r w:rsidR="00661639">
        <w:rPr>
          <w:i/>
        </w:rPr>
        <w:t xml:space="preserve"> pret Apvienoto Karalisti </w:t>
      </w:r>
      <w:r w:rsidR="00661639">
        <w:t>(lēmums), Nr. 59493/00, ECT</w:t>
      </w:r>
      <w:r w:rsidR="00763A96">
        <w:t>K</w:t>
      </w:r>
      <w:r w:rsidR="00661639">
        <w:t xml:space="preserve"> 2003</w:t>
      </w:r>
      <w:r w:rsidR="00661639">
        <w:noBreakHyphen/>
        <w:t xml:space="preserve">X), taču faktiski tas izrādījās vienīgais viņam pieejamais tiesību aizsardzības līdzeklis, ar kuru saņemt </w:t>
      </w:r>
      <w:r w:rsidR="00C60331">
        <w:t>atlīdzinājumu</w:t>
      </w:r>
      <w:r w:rsidR="00661639">
        <w:t xml:space="preserve"> par Konvencijas </w:t>
      </w:r>
      <w:proofErr w:type="gramStart"/>
      <w:r w:rsidR="00661639">
        <w:t>3.pantā</w:t>
      </w:r>
      <w:proofErr w:type="gramEnd"/>
      <w:r w:rsidR="00661639">
        <w:t xml:space="preserve"> </w:t>
      </w:r>
      <w:r w:rsidR="00534405">
        <w:t>paredzēto</w:t>
      </w:r>
      <w:r w:rsidR="00661639">
        <w:t xml:space="preserve"> tiesību pārkāpumu.</w:t>
      </w:r>
    </w:p>
    <w:p w:rsidR="003B2351" w:rsidRPr="009D4272" w:rsidRDefault="003D7F16" w:rsidP="009D4272">
      <w:pPr>
        <w:pStyle w:val="ECHRPara"/>
      </w:pPr>
      <w:r w:rsidRPr="009D4272">
        <w:fldChar w:fldCharType="begin"/>
      </w:r>
      <w:r w:rsidR="00DE26E0" w:rsidRPr="009D4272">
        <w:instrText xml:space="preserve"> SEQ level0 \*arabic </w:instrText>
      </w:r>
      <w:r w:rsidRPr="009D4272">
        <w:fldChar w:fldCharType="separate"/>
      </w:r>
      <w:r w:rsidR="009D4272" w:rsidRPr="009D4272">
        <w:rPr>
          <w:noProof/>
        </w:rPr>
        <w:t>62</w:t>
      </w:r>
      <w:r w:rsidRPr="009D4272">
        <w:fldChar w:fldCharType="end"/>
      </w:r>
      <w:r w:rsidR="00DE26E0">
        <w:t>.  Tādējādi, šī iesnieguma izpratnē bija jāņem vērā</w:t>
      </w:r>
      <w:r w:rsidR="00C60331">
        <w:t xml:space="preserve"> iesniedzēja</w:t>
      </w:r>
      <w:r w:rsidR="00DE26E0">
        <w:t xml:space="preserve"> lūgums par kriminālprocesa atjaunošanu, kurš tika noraidīts ar </w:t>
      </w:r>
      <w:proofErr w:type="gramStart"/>
      <w:r w:rsidR="00DE26E0">
        <w:t>2010.gada</w:t>
      </w:r>
      <w:proofErr w:type="gramEnd"/>
      <w:r w:rsidR="00DE26E0">
        <w:t xml:space="preserve"> 20.decembra galīgo lēmumu. </w:t>
      </w:r>
      <w:r w:rsidR="00C60331">
        <w:t xml:space="preserve">Atbilstoši iesniedzēja minētajam, tādēļ </w:t>
      </w:r>
      <w:r w:rsidR="00DE26E0">
        <w:t xml:space="preserve">viņa iesniegums tika iesniegts sešu mēnešu </w:t>
      </w:r>
      <w:r w:rsidR="00C60331">
        <w:t>laikā, kā to</w:t>
      </w:r>
      <w:r w:rsidR="00DE26E0">
        <w:t xml:space="preserve"> prasa Konvencijas </w:t>
      </w:r>
      <w:proofErr w:type="gramStart"/>
      <w:r w:rsidR="00DE26E0">
        <w:t>35.pants</w:t>
      </w:r>
      <w:proofErr w:type="gramEnd"/>
      <w:r w:rsidR="00DE26E0">
        <w:t>.</w:t>
      </w:r>
    </w:p>
    <w:p w:rsidR="003C4DCC" w:rsidRPr="009D4272" w:rsidRDefault="00A54329" w:rsidP="009D4272">
      <w:pPr>
        <w:pStyle w:val="ECHRHeading5"/>
      </w:pPr>
      <w:r>
        <w:t>(</w:t>
      </w:r>
      <w:proofErr w:type="spellStart"/>
      <w:r>
        <w:t>iii</w:t>
      </w:r>
      <w:proofErr w:type="spellEnd"/>
      <w:r>
        <w:t>) Cietušā statusa zaudēšana</w:t>
      </w:r>
    </w:p>
    <w:p w:rsidR="00A43F43"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63</w:t>
      </w:r>
      <w:r w:rsidRPr="009D4272">
        <w:rPr>
          <w:noProof/>
        </w:rPr>
        <w:fldChar w:fldCharType="end"/>
      </w:r>
      <w:r w:rsidR="00E17C5D">
        <w:t xml:space="preserve">.  Iesniedzējs apgalvoja, ka viņš cieta no Konvencijas 3. un </w:t>
      </w:r>
      <w:proofErr w:type="gramStart"/>
      <w:r w:rsidR="00E17C5D">
        <w:t>13.panta</w:t>
      </w:r>
      <w:proofErr w:type="gramEnd"/>
      <w:r w:rsidR="00E17C5D">
        <w:t xml:space="preserve"> pārkāpuma, jo kompensāc</w:t>
      </w:r>
      <w:r w:rsidR="004F22C9">
        <w:t>ijas izmaksa, ko Valdība veica atbilstoši</w:t>
      </w:r>
      <w:r w:rsidR="00E17C5D">
        <w:t xml:space="preserve"> vienpusēj</w:t>
      </w:r>
      <w:r w:rsidR="004F22C9">
        <w:t>ai</w:t>
      </w:r>
      <w:r w:rsidR="00E17C5D">
        <w:t xml:space="preserve"> deklarācija</w:t>
      </w:r>
      <w:r w:rsidR="004F22C9">
        <w:t>i</w:t>
      </w:r>
      <w:r w:rsidR="00E17C5D">
        <w:t xml:space="preserve">, neatspoguļo pietiekamu </w:t>
      </w:r>
      <w:r w:rsidR="004F22C9">
        <w:t>atlīdzinājumu</w:t>
      </w:r>
      <w:r w:rsidR="00E17C5D">
        <w:t xml:space="preserve"> par </w:t>
      </w:r>
      <w:r w:rsidR="004F22C9">
        <w:t>tajā</w:t>
      </w:r>
      <w:r w:rsidR="00294136">
        <w:t xml:space="preserve"> atzītajiem pārkāpumiem. </w:t>
      </w:r>
      <w:r w:rsidR="00E17C5D">
        <w:t xml:space="preserve">Viņam nekad nav ticis nodrošināts kāds individuāls tiesību aizsardzības līdzeklis par </w:t>
      </w:r>
      <w:r w:rsidR="00B3309F">
        <w:t xml:space="preserve">Konvencijas </w:t>
      </w:r>
      <w:proofErr w:type="gramStart"/>
      <w:r w:rsidR="00E17C5D">
        <w:t>3.pantā</w:t>
      </w:r>
      <w:proofErr w:type="gramEnd"/>
      <w:r w:rsidR="00E17C5D">
        <w:t xml:space="preserve"> nostiprināto tiesību pārkāpumu</w:t>
      </w:r>
      <w:r w:rsidR="00B3309F">
        <w:t>, proti,</w:t>
      </w:r>
      <w:r w:rsidR="00E17C5D">
        <w:t xml:space="preserve"> viņa sūdzīb</w:t>
      </w:r>
      <w:r w:rsidR="00B3309F">
        <w:t>as</w:t>
      </w:r>
      <w:r w:rsidR="00E17C5D">
        <w:t xml:space="preserve"> </w:t>
      </w:r>
      <w:r w:rsidR="003B3157">
        <w:t xml:space="preserve">izmeklēšana </w:t>
      </w:r>
      <w:r w:rsidR="00E17C5D">
        <w:t>par slikt</w:t>
      </w:r>
      <w:r w:rsidR="00B3309F">
        <w:t>o</w:t>
      </w:r>
      <w:r w:rsidR="00E17C5D">
        <w:t xml:space="preserve"> izturēšan</w:t>
      </w:r>
      <w:r w:rsidR="00B3309F">
        <w:t>o</w:t>
      </w:r>
      <w:r w:rsidR="00E17C5D">
        <w:t>s pret viņu no policijas dar</w:t>
      </w:r>
      <w:r w:rsidR="00B3309F">
        <w:t>binieku puses</w:t>
      </w:r>
      <w:r w:rsidR="00E17C5D">
        <w:t xml:space="preserve">. </w:t>
      </w:r>
      <w:r w:rsidR="00E16E87">
        <w:t>Valdībai-atbildētājai</w:t>
      </w:r>
      <w:r w:rsidR="00E17C5D">
        <w:t xml:space="preserve"> tika prasīts izbeigt ar vienpusējo deklarāciju atzīto pārkāpumu un cik vien iespējams </w:t>
      </w:r>
      <w:r w:rsidR="00294136">
        <w:t>sniegt atlīdzinājumu par pārkāpuma rezultātā nodarīto</w:t>
      </w:r>
      <w:r w:rsidR="00E17C5D">
        <w:t xml:space="preserve">. Tas </w:t>
      </w:r>
      <w:r w:rsidR="00E17C5D">
        <w:lastRenderedPageBreak/>
        <w:t xml:space="preserve">ietvēra </w:t>
      </w:r>
      <w:r w:rsidR="00294136">
        <w:t xml:space="preserve">Konvencijas </w:t>
      </w:r>
      <w:proofErr w:type="gramStart"/>
      <w:r w:rsidR="00E17C5D">
        <w:t>13.panta</w:t>
      </w:r>
      <w:proofErr w:type="gramEnd"/>
      <w:r w:rsidR="00E17C5D">
        <w:t xml:space="preserve"> prasību nodrošināt piemērotu procedūru nacionālajā tiesību sistēmā, kas ļauj cietušajiem prasīt un saņemt atlīdz</w:t>
      </w:r>
      <w:r w:rsidR="00294136">
        <w:t>inājumu</w:t>
      </w:r>
      <w:r w:rsidR="00E17C5D">
        <w:t xml:space="preserve"> par </w:t>
      </w:r>
      <w:r w:rsidR="00294136">
        <w:t>tiesību pārkāpuma sekām</w:t>
      </w:r>
      <w:r w:rsidR="00E17C5D">
        <w:t>.</w:t>
      </w:r>
    </w:p>
    <w:p w:rsidR="00CF0A51" w:rsidRPr="009D4272" w:rsidRDefault="00FF5BAA" w:rsidP="009D4272">
      <w:pPr>
        <w:pStyle w:val="ECHRHeading3"/>
      </w:pPr>
      <w:r>
        <w:t>2.  Tiesas vērtējums</w:t>
      </w:r>
      <w:bookmarkStart w:id="27" w:name="para38"/>
    </w:p>
    <w:p w:rsidR="00D14CF4" w:rsidRPr="009D4272" w:rsidRDefault="00475A62" w:rsidP="009D4272">
      <w:pPr>
        <w:pStyle w:val="ECHRHeading4"/>
      </w:pPr>
      <w:r>
        <w:t xml:space="preserve">(a)  Ievada piezīmes par Tiesas judikatūru un praksi </w:t>
      </w:r>
      <w:r w:rsidR="00294136">
        <w:t>par</w:t>
      </w:r>
      <w:r>
        <w:t xml:space="preserve"> vienpusējām deklarācijām</w:t>
      </w:r>
    </w:p>
    <w:bookmarkStart w:id="28" w:name="para59"/>
    <w:bookmarkStart w:id="29" w:name="para60"/>
    <w:p w:rsidR="005C0F83" w:rsidRPr="009D4272" w:rsidRDefault="003D7F16" w:rsidP="009D4272">
      <w:pPr>
        <w:pStyle w:val="ECHRPara"/>
        <w:keepLines/>
      </w:pPr>
      <w:r w:rsidRPr="009D4272">
        <w:fldChar w:fldCharType="begin"/>
      </w:r>
      <w:r w:rsidR="00947CFC" w:rsidRPr="009D4272">
        <w:instrText xml:space="preserve"> SEQ level0 \*arabic </w:instrText>
      </w:r>
      <w:r w:rsidRPr="009D4272">
        <w:fldChar w:fldCharType="separate"/>
      </w:r>
      <w:r w:rsidR="009D4272" w:rsidRPr="009D4272">
        <w:rPr>
          <w:noProof/>
        </w:rPr>
        <w:t>64</w:t>
      </w:r>
      <w:r w:rsidRPr="009D4272">
        <w:fldChar w:fldCharType="end"/>
      </w:r>
      <w:bookmarkEnd w:id="28"/>
      <w:bookmarkEnd w:id="29"/>
      <w:r w:rsidR="00947CFC">
        <w:t>.  Tiesa atgādina vērā apsvērumus,</w:t>
      </w:r>
      <w:r w:rsidR="00B45ECE">
        <w:t xml:space="preserve"> kas tiek ņemti vērā,</w:t>
      </w:r>
      <w:r w:rsidR="00947CFC">
        <w:t xml:space="preserve"> lemjot par to, vai </w:t>
      </w:r>
      <w:r w:rsidR="00F47DEA">
        <w:t xml:space="preserve">svītrot </w:t>
      </w:r>
      <w:r w:rsidR="00947CFC">
        <w:t xml:space="preserve">lietu vai kādu tās daļu saskaņā ar Konvencijas </w:t>
      </w:r>
      <w:proofErr w:type="gramStart"/>
      <w:r w:rsidR="00947CFC">
        <w:t>37.panta</w:t>
      </w:r>
      <w:proofErr w:type="gramEnd"/>
      <w:r w:rsidR="00947CFC">
        <w:t xml:space="preserve"> 1.punkta c) apakšpunktu, pamatojoties uz vienpusēju deklarāciju. Tie ir: izteikto sūdzību būtība, </w:t>
      </w:r>
      <w:r w:rsidR="00F47DEA">
        <w:t xml:space="preserve">Valdības-atbildētājas </w:t>
      </w:r>
      <w:r w:rsidR="00947CFC">
        <w:t xml:space="preserve">veikto pasākumu būtība un apjoms Tiesas pasludināto spriedumu izpildes kontekstā kādā no iepriekš minētajām lietām un šo pasākumu ietekme uz konkrēto lietu; vienpusējo deklarāciju saturošo </w:t>
      </w:r>
      <w:r w:rsidR="00DA58FB">
        <w:t>saistību</w:t>
      </w:r>
      <w:r w:rsidR="00947CFC">
        <w:t xml:space="preserve"> būtība, jo īpaši Konvencijas pārkāpuma </w:t>
      </w:r>
      <w:r w:rsidR="00DA58FB">
        <w:t>atzīšana</w:t>
      </w:r>
      <w:r w:rsidR="00947CFC">
        <w:t xml:space="preserve"> un atbilstošas kompensācijas samaksa par </w:t>
      </w:r>
      <w:r w:rsidR="00204186">
        <w:t>šādu pārkāpumu; attiecīgās vai „</w:t>
      </w:r>
      <w:r w:rsidR="00947CFC">
        <w:t xml:space="preserve">skaidras un plašas” judikatūras esamība šajā sakarā, citiem vārdiem sakot, vai izvirzītie jautājumi ir salīdzināmi ar Tiesas jau noteiktajiem iepriekšējās lietās; un veids, kādā Valdība </w:t>
      </w:r>
      <w:r w:rsidR="00E013A9">
        <w:t>taisās</w:t>
      </w:r>
      <w:r w:rsidR="00947CFC">
        <w:t xml:space="preserve"> nodrošināt atlīdzību iesniedzējam un vai tas dod iespēju mazināt iespējamā pārkāpuma ietekmi (skatīt </w:t>
      </w:r>
      <w:proofErr w:type="spellStart"/>
      <w:r w:rsidR="00947CFC">
        <w:rPr>
          <w:i/>
        </w:rPr>
        <w:t>Tahsin</w:t>
      </w:r>
      <w:proofErr w:type="spellEnd"/>
      <w:r w:rsidR="00947CFC">
        <w:rPr>
          <w:i/>
        </w:rPr>
        <w:t xml:space="preserve"> </w:t>
      </w:r>
      <w:proofErr w:type="spellStart"/>
      <w:r w:rsidR="00947CFC">
        <w:rPr>
          <w:i/>
        </w:rPr>
        <w:t>Acar</w:t>
      </w:r>
      <w:proofErr w:type="spellEnd"/>
      <w:r w:rsidR="00947CFC">
        <w:t>, citēts iepriekš, 75.-77.rindkopa).</w:t>
      </w:r>
    </w:p>
    <w:p w:rsidR="00C53FAE" w:rsidRPr="009D4272" w:rsidRDefault="005C0F83" w:rsidP="009D4272">
      <w:pPr>
        <w:pStyle w:val="ECHRPara"/>
        <w:keepLines/>
      </w:pPr>
      <w:r>
        <w:t xml:space="preserve">Ja Tiesa ir apmierināta ar atbildēm uz iepriekš minētajiem jautājumiem, tad tā pārbauda, vai ir ievēroti Konvencijas </w:t>
      </w:r>
      <w:proofErr w:type="gramStart"/>
      <w:r>
        <w:t>37.panta</w:t>
      </w:r>
      <w:proofErr w:type="gramEnd"/>
      <w:r>
        <w:t xml:space="preserve"> 1.punkta c) apakšpunktā un 1. pantā </w:t>
      </w:r>
      <w:r w:rsidR="0079065D">
        <w:t xml:space="preserve">noslēgumā </w:t>
      </w:r>
      <w:r>
        <w:t xml:space="preserve">minētie noteikumi (tas būtu, ka tai vairs nav pamata turpināt izskatīt iesniegumu vai konkrēto daļu, un cilvēktiesību ievērošana neprasa tai turpināt tās izskatīšanu). Ja šie noteikumi ir ievēroti, tad </w:t>
      </w:r>
      <w:r w:rsidR="0079065D">
        <w:t>Tiesa</w:t>
      </w:r>
      <w:r>
        <w:t xml:space="preserve"> pieņem lēmumu </w:t>
      </w:r>
      <w:r w:rsidR="003734A1">
        <w:t>svītrot</w:t>
      </w:r>
      <w:r>
        <w:t xml:space="preserve"> lietu vai attiecīgo daļu no tās izskatāmo lietu saraksta.</w:t>
      </w:r>
    </w:p>
    <w:p w:rsidR="00C53FAE" w:rsidRPr="009D4272" w:rsidRDefault="00C53FAE" w:rsidP="009D4272">
      <w:pPr>
        <w:pStyle w:val="ECHRPara"/>
        <w:keepLines/>
      </w:pPr>
      <w:r>
        <w:t>Šim nolūkam Tiesa rūpīgi pārbauda Valdības vienpu</w:t>
      </w:r>
      <w:r w:rsidR="00003DDD">
        <w:t>sējā deklarācijā minēt</w:t>
      </w:r>
      <w:r w:rsidR="00767565">
        <w:t>ās saistības</w:t>
      </w:r>
      <w:r>
        <w:t xml:space="preserve"> (skatīt </w:t>
      </w:r>
      <w:proofErr w:type="spellStart"/>
      <w:r>
        <w:rPr>
          <w:i/>
        </w:rPr>
        <w:t>Tahsin</w:t>
      </w:r>
      <w:proofErr w:type="spellEnd"/>
      <w:r>
        <w:rPr>
          <w:i/>
        </w:rPr>
        <w:t xml:space="preserve"> </w:t>
      </w:r>
      <w:proofErr w:type="spellStart"/>
      <w:r>
        <w:rPr>
          <w:i/>
        </w:rPr>
        <w:t>Acar</w:t>
      </w:r>
      <w:proofErr w:type="spellEnd"/>
      <w:r>
        <w:t>, citēts iepriekš, 76.-79. un 83.-85.rindkopa) un</w:t>
      </w:r>
      <w:r w:rsidR="00003DDD">
        <w:t>,</w:t>
      </w:r>
      <w:r>
        <w:t xml:space="preserve"> </w:t>
      </w:r>
      <w:r w:rsidR="00003DDD">
        <w:t>ja ir nepieciešams,</w:t>
      </w:r>
      <w:r>
        <w:t xml:space="preserve"> interpretē šo </w:t>
      </w:r>
      <w:r w:rsidR="00003DDD">
        <w:t>saistību</w:t>
      </w:r>
      <w:r>
        <w:t xml:space="preserve"> apjomu, ievērojot tās judikatūru (skatīt </w:t>
      </w:r>
      <w:r w:rsidR="000B69E6">
        <w:t>iesnieguma</w:t>
      </w:r>
      <w:r>
        <w:t xml:space="preserve"> par valsts pienākumiem </w:t>
      </w:r>
      <w:r w:rsidR="00003DDD">
        <w:t xml:space="preserve">Konvencijas </w:t>
      </w:r>
      <w:r>
        <w:t>2. pant</w:t>
      </w:r>
      <w:r w:rsidR="000B69E6">
        <w:t>a</w:t>
      </w:r>
      <w:r>
        <w:t xml:space="preserve"> kontekstā, </w:t>
      </w:r>
      <w:proofErr w:type="spellStart"/>
      <w:r>
        <w:rPr>
          <w:i/>
        </w:rPr>
        <w:t>Žarković</w:t>
      </w:r>
      <w:proofErr w:type="spellEnd"/>
      <w:r>
        <w:rPr>
          <w:i/>
        </w:rPr>
        <w:t xml:space="preserve"> un citi pret Horvātiju</w:t>
      </w:r>
      <w:r>
        <w:t xml:space="preserve"> (lēmums), Nr. 75187/12, </w:t>
      </w:r>
      <w:proofErr w:type="gramStart"/>
      <w:r>
        <w:t>2015.gada</w:t>
      </w:r>
      <w:proofErr w:type="gramEnd"/>
      <w:r>
        <w:t xml:space="preserve"> 9.jūnijs).</w:t>
      </w:r>
    </w:p>
    <w:p w:rsidR="005109EE" w:rsidRPr="009D4272" w:rsidRDefault="003D7F16" w:rsidP="009D4272">
      <w:pPr>
        <w:pStyle w:val="ECHRPara"/>
      </w:pPr>
      <w:r w:rsidRPr="009D4272">
        <w:fldChar w:fldCharType="begin"/>
      </w:r>
      <w:r w:rsidR="005109EE" w:rsidRPr="009D4272">
        <w:instrText xml:space="preserve"> SEQ level0 \*arabic </w:instrText>
      </w:r>
      <w:r w:rsidRPr="009D4272">
        <w:fldChar w:fldCharType="separate"/>
      </w:r>
      <w:r w:rsidR="009D4272" w:rsidRPr="009D4272">
        <w:rPr>
          <w:noProof/>
        </w:rPr>
        <w:t>65</w:t>
      </w:r>
      <w:r w:rsidRPr="009D4272">
        <w:fldChar w:fldCharType="end"/>
      </w:r>
      <w:r w:rsidR="005109EE">
        <w:t xml:space="preserve">.  Dažos gadījumos Tiesa nosprieda, ka tās lēmums par </w:t>
      </w:r>
      <w:r w:rsidR="00225C85">
        <w:t>svītrošanu no izskatāmo lietu saraksta</w:t>
      </w:r>
      <w:r w:rsidR="005109EE">
        <w:t xml:space="preserve"> neietekmē iesniedzēja tiesības </w:t>
      </w:r>
      <w:r w:rsidR="00225C85">
        <w:t>izmantot citus</w:t>
      </w:r>
      <w:r w:rsidR="005109EE">
        <w:t xml:space="preserve"> nacionālajā līmenī pieejam</w:t>
      </w:r>
      <w:r w:rsidR="00225C85">
        <w:t>os</w:t>
      </w:r>
      <w:r w:rsidR="005109EE">
        <w:t xml:space="preserve"> tiesību aizsardzības līdzekļ</w:t>
      </w:r>
      <w:r w:rsidR="00225C85">
        <w:t>us</w:t>
      </w:r>
      <w:r w:rsidR="005109EE">
        <w:t xml:space="preserve">, lai saņemtu </w:t>
      </w:r>
      <w:r w:rsidR="00225C85">
        <w:t>atlīdzinājumu</w:t>
      </w:r>
      <w:r w:rsidR="005109EE">
        <w:t xml:space="preserve"> (skatīt, piemēram, lieta </w:t>
      </w:r>
      <w:proofErr w:type="spellStart"/>
      <w:r w:rsidR="005109EE">
        <w:rPr>
          <w:i/>
        </w:rPr>
        <w:t>Josipović</w:t>
      </w:r>
      <w:proofErr w:type="spellEnd"/>
      <w:r w:rsidR="005109EE">
        <w:rPr>
          <w:i/>
        </w:rPr>
        <w:t xml:space="preserve"> pret Serbiju</w:t>
      </w:r>
      <w:r w:rsidR="005109EE">
        <w:t xml:space="preserve"> (lēmums), Nr. 18369/07, </w:t>
      </w:r>
      <w:proofErr w:type="gramStart"/>
      <w:r w:rsidR="005109EE">
        <w:t>2008.gada</w:t>
      </w:r>
      <w:proofErr w:type="gramEnd"/>
      <w:r w:rsidR="005109EE">
        <w:t xml:space="preserve"> 4.marts; </w:t>
      </w:r>
      <w:proofErr w:type="spellStart"/>
      <w:r w:rsidR="005109EE">
        <w:t>Ž</w:t>
      </w:r>
      <w:r w:rsidR="005109EE">
        <w:rPr>
          <w:i/>
        </w:rPr>
        <w:t>arskis</w:t>
      </w:r>
      <w:proofErr w:type="spellEnd"/>
      <w:r w:rsidR="005109EE">
        <w:rPr>
          <w:i/>
        </w:rPr>
        <w:t xml:space="preserve"> pret Latviju</w:t>
      </w:r>
      <w:r w:rsidR="005109EE">
        <w:t xml:space="preserve"> (lēmums), Nr. 33695/03, 38. rindkopa, 2009. gada 17.marts; un </w:t>
      </w:r>
      <w:proofErr w:type="spellStart"/>
      <w:r w:rsidR="005109EE">
        <w:rPr>
          <w:i/>
        </w:rPr>
        <w:t>Ielcean</w:t>
      </w:r>
      <w:proofErr w:type="spellEnd"/>
      <w:r w:rsidR="005109EE">
        <w:rPr>
          <w:i/>
        </w:rPr>
        <w:t xml:space="preserve"> pret Rumāniju</w:t>
      </w:r>
      <w:r w:rsidR="005109EE">
        <w:t xml:space="preserve"> (lēmums), Nr. 76048/11, 2014.gada 7.oktobris). Citos gadījumos </w:t>
      </w:r>
      <w:r w:rsidR="00A45C32">
        <w:t>Tiesa</w:t>
      </w:r>
      <w:r w:rsidR="000A63E4">
        <w:t xml:space="preserve"> pat norādīja uz nacionālajām tiesību normām</w:t>
      </w:r>
      <w:r w:rsidR="005109EE">
        <w:t>, kas ļautu iesni</w:t>
      </w:r>
      <w:r w:rsidR="00A45C32">
        <w:t>edzējam pieprasīt nacionālo procesu</w:t>
      </w:r>
      <w:r w:rsidR="005109EE">
        <w:t xml:space="preserve"> atjaunošanu (skatīt </w:t>
      </w:r>
      <w:proofErr w:type="spellStart"/>
      <w:r w:rsidR="005109EE">
        <w:rPr>
          <w:i/>
        </w:rPr>
        <w:t>Sroka</w:t>
      </w:r>
      <w:proofErr w:type="spellEnd"/>
      <w:r w:rsidR="005109EE">
        <w:rPr>
          <w:i/>
        </w:rPr>
        <w:t xml:space="preserve"> pret Poliju</w:t>
      </w:r>
      <w:r w:rsidR="005109EE">
        <w:t xml:space="preserve"> (lēmums), Nr. 42801/07, </w:t>
      </w:r>
      <w:proofErr w:type="gramStart"/>
      <w:r w:rsidR="005109EE">
        <w:t>2012.gada</w:t>
      </w:r>
      <w:proofErr w:type="gramEnd"/>
      <w:r w:rsidR="005109EE">
        <w:t xml:space="preserve"> 6.marts).</w:t>
      </w:r>
    </w:p>
    <w:p w:rsidR="005109EE" w:rsidRPr="009D4272" w:rsidRDefault="003D7F16" w:rsidP="009D4272">
      <w:pPr>
        <w:pStyle w:val="ECHRPara"/>
      </w:pPr>
      <w:r w:rsidRPr="009D4272">
        <w:lastRenderedPageBreak/>
        <w:fldChar w:fldCharType="begin"/>
      </w:r>
      <w:r w:rsidR="00640487" w:rsidRPr="009D4272">
        <w:instrText xml:space="preserve"> SEQ level0 \*arabic </w:instrText>
      </w:r>
      <w:r w:rsidRPr="009D4272">
        <w:fldChar w:fldCharType="separate"/>
      </w:r>
      <w:r w:rsidR="009D4272" w:rsidRPr="009D4272">
        <w:rPr>
          <w:noProof/>
        </w:rPr>
        <w:t>66</w:t>
      </w:r>
      <w:r w:rsidRPr="009D4272">
        <w:fldChar w:fldCharType="end"/>
      </w:r>
      <w:r w:rsidR="00640487">
        <w:t xml:space="preserve">.  Nesen izskatītajā lietā </w:t>
      </w:r>
      <w:proofErr w:type="spellStart"/>
      <w:r w:rsidR="00640487">
        <w:rPr>
          <w:rFonts w:cstheme="minorHAnsi"/>
          <w:i/>
        </w:rPr>
        <w:t>Žarković</w:t>
      </w:r>
      <w:proofErr w:type="spellEnd"/>
      <w:r w:rsidR="00640487">
        <w:rPr>
          <w:rFonts w:cstheme="minorHAnsi"/>
          <w:i/>
        </w:rPr>
        <w:t xml:space="preserve"> un citi </w:t>
      </w:r>
      <w:r w:rsidR="00640487">
        <w:rPr>
          <w:rFonts w:cstheme="minorHAnsi"/>
        </w:rPr>
        <w:t xml:space="preserve">(citēts iepriekš) Tiesa apgalvoja, ka tās lēmums </w:t>
      </w:r>
      <w:r w:rsidR="000A63E4">
        <w:rPr>
          <w:rFonts w:cstheme="minorHAnsi"/>
        </w:rPr>
        <w:t>svītrot no izskatāmo lietu saraksta</w:t>
      </w:r>
      <w:r w:rsidR="00640487">
        <w:rPr>
          <w:rFonts w:cstheme="minorHAnsi"/>
        </w:rPr>
        <w:t xml:space="preserve"> sūdzības Konvencijas 2. un </w:t>
      </w:r>
      <w:proofErr w:type="gramStart"/>
      <w:r w:rsidR="00640487">
        <w:rPr>
          <w:rFonts w:cstheme="minorHAnsi"/>
        </w:rPr>
        <w:t>14.pant</w:t>
      </w:r>
      <w:r w:rsidR="000A63E4">
        <w:rPr>
          <w:rFonts w:cstheme="minorHAnsi"/>
        </w:rPr>
        <w:t>a</w:t>
      </w:r>
      <w:proofErr w:type="gramEnd"/>
      <w:r w:rsidR="00695809">
        <w:rPr>
          <w:rFonts w:cstheme="minorHAnsi"/>
        </w:rPr>
        <w:t xml:space="preserve"> kontekstā</w:t>
      </w:r>
      <w:r w:rsidR="000A63E4">
        <w:rPr>
          <w:rFonts w:cstheme="minorHAnsi"/>
        </w:rPr>
        <w:t xml:space="preserve"> </w:t>
      </w:r>
      <w:r w:rsidR="00640487">
        <w:rPr>
          <w:rFonts w:cstheme="minorHAnsi"/>
        </w:rPr>
        <w:t>(par efektīv</w:t>
      </w:r>
      <w:r w:rsidR="000A63E4">
        <w:rPr>
          <w:rFonts w:cstheme="minorHAnsi"/>
        </w:rPr>
        <w:t>as</w:t>
      </w:r>
      <w:r w:rsidR="00640487">
        <w:rPr>
          <w:rFonts w:cstheme="minorHAnsi"/>
        </w:rPr>
        <w:t xml:space="preserve"> izmeklēšanas trūkumu</w:t>
      </w:r>
      <w:r w:rsidR="000A63E4">
        <w:rPr>
          <w:rFonts w:cstheme="minorHAnsi"/>
        </w:rPr>
        <w:t xml:space="preserve"> lietā par personas nonāvēšanu</w:t>
      </w:r>
      <w:r w:rsidR="00640487" w:rsidRPr="000A63E4">
        <w:rPr>
          <w:rFonts w:cstheme="minorHAnsi"/>
        </w:rPr>
        <w:t>)</w:t>
      </w:r>
      <w:r w:rsidR="00640487">
        <w:rPr>
          <w:rFonts w:cstheme="minorHAnsi"/>
          <w:i/>
        </w:rPr>
        <w:t xml:space="preserve"> </w:t>
      </w:r>
      <w:r w:rsidR="00640487">
        <w:rPr>
          <w:rFonts w:cstheme="minorHAnsi"/>
        </w:rPr>
        <w:t>pēc vienpu</w:t>
      </w:r>
      <w:r w:rsidR="00204186">
        <w:rPr>
          <w:rFonts w:cstheme="minorHAnsi"/>
        </w:rPr>
        <w:t xml:space="preserve">sējās deklarācijas </w:t>
      </w:r>
      <w:r w:rsidR="00695809">
        <w:rPr>
          <w:rFonts w:cstheme="minorHAnsi"/>
        </w:rPr>
        <w:t xml:space="preserve">iesniegšanas </w:t>
      </w:r>
      <w:r w:rsidR="00204186">
        <w:rPr>
          <w:rFonts w:cstheme="minorHAnsi"/>
        </w:rPr>
        <w:t>neietekmēja „</w:t>
      </w:r>
      <w:r w:rsidR="00640487">
        <w:rPr>
          <w:rFonts w:cstheme="minorHAnsi"/>
        </w:rPr>
        <w:t>Valdības turpmāko pienākumu veikt izmeklēšanu atbilstoši Konvencijas prasībām”.</w:t>
      </w:r>
    </w:p>
    <w:bookmarkStart w:id="30" w:name="para62"/>
    <w:p w:rsidR="00334B17" w:rsidRPr="009D4272" w:rsidRDefault="003D7F16" w:rsidP="009D4272">
      <w:pPr>
        <w:pStyle w:val="ECHRPara"/>
      </w:pPr>
      <w:r w:rsidRPr="009D4272">
        <w:fldChar w:fldCharType="begin"/>
      </w:r>
      <w:r w:rsidR="005109EE" w:rsidRPr="009D4272">
        <w:instrText xml:space="preserve"> SEQ level0 \*arabic </w:instrText>
      </w:r>
      <w:r w:rsidRPr="009D4272">
        <w:fldChar w:fldCharType="separate"/>
      </w:r>
      <w:r w:rsidR="009D4272" w:rsidRPr="009D4272">
        <w:rPr>
          <w:noProof/>
        </w:rPr>
        <w:t>67</w:t>
      </w:r>
      <w:r w:rsidRPr="009D4272">
        <w:fldChar w:fldCharType="end"/>
      </w:r>
      <w:bookmarkEnd w:id="30"/>
      <w:r w:rsidR="005109EE">
        <w:t xml:space="preserve">.  Pat pēc tam, kad </w:t>
      </w:r>
      <w:r w:rsidR="00C14283">
        <w:t>Tiesa</w:t>
      </w:r>
      <w:r w:rsidR="005109EE">
        <w:t xml:space="preserve"> apstiprināja vienpusējo deklarāciju un nolēma </w:t>
      </w:r>
      <w:r w:rsidR="00F42F34">
        <w:t>svītrot</w:t>
      </w:r>
      <w:r w:rsidR="005109EE">
        <w:t xml:space="preserve"> </w:t>
      </w:r>
      <w:r w:rsidR="000B69E6">
        <w:t>iesniegumu</w:t>
      </w:r>
      <w:r w:rsidR="005109EE">
        <w:t xml:space="preserve"> (vai tā daļu) no izskatāmo lietu saraksta, Tiesa paturēja tiesības </w:t>
      </w:r>
      <w:r w:rsidR="000B69E6">
        <w:t>turpināt skatīt</w:t>
      </w:r>
      <w:r w:rsidR="005109EE">
        <w:t xml:space="preserve"> iesniegumu (vai attiecīg</w:t>
      </w:r>
      <w:r w:rsidR="000B69E6">
        <w:t>u</w:t>
      </w:r>
      <w:r w:rsidR="005109EE">
        <w:t xml:space="preserve"> iesnieguma daļu) </w:t>
      </w:r>
      <w:r w:rsidR="000B69E6">
        <w:t xml:space="preserve">un </w:t>
      </w:r>
      <w:r w:rsidR="00CB5B3D">
        <w:t xml:space="preserve">atjaunot </w:t>
      </w:r>
      <w:r w:rsidR="000B69E6">
        <w:t>to</w:t>
      </w:r>
      <w:r w:rsidR="005109EE">
        <w:t xml:space="preserve"> izskatāmo lietu sarakstā, kā to paredz Konvencijas </w:t>
      </w:r>
      <w:proofErr w:type="gramStart"/>
      <w:r w:rsidR="005109EE">
        <w:t>37.panta</w:t>
      </w:r>
      <w:proofErr w:type="gramEnd"/>
      <w:r w:rsidR="005109EE">
        <w:t xml:space="preserve"> 2.punkts un Tiesas reglamenta 43.punkta 5.</w:t>
      </w:r>
      <w:r w:rsidR="007F6244">
        <w:t>daļa</w:t>
      </w:r>
      <w:r w:rsidR="005109EE">
        <w:t xml:space="preserve"> (iepriekš 44.punkta 5.</w:t>
      </w:r>
      <w:r w:rsidR="00E91E3D">
        <w:t>daļa</w:t>
      </w:r>
      <w:r w:rsidR="005109EE">
        <w:t xml:space="preserve">) (skatīt no citiem avotiem iepriekš citēto </w:t>
      </w:r>
      <w:proofErr w:type="spellStart"/>
      <w:r w:rsidR="005109EE">
        <w:rPr>
          <w:i/>
        </w:rPr>
        <w:t>Josipović</w:t>
      </w:r>
      <w:proofErr w:type="spellEnd"/>
      <w:r w:rsidR="005109EE">
        <w:t xml:space="preserve"> lietu). </w:t>
      </w:r>
      <w:r w:rsidR="00CB5B3D">
        <w:t>Tādēļ</w:t>
      </w:r>
      <w:r w:rsidR="005109EE">
        <w:t xml:space="preserve"> tā nav neierasta prakse</w:t>
      </w:r>
      <w:r w:rsidR="00CB5B3D">
        <w:t>, ka Tiesa norāda</w:t>
      </w:r>
      <w:r w:rsidR="005109EE">
        <w:t xml:space="preserve"> </w:t>
      </w:r>
      <w:r w:rsidR="00CB5B3D">
        <w:t>lēmuma par iesnieguma</w:t>
      </w:r>
      <w:r w:rsidR="005109EE">
        <w:t xml:space="preserve"> </w:t>
      </w:r>
      <w:r w:rsidR="00CB5B3D">
        <w:t>svītrošanu no lietu saraksta</w:t>
      </w:r>
      <w:r w:rsidR="005109EE">
        <w:t xml:space="preserve"> </w:t>
      </w:r>
      <w:r w:rsidR="007B337E">
        <w:t>nobeigumā</w:t>
      </w:r>
      <w:r w:rsidR="005109EE">
        <w:t>, ka tā var lemt atjaunot iesniegumu (vai tā daļu) savā izskatāmo lietu sarakstā gadījumā, ja Valdība neievēro vienpusējās deklarācijas noteikumus, k</w:t>
      </w:r>
      <w:r w:rsidR="00CB5B3D">
        <w:t>ā to</w:t>
      </w:r>
      <w:r w:rsidR="007B337E">
        <w:t>s</w:t>
      </w:r>
      <w:r w:rsidR="005109EE">
        <w:t xml:space="preserve"> ir apstiprinājusi </w:t>
      </w:r>
      <w:r w:rsidR="00CB5B3D">
        <w:t xml:space="preserve">Tiesa </w:t>
      </w:r>
      <w:r w:rsidR="005109EE">
        <w:t xml:space="preserve">(skatīt no citiem neseniem avotiem </w:t>
      </w:r>
      <w:proofErr w:type="spellStart"/>
      <w:r w:rsidR="005109EE">
        <w:rPr>
          <w:i/>
        </w:rPr>
        <w:t>Canbek</w:t>
      </w:r>
      <w:proofErr w:type="spellEnd"/>
      <w:r w:rsidR="005109EE">
        <w:rPr>
          <w:i/>
        </w:rPr>
        <w:t xml:space="preserve"> pret Turciju</w:t>
      </w:r>
      <w:r w:rsidR="005109EE">
        <w:t xml:space="preserve"> (lēmums.), Nr. 5286/10, </w:t>
      </w:r>
      <w:proofErr w:type="gramStart"/>
      <w:r w:rsidR="005109EE">
        <w:t>2015.gada</w:t>
      </w:r>
      <w:proofErr w:type="gramEnd"/>
      <w:r w:rsidR="005109EE">
        <w:t xml:space="preserve"> 13.janvāris; </w:t>
      </w:r>
      <w:proofErr w:type="spellStart"/>
      <w:r w:rsidR="005109EE">
        <w:rPr>
          <w:i/>
        </w:rPr>
        <w:t>Schulz</w:t>
      </w:r>
      <w:proofErr w:type="spellEnd"/>
      <w:r w:rsidR="005109EE">
        <w:rPr>
          <w:i/>
        </w:rPr>
        <w:t xml:space="preserve"> pret Vāciju</w:t>
      </w:r>
      <w:r w:rsidR="005109EE">
        <w:t xml:space="preserve"> (lēmums), Nr. 4800/12, 2015.gada 31.marts; </w:t>
      </w:r>
      <w:proofErr w:type="spellStart"/>
      <w:r w:rsidR="005109EE">
        <w:rPr>
          <w:i/>
        </w:rPr>
        <w:t>Bonomo</w:t>
      </w:r>
      <w:proofErr w:type="spellEnd"/>
      <w:r w:rsidR="005109EE">
        <w:rPr>
          <w:i/>
        </w:rPr>
        <w:t xml:space="preserve"> un citi pret Itāliju</w:t>
      </w:r>
      <w:r w:rsidR="00CB5B3D">
        <w:t xml:space="preserve"> (lēmums</w:t>
      </w:r>
      <w:r w:rsidR="005109EE">
        <w:t xml:space="preserve">), Nr. 17634/11 un 164 citi iesniegumi, 2015.gada 9.aprīlis; un </w:t>
      </w:r>
      <w:r w:rsidR="005109EE">
        <w:rPr>
          <w:i/>
        </w:rPr>
        <w:t>Jehovas liecinieku apvienība un citi pret Gruziju</w:t>
      </w:r>
      <w:r w:rsidR="005109EE">
        <w:t xml:space="preserve"> (lēmums), Nr. 72874/01, 2015.gada 21.aprīlis).</w:t>
      </w:r>
    </w:p>
    <w:bookmarkStart w:id="31" w:name="para103"/>
    <w:bookmarkStart w:id="32" w:name="para63"/>
    <w:p w:rsidR="00C53FAE" w:rsidRPr="009D4272" w:rsidRDefault="003D7F16" w:rsidP="009D4272">
      <w:pPr>
        <w:pStyle w:val="ECHRPara"/>
      </w:pPr>
      <w:r w:rsidRPr="009D4272">
        <w:fldChar w:fldCharType="begin"/>
      </w:r>
      <w:r w:rsidR="00C53FAE" w:rsidRPr="009D4272">
        <w:instrText xml:space="preserve"> SEQ level0 \*arabic </w:instrText>
      </w:r>
      <w:r w:rsidRPr="009D4272">
        <w:fldChar w:fldCharType="separate"/>
      </w:r>
      <w:r w:rsidR="009D4272" w:rsidRPr="009D4272">
        <w:rPr>
          <w:noProof/>
        </w:rPr>
        <w:t>68</w:t>
      </w:r>
      <w:r w:rsidRPr="009D4272">
        <w:fldChar w:fldCharType="end"/>
      </w:r>
      <w:bookmarkEnd w:id="31"/>
      <w:bookmarkEnd w:id="32"/>
      <w:r w:rsidR="00C53FAE">
        <w:t xml:space="preserve">.  Īstenojot šādas tiesības, Tiesa ne tikai veic </w:t>
      </w:r>
      <w:r w:rsidR="00CB5B3D">
        <w:t>rūpīgu vairāku Valdību deklarācijā</w:t>
      </w:r>
      <w:r w:rsidR="00C53FAE">
        <w:t xml:space="preserve">, ko tā ir apstiprinājusi lēmumā par </w:t>
      </w:r>
      <w:r w:rsidR="00CB5B3D">
        <w:t>svītrošanu no izskatāmo lietu saraksta</w:t>
      </w:r>
      <w:r w:rsidR="00C53FAE">
        <w:t xml:space="preserve">, minēto saistību </w:t>
      </w:r>
      <w:r w:rsidR="00CB5B3D">
        <w:t>tvēruma</w:t>
      </w:r>
      <w:r w:rsidR="00C53FAE">
        <w:t xml:space="preserve"> </w:t>
      </w:r>
      <w:r w:rsidR="00CB5B3D" w:rsidRPr="00CB5B3D">
        <w:t>un</w:t>
      </w:r>
      <w:r w:rsidR="00CB5B3D">
        <w:t xml:space="preserve"> apmēra </w:t>
      </w:r>
      <w:r w:rsidR="00C53FAE">
        <w:t xml:space="preserve">izskatīšanu, bet arī paredz iespēju pārbaudīt Valdības </w:t>
      </w:r>
      <w:r w:rsidR="00291562">
        <w:t>darbīb</w:t>
      </w:r>
      <w:r w:rsidR="00911AB6">
        <w:t>as</w:t>
      </w:r>
      <w:r w:rsidR="00291562">
        <w:t xml:space="preserve"> </w:t>
      </w:r>
      <w:r w:rsidR="00C53FAE">
        <w:t xml:space="preserve">atbilstību </w:t>
      </w:r>
      <w:r w:rsidR="00406E17">
        <w:t>tās</w:t>
      </w:r>
      <w:r w:rsidR="00C53FAE">
        <w:t xml:space="preserve"> saistībām.</w:t>
      </w:r>
    </w:p>
    <w:p w:rsidR="005109EE" w:rsidRPr="009D4272" w:rsidRDefault="005109EE" w:rsidP="009D4272">
      <w:pPr>
        <w:pStyle w:val="ECHRPara"/>
      </w:pPr>
      <w:r>
        <w:t xml:space="preserve">Līdz šim Tiesa ir atjaunojusi vienu lietu savā izskatāmo lietu sarakstā pēc lēmuma par </w:t>
      </w:r>
      <w:r w:rsidR="006A3BD2">
        <w:t>svītrošanu</w:t>
      </w:r>
      <w:r w:rsidR="009F60AE">
        <w:t xml:space="preserve"> no izskatāmo lietu saraksta</w:t>
      </w:r>
      <w:r>
        <w:t xml:space="preserve">, </w:t>
      </w:r>
      <w:r w:rsidR="00644AA3">
        <w:t>kas tika pieņemts vienpusējās deklarācijas kontekstā</w:t>
      </w:r>
      <w:r>
        <w:t xml:space="preserve">. Lietā </w:t>
      </w:r>
      <w:proofErr w:type="spellStart"/>
      <w:r>
        <w:rPr>
          <w:i/>
        </w:rPr>
        <w:t>Aleksentseva</w:t>
      </w:r>
      <w:proofErr w:type="spellEnd"/>
      <w:r>
        <w:rPr>
          <w:i/>
        </w:rPr>
        <w:t xml:space="preserve"> un citi pret Krieviju</w:t>
      </w:r>
      <w:r>
        <w:t xml:space="preserve"> (Nr. 75025/01, 75026/01, 75028/01, 75029/01, 75031/01, 75033/01, 75034/01, 75036/01, 76386/01, 77049/01, 77051/01, 77052/01, 77053/01, 3999/02, 5314/02, 5384/02, 5388/02, 5419/02 un 8192/02, </w:t>
      </w:r>
      <w:proofErr w:type="gramStart"/>
      <w:r>
        <w:t>2003.gada</w:t>
      </w:r>
      <w:proofErr w:type="gramEnd"/>
      <w:r>
        <w:t xml:space="preserve"> 4.septembra, 2006.gada 23.marta lēmumi, un 2008.gada 17.janvāra spriedums, 14.-17. rindkopa), Tiesa nolēma atjaunot iesniedzēju lietu, pamatojoties uz to, ka Valdības vienpusējā deklarācija, kuru Tiesa bija apstiprinājusi savā 2003.gada 4.septembra lēmumā par </w:t>
      </w:r>
      <w:r w:rsidR="00124E75">
        <w:t>svītrošanu no izskatāmo lietu saraksta</w:t>
      </w:r>
      <w:r>
        <w:t xml:space="preserve">, bija </w:t>
      </w:r>
      <w:r w:rsidR="00124E75">
        <w:t xml:space="preserve">ar nosacījumu, proti, </w:t>
      </w:r>
      <w:r>
        <w:t xml:space="preserve">kompensācijas izmaksa bija pakļauta </w:t>
      </w:r>
      <w:r w:rsidR="00124E75">
        <w:t xml:space="preserve">nosacījumam par </w:t>
      </w:r>
      <w:r>
        <w:t>iesniegum</w:t>
      </w:r>
      <w:r w:rsidR="00124E75">
        <w:t>a</w:t>
      </w:r>
      <w:r>
        <w:t xml:space="preserve"> atsaukšan</w:t>
      </w:r>
      <w:r w:rsidR="00124E75">
        <w:t>u</w:t>
      </w:r>
      <w:r>
        <w:t xml:space="preserve">. Tā kā iesniedzēji nebija atsaukuši savus iesniegumus, Valdība atteicās izmaksāt </w:t>
      </w:r>
      <w:r w:rsidR="009E1856">
        <w:t>tās</w:t>
      </w:r>
      <w:r>
        <w:t xml:space="preserve"> deklarācijā minēto kompensāciju. </w:t>
      </w:r>
      <w:proofErr w:type="gramStart"/>
      <w:r>
        <w:t>2006.gada</w:t>
      </w:r>
      <w:proofErr w:type="gramEnd"/>
      <w:r>
        <w:t xml:space="preserve"> 2.martā Tiesa konstatēja, ka Valdības neizmaksātā kompensācija radīja izņēmuma apstākļus, kas </w:t>
      </w:r>
      <w:r w:rsidR="009E1856">
        <w:t>pamatoja</w:t>
      </w:r>
      <w:r>
        <w:t xml:space="preserve"> iesniegumu atjaunošan</w:t>
      </w:r>
      <w:r w:rsidR="009E1856">
        <w:t>u</w:t>
      </w:r>
      <w:r>
        <w:t xml:space="preserve"> </w:t>
      </w:r>
      <w:r w:rsidR="009E1856">
        <w:t xml:space="preserve">Tiesas </w:t>
      </w:r>
      <w:r>
        <w:t>izskatāmo lietu sarakstā.</w:t>
      </w:r>
    </w:p>
    <w:bookmarkStart w:id="33" w:name="para64"/>
    <w:p w:rsidR="00054880" w:rsidRPr="009D4272" w:rsidRDefault="003D7F16" w:rsidP="009D4272">
      <w:pPr>
        <w:pStyle w:val="ECHRPara"/>
      </w:pPr>
      <w:r w:rsidRPr="009D4272">
        <w:fldChar w:fldCharType="begin"/>
      </w:r>
      <w:r w:rsidR="005109EE" w:rsidRPr="009D4272">
        <w:instrText xml:space="preserve"> SEQ level0 \*arabic </w:instrText>
      </w:r>
      <w:r w:rsidRPr="009D4272">
        <w:fldChar w:fldCharType="separate"/>
      </w:r>
      <w:r w:rsidR="009D4272" w:rsidRPr="009D4272">
        <w:rPr>
          <w:noProof/>
        </w:rPr>
        <w:t>69</w:t>
      </w:r>
      <w:r w:rsidRPr="009D4272">
        <w:fldChar w:fldCharType="end"/>
      </w:r>
      <w:bookmarkEnd w:id="33"/>
      <w:r w:rsidR="005109EE">
        <w:t>.  No tā izriet, ka Valdības vienpusējā deklarā</w:t>
      </w:r>
      <w:r w:rsidR="00137C05">
        <w:t xml:space="preserve">cija var tikt </w:t>
      </w:r>
      <w:r w:rsidR="005109EE">
        <w:t xml:space="preserve">divas reizes </w:t>
      </w:r>
      <w:r w:rsidR="00137C05">
        <w:t xml:space="preserve">pakļauta </w:t>
      </w:r>
      <w:r w:rsidR="005109EE">
        <w:t xml:space="preserve">Tiesas kontrolei. Vispirms pirms lēmuma pieņemšanas par lietas </w:t>
      </w:r>
      <w:r w:rsidR="00137C05">
        <w:t>svītrošanu</w:t>
      </w:r>
      <w:r w:rsidR="005109EE">
        <w:t xml:space="preserve"> no izskatāmo lietu saraksta Tiesa pārbauda v</w:t>
      </w:r>
      <w:r w:rsidR="00137C05">
        <w:t xml:space="preserve">ienpusējā deklarācijā </w:t>
      </w:r>
      <w:r w:rsidR="00137C05">
        <w:lastRenderedPageBreak/>
        <w:t xml:space="preserve">iekļauto saistību </w:t>
      </w:r>
      <w:r w:rsidR="005109EE">
        <w:t xml:space="preserve">būtību, kompensācijas atbilstību un vai cilvēktiesību ievērošana prasa turpināt tās lietas izskatīšanu saskaņā ar iepriekš minētajiem kritērijiem (skatīt iepriekš </w:t>
      </w:r>
      <w:r w:rsidRPr="009D4272">
        <w:fldChar w:fldCharType="begin"/>
      </w:r>
      <w:r w:rsidR="002A09F6" w:rsidRPr="009D4272">
        <w:instrText xml:space="preserve"> REF para60 \h </w:instrText>
      </w:r>
      <w:r w:rsidRPr="009D4272">
        <w:fldChar w:fldCharType="separate"/>
      </w:r>
      <w:r w:rsidR="009D4272" w:rsidRPr="009D4272">
        <w:rPr>
          <w:noProof/>
        </w:rPr>
        <w:t>64</w:t>
      </w:r>
      <w:r w:rsidRPr="009D4272">
        <w:fldChar w:fldCharType="end"/>
      </w:r>
      <w:r w:rsidR="00C4625A">
        <w:t>.</w:t>
      </w:r>
      <w:r w:rsidR="005109EE">
        <w:t xml:space="preserve"> rindkopu). Otrkārt, pēc lēmuma par </w:t>
      </w:r>
      <w:r w:rsidR="00137C05">
        <w:t>svītrošanu no izskatāmo lietu saraksta</w:t>
      </w:r>
      <w:r w:rsidR="005109EE">
        <w:t xml:space="preserve"> </w:t>
      </w:r>
      <w:r w:rsidR="00137C05">
        <w:t xml:space="preserve">Tiesu </w:t>
      </w:r>
      <w:r w:rsidR="005109EE">
        <w:t>var lūgt uzraudzīt Valdības saistību izpildi</w:t>
      </w:r>
      <w:r w:rsidR="00C4625A">
        <w:t xml:space="preserve"> un pārbaudīt, vai pastāv kādi „</w:t>
      </w:r>
      <w:r w:rsidR="005109EE">
        <w:t>izņēmuma apstākļi” (Tiesas reglamenta 43.punkta 5.</w:t>
      </w:r>
      <w:r w:rsidR="00137C05">
        <w:t>daļa</w:t>
      </w:r>
      <w:r w:rsidR="005109EE">
        <w:t>), kas pamato iesnieguma (vai tā daļas) atjaunošanu izskatāmo lietu sarakstā.</w:t>
      </w:r>
    </w:p>
    <w:p w:rsidR="008B1329"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70</w:t>
      </w:r>
      <w:r w:rsidRPr="009D4272">
        <w:rPr>
          <w:noProof/>
        </w:rPr>
        <w:fldChar w:fldCharType="end"/>
      </w:r>
      <w:r w:rsidR="00E17C5D">
        <w:t>.  Uzraugot Vald</w:t>
      </w:r>
      <w:r w:rsidR="00C6517B">
        <w:t>ības saistību īstenošanu, Tiesa</w:t>
      </w:r>
      <w:r w:rsidR="00E17C5D">
        <w:t xml:space="preserve"> </w:t>
      </w:r>
      <w:r w:rsidR="00837AE0">
        <w:t>ir tiesīga</w:t>
      </w:r>
      <w:r w:rsidR="00E17C5D">
        <w:t xml:space="preserve"> interpretēt gan vienpusējās deklarācijas, gan tās pašas lēmuma par </w:t>
      </w:r>
      <w:r w:rsidR="00837AE0">
        <w:t xml:space="preserve">svītrošanu no izskatāmo lietu saraksta </w:t>
      </w:r>
      <w:r w:rsidR="00E17C5D">
        <w:t>noteikumus.</w:t>
      </w:r>
    </w:p>
    <w:p w:rsidR="00D75D04"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71</w:t>
      </w:r>
      <w:r w:rsidRPr="009D4272">
        <w:rPr>
          <w:noProof/>
        </w:rPr>
        <w:fldChar w:fldCharType="end"/>
      </w:r>
      <w:r w:rsidR="00E17C5D">
        <w:t>.  Tomē</w:t>
      </w:r>
      <w:r w:rsidR="00837AE0">
        <w:t xml:space="preserve">r šajā lietā Tiesai vispirms ir jāizskata </w:t>
      </w:r>
      <w:r w:rsidR="00E17C5D">
        <w:t>Valdības sākotnēj</w:t>
      </w:r>
      <w:r w:rsidR="00674B59">
        <w:t>ie iebildumi</w:t>
      </w:r>
      <w:r w:rsidR="00E17C5D">
        <w:t>.</w:t>
      </w:r>
    </w:p>
    <w:p w:rsidR="00076D53" w:rsidRPr="009D4272" w:rsidRDefault="00076D53" w:rsidP="009D4272">
      <w:pPr>
        <w:pStyle w:val="ECHRHeading4"/>
      </w:pPr>
      <w:r>
        <w:t>(b) Sākotnējie iebildumi</w:t>
      </w:r>
    </w:p>
    <w:p w:rsidR="00C0200C" w:rsidRPr="009D4272" w:rsidRDefault="0003037D" w:rsidP="009D4272">
      <w:pPr>
        <w:pStyle w:val="ECHRHeading5"/>
      </w:pPr>
      <w:r>
        <w:t xml:space="preserve">(i) Iebildums, ka </w:t>
      </w:r>
      <w:r w:rsidR="004877EF">
        <w:t>iesniedzējs ir zaudējis</w:t>
      </w:r>
      <w:r>
        <w:t xml:space="preserve"> cietušā statusu</w:t>
      </w:r>
    </w:p>
    <w:p w:rsidR="00C0200C" w:rsidRPr="009D4272" w:rsidRDefault="003D7F16" w:rsidP="009D4272">
      <w:pPr>
        <w:pStyle w:val="ECHRPara"/>
      </w:pPr>
      <w:r w:rsidRPr="009D4272">
        <w:fldChar w:fldCharType="begin"/>
      </w:r>
      <w:r w:rsidR="00C0200C" w:rsidRPr="009D4272">
        <w:instrText xml:space="preserve"> SEQ level0 \*arabic </w:instrText>
      </w:r>
      <w:r w:rsidRPr="009D4272">
        <w:fldChar w:fldCharType="separate"/>
      </w:r>
      <w:r w:rsidR="009D4272" w:rsidRPr="009D4272">
        <w:rPr>
          <w:noProof/>
        </w:rPr>
        <w:t>72</w:t>
      </w:r>
      <w:r w:rsidRPr="009D4272">
        <w:fldChar w:fldCharType="end"/>
      </w:r>
      <w:r w:rsidR="00C0200C">
        <w:t xml:space="preserve">.  Tiesa sākumā atzīmē, ka šajā lietā iesniedzējs </w:t>
      </w:r>
      <w:r w:rsidR="009C29D4">
        <w:t>sūdzējās</w:t>
      </w:r>
      <w:r w:rsidR="00C0200C">
        <w:t xml:space="preserve"> </w:t>
      </w:r>
      <w:r w:rsidR="009C29D4">
        <w:t>par</w:t>
      </w:r>
      <w:r w:rsidR="00C0200C">
        <w:t xml:space="preserve"> Konvencijas 3. un </w:t>
      </w:r>
      <w:proofErr w:type="gramStart"/>
      <w:r w:rsidR="00C0200C">
        <w:t>13.pant</w:t>
      </w:r>
      <w:r w:rsidR="009C29D4">
        <w:t>a</w:t>
      </w:r>
      <w:proofErr w:type="gramEnd"/>
      <w:r w:rsidR="009C29D4">
        <w:t xml:space="preserve"> pārkāpumu</w:t>
      </w:r>
      <w:r w:rsidR="00C0200C">
        <w:t xml:space="preserve">, atšķirībā no </w:t>
      </w:r>
      <w:r w:rsidR="009C29D4">
        <w:t>tā, par ko</w:t>
      </w:r>
      <w:r w:rsidR="00C0200C">
        <w:t xml:space="preserve"> viņš </w:t>
      </w:r>
      <w:r w:rsidR="009C29D4">
        <w:t>bija sūdzējies</w:t>
      </w:r>
      <w:r w:rsidR="00C0200C">
        <w:t xml:space="preserve"> iesniegumā Nr.547/02 un </w:t>
      </w:r>
      <w:r w:rsidR="00930B23">
        <w:t>kas bija ietvert</w:t>
      </w:r>
      <w:r w:rsidR="00C0200C">
        <w:t xml:space="preserve">s Valdības vienpusējā deklarācijā. Viņš sūdzējās, ka, neskatoties uz to, ka Valdība izmaksāja vienpusējā deklarācijā minēto summu, </w:t>
      </w:r>
      <w:r w:rsidR="00930B23">
        <w:t>viņa tiesības uz efektīvu izmeklēšanu saistībā ar slikto izturēšanos</w:t>
      </w:r>
      <w:proofErr w:type="gramStart"/>
      <w:r w:rsidR="00930B23">
        <w:t xml:space="preserve"> pret viņu tikušas</w:t>
      </w:r>
      <w:proofErr w:type="gramEnd"/>
      <w:r w:rsidR="00C0200C">
        <w:t xml:space="preserve"> pārkāptas</w:t>
      </w:r>
      <w:r w:rsidR="00930B23">
        <w:t>, jo Valdība, pēc Tiesas lēmuma par svītrošanu no izskatāmo lietu saraksta</w:t>
      </w:r>
      <w:r w:rsidR="00F037B8">
        <w:t xml:space="preserve"> pieņemšanas</w:t>
      </w:r>
      <w:r w:rsidR="00930B23">
        <w:t xml:space="preserve"> atteicās</w:t>
      </w:r>
      <w:r w:rsidR="00C0200C">
        <w:t xml:space="preserve"> </w:t>
      </w:r>
      <w:r w:rsidR="00930B23">
        <w:t>atjaunot izbeigto procesu</w:t>
      </w:r>
      <w:r w:rsidR="00C0200C">
        <w:t>.</w:t>
      </w:r>
    </w:p>
    <w:p w:rsidR="00C0200C" w:rsidRPr="009D4272" w:rsidRDefault="00BE471F" w:rsidP="009D4272">
      <w:pPr>
        <w:pStyle w:val="ECHRPara"/>
      </w:pPr>
      <w:r>
        <w:t>Tādējādi</w:t>
      </w:r>
      <w:r w:rsidR="00397E6D">
        <w:t xml:space="preserve"> rodas jautājums, vai šīs sūdzības, kaut gan saistītas ar Tiesas </w:t>
      </w:r>
      <w:proofErr w:type="gramStart"/>
      <w:r w:rsidR="00397E6D">
        <w:t>2009.gada</w:t>
      </w:r>
      <w:proofErr w:type="gramEnd"/>
      <w:r w:rsidR="00397E6D">
        <w:t xml:space="preserve"> 10.februāra lēmumā par </w:t>
      </w:r>
      <w:r>
        <w:t>svītrošanu no izskatāmo lietu saraksta</w:t>
      </w:r>
      <w:r w:rsidR="00397E6D">
        <w:t xml:space="preserve"> izskatīto faktisko situāciju, atšķiras un neizriet no šīs situācijas.</w:t>
      </w:r>
    </w:p>
    <w:p w:rsidR="006E1AC3"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73</w:t>
      </w:r>
      <w:r w:rsidRPr="009D4272">
        <w:rPr>
          <w:noProof/>
        </w:rPr>
        <w:fldChar w:fldCharType="end"/>
      </w:r>
      <w:r w:rsidR="00E17C5D">
        <w:t xml:space="preserve">.  Šajā sakarā Tiesa </w:t>
      </w:r>
      <w:r w:rsidR="00F037B8">
        <w:t>uzskata</w:t>
      </w:r>
      <w:r w:rsidR="00E17C5D">
        <w:t xml:space="preserve">, ka šajā lietā nav strīda par to, ka pēc Tiesas </w:t>
      </w:r>
      <w:proofErr w:type="gramStart"/>
      <w:r w:rsidR="00E17C5D">
        <w:t>2009.gada</w:t>
      </w:r>
      <w:proofErr w:type="gramEnd"/>
      <w:r w:rsidR="00E17C5D">
        <w:t xml:space="preserve"> 10.februāra lēmuma </w:t>
      </w:r>
      <w:r w:rsidR="00F037B8">
        <w:t xml:space="preserve">pieņemšanas </w:t>
      </w:r>
      <w:r w:rsidR="00E17C5D">
        <w:t xml:space="preserve">nav veikta izmeklēšana par slikto izturēšanos pret iesniedzēju. Jautājums, vai iesniedzējs patiesībā bija </w:t>
      </w:r>
      <w:r w:rsidR="00F037B8">
        <w:t xml:space="preserve">cietis no </w:t>
      </w:r>
      <w:r w:rsidR="00E17C5D">
        <w:t>Konvenc</w:t>
      </w:r>
      <w:r w:rsidR="00F037B8">
        <w:t xml:space="preserve">ijā paredzēto tiesību pārkāpuma, </w:t>
      </w:r>
      <w:r w:rsidR="00E17C5D">
        <w:t xml:space="preserve">ņemot vērā Valdības </w:t>
      </w:r>
      <w:r w:rsidR="00CD0020">
        <w:t>atteikumu</w:t>
      </w:r>
      <w:r w:rsidR="00E17C5D">
        <w:t xml:space="preserve"> atjaunot izbeigtos kriminālprocesus, paredz noteikt, vai </w:t>
      </w:r>
      <w:r w:rsidR="008E579A">
        <w:t xml:space="preserve">Valdībai </w:t>
      </w:r>
      <w:r w:rsidR="00E17C5D">
        <w:t>bija pienākums</w:t>
      </w:r>
      <w:r w:rsidR="008E579A">
        <w:t xml:space="preserve"> to darīt</w:t>
      </w:r>
      <w:r w:rsidR="00E17C5D">
        <w:t xml:space="preserve">, pamatojoties uz tās vienpusējo deklarāciju vai Tiesas lēmumu par </w:t>
      </w:r>
      <w:r w:rsidR="008E579A">
        <w:t>svītrošanu no izskatāmo lietu saraksta</w:t>
      </w:r>
      <w:r w:rsidR="00E17C5D">
        <w:t>, vai kādu citu iemeslu.</w:t>
      </w:r>
    </w:p>
    <w:p w:rsidR="006562E5" w:rsidRPr="009D4272" w:rsidRDefault="003A41DD" w:rsidP="009D4272">
      <w:pPr>
        <w:pStyle w:val="ECHRPara"/>
      </w:pPr>
      <w:r>
        <w:t xml:space="preserve">Tā kā šis jautājums ir </w:t>
      </w:r>
      <w:r w:rsidR="008E579A">
        <w:t>nesaraujami</w:t>
      </w:r>
      <w:r>
        <w:t xml:space="preserve"> saistīts ar iesniedzēja sūdzības būtību, Tiesa </w:t>
      </w:r>
      <w:r w:rsidR="008E579A">
        <w:t>pievieno</w:t>
      </w:r>
      <w:r>
        <w:t xml:space="preserve"> Valdības iebildum</w:t>
      </w:r>
      <w:r w:rsidR="008E579A">
        <w:t>u</w:t>
      </w:r>
      <w:r>
        <w:t xml:space="preserve"> par iesniedzēja cietušā statusu </w:t>
      </w:r>
      <w:r w:rsidR="008E579A">
        <w:t xml:space="preserve">lietas izskatīšanai </w:t>
      </w:r>
      <w:r>
        <w:t>pēc būtības.</w:t>
      </w:r>
    </w:p>
    <w:bookmarkEnd w:id="27"/>
    <w:p w:rsidR="004B57BE" w:rsidRPr="009D4272" w:rsidRDefault="008E0EB4" w:rsidP="009D4272">
      <w:pPr>
        <w:pStyle w:val="ECHRHeading5"/>
      </w:pPr>
      <w:r>
        <w:t>(</w:t>
      </w:r>
      <w:proofErr w:type="spellStart"/>
      <w:r>
        <w:t>ii</w:t>
      </w:r>
      <w:proofErr w:type="spellEnd"/>
      <w:r>
        <w:t>) Iebildumi, ka iesniedzējs neizsmēla nacionālos tiesību aizsardzības līdzekļus un neievēroja sešu mēnešu nosacījumu</w:t>
      </w:r>
    </w:p>
    <w:p w:rsidR="007330A4" w:rsidRPr="00BE0A39" w:rsidRDefault="003D7F16" w:rsidP="00BE0A39">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74</w:t>
      </w:r>
      <w:r w:rsidRPr="009D4272">
        <w:rPr>
          <w:noProof/>
        </w:rPr>
        <w:fldChar w:fldCharType="end"/>
      </w:r>
      <w:r w:rsidR="00E17C5D">
        <w:t>.  </w:t>
      </w:r>
      <w:r w:rsidR="00BE23C9">
        <w:t xml:space="preserve">Konvencijas </w:t>
      </w:r>
      <w:proofErr w:type="gramStart"/>
      <w:r w:rsidR="00E17C5D">
        <w:t>35.panta</w:t>
      </w:r>
      <w:proofErr w:type="gramEnd"/>
      <w:r w:rsidR="00E17C5D">
        <w:t xml:space="preserve"> 1.punktā </w:t>
      </w:r>
      <w:r w:rsidR="00BE0A39">
        <w:t>paredzētā</w:t>
      </w:r>
      <w:r w:rsidR="00E17C5D">
        <w:t xml:space="preserve"> sešu mēnešu </w:t>
      </w:r>
      <w:r w:rsidR="00EF00BF">
        <w:t xml:space="preserve">noteikuma </w:t>
      </w:r>
      <w:r w:rsidR="00E17C5D">
        <w:t>mērķi</w:t>
      </w:r>
      <w:r w:rsidR="009A2671">
        <w:t xml:space="preserve">s ir </w:t>
      </w:r>
      <w:r w:rsidR="00BC0921">
        <w:t>veicināt</w:t>
      </w:r>
      <w:r w:rsidR="009A2671">
        <w:t xml:space="preserve"> </w:t>
      </w:r>
      <w:r w:rsidR="00BC0921">
        <w:t xml:space="preserve">tiesisko noteiktību </w:t>
      </w:r>
      <w:r w:rsidR="00E17C5D">
        <w:t>un nodrošināt, lai lietas, kur</w:t>
      </w:r>
      <w:r w:rsidR="00C6517B">
        <w:t>ā</w:t>
      </w:r>
      <w:r w:rsidR="00E17C5D">
        <w:t xml:space="preserve">s rodas </w:t>
      </w:r>
      <w:r w:rsidR="00BC0921">
        <w:t>ar Konvenciju saistītie jautājumi</w:t>
      </w:r>
      <w:r w:rsidR="00E17C5D">
        <w:t xml:space="preserve">, tiek </w:t>
      </w:r>
      <w:r w:rsidR="00BC0921">
        <w:t>izskatītas saprātīgā laikā</w:t>
      </w:r>
      <w:r w:rsidR="00E17C5D">
        <w:t>. T</w:t>
      </w:r>
      <w:r w:rsidR="00415585">
        <w:t>as</w:t>
      </w:r>
      <w:r w:rsidR="00E17C5D">
        <w:t xml:space="preserve"> aizsargā </w:t>
      </w:r>
      <w:r w:rsidR="00E17C5D">
        <w:lastRenderedPageBreak/>
        <w:t>iestādes un citas iesai</w:t>
      </w:r>
      <w:r w:rsidR="00415585">
        <w:t>stītās personas no neskaidrības</w:t>
      </w:r>
      <w:r w:rsidR="00A01438">
        <w:t>, kas ir saistīta ar lietas izskatīšanu</w:t>
      </w:r>
      <w:r w:rsidR="00415585">
        <w:t xml:space="preserve"> ilgstošā laika periodā </w:t>
      </w:r>
      <w:r w:rsidR="00E17C5D">
        <w:t xml:space="preserve">(skatīt </w:t>
      </w:r>
      <w:proofErr w:type="spellStart"/>
      <w:r w:rsidR="00E17C5D">
        <w:rPr>
          <w:i/>
          <w:snapToGrid w:val="0"/>
        </w:rPr>
        <w:t>Mocanu</w:t>
      </w:r>
      <w:proofErr w:type="spellEnd"/>
      <w:r w:rsidR="00E17C5D">
        <w:rPr>
          <w:i/>
          <w:snapToGrid w:val="0"/>
        </w:rPr>
        <w:t xml:space="preserve"> un citi pret Rumāniju </w:t>
      </w:r>
      <w:r w:rsidR="00E17C5D">
        <w:t>[LP], Nr. 10865/09, 45886/07 un 32431/08, 258.rindkopa, ECT</w:t>
      </w:r>
      <w:r w:rsidR="007975F2">
        <w:t>K</w:t>
      </w:r>
      <w:r w:rsidR="00E17C5D">
        <w:t xml:space="preserve"> 2014 (i</w:t>
      </w:r>
      <w:r w:rsidR="001E7034">
        <w:t>zvilkumi</w:t>
      </w:r>
      <w:r w:rsidR="00E17C5D">
        <w:t>)). Visbeidzot, tā nodrošina, cik</w:t>
      </w:r>
      <w:r w:rsidR="00793950">
        <w:t xml:space="preserve"> vien</w:t>
      </w:r>
      <w:r w:rsidR="00E17C5D">
        <w:t xml:space="preserve"> </w:t>
      </w:r>
      <w:r w:rsidR="00793950">
        <w:t>ir</w:t>
      </w:r>
      <w:r w:rsidR="00E17C5D">
        <w:t xml:space="preserve"> iespējams, lai lietas t</w:t>
      </w:r>
      <w:r w:rsidR="003958E3">
        <w:t>iktu</w:t>
      </w:r>
      <w:r w:rsidR="00E17C5D">
        <w:t xml:space="preserve"> </w:t>
      </w:r>
      <w:r w:rsidR="00793950">
        <w:t xml:space="preserve">izskatītas neilgi pēc iesniegšanas, un </w:t>
      </w:r>
      <w:r w:rsidR="00E17C5D">
        <w:t xml:space="preserve">kamēr laika dēļ nav sarežģīti noskaidrot attiecīgos faktus un nav gandrīz neiespējami nodrošināt taisnīgu konkrētā jautājuma izskatīšanu (skatīt </w:t>
      </w:r>
      <w:proofErr w:type="spellStart"/>
      <w:r w:rsidR="00E17C5D">
        <w:rPr>
          <w:i/>
        </w:rPr>
        <w:t>Kelly</w:t>
      </w:r>
      <w:proofErr w:type="spellEnd"/>
      <w:r w:rsidR="00E17C5D">
        <w:rPr>
          <w:i/>
        </w:rPr>
        <w:t xml:space="preserve"> pret Apvienoto Karalisti</w:t>
      </w:r>
      <w:r w:rsidR="00E17C5D">
        <w:t xml:space="preserve">, Nr. 10626/83, Komisijas </w:t>
      </w:r>
      <w:proofErr w:type="gramStart"/>
      <w:r w:rsidR="00E17C5D">
        <w:t>1985.gada</w:t>
      </w:r>
      <w:proofErr w:type="gramEnd"/>
      <w:r w:rsidR="00E17C5D">
        <w:t xml:space="preserve"> 7.maija lēmums, Lēmumi un ziņojumi (LZ) 42, 205. lpp; </w:t>
      </w:r>
      <w:proofErr w:type="spellStart"/>
      <w:r w:rsidR="00E17C5D">
        <w:rPr>
          <w:i/>
        </w:rPr>
        <w:t>Baybora</w:t>
      </w:r>
      <w:proofErr w:type="spellEnd"/>
      <w:r w:rsidR="00E17C5D">
        <w:rPr>
          <w:i/>
        </w:rPr>
        <w:t xml:space="preserve"> un citi pret Kipru</w:t>
      </w:r>
      <w:r w:rsidR="00E17C5D">
        <w:t xml:space="preserve"> (lēmums), Nr. 77116/01, 2002.gada 22.oktobris; </w:t>
      </w:r>
      <w:proofErr w:type="spellStart"/>
      <w:r w:rsidR="00E17C5D">
        <w:rPr>
          <w:i/>
        </w:rPr>
        <w:t>Denisov</w:t>
      </w:r>
      <w:proofErr w:type="spellEnd"/>
      <w:r w:rsidR="00E17C5D">
        <w:rPr>
          <w:i/>
        </w:rPr>
        <w:t xml:space="preserve"> pret Krieviju</w:t>
      </w:r>
      <w:r w:rsidR="00E17C5D">
        <w:t xml:space="preserve"> (lēmums), Nr. 33408/03, 2004.gada 6.maijs; un </w:t>
      </w:r>
      <w:proofErr w:type="spellStart"/>
      <w:r w:rsidR="00E17C5D">
        <w:rPr>
          <w:i/>
        </w:rPr>
        <w:t>Williams</w:t>
      </w:r>
      <w:proofErr w:type="spellEnd"/>
      <w:r w:rsidR="00E17C5D">
        <w:rPr>
          <w:i/>
        </w:rPr>
        <w:t xml:space="preserve"> </w:t>
      </w:r>
      <w:r w:rsidR="00E17C5D" w:rsidRPr="003958E3">
        <w:rPr>
          <w:i/>
        </w:rPr>
        <w:t>pret</w:t>
      </w:r>
      <w:r w:rsidR="00E17C5D">
        <w:t xml:space="preserve"> </w:t>
      </w:r>
      <w:r w:rsidR="00E17C5D">
        <w:rPr>
          <w:i/>
        </w:rPr>
        <w:t>Apvienoto Karalisti</w:t>
      </w:r>
      <w:r w:rsidR="00E17C5D">
        <w:t xml:space="preserve"> (lēmums) Nr. 32567/06, 2009.gada 17.februāris).</w:t>
      </w:r>
    </w:p>
    <w:p w:rsidR="007330A4"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75</w:t>
      </w:r>
      <w:r w:rsidRPr="009D4272">
        <w:rPr>
          <w:noProof/>
        </w:rPr>
        <w:fldChar w:fldCharType="end"/>
      </w:r>
      <w:r w:rsidR="00E17C5D">
        <w:t xml:space="preserve">.  Novērtējot, vai iesniedzējs ir ievērojis </w:t>
      </w:r>
      <w:r w:rsidR="003958E3">
        <w:t xml:space="preserve">Konvencijas </w:t>
      </w:r>
      <w:proofErr w:type="gramStart"/>
      <w:r w:rsidR="00E17C5D">
        <w:t>35.panta</w:t>
      </w:r>
      <w:proofErr w:type="gramEnd"/>
      <w:r w:rsidR="00E17C5D">
        <w:t xml:space="preserve"> 1.punktu, </w:t>
      </w:r>
      <w:r w:rsidR="00E1296E">
        <w:t xml:space="preserve">ir </w:t>
      </w:r>
      <w:r w:rsidR="00E17C5D">
        <w:t xml:space="preserve">svarīgi atcerēties, ka šajā pantā iekļautās prasības par nacionālo tiesību aizsardzības līdzekļu izsmelšanu un sešu mēnešu </w:t>
      </w:r>
      <w:r w:rsidR="00E1296E">
        <w:t>termiņš</w:t>
      </w:r>
      <w:r w:rsidR="00E17C5D">
        <w:t xml:space="preserve"> ir savstarpēji cieši saistīti (skatīt </w:t>
      </w:r>
      <w:proofErr w:type="spellStart"/>
      <w:r w:rsidR="00E17C5D">
        <w:rPr>
          <w:i/>
        </w:rPr>
        <w:t>Galstyan</w:t>
      </w:r>
      <w:proofErr w:type="spellEnd"/>
      <w:r w:rsidR="00E17C5D">
        <w:rPr>
          <w:i/>
        </w:rPr>
        <w:t xml:space="preserve"> pret Armēniju</w:t>
      </w:r>
      <w:r w:rsidR="00E17C5D">
        <w:t xml:space="preserve"> Nr. 26986/03, 39. rindkopa, 2007.gada 15.novembris, un </w:t>
      </w:r>
      <w:proofErr w:type="spellStart"/>
      <w:r w:rsidR="00E17C5D">
        <w:rPr>
          <w:i/>
        </w:rPr>
        <w:t>Williams</w:t>
      </w:r>
      <w:proofErr w:type="spellEnd"/>
      <w:r w:rsidR="00E17C5D">
        <w:t xml:space="preserve"> lietu, kas citēta iepriekš).</w:t>
      </w:r>
    </w:p>
    <w:p w:rsidR="007330A4" w:rsidRPr="009D4272" w:rsidRDefault="00CA213C" w:rsidP="009D4272">
      <w:pPr>
        <w:pStyle w:val="ECHRPara"/>
      </w:pPr>
      <w:r>
        <w:t>Tādējādi</w:t>
      </w:r>
      <w:r w:rsidR="00D732CC">
        <w:t>,</w:t>
      </w:r>
      <w:r w:rsidR="007330A4">
        <w:t xml:space="preserve"> ja iesniedzējam nav pieejami efektīvi tiesību aizsardzības līdzekļi, tad termiņš beidzas sešus mēnešus pēc to darbību vai pasākumu dienas, par kuru viņš vai viņa ir iesnie</w:t>
      </w:r>
      <w:r w:rsidR="00E1296E">
        <w:t>guši</w:t>
      </w:r>
      <w:r w:rsidR="007330A4">
        <w:t xml:space="preserve"> sūdzību (skatīt </w:t>
      </w:r>
      <w:proofErr w:type="spellStart"/>
      <w:r w:rsidR="007330A4">
        <w:rPr>
          <w:i/>
        </w:rPr>
        <w:t>Hazar</w:t>
      </w:r>
      <w:proofErr w:type="spellEnd"/>
      <w:r w:rsidR="007330A4">
        <w:rPr>
          <w:i/>
        </w:rPr>
        <w:t xml:space="preserve"> un citi pret Turciju</w:t>
      </w:r>
      <w:r w:rsidR="007330A4">
        <w:t xml:space="preserve"> (lēmums), Nr. 62566/00 un nākamie, </w:t>
      </w:r>
      <w:proofErr w:type="gramStart"/>
      <w:r w:rsidR="007330A4">
        <w:t>2002.gada</w:t>
      </w:r>
      <w:proofErr w:type="gramEnd"/>
      <w:r w:rsidR="007330A4">
        <w:t xml:space="preserve"> 10.janvāris). Tomēr izņēmuma gadījumos var tikt piemēroti īpaši apsvērumi, ja iesniedzējs vispirms pats izmanto nacionālo</w:t>
      </w:r>
      <w:r w:rsidR="00D732CC">
        <w:t>s</w:t>
      </w:r>
      <w:r w:rsidR="007330A4">
        <w:t xml:space="preserve"> </w:t>
      </w:r>
      <w:r w:rsidR="00D732CC">
        <w:t>tiesību aizsardzības līdzekļus</w:t>
      </w:r>
      <w:r w:rsidR="007330A4">
        <w:t xml:space="preserve"> un vēlāk uzzina, vai viņam būtu vajadzējis uzzināt par apstākļiem, kas padara šo </w:t>
      </w:r>
      <w:r w:rsidR="00EC67C4">
        <w:t xml:space="preserve">tiesību aizsardzības līdzekli par </w:t>
      </w:r>
      <w:r w:rsidR="007330A4">
        <w:t xml:space="preserve">neefektīvu. Šādā situācijā sešu mēnešu </w:t>
      </w:r>
      <w:r w:rsidR="00E1296E">
        <w:t>termiņu</w:t>
      </w:r>
      <w:r w:rsidR="007330A4">
        <w:t xml:space="preserve"> var rēķināt no laika, kad iesniedzējs uzzina vai viņam vajadzē</w:t>
      </w:r>
      <w:r w:rsidR="00344D4A">
        <w:t>ja</w:t>
      </w:r>
      <w:r w:rsidR="007330A4">
        <w:t xml:space="preserve"> uzzināt </w:t>
      </w:r>
      <w:r w:rsidR="00E1296E">
        <w:t>par šiem apstākļiem</w:t>
      </w:r>
      <w:r w:rsidR="007330A4">
        <w:t xml:space="preserve"> (skatīt, no citiem avotiem,</w:t>
      </w:r>
      <w:r w:rsidR="007330A4">
        <w:rPr>
          <w:i/>
        </w:rPr>
        <w:t xml:space="preserve"> </w:t>
      </w:r>
      <w:proofErr w:type="spellStart"/>
      <w:r w:rsidR="007330A4">
        <w:rPr>
          <w:i/>
        </w:rPr>
        <w:t>Bulut</w:t>
      </w:r>
      <w:proofErr w:type="spellEnd"/>
      <w:r w:rsidR="007330A4">
        <w:rPr>
          <w:i/>
        </w:rPr>
        <w:t xml:space="preserve"> un </w:t>
      </w:r>
      <w:proofErr w:type="spellStart"/>
      <w:r w:rsidR="007330A4">
        <w:rPr>
          <w:i/>
        </w:rPr>
        <w:t>Yavuz</w:t>
      </w:r>
      <w:proofErr w:type="spellEnd"/>
      <w:r w:rsidR="007330A4">
        <w:rPr>
          <w:i/>
        </w:rPr>
        <w:t xml:space="preserve"> pret Turciju</w:t>
      </w:r>
      <w:r w:rsidR="007330A4">
        <w:t xml:space="preserve">, (lēmums) Nr. 73065/01, </w:t>
      </w:r>
      <w:proofErr w:type="gramStart"/>
      <w:r w:rsidR="007330A4">
        <w:t>2002.gada</w:t>
      </w:r>
      <w:proofErr w:type="gramEnd"/>
      <w:r w:rsidR="007330A4">
        <w:t xml:space="preserve"> 28.maijs; </w:t>
      </w:r>
      <w:proofErr w:type="spellStart"/>
      <w:r w:rsidR="007330A4">
        <w:rPr>
          <w:i/>
        </w:rPr>
        <w:t>Younger</w:t>
      </w:r>
      <w:proofErr w:type="spellEnd"/>
      <w:r w:rsidR="007330A4">
        <w:rPr>
          <w:i/>
        </w:rPr>
        <w:t xml:space="preserve"> pret Apvienoto Karalisti</w:t>
      </w:r>
      <w:r w:rsidR="007330A4">
        <w:t xml:space="preserve"> (lēmums), Nr. 57420/00, ECT</w:t>
      </w:r>
      <w:r w:rsidR="00344D4A">
        <w:t>K</w:t>
      </w:r>
      <w:r w:rsidR="007330A4">
        <w:t xml:space="preserve"> 2003-I; </w:t>
      </w:r>
      <w:proofErr w:type="spellStart"/>
      <w:r w:rsidR="007330A4">
        <w:rPr>
          <w:i/>
        </w:rPr>
        <w:t>Volokhy</w:t>
      </w:r>
      <w:proofErr w:type="spellEnd"/>
      <w:r w:rsidR="007330A4">
        <w:rPr>
          <w:i/>
        </w:rPr>
        <w:t xml:space="preserve"> pret Ukrainu</w:t>
      </w:r>
      <w:r w:rsidR="007330A4">
        <w:t xml:space="preserve">, Nr. 23543/02, 37. rindkopa, 2006.gada 2.novembris; un </w:t>
      </w:r>
      <w:proofErr w:type="spellStart"/>
      <w:r w:rsidR="007330A4">
        <w:rPr>
          <w:i/>
        </w:rPr>
        <w:t>Varnava</w:t>
      </w:r>
      <w:proofErr w:type="spellEnd"/>
      <w:r w:rsidR="007330A4">
        <w:rPr>
          <w:i/>
        </w:rPr>
        <w:t xml:space="preserve"> un citi pret Turciju</w:t>
      </w:r>
      <w:r w:rsidR="007330A4">
        <w:t xml:space="preserve"> [LP], Nr. 16064/90, 16065/90, 16066/90, 16068/90, 16069/90, 16070/90, 16071/90, 16072/90 un 16073/90, 157.rindkopa, ECT</w:t>
      </w:r>
      <w:r w:rsidR="00344D4A">
        <w:t>K</w:t>
      </w:r>
      <w:r w:rsidR="007330A4">
        <w:t> 2009). Tiesību aizsardzības līdzekļu izmantošan</w:t>
      </w:r>
      <w:r w:rsidR="00344D4A">
        <w:t>u</w:t>
      </w:r>
      <w:r w:rsidR="007330A4">
        <w:t xml:space="preserve">, kas </w:t>
      </w:r>
      <w:r w:rsidR="00344D4A">
        <w:t>neatbilst Konvencijas</w:t>
      </w:r>
      <w:r w:rsidR="007330A4">
        <w:t xml:space="preserve"> </w:t>
      </w:r>
      <w:proofErr w:type="gramStart"/>
      <w:r w:rsidR="007330A4">
        <w:t>35.panta</w:t>
      </w:r>
      <w:proofErr w:type="gramEnd"/>
      <w:r w:rsidR="007330A4">
        <w:t xml:space="preserve"> 1.punkta prasīb</w:t>
      </w:r>
      <w:r w:rsidR="001569C1">
        <w:t>ām</w:t>
      </w:r>
      <w:r w:rsidR="007330A4">
        <w:t>, T</w:t>
      </w:r>
      <w:r w:rsidR="00C4625A">
        <w:t xml:space="preserve">iesa, </w:t>
      </w:r>
      <w:r w:rsidR="001569C1">
        <w:t>noteicot</w:t>
      </w:r>
      <w:r w:rsidR="00C4625A">
        <w:t xml:space="preserve"> „</w:t>
      </w:r>
      <w:r w:rsidR="007330A4">
        <w:t>galīgā lēmuma” datumu vai aprēķinātu sākuma punktu esošajam sešu mēnešu noteikumam</w:t>
      </w:r>
      <w:r w:rsidR="001569C1">
        <w:t>, vērā</w:t>
      </w:r>
      <w:r w:rsidR="001569C1" w:rsidRPr="001569C1">
        <w:t xml:space="preserve"> </w:t>
      </w:r>
      <w:r w:rsidR="001569C1">
        <w:t>neņems</w:t>
      </w:r>
      <w:r w:rsidR="007330A4">
        <w:t xml:space="preserve"> (skatīt</w:t>
      </w:r>
      <w:r w:rsidR="00344D4A">
        <w:t xml:space="preserve"> </w:t>
      </w:r>
      <w:proofErr w:type="spellStart"/>
      <w:r w:rsidR="007330A4">
        <w:rPr>
          <w:i/>
        </w:rPr>
        <w:t>Prystavska</w:t>
      </w:r>
      <w:proofErr w:type="spellEnd"/>
      <w:r w:rsidR="007330A4">
        <w:rPr>
          <w:i/>
        </w:rPr>
        <w:t xml:space="preserve"> pret Ukrainu </w:t>
      </w:r>
      <w:r w:rsidR="007330A4">
        <w:t xml:space="preserve">(lēmums), Nr. 21287/02, 2002.gada 17.decembris; </w:t>
      </w:r>
      <w:proofErr w:type="spellStart"/>
      <w:r w:rsidR="007330A4">
        <w:rPr>
          <w:i/>
        </w:rPr>
        <w:t>Sapeyan</w:t>
      </w:r>
      <w:proofErr w:type="spellEnd"/>
      <w:r w:rsidR="007330A4">
        <w:rPr>
          <w:i/>
        </w:rPr>
        <w:t xml:space="preserve"> pret Armēniju</w:t>
      </w:r>
      <w:r w:rsidR="007330A4">
        <w:t xml:space="preserve">, Nr. 35738/03, 21. rindkopa, 2009.gada 13.janvāris; un </w:t>
      </w:r>
      <w:proofErr w:type="spellStart"/>
      <w:r w:rsidR="007330A4">
        <w:rPr>
          <w:i/>
        </w:rPr>
        <w:t>Tucka</w:t>
      </w:r>
      <w:proofErr w:type="spellEnd"/>
      <w:r w:rsidR="007330A4">
        <w:rPr>
          <w:i/>
        </w:rPr>
        <w:t xml:space="preserve"> pret Apvienoto Karalisti (Nr. 1)</w:t>
      </w:r>
      <w:r w:rsidR="007330A4">
        <w:t xml:space="preserve"> (lēmums), Nr. 34586/10, 14. rindkopa, 2010.gada 18.janvāris).</w:t>
      </w:r>
    </w:p>
    <w:p w:rsidR="007330A4" w:rsidRPr="009D4272" w:rsidRDefault="007330A4" w:rsidP="009D4272">
      <w:pPr>
        <w:pStyle w:val="ECHRPara"/>
      </w:pPr>
      <w:r>
        <w:t>No tā izrie</w:t>
      </w:r>
      <w:r w:rsidR="00201D1D">
        <w:t>t, ka, ja iesniedzējs ir izmantojis tiesību aizsardzības līdzekli</w:t>
      </w:r>
      <w:r>
        <w:t xml:space="preserve">, </w:t>
      </w:r>
      <w:r w:rsidR="00201D1D">
        <w:t>kas ir uzskatāms par neefektīvu</w:t>
      </w:r>
      <w:r>
        <w:t xml:space="preserve">, </w:t>
      </w:r>
      <w:r w:rsidR="00201D1D">
        <w:t xml:space="preserve">tā pārsūdzības rezultātā pieņemto lēmumu nevar ņemt vērā </w:t>
      </w:r>
      <w:r>
        <w:t xml:space="preserve">sešu mēnešu </w:t>
      </w:r>
      <w:r w:rsidR="00A81E31">
        <w:t>termiņa</w:t>
      </w:r>
      <w:r>
        <w:t xml:space="preserve"> aprēķināšanai (skatīt, piemēram, </w:t>
      </w:r>
      <w:proofErr w:type="spellStart"/>
      <w:r>
        <w:rPr>
          <w:i/>
        </w:rPr>
        <w:t>Musayeva</w:t>
      </w:r>
      <w:proofErr w:type="spellEnd"/>
      <w:r>
        <w:rPr>
          <w:i/>
        </w:rPr>
        <w:t xml:space="preserve"> un citi pret Krieviju</w:t>
      </w:r>
      <w:r>
        <w:t xml:space="preserve"> (lēmums), Nr. 74239/01, </w:t>
      </w:r>
      <w:proofErr w:type="gramStart"/>
      <w:r>
        <w:t>2006.gada</w:t>
      </w:r>
      <w:proofErr w:type="gramEnd"/>
      <w:r>
        <w:t xml:space="preserve"> 1.jūnijs, un </w:t>
      </w:r>
      <w:proofErr w:type="spellStart"/>
      <w:r>
        <w:rPr>
          <w:i/>
        </w:rPr>
        <w:t>Rezgui</w:t>
      </w:r>
      <w:proofErr w:type="spellEnd"/>
      <w:r>
        <w:rPr>
          <w:i/>
        </w:rPr>
        <w:t xml:space="preserve"> pret Franciju</w:t>
      </w:r>
      <w:r>
        <w:t xml:space="preserve"> (lēmums), Nr. 49859/99, ECT</w:t>
      </w:r>
      <w:r w:rsidR="000F7332">
        <w:t>K</w:t>
      </w:r>
      <w:r>
        <w:t xml:space="preserve"> 2000-XI).</w:t>
      </w:r>
    </w:p>
    <w:p w:rsidR="0075530C" w:rsidRPr="009D4272" w:rsidRDefault="003D7F16" w:rsidP="009D4272">
      <w:pPr>
        <w:pStyle w:val="ECHRPara"/>
      </w:pPr>
      <w:r w:rsidRPr="009D4272">
        <w:lastRenderedPageBreak/>
        <w:fldChar w:fldCharType="begin"/>
      </w:r>
      <w:r w:rsidR="00693154" w:rsidRPr="009D4272">
        <w:instrText xml:space="preserve"> SEQ level0 \*arabic </w:instrText>
      </w:r>
      <w:r w:rsidRPr="009D4272">
        <w:fldChar w:fldCharType="separate"/>
      </w:r>
      <w:r w:rsidR="009D4272" w:rsidRPr="009D4272">
        <w:rPr>
          <w:noProof/>
        </w:rPr>
        <w:t>76</w:t>
      </w:r>
      <w:r w:rsidRPr="009D4272">
        <w:fldChar w:fldCharType="end"/>
      </w:r>
      <w:r w:rsidR="00EA6BDE">
        <w:t>.  Lemjot</w:t>
      </w:r>
      <w:r w:rsidR="00693154">
        <w:t xml:space="preserve"> par to, vai iesniedzējs ir ievērojis pienākumu izsmelt nacionālos tiesību aizsardzības līdzekļus attiecībā uz konkrētajiem lietas apstākļiem, Tiesai vispirms ir jākonstatē </w:t>
      </w:r>
      <w:r w:rsidR="00EA6BDE">
        <w:t xml:space="preserve">valsts-atbildētājas </w:t>
      </w:r>
      <w:r w:rsidR="00693154">
        <w:t xml:space="preserve">iestāžu darbības, par kurām iesniedzējs ir sūdzējies (skatīt </w:t>
      </w:r>
      <w:proofErr w:type="spellStart"/>
      <w:r w:rsidR="00693154">
        <w:rPr>
          <w:i/>
        </w:rPr>
        <w:t>Haralambie</w:t>
      </w:r>
      <w:proofErr w:type="spellEnd"/>
      <w:r w:rsidR="00693154">
        <w:rPr>
          <w:i/>
        </w:rPr>
        <w:t xml:space="preserve"> pret Rumāniju</w:t>
      </w:r>
      <w:r w:rsidR="00693154">
        <w:t xml:space="preserve">, Nr. 21737/03, 70. rindkopa, </w:t>
      </w:r>
      <w:proofErr w:type="gramStart"/>
      <w:r w:rsidR="00693154">
        <w:t>2009.gada</w:t>
      </w:r>
      <w:proofErr w:type="gramEnd"/>
      <w:r w:rsidR="00693154">
        <w:t xml:space="preserve"> 27.oktobris). Šajā sakarā Tiesa ir nospriedusi, ka valsts </w:t>
      </w:r>
      <w:r w:rsidR="00505D9A">
        <w:t>amatpersonu</w:t>
      </w:r>
      <w:r w:rsidR="00693154">
        <w:t xml:space="preserve"> nelikumīga spēka izmantošanas jomā - un ne tikai vainas, nolaidības vai nevērības dēļ - </w:t>
      </w:r>
      <w:r w:rsidR="00505D9A">
        <w:t>civil</w:t>
      </w:r>
      <w:r w:rsidR="009C4B80">
        <w:t>process</w:t>
      </w:r>
      <w:r w:rsidR="00505D9A">
        <w:t xml:space="preserve"> vai administrat</w:t>
      </w:r>
      <w:r w:rsidR="009C4B80">
        <w:t>īvais process</w:t>
      </w:r>
      <w:r w:rsidR="00693154">
        <w:t xml:space="preserve"> lietās, kuru mērķis ir tikai piešķirt zaudējumu atlīdzību, nevis </w:t>
      </w:r>
      <w:r w:rsidR="001349E0">
        <w:t>noteikt</w:t>
      </w:r>
      <w:r w:rsidR="00A612D4">
        <w:t xml:space="preserve"> un sodīt atbildīgās personas</w:t>
      </w:r>
      <w:r w:rsidR="00693154">
        <w:t>, nebija atbilstoši un efektīvi tiesību aizsardzīb</w:t>
      </w:r>
      <w:r w:rsidR="00A612D4">
        <w:t>as līdzekļi, kas spēj nodrošināt</w:t>
      </w:r>
      <w:r w:rsidR="00693154">
        <w:t xml:space="preserve"> tiesisko aizsardzību attiecībā uz sūdzībām, kas balstītas uz Konvencijas 2. un 3.panta materiālo aspektu  (skatīt, </w:t>
      </w:r>
      <w:r w:rsidR="00693154">
        <w:rPr>
          <w:i/>
        </w:rPr>
        <w:t>cita starpā</w:t>
      </w:r>
      <w:r w:rsidR="00693154">
        <w:t xml:space="preserve">, </w:t>
      </w:r>
      <w:proofErr w:type="spellStart"/>
      <w:r w:rsidR="00693154">
        <w:rPr>
          <w:i/>
        </w:rPr>
        <w:t>Yaşa</w:t>
      </w:r>
      <w:proofErr w:type="spellEnd"/>
      <w:r w:rsidR="00693154">
        <w:rPr>
          <w:i/>
        </w:rPr>
        <w:t xml:space="preserve"> pret Turciju</w:t>
      </w:r>
      <w:r w:rsidR="00693154">
        <w:t xml:space="preserve">, 1998.gada 2.septembris, 74. rindkopa, </w:t>
      </w:r>
      <w:r w:rsidR="00693154">
        <w:rPr>
          <w:i/>
        </w:rPr>
        <w:t xml:space="preserve">Ziņojums par spriedumiem un lēmumiem </w:t>
      </w:r>
      <w:r w:rsidR="00693154">
        <w:t>1998</w:t>
      </w:r>
      <w:r w:rsidR="00693154">
        <w:noBreakHyphen/>
        <w:t>VI,</w:t>
      </w:r>
      <w:r w:rsidR="00693154">
        <w:rPr>
          <w:i/>
        </w:rPr>
        <w:t xml:space="preserve"> </w:t>
      </w:r>
      <w:r w:rsidR="00693154">
        <w:t xml:space="preserve">un </w:t>
      </w:r>
      <w:proofErr w:type="spellStart"/>
      <w:r w:rsidR="00693154">
        <w:rPr>
          <w:i/>
        </w:rPr>
        <w:t>Mocanu</w:t>
      </w:r>
      <w:proofErr w:type="spellEnd"/>
      <w:r w:rsidR="00693154">
        <w:rPr>
          <w:i/>
        </w:rPr>
        <w:t xml:space="preserve"> un citi</w:t>
      </w:r>
      <w:r w:rsidR="00693154">
        <w:t>, citēts iepriekš, 227. rindkopa).</w:t>
      </w:r>
    </w:p>
    <w:p w:rsidR="0075530C" w:rsidRPr="009D4272" w:rsidRDefault="003D7F16" w:rsidP="009D4272">
      <w:pPr>
        <w:pStyle w:val="ECHRPara"/>
      </w:pPr>
      <w:r w:rsidRPr="009D4272">
        <w:fldChar w:fldCharType="begin"/>
      </w:r>
      <w:r w:rsidR="0075530C" w:rsidRPr="009D4272">
        <w:instrText xml:space="preserve"> SEQ level0 \*arabic </w:instrText>
      </w:r>
      <w:r w:rsidRPr="009D4272">
        <w:fldChar w:fldCharType="separate"/>
      </w:r>
      <w:r w:rsidR="009D4272" w:rsidRPr="009D4272">
        <w:rPr>
          <w:noProof/>
        </w:rPr>
        <w:t>77</w:t>
      </w:r>
      <w:r w:rsidRPr="009D4272">
        <w:fldChar w:fldCharType="end"/>
      </w:r>
      <w:r w:rsidR="0075530C">
        <w:t>.  </w:t>
      </w:r>
      <w:r w:rsidR="007710BE">
        <w:t>Līgumslēdzēj</w:t>
      </w:r>
      <w:r w:rsidR="00CD5537">
        <w:t>as</w:t>
      </w:r>
      <w:r w:rsidR="007710BE">
        <w:t xml:space="preserve"> valstu pienākums</w:t>
      </w:r>
      <w:r w:rsidR="0075530C">
        <w:t xml:space="preserve"> Konvencijas 2. un </w:t>
      </w:r>
      <w:proofErr w:type="gramStart"/>
      <w:r w:rsidR="0075530C">
        <w:t>3.pant</w:t>
      </w:r>
      <w:r w:rsidR="007710BE">
        <w:t>a</w:t>
      </w:r>
      <w:proofErr w:type="gramEnd"/>
      <w:r w:rsidR="007710BE">
        <w:t xml:space="preserve"> kontekstā </w:t>
      </w:r>
      <w:r w:rsidR="001349E0">
        <w:t>ir veikt vardarbības gadījumu izmeklēšanu</w:t>
      </w:r>
      <w:r w:rsidR="0075530C">
        <w:t xml:space="preserve">, kas ļautu </w:t>
      </w:r>
      <w:r w:rsidR="001349E0">
        <w:t>noteikt</w:t>
      </w:r>
      <w:r w:rsidR="0075530C">
        <w:t xml:space="preserve"> un sodīt atbildīgās personas</w:t>
      </w:r>
      <w:r w:rsidR="001349E0">
        <w:t>, var būt iluzors</w:t>
      </w:r>
      <w:r w:rsidR="0075530C">
        <w:t>, ja attiecībā uz</w:t>
      </w:r>
      <w:r w:rsidR="007710BE">
        <w:t xml:space="preserve"> šīm</w:t>
      </w:r>
      <w:r w:rsidR="0075530C">
        <w:t xml:space="preserve"> sūdzībām iesniedzējam </w:t>
      </w:r>
      <w:r w:rsidR="007710BE">
        <w:t xml:space="preserve">bija </w:t>
      </w:r>
      <w:r w:rsidR="00ED5D80">
        <w:t>jāuzsāk process</w:t>
      </w:r>
      <w:r w:rsidR="001349E0">
        <w:t>, kura</w:t>
      </w:r>
      <w:r w:rsidR="0075530C">
        <w:t xml:space="preserve"> rezultātā var tikt atlīdzināti tikai </w:t>
      </w:r>
      <w:r w:rsidR="001349E0">
        <w:t xml:space="preserve">nodarītie </w:t>
      </w:r>
      <w:r w:rsidR="0075530C">
        <w:t xml:space="preserve">zaudējumi (skatīt </w:t>
      </w:r>
      <w:proofErr w:type="spellStart"/>
      <w:r w:rsidR="0075530C">
        <w:rPr>
          <w:i/>
        </w:rPr>
        <w:t>Mocanu</w:t>
      </w:r>
      <w:proofErr w:type="spellEnd"/>
      <w:r w:rsidR="0075530C">
        <w:rPr>
          <w:i/>
        </w:rPr>
        <w:t xml:space="preserve"> un citi, </w:t>
      </w:r>
      <w:r w:rsidR="0075530C">
        <w:t>citēts iepriekš, 234. rindkopa).</w:t>
      </w:r>
    </w:p>
    <w:p w:rsidR="005A6B47" w:rsidRPr="009D4272" w:rsidRDefault="003D7F16" w:rsidP="009D4272">
      <w:pPr>
        <w:pStyle w:val="ECHRPara"/>
      </w:pPr>
      <w:r w:rsidRPr="009D4272">
        <w:fldChar w:fldCharType="begin"/>
      </w:r>
      <w:r w:rsidR="004B2B9F" w:rsidRPr="009D4272">
        <w:instrText xml:space="preserve"> SEQ level0 \*arabic </w:instrText>
      </w:r>
      <w:r w:rsidRPr="009D4272">
        <w:fldChar w:fldCharType="separate"/>
      </w:r>
      <w:r w:rsidR="009D4272" w:rsidRPr="009D4272">
        <w:rPr>
          <w:noProof/>
        </w:rPr>
        <w:t>78</w:t>
      </w:r>
      <w:r w:rsidRPr="009D4272">
        <w:fldChar w:fldCharType="end"/>
      </w:r>
      <w:r w:rsidR="004B2B9F">
        <w:t>.  </w:t>
      </w:r>
      <w:r w:rsidR="00ED5D80">
        <w:t xml:space="preserve">Tādēļ </w:t>
      </w:r>
      <w:r w:rsidR="004B2B9F">
        <w:t xml:space="preserve">Tiesa </w:t>
      </w:r>
      <w:r w:rsidR="00ED5D80">
        <w:t>izskatīs</w:t>
      </w:r>
      <w:r w:rsidR="004B2B9F">
        <w:t xml:space="preserve"> Valdības iebildumus iesniedzēja norādīt</w:t>
      </w:r>
      <w:r w:rsidR="001349E0">
        <w:t>ās sūdzības kontekstā</w:t>
      </w:r>
      <w:r w:rsidR="004B2B9F">
        <w:t>.</w:t>
      </w:r>
    </w:p>
    <w:p w:rsidR="00E33481" w:rsidRPr="009D4272" w:rsidRDefault="002A53EA" w:rsidP="009D4272">
      <w:pPr>
        <w:pStyle w:val="ECHRPara"/>
      </w:pPr>
      <w:r>
        <w:t>T</w:t>
      </w:r>
      <w:r w:rsidR="00D53ADF">
        <w:t>iesa</w:t>
      </w:r>
      <w:r>
        <w:t xml:space="preserve"> atzīmē, ka šī lieta attiecas uz iesniedzēja lūgumu atjaunot kriminālprocesu par sliktu izturēšanos pret viņu no policijas darbinieku puses. Iesniedzējs apgalvo, ka, ņemot vērā Valdības atzīto slikto izturēšanos pret viņu pēc nacionālā kriminālprocesa izbeigšanas, viņam bija tiesības saskaņā ar Konvencijas 3. un </w:t>
      </w:r>
      <w:proofErr w:type="gramStart"/>
      <w:r>
        <w:t>13.pantu</w:t>
      </w:r>
      <w:proofErr w:type="gramEnd"/>
      <w:r>
        <w:t xml:space="preserve"> uz efektīvu izmeklēšanu attiecībā uz slikto izturēšanos, un ka vienīgais viņam pieejamais tiesību aizsardzības līdzeklis šajā sakarā bija izbeigtā kriminālprocesa atjaunošana, pamatojoties uz </w:t>
      </w:r>
      <w:r w:rsidR="00DF7888">
        <w:t>Kriminālprocesa likuma 655.-</w:t>
      </w:r>
      <w:r>
        <w:t>657. panta nosacījumiem.</w:t>
      </w:r>
    </w:p>
    <w:p w:rsidR="001D34DF" w:rsidRPr="009D4272" w:rsidRDefault="003D7F16" w:rsidP="009D4272">
      <w:pPr>
        <w:pStyle w:val="ECHRPara"/>
      </w:pPr>
      <w:r w:rsidRPr="009D4272">
        <w:fldChar w:fldCharType="begin"/>
      </w:r>
      <w:r w:rsidR="00E57960" w:rsidRPr="009D4272">
        <w:instrText xml:space="preserve"> SEQ level0 \*arabic </w:instrText>
      </w:r>
      <w:r w:rsidRPr="009D4272">
        <w:fldChar w:fldCharType="separate"/>
      </w:r>
      <w:r w:rsidR="009D4272" w:rsidRPr="009D4272">
        <w:rPr>
          <w:noProof/>
        </w:rPr>
        <w:t>79</w:t>
      </w:r>
      <w:r w:rsidRPr="009D4272">
        <w:fldChar w:fldCharType="end"/>
      </w:r>
      <w:r w:rsidR="00E57960">
        <w:t>.  Tiesa uzskata, ka jautājums par to, vai iesniedz</w:t>
      </w:r>
      <w:r w:rsidR="00424AE7">
        <w:t xml:space="preserve">ējs ir izsmēlis visus efektīvos </w:t>
      </w:r>
      <w:r w:rsidR="00E57960">
        <w:t>tiesību aizsardzības līdzekļus, pieprasot atjaunot izbeigto kriminālprocesu, pamatojoties uz iepriekšminētajiem nacionāl</w:t>
      </w:r>
      <w:r w:rsidR="002A7359">
        <w:t>ajām</w:t>
      </w:r>
      <w:r w:rsidR="00E57960">
        <w:t xml:space="preserve"> tiesību </w:t>
      </w:r>
      <w:r w:rsidR="002A7359">
        <w:t>normām</w:t>
      </w:r>
      <w:r w:rsidR="00E57960">
        <w:t xml:space="preserve">, un jautājums, vai viņš ir ievērojis sešu mēnešu </w:t>
      </w:r>
      <w:r w:rsidR="002A7359">
        <w:t>termiņa</w:t>
      </w:r>
      <w:r w:rsidR="00E57960">
        <w:t xml:space="preserve"> noteikumu, ir cieši saistīti ar šī tiesību aizsardzības līdzekļa efektivitāti un </w:t>
      </w:r>
      <w:r w:rsidR="00400ACB">
        <w:t>tādēļ arī</w:t>
      </w:r>
      <w:r w:rsidR="00E57960">
        <w:t xml:space="preserve"> </w:t>
      </w:r>
      <w:r w:rsidR="00400ACB">
        <w:t xml:space="preserve">ar </w:t>
      </w:r>
      <w:r w:rsidR="00E57960">
        <w:t>sūdzīb</w:t>
      </w:r>
      <w:r w:rsidR="002A7359">
        <w:t>u</w:t>
      </w:r>
      <w:r w:rsidR="00E57960">
        <w:t xml:space="preserve"> būtību. </w:t>
      </w:r>
      <w:r w:rsidR="00400ACB">
        <w:t xml:space="preserve">Tādēļ Tiesa </w:t>
      </w:r>
      <w:r w:rsidR="007D78DE">
        <w:t>pievieno šos</w:t>
      </w:r>
      <w:r w:rsidR="00400ACB">
        <w:t xml:space="preserve"> iebildumus</w:t>
      </w:r>
      <w:r w:rsidR="00E57960">
        <w:t xml:space="preserve"> </w:t>
      </w:r>
      <w:r w:rsidR="00400ACB">
        <w:t xml:space="preserve">lietas izskatīšanai </w:t>
      </w:r>
      <w:r w:rsidR="00E57960">
        <w:t>pēc būtības.</w:t>
      </w:r>
    </w:p>
    <w:p w:rsidR="001D34DF" w:rsidRPr="003464D0" w:rsidRDefault="009F1587" w:rsidP="009D4272">
      <w:pPr>
        <w:pStyle w:val="ECHRHeading5"/>
      </w:pPr>
      <w:r>
        <w:t>(</w:t>
      </w:r>
      <w:proofErr w:type="spellStart"/>
      <w:r>
        <w:t>iii</w:t>
      </w:r>
      <w:proofErr w:type="spellEnd"/>
      <w:r>
        <w:t xml:space="preserve">) Iebildums, ka šī sūdzība </w:t>
      </w:r>
      <w:r w:rsidR="003464D0">
        <w:t xml:space="preserve">neatbilst Tiesas </w:t>
      </w:r>
      <w:proofErr w:type="spellStart"/>
      <w:r w:rsidR="00480E39" w:rsidRPr="003464D0">
        <w:t>ratione</w:t>
      </w:r>
      <w:proofErr w:type="spellEnd"/>
      <w:r w:rsidR="00480E39" w:rsidRPr="003464D0">
        <w:t xml:space="preserve"> </w:t>
      </w:r>
      <w:proofErr w:type="spellStart"/>
      <w:r w:rsidR="00480E39" w:rsidRPr="003464D0">
        <w:t>materiae</w:t>
      </w:r>
      <w:proofErr w:type="spellEnd"/>
      <w:r w:rsidR="00480E39">
        <w:t xml:space="preserve"> </w:t>
      </w:r>
      <w:r w:rsidR="003464D0">
        <w:t xml:space="preserve">jurisdikcijai </w:t>
      </w:r>
    </w:p>
    <w:p w:rsidR="001D34DF" w:rsidRPr="009D4272" w:rsidRDefault="003D7F16" w:rsidP="009D4272">
      <w:pPr>
        <w:pStyle w:val="ECHRPara"/>
      </w:pPr>
      <w:r w:rsidRPr="009D4272">
        <w:fldChar w:fldCharType="begin"/>
      </w:r>
      <w:r w:rsidR="001D34DF" w:rsidRPr="009D4272">
        <w:instrText xml:space="preserve"> SEQ level0 \*arabic </w:instrText>
      </w:r>
      <w:r w:rsidRPr="009D4272">
        <w:fldChar w:fldCharType="separate"/>
      </w:r>
      <w:r w:rsidR="009D4272" w:rsidRPr="009D4272">
        <w:rPr>
          <w:noProof/>
        </w:rPr>
        <w:t>80</w:t>
      </w:r>
      <w:r w:rsidRPr="009D4272">
        <w:fldChar w:fldCharType="end"/>
      </w:r>
      <w:r w:rsidR="001D34DF">
        <w:t xml:space="preserve">.  Jautājumi par to, vai iesniedzējs bija </w:t>
      </w:r>
      <w:r w:rsidR="00480E39">
        <w:t xml:space="preserve">cietis no </w:t>
      </w:r>
      <w:r w:rsidR="001D34DF">
        <w:t>tiesību pārkāpuma, ņemot vērā Valdības atteikumu atjaunot izbeigto kriminālprocesu, vai viņš izsmēla visus efektīvos tiesību aizsardzības līdzekļus, pieprasot atjaunot izbeigto kriminālprocesu, pamatojoties uz iepriekš minētajiem nacionālaj</w:t>
      </w:r>
      <w:r w:rsidR="002A7359">
        <w:t>ām tiesību normām</w:t>
      </w:r>
      <w:r w:rsidR="001D34DF">
        <w:t xml:space="preserve">, un vai viņš ievēroja sešu mēnešu </w:t>
      </w:r>
      <w:r w:rsidR="002A7359">
        <w:t>termiņa</w:t>
      </w:r>
      <w:r w:rsidR="001D34DF">
        <w:t xml:space="preserve"> noteikumu, ir saistīti ar plašāku jautājumu, ko Valdība minēja sākotnējos iebildumos par </w:t>
      </w:r>
      <w:r w:rsidR="00480E39">
        <w:lastRenderedPageBreak/>
        <w:t xml:space="preserve">Tiesas </w:t>
      </w:r>
      <w:proofErr w:type="spellStart"/>
      <w:r w:rsidR="00480E39" w:rsidRPr="00480E39">
        <w:rPr>
          <w:i/>
        </w:rPr>
        <w:t>ratione</w:t>
      </w:r>
      <w:proofErr w:type="spellEnd"/>
      <w:r w:rsidR="00480E39" w:rsidRPr="00480E39">
        <w:rPr>
          <w:i/>
        </w:rPr>
        <w:t xml:space="preserve"> </w:t>
      </w:r>
      <w:proofErr w:type="spellStart"/>
      <w:r w:rsidR="00480E39" w:rsidRPr="00480E39">
        <w:rPr>
          <w:i/>
        </w:rPr>
        <w:t>materiae</w:t>
      </w:r>
      <w:proofErr w:type="spellEnd"/>
      <w:r w:rsidR="00480E39">
        <w:t xml:space="preserve"> jurisdikciju </w:t>
      </w:r>
      <w:r w:rsidR="001D34DF">
        <w:t xml:space="preserve">attiecībā uz to, ka iesniedzējs nevar pieprasīt tiesības saskaņā ar Konvenciju atjaunot izbeigto kriminālprocesu. Šis jautājums ir cieši saistīts ar šī tiesību aizsardzības līdzekļa efektivitāti un </w:t>
      </w:r>
      <w:r w:rsidR="009A6D5C">
        <w:t>tādēļ arī</w:t>
      </w:r>
      <w:r w:rsidR="001D34DF">
        <w:t xml:space="preserve"> ar iesniedzēja sūdzībām pēc būtības. </w:t>
      </w:r>
      <w:proofErr w:type="gramStart"/>
      <w:r w:rsidR="001D34DF">
        <w:t>Attiecīgi,</w:t>
      </w:r>
      <w:proofErr w:type="gramEnd"/>
      <w:r w:rsidR="001D34DF">
        <w:t xml:space="preserve"> Tiesa </w:t>
      </w:r>
      <w:r w:rsidR="009A6D5C">
        <w:t>pievieno šo</w:t>
      </w:r>
      <w:r w:rsidR="001D34DF">
        <w:t xml:space="preserve"> iebildum</w:t>
      </w:r>
      <w:r w:rsidR="009A6D5C">
        <w:t>u lietas izskatīšanai</w:t>
      </w:r>
      <w:r w:rsidR="001D34DF">
        <w:t xml:space="preserve"> pēc būtības.</w:t>
      </w:r>
    </w:p>
    <w:p w:rsidR="00A06518" w:rsidRPr="009D4272" w:rsidRDefault="00AD6104" w:rsidP="009D4272">
      <w:pPr>
        <w:pStyle w:val="ECHRHeading3"/>
      </w:pPr>
      <w:r>
        <w:t>3.  Provizoriskie secinājumi par Valdības sākotnējiem iebildumiem</w:t>
      </w:r>
    </w:p>
    <w:p w:rsidR="006E1AC3" w:rsidRPr="009D4272" w:rsidRDefault="003D7F16" w:rsidP="009D4272">
      <w:pPr>
        <w:pStyle w:val="ECHRPara"/>
      </w:pPr>
      <w:r w:rsidRPr="009D4272">
        <w:fldChar w:fldCharType="begin"/>
      </w:r>
      <w:r w:rsidR="00031097" w:rsidRPr="009D4272">
        <w:instrText xml:space="preserve"> SEQ level0 \*arabic </w:instrText>
      </w:r>
      <w:r w:rsidRPr="009D4272">
        <w:fldChar w:fldCharType="separate"/>
      </w:r>
      <w:r w:rsidR="009D4272" w:rsidRPr="009D4272">
        <w:rPr>
          <w:noProof/>
        </w:rPr>
        <w:t>81</w:t>
      </w:r>
      <w:r w:rsidRPr="009D4272">
        <w:fldChar w:fldCharType="end"/>
      </w:r>
      <w:r w:rsidR="00031097">
        <w:t>.  Iepriekš minēto iemeslu dēļ Tiesa uzskata, ka Valdības iebildumi ir tik cieši saistīti ar iesniedzēja sūdzību būtību, ka tie būtu jā</w:t>
      </w:r>
      <w:r w:rsidR="002A7359">
        <w:t>pievieno</w:t>
      </w:r>
      <w:r w:rsidR="00031097">
        <w:t xml:space="preserve"> lietas </w:t>
      </w:r>
      <w:r w:rsidR="002A7359">
        <w:t>izskatīšanai pēc būtības</w:t>
      </w:r>
      <w:r w:rsidR="00031097">
        <w:t xml:space="preserve">. Līdz ar to sūdzības nevar tikt atzītas par nepieņemamām </w:t>
      </w:r>
      <w:r w:rsidR="009A6D5C">
        <w:t xml:space="preserve">izskatīšanai </w:t>
      </w:r>
      <w:r w:rsidR="00031097">
        <w:t>iepriekš minēto iemeslu dēļ.</w:t>
      </w:r>
    </w:p>
    <w:p w:rsidR="00974078" w:rsidRPr="009D4272" w:rsidRDefault="003D7F16" w:rsidP="009D4272">
      <w:pPr>
        <w:pStyle w:val="ECHRPara"/>
      </w:pPr>
      <w:r w:rsidRPr="009D4272">
        <w:fldChar w:fldCharType="begin"/>
      </w:r>
      <w:r w:rsidR="004068BC" w:rsidRPr="009D4272">
        <w:instrText xml:space="preserve"> SEQ level0 \*arabic </w:instrText>
      </w:r>
      <w:r w:rsidRPr="009D4272">
        <w:fldChar w:fldCharType="separate"/>
      </w:r>
      <w:r w:rsidR="009D4272" w:rsidRPr="009D4272">
        <w:rPr>
          <w:noProof/>
        </w:rPr>
        <w:t>82</w:t>
      </w:r>
      <w:r w:rsidRPr="009D4272">
        <w:fldChar w:fldCharType="end"/>
      </w:r>
      <w:r w:rsidR="004068BC">
        <w:t>.  </w:t>
      </w:r>
      <w:r w:rsidR="002B2690">
        <w:t xml:space="preserve"> Turklāt Tiesa</w:t>
      </w:r>
      <w:r w:rsidR="004068BC">
        <w:t xml:space="preserve"> uzskata, ka šīs sūdzības nav acīmredzami nepamatotas Konvencijas </w:t>
      </w:r>
      <w:proofErr w:type="gramStart"/>
      <w:r w:rsidR="004068BC">
        <w:t>35.panta</w:t>
      </w:r>
      <w:proofErr w:type="gramEnd"/>
      <w:r w:rsidR="004068BC">
        <w:t xml:space="preserve"> 3.punkta a) apakšpunkta izpratnē. Nav konstatēts neviens cits iemesls, lai atzītu tās par nepieņemamām</w:t>
      </w:r>
      <w:r w:rsidR="007727C0">
        <w:t xml:space="preserve"> izskatīšanai</w:t>
      </w:r>
      <w:r w:rsidR="004068BC">
        <w:t>, līdz ar to tās ir atzīstamas par pieņemamām.</w:t>
      </w:r>
    </w:p>
    <w:p w:rsidR="00014566" w:rsidRPr="009D4272" w:rsidRDefault="00735AFB" w:rsidP="009D4272">
      <w:pPr>
        <w:pStyle w:val="ECHRHeading2"/>
      </w:pPr>
      <w:r>
        <w:t>C. Sūdzības būtība</w:t>
      </w:r>
    </w:p>
    <w:p w:rsidR="003D1498" w:rsidRPr="009D4272" w:rsidRDefault="003D1498" w:rsidP="009D4272">
      <w:pPr>
        <w:pStyle w:val="ECHRHeading3"/>
      </w:pPr>
      <w:r>
        <w:t>1.  P</w:t>
      </w:r>
      <w:r w:rsidR="00292CEB">
        <w:t>ušu apgalvojumi un trešās puses iesaistīšanās lietā</w:t>
      </w:r>
    </w:p>
    <w:p w:rsidR="00EE584A" w:rsidRPr="009D4272" w:rsidRDefault="00C457AF" w:rsidP="009D4272">
      <w:pPr>
        <w:pStyle w:val="ECHRHeading4"/>
      </w:pPr>
      <w:r>
        <w:t>(a) Valdība</w:t>
      </w:r>
    </w:p>
    <w:p w:rsidR="00155333" w:rsidRPr="009D4272" w:rsidRDefault="003D7F16" w:rsidP="009D4272">
      <w:pPr>
        <w:pStyle w:val="ECHRPara"/>
      </w:pPr>
      <w:r w:rsidRPr="009D4272">
        <w:fldChar w:fldCharType="begin"/>
      </w:r>
      <w:r w:rsidR="004727E6" w:rsidRPr="009D4272">
        <w:instrText xml:space="preserve"> SEQ level0 \*arabic </w:instrText>
      </w:r>
      <w:r w:rsidRPr="009D4272">
        <w:fldChar w:fldCharType="separate"/>
      </w:r>
      <w:r w:rsidR="009D4272" w:rsidRPr="009D4272">
        <w:rPr>
          <w:noProof/>
        </w:rPr>
        <w:t>83</w:t>
      </w:r>
      <w:r w:rsidRPr="009D4272">
        <w:fldChar w:fldCharType="end"/>
      </w:r>
      <w:r w:rsidR="004727E6">
        <w:t xml:space="preserve">.  Valdība atkārtoja </w:t>
      </w:r>
      <w:r w:rsidR="00186C6E">
        <w:t>apgalvojumu</w:t>
      </w:r>
      <w:r w:rsidR="004727E6">
        <w:t xml:space="preserve"> (skatīt iepriekš </w:t>
      </w:r>
      <w:r w:rsidR="003653A2">
        <w:fldChar w:fldCharType="begin"/>
      </w:r>
      <w:r w:rsidR="003653A2">
        <w:instrText xml:space="preserve"> REF par35 \h  \* MERGEFORMAT </w:instrText>
      </w:r>
      <w:r w:rsidR="003653A2">
        <w:fldChar w:fldCharType="separate"/>
      </w:r>
      <w:r w:rsidR="009D4272" w:rsidRPr="009D4272">
        <w:rPr>
          <w:noProof/>
        </w:rPr>
        <w:t>40</w:t>
      </w:r>
      <w:r w:rsidR="003653A2">
        <w:fldChar w:fldCharType="end"/>
      </w:r>
      <w:r w:rsidR="00C4625A">
        <w:t>.</w:t>
      </w:r>
      <w:r w:rsidR="004727E6">
        <w:t xml:space="preserve"> līdz </w:t>
      </w:r>
      <w:r w:rsidR="003653A2">
        <w:fldChar w:fldCharType="begin"/>
      </w:r>
      <w:r w:rsidR="003653A2">
        <w:instrText xml:space="preserve"> REF para39 \h  \* MERGEFORMAT </w:instrText>
      </w:r>
      <w:r w:rsidR="003653A2">
        <w:fldChar w:fldCharType="separate"/>
      </w:r>
      <w:r w:rsidR="009D4272" w:rsidRPr="009D4272">
        <w:rPr>
          <w:noProof/>
          <w:snapToGrid w:val="0"/>
          <w:szCs w:val="24"/>
        </w:rPr>
        <w:t>46</w:t>
      </w:r>
      <w:r w:rsidR="003653A2">
        <w:fldChar w:fldCharType="end"/>
      </w:r>
      <w:r w:rsidR="00C4625A">
        <w:t>.</w:t>
      </w:r>
      <w:r w:rsidR="004727E6">
        <w:t xml:space="preserve"> rindkop</w:t>
      </w:r>
      <w:r w:rsidR="00186C6E">
        <w:t>u</w:t>
      </w:r>
      <w:r w:rsidR="004727E6">
        <w:t xml:space="preserve">) par to, ka </w:t>
      </w:r>
      <w:r w:rsidR="00A37A74">
        <w:t>ne</w:t>
      </w:r>
      <w:r w:rsidR="004727E6">
        <w:t xml:space="preserve"> Konvencijas 3. </w:t>
      </w:r>
      <w:r w:rsidR="001D28F5">
        <w:t>p</w:t>
      </w:r>
      <w:r w:rsidR="004727E6">
        <w:t>ant</w:t>
      </w:r>
      <w:r w:rsidR="00A37A74">
        <w:t>s, ne</w:t>
      </w:r>
      <w:r w:rsidR="004727E6">
        <w:t xml:space="preserve"> </w:t>
      </w:r>
      <w:r w:rsidR="00A37A74">
        <w:t>kāds cits pants</w:t>
      </w:r>
      <w:r w:rsidR="004727E6">
        <w:t xml:space="preserve"> </w:t>
      </w:r>
      <w:r w:rsidR="00A37A74">
        <w:t>neparedz nekādu pienākumu</w:t>
      </w:r>
      <w:r w:rsidR="004727E6">
        <w:t xml:space="preserve"> atjaunot nacionālo kriminālprocesu ikvienā gadījumā, ja tika konstatēts Konvencijas pārkāpums. Katras atsevišķās lietas konkrētie fakti nosaka, vai ir nepieciešama </w:t>
      </w:r>
      <w:proofErr w:type="spellStart"/>
      <w:r w:rsidR="004727E6">
        <w:rPr>
          <w:i/>
        </w:rPr>
        <w:t>restitutio</w:t>
      </w:r>
      <w:proofErr w:type="spellEnd"/>
      <w:r w:rsidR="004727E6">
        <w:rPr>
          <w:i/>
        </w:rPr>
        <w:t xml:space="preserve"> in </w:t>
      </w:r>
      <w:proofErr w:type="spellStart"/>
      <w:r w:rsidR="004727E6">
        <w:rPr>
          <w:i/>
        </w:rPr>
        <w:t>integrum</w:t>
      </w:r>
      <w:proofErr w:type="spellEnd"/>
      <w:r w:rsidR="004727E6">
        <w:t xml:space="preserve"> vajadzība atjaunot kriminālprocesu un vai šī vajadzība ir noteicoša pār </w:t>
      </w:r>
      <w:r w:rsidR="003D7BAB">
        <w:t>tiesiskās</w:t>
      </w:r>
      <w:r w:rsidR="004727E6">
        <w:t xml:space="preserve"> noteiktības principu. Valdība arī uzsvēra, ka iesniedzējs acī</w:t>
      </w:r>
      <w:r w:rsidR="00C4625A">
        <w:t>mredzami nav spējis atspoguļot „</w:t>
      </w:r>
      <w:r w:rsidR="004727E6">
        <w:t xml:space="preserve">ļoti nopietno seku” būtību, ko viņš, iespējams, turpināja ciest neefektīvas izmeklēšanas par slikto izturēšanos pret viņu rezultātā. </w:t>
      </w:r>
      <w:r w:rsidR="001D28F5">
        <w:t xml:space="preserve">Lai gan </w:t>
      </w:r>
      <w:r w:rsidR="004727E6">
        <w:t xml:space="preserve">kriminālprocesa izbeigšana pret policijas darbiniekiem ir radījusi iesniedzējam zināmu vilšanos, tā nav radījusi viņam nopietnas sekas. Šajā sakarā Valdība apgalvoja, ka šajā lietā, atšķirībā no iepriekš citētās Cēsnieka lietas, neradās jautājums par sliktās izturēšanās pret iesniedzēju ietekmi uz kriminālprocesa, kas nosaka pret viņu vērstās apsūdzības, taisnīgumu, jo Tiesa ir pasludinājusi sūdzību saskaņā ar Konvencijas </w:t>
      </w:r>
      <w:proofErr w:type="gramStart"/>
      <w:r w:rsidR="004727E6">
        <w:t>6.pantu</w:t>
      </w:r>
      <w:proofErr w:type="gramEnd"/>
      <w:r w:rsidR="004727E6">
        <w:t xml:space="preserve"> par nepieņemamu</w:t>
      </w:r>
      <w:r w:rsidR="00B43679">
        <w:t xml:space="preserve"> izskatīšanai</w:t>
      </w:r>
      <w:r w:rsidR="004727E6">
        <w:t>.</w:t>
      </w:r>
    </w:p>
    <w:p w:rsidR="00155333" w:rsidRPr="009D4272" w:rsidRDefault="003D7F16" w:rsidP="009D4272">
      <w:pPr>
        <w:pStyle w:val="ECHRPara"/>
      </w:pPr>
      <w:r w:rsidRPr="009D4272">
        <w:fldChar w:fldCharType="begin"/>
      </w:r>
      <w:r w:rsidR="004444F1" w:rsidRPr="009D4272">
        <w:instrText xml:space="preserve"> SEQ level0 \*arabic </w:instrText>
      </w:r>
      <w:r w:rsidRPr="009D4272">
        <w:fldChar w:fldCharType="separate"/>
      </w:r>
      <w:r w:rsidR="009D4272" w:rsidRPr="009D4272">
        <w:rPr>
          <w:noProof/>
        </w:rPr>
        <w:t>84</w:t>
      </w:r>
      <w:r w:rsidRPr="009D4272">
        <w:fldChar w:fldCharType="end"/>
      </w:r>
      <w:r w:rsidR="004444F1">
        <w:t>.  Valdība arī atkārto</w:t>
      </w:r>
      <w:r w:rsidR="00B43679">
        <w:t>ti norādīja</w:t>
      </w:r>
      <w:r w:rsidR="004444F1">
        <w:t>, ka iemesls nacionāl</w:t>
      </w:r>
      <w:r w:rsidR="002A7359">
        <w:t>o</w:t>
      </w:r>
      <w:r w:rsidR="004444F1">
        <w:t xml:space="preserve"> iestā</w:t>
      </w:r>
      <w:r w:rsidR="002A7359">
        <w:t>žu</w:t>
      </w:r>
      <w:r w:rsidR="004444F1">
        <w:t xml:space="preserve"> atteiku</w:t>
      </w:r>
      <w:r w:rsidR="002A7359">
        <w:t xml:space="preserve">mam </w:t>
      </w:r>
      <w:r w:rsidR="004444F1">
        <w:t>atja</w:t>
      </w:r>
      <w:r w:rsidR="002A7359">
        <w:t>unot krimināllietu Nr. 50207598</w:t>
      </w:r>
      <w:r w:rsidR="004444F1">
        <w:t xml:space="preserve"> nebija tāpēc, ka </w:t>
      </w:r>
      <w:r w:rsidR="00B43679">
        <w:t xml:space="preserve">Valdības iesniegtajā un Tiesas apstiprinātajā vienpusējā deklarācijā ir konstatēts </w:t>
      </w:r>
      <w:r w:rsidR="004444F1">
        <w:t xml:space="preserve">Konvencijas </w:t>
      </w:r>
      <w:proofErr w:type="gramStart"/>
      <w:r w:rsidR="004444F1">
        <w:t>3.panta</w:t>
      </w:r>
      <w:proofErr w:type="gramEnd"/>
      <w:r w:rsidR="004444F1">
        <w:t xml:space="preserve"> pārkāpums, bet tāpēc, ka vienpusējā deklarācija nesaturēja un nevarēja saturēt nekādus jaunus faktus vai pierādījumus, ko </w:t>
      </w:r>
      <w:r w:rsidR="004444F1">
        <w:lastRenderedPageBreak/>
        <w:t xml:space="preserve">varētu izmantot izmeklēšanā, lai novērstu trūkumus, </w:t>
      </w:r>
      <w:r w:rsidR="00B43679">
        <w:t>kuru dēļ</w:t>
      </w:r>
      <w:r w:rsidR="004444F1">
        <w:t xml:space="preserve"> Valdība </w:t>
      </w:r>
      <w:r w:rsidR="00B43679">
        <w:t>atzina</w:t>
      </w:r>
      <w:r w:rsidR="004444F1">
        <w:t xml:space="preserve"> </w:t>
      </w:r>
      <w:r w:rsidR="00B43679">
        <w:t xml:space="preserve">Konvencijas </w:t>
      </w:r>
      <w:r w:rsidR="004444F1">
        <w:t>3.panta pārkāpumu.</w:t>
      </w:r>
    </w:p>
    <w:p w:rsidR="00FE25C7" w:rsidRPr="009D4272" w:rsidRDefault="003D7F16" w:rsidP="009D4272">
      <w:pPr>
        <w:pStyle w:val="ECHRPara"/>
      </w:pPr>
      <w:r w:rsidRPr="009D4272">
        <w:fldChar w:fldCharType="begin"/>
      </w:r>
      <w:r w:rsidR="0029714C" w:rsidRPr="009D4272">
        <w:instrText xml:space="preserve"> SEQ level0 \*arabic </w:instrText>
      </w:r>
      <w:r w:rsidRPr="009D4272">
        <w:fldChar w:fldCharType="separate"/>
      </w:r>
      <w:r w:rsidR="009D4272" w:rsidRPr="009D4272">
        <w:rPr>
          <w:noProof/>
        </w:rPr>
        <w:t>85</w:t>
      </w:r>
      <w:r w:rsidRPr="009D4272">
        <w:fldChar w:fldCharType="end"/>
      </w:r>
      <w:r w:rsidR="0029714C">
        <w:t xml:space="preserve">.  Ņemot vērā iepriekš minētos apsvērumus, Valdība lūdza Tiesu secināt, ka </w:t>
      </w:r>
      <w:r w:rsidR="00B97BA7">
        <w:t xml:space="preserve">nav konstatējams Konvencijas </w:t>
      </w:r>
      <w:proofErr w:type="gramStart"/>
      <w:r w:rsidR="00B97BA7">
        <w:t>3.panta</w:t>
      </w:r>
      <w:proofErr w:type="gramEnd"/>
      <w:r w:rsidR="00B97BA7">
        <w:t xml:space="preserve"> procesuālais aspekts, par ko iesniedzējs norāda </w:t>
      </w:r>
      <w:r w:rsidR="007C30CE">
        <w:t xml:space="preserve">savā </w:t>
      </w:r>
      <w:r w:rsidR="00B97BA7">
        <w:t>sūdzībā</w:t>
      </w:r>
      <w:r w:rsidR="0029714C">
        <w:t>.</w:t>
      </w:r>
    </w:p>
    <w:p w:rsidR="00B93660"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86</w:t>
      </w:r>
      <w:r w:rsidRPr="009D4272">
        <w:rPr>
          <w:noProof/>
        </w:rPr>
        <w:fldChar w:fldCharType="end"/>
      </w:r>
      <w:r w:rsidR="00E17C5D">
        <w:t xml:space="preserve">.  Attiecībā uz Konvencijas </w:t>
      </w:r>
      <w:proofErr w:type="gramStart"/>
      <w:r w:rsidR="00E17C5D">
        <w:t>13.pantu</w:t>
      </w:r>
      <w:proofErr w:type="gramEnd"/>
      <w:r w:rsidR="00E17C5D">
        <w:t xml:space="preserve"> Valdība norādīja uz Tiesas </w:t>
      </w:r>
      <w:r w:rsidR="008F3102">
        <w:t>iedibināto</w:t>
      </w:r>
      <w:r w:rsidR="00E17C5D">
        <w:t xml:space="preserve"> </w:t>
      </w:r>
      <w:r w:rsidR="00E17C5D" w:rsidRPr="00CD5537">
        <w:t xml:space="preserve">judikatūru, saskaņā ar kuru </w:t>
      </w:r>
      <w:r w:rsidR="00DF3E78" w:rsidRPr="00CD5537">
        <w:t xml:space="preserve">Konvencijas </w:t>
      </w:r>
      <w:r w:rsidR="00E17C5D" w:rsidRPr="00CD5537">
        <w:t>13.pant</w:t>
      </w:r>
      <w:r w:rsidR="00DF3E78" w:rsidRPr="00CD5537">
        <w:t>ā ietvertā prasība paredz, ka</w:t>
      </w:r>
      <w:r w:rsidR="00E17C5D" w:rsidRPr="00CD5537">
        <w:t xml:space="preserve"> tiesību aizsardzības līdzekli</w:t>
      </w:r>
      <w:r w:rsidR="00DF3E78" w:rsidRPr="00CD5537">
        <w:t>m</w:t>
      </w:r>
      <w:r w:rsidR="00E17C5D" w:rsidRPr="00CD5537">
        <w:t xml:space="preserve"> nacionālajos tie</w:t>
      </w:r>
      <w:r w:rsidR="00DF3E78" w:rsidRPr="00CD5537">
        <w:t xml:space="preserve">sību aktos </w:t>
      </w:r>
      <w:r w:rsidR="00CD5537" w:rsidRPr="00CD5537">
        <w:t>jārisina</w:t>
      </w:r>
      <w:r w:rsidR="00C4625A" w:rsidRPr="00CD5537">
        <w:t xml:space="preserve"> </w:t>
      </w:r>
      <w:r w:rsidR="00DF3E78" w:rsidRPr="00CD5537">
        <w:t xml:space="preserve">Konvencijai </w:t>
      </w:r>
      <w:r w:rsidR="00B11276" w:rsidRPr="00CD5537">
        <w:t>atbilstošās</w:t>
      </w:r>
      <w:r w:rsidR="00DF3E78" w:rsidRPr="00CD5537">
        <w:t xml:space="preserve"> </w:t>
      </w:r>
      <w:r w:rsidR="00C4625A" w:rsidRPr="00CD5537">
        <w:t>„</w:t>
      </w:r>
      <w:r w:rsidR="00DF3E78" w:rsidRPr="00CD5537">
        <w:t xml:space="preserve">apstrīdamas </w:t>
      </w:r>
      <w:r w:rsidR="005562C1">
        <w:t>prasības</w:t>
      </w:r>
      <w:r w:rsidR="00DF3E78" w:rsidRPr="00CD5537">
        <w:t>” būtība</w:t>
      </w:r>
      <w:r w:rsidR="00E17C5D" w:rsidRPr="00CD5537">
        <w:t>.</w:t>
      </w:r>
    </w:p>
    <w:p w:rsidR="006E1AC3" w:rsidRPr="009D4272" w:rsidRDefault="00CD418A" w:rsidP="009D4272">
      <w:pPr>
        <w:pStyle w:val="ECHRPara"/>
      </w:pPr>
      <w:r>
        <w:t xml:space="preserve">Valdība </w:t>
      </w:r>
      <w:r w:rsidR="00B93660">
        <w:t>u</w:t>
      </w:r>
      <w:r w:rsidR="00C4625A">
        <w:t>zsvēra, ka iesniedzējam nebija „</w:t>
      </w:r>
      <w:r w:rsidR="00B93660">
        <w:t xml:space="preserve">apstrīdama prasība” Konvencijas </w:t>
      </w:r>
      <w:proofErr w:type="gramStart"/>
      <w:r w:rsidR="00B93660">
        <w:t>3.pant</w:t>
      </w:r>
      <w:r w:rsidR="00A00E0E">
        <w:t>a</w:t>
      </w:r>
      <w:proofErr w:type="gramEnd"/>
      <w:r w:rsidR="005562C1">
        <w:t xml:space="preserve"> izpratnē</w:t>
      </w:r>
      <w:r w:rsidR="00B93660">
        <w:t xml:space="preserve"> un līdz ar to Tiesai nebija iemesla tālāk izskatīt sūdzību </w:t>
      </w:r>
      <w:r w:rsidR="00A00E0E">
        <w:t>atbilstoši Konvencijas 13.pantam</w:t>
      </w:r>
      <w:r w:rsidR="00B93660">
        <w:t>.</w:t>
      </w:r>
    </w:p>
    <w:p w:rsidR="003D1498" w:rsidRPr="009D4272" w:rsidRDefault="00A00E0E" w:rsidP="009D4272">
      <w:pPr>
        <w:pStyle w:val="ECHRPara"/>
      </w:pPr>
      <w:r>
        <w:t>Valdība</w:t>
      </w:r>
      <w:r w:rsidR="00AA1B42">
        <w:t xml:space="preserve"> apgalvoja, ka nav </w:t>
      </w:r>
      <w:r>
        <w:t>noticis Konvencijas</w:t>
      </w:r>
      <w:r w:rsidR="00AA1B42">
        <w:t xml:space="preserve"> </w:t>
      </w:r>
      <w:proofErr w:type="gramStart"/>
      <w:r w:rsidR="00AA1B42">
        <w:t>13.panta</w:t>
      </w:r>
      <w:proofErr w:type="gramEnd"/>
      <w:r w:rsidR="00AA1B42">
        <w:t xml:space="preserve"> pārkāpums.</w:t>
      </w:r>
    </w:p>
    <w:p w:rsidR="003D1498" w:rsidRPr="009D4272" w:rsidRDefault="00C457AF" w:rsidP="009D4272">
      <w:pPr>
        <w:pStyle w:val="ECHRHeading4"/>
      </w:pPr>
      <w:r>
        <w:t>(b) Iesniedzējs</w:t>
      </w:r>
    </w:p>
    <w:p w:rsidR="00A33282" w:rsidRPr="009D4272" w:rsidRDefault="003D7F16" w:rsidP="009D4272">
      <w:pPr>
        <w:pStyle w:val="ECHRPara"/>
      </w:pPr>
      <w:r w:rsidRPr="009D4272">
        <w:fldChar w:fldCharType="begin"/>
      </w:r>
      <w:r w:rsidR="00FB3F3A" w:rsidRPr="009D4272">
        <w:instrText xml:space="preserve"> SEQ level0 \*arabic </w:instrText>
      </w:r>
      <w:r w:rsidRPr="009D4272">
        <w:fldChar w:fldCharType="separate"/>
      </w:r>
      <w:r w:rsidR="009D4272" w:rsidRPr="009D4272">
        <w:rPr>
          <w:noProof/>
        </w:rPr>
        <w:t>87</w:t>
      </w:r>
      <w:r w:rsidRPr="009D4272">
        <w:fldChar w:fldCharType="end"/>
      </w:r>
      <w:r w:rsidR="00FB3F3A">
        <w:t xml:space="preserve">.  Iesniedzējs apgalvoja, ka Latvijas Republika nekad nav veikusi nekādu </w:t>
      </w:r>
      <w:r w:rsidR="005C10DC">
        <w:t>oficiālu</w:t>
      </w:r>
      <w:r w:rsidR="00FB3F3A">
        <w:t xml:space="preserve"> izmeklēšanu saistībā ar viņa sūdzībām par slikto izturēšanos pret viņu no policijas darbinieku puses. Tas, ka Valdība savā vienpusējā deklarācijā ir atzinusi, ka fiziskā vardarbība, kura</w:t>
      </w:r>
      <w:r w:rsidR="001B0575">
        <w:t>i</w:t>
      </w:r>
      <w:r w:rsidR="00FB3F3A">
        <w:t xml:space="preserve"> viņš ir bijis pakļauts, un viņa sūdzību izmeklēšanas neefektivitāte </w:t>
      </w:r>
      <w:r w:rsidR="001B0575">
        <w:t>veido</w:t>
      </w:r>
      <w:r w:rsidR="00FB3F3A">
        <w:t xml:space="preserve"> </w:t>
      </w:r>
      <w:r w:rsidR="001B0575">
        <w:t xml:space="preserve">Konvencijas </w:t>
      </w:r>
      <w:proofErr w:type="gramStart"/>
      <w:r w:rsidR="001B0575">
        <w:t>3.panta</w:t>
      </w:r>
      <w:proofErr w:type="gramEnd"/>
      <w:r w:rsidR="001B0575">
        <w:t xml:space="preserve"> pārkāpumu</w:t>
      </w:r>
      <w:r w:rsidR="00FB3F3A">
        <w:t>, nenozīmē, ka Latvijas Republika ir atbrīvota no pienākuma izmeklēt viņa sūdzības pēc būtības.</w:t>
      </w:r>
    </w:p>
    <w:p w:rsidR="00B32CE1" w:rsidRPr="009D4272" w:rsidRDefault="003D7F16" w:rsidP="009D4272">
      <w:pPr>
        <w:pStyle w:val="ECHRPara"/>
      </w:pPr>
      <w:r w:rsidRPr="009D4272">
        <w:fldChar w:fldCharType="begin"/>
      </w:r>
      <w:r w:rsidR="00571931" w:rsidRPr="009D4272">
        <w:instrText xml:space="preserve"> SEQ level0 \*arabic </w:instrText>
      </w:r>
      <w:r w:rsidRPr="009D4272">
        <w:fldChar w:fldCharType="separate"/>
      </w:r>
      <w:r w:rsidR="009D4272" w:rsidRPr="009D4272">
        <w:rPr>
          <w:noProof/>
        </w:rPr>
        <w:t>88</w:t>
      </w:r>
      <w:r w:rsidRPr="009D4272">
        <w:fldChar w:fldCharType="end"/>
      </w:r>
      <w:r w:rsidR="00571931">
        <w:t xml:space="preserve">.  Gluži pretēji, Konvencijas </w:t>
      </w:r>
      <w:proofErr w:type="gramStart"/>
      <w:r w:rsidR="00571931">
        <w:t>3.pantā</w:t>
      </w:r>
      <w:proofErr w:type="gramEnd"/>
      <w:r w:rsidR="00571931">
        <w:t xml:space="preserve"> ir nostiprināts pastāvīgs pienākums Latvijas iestā</w:t>
      </w:r>
      <w:r w:rsidR="005562C1">
        <w:t>dēm</w:t>
      </w:r>
      <w:r w:rsidR="00571931">
        <w:t xml:space="preserve"> nodrošināt efektīvu, neatkarīgu un objektīvu izmeklēšanu, lai sodītu vainīgās personas. Izmeklēšanai nav obligāti jānoved līdz noteiktai sankcijai, bet tā rada pienākumu valstij izmeklēt iesniedzēja sūdzības pēc būtības.</w:t>
      </w:r>
    </w:p>
    <w:p w:rsidR="00B32CE1" w:rsidRPr="009D4272" w:rsidRDefault="003D7F16" w:rsidP="009D4272">
      <w:pPr>
        <w:pStyle w:val="ECHRPara"/>
      </w:pPr>
      <w:r w:rsidRPr="009D4272">
        <w:fldChar w:fldCharType="begin"/>
      </w:r>
      <w:r w:rsidR="00571931" w:rsidRPr="009D4272">
        <w:instrText xml:space="preserve"> SEQ level0 \*arabic </w:instrText>
      </w:r>
      <w:r w:rsidRPr="009D4272">
        <w:fldChar w:fldCharType="separate"/>
      </w:r>
      <w:r w:rsidR="009D4272" w:rsidRPr="009D4272">
        <w:rPr>
          <w:noProof/>
        </w:rPr>
        <w:t>89</w:t>
      </w:r>
      <w:r w:rsidRPr="009D4272">
        <w:fldChar w:fldCharType="end"/>
      </w:r>
      <w:r w:rsidR="00571931">
        <w:t>.  Atteikums izmeklēt iesniedzēja sūdzības ir radījis situāciju, kad vispārējais spīdzināšanas un necilvēcīgas un paz</w:t>
      </w:r>
      <w:r w:rsidR="003B482D">
        <w:t>emojošas izturēšanās un soda aizliegums</w:t>
      </w:r>
      <w:r w:rsidR="00571931">
        <w:t xml:space="preserve"> praksē ir kļuvis neefektīvs. Atbildīgie policijas darbinieki ir ļaunprātīgi izmantojuši iesniedzēja tiesības, bet ir palikuši </w:t>
      </w:r>
      <w:r w:rsidR="003B482D">
        <w:t>nesodīti</w:t>
      </w:r>
      <w:r w:rsidR="00571931">
        <w:t>.</w:t>
      </w:r>
    </w:p>
    <w:p w:rsidR="004B6C76" w:rsidRPr="009D4272" w:rsidRDefault="003D7F16" w:rsidP="009D4272">
      <w:pPr>
        <w:pStyle w:val="ECHRPara"/>
      </w:pPr>
      <w:r w:rsidRPr="009D4272">
        <w:fldChar w:fldCharType="begin"/>
      </w:r>
      <w:r w:rsidR="00C0224A" w:rsidRPr="009D4272">
        <w:instrText xml:space="preserve"> SEQ level0 \*arabic </w:instrText>
      </w:r>
      <w:r w:rsidRPr="009D4272">
        <w:fldChar w:fldCharType="separate"/>
      </w:r>
      <w:r w:rsidR="009D4272" w:rsidRPr="009D4272">
        <w:rPr>
          <w:noProof/>
        </w:rPr>
        <w:t>90</w:t>
      </w:r>
      <w:r w:rsidRPr="009D4272">
        <w:fldChar w:fldCharType="end"/>
      </w:r>
      <w:r w:rsidR="00C0224A">
        <w:t xml:space="preserve">.  Iesniedzējs atsaucās gan uz Ministru komitejas </w:t>
      </w:r>
      <w:r w:rsidR="005562C1">
        <w:t>r</w:t>
      </w:r>
      <w:r w:rsidR="00C0224A">
        <w:t xml:space="preserve">ekomendāciju Nr. R (2000) 2, gan Kriminālprocesa likuma 655.pantu un apgalvoja, ka tie paredzēja pienākumu atjaunot kriminālprocesus lietās, kad Tiesa konstatēja Konvencijas pārkāpumu. Tomēr Rīgas </w:t>
      </w:r>
      <w:r w:rsidR="00C153FB">
        <w:t>apgabaltiesas</w:t>
      </w:r>
      <w:r w:rsidR="00C0224A">
        <w:t xml:space="preserve"> prokurora ļoti formālās pieejas rezultātā krimināl</w:t>
      </w:r>
      <w:r w:rsidR="006959A6">
        <w:t>procesa atjaunošana tika atteikta</w:t>
      </w:r>
      <w:r w:rsidR="00C0224A">
        <w:t>.</w:t>
      </w:r>
    </w:p>
    <w:p w:rsidR="00CE0787" w:rsidRPr="009D4272" w:rsidRDefault="00966DE3" w:rsidP="009D4272">
      <w:pPr>
        <w:pStyle w:val="ECHRPara"/>
      </w:pPr>
      <w:r>
        <w:t xml:space="preserve">Pēc iesniedzēja teiktā, ne </w:t>
      </w:r>
      <w:r w:rsidR="00D4191A">
        <w:t>r</w:t>
      </w:r>
      <w:r>
        <w:t xml:space="preserve">ekomendācija, ne Kriminālprocesa likuma 655.pants nav jāinterpretē šauri, </w:t>
      </w:r>
      <w:r w:rsidR="00C153FB">
        <w:t xml:space="preserve">proti, </w:t>
      </w:r>
      <w:r>
        <w:t>ka kriminālproces</w:t>
      </w:r>
      <w:r w:rsidR="00C153FB">
        <w:t>s</w:t>
      </w:r>
      <w:r>
        <w:t xml:space="preserve"> ir atjaunojam</w:t>
      </w:r>
      <w:r w:rsidR="00C153FB">
        <w:t xml:space="preserve">s </w:t>
      </w:r>
      <w:r>
        <w:t xml:space="preserve">tikai atsevišķos (izņēmuma) gadījumos. Viņš arī uzskatīja, ka </w:t>
      </w:r>
      <w:r w:rsidR="00D4191A">
        <w:t>r</w:t>
      </w:r>
      <w:r>
        <w:t xml:space="preserve">ekomendācijas i), </w:t>
      </w:r>
      <w:proofErr w:type="spellStart"/>
      <w:r>
        <w:t>ii</w:t>
      </w:r>
      <w:proofErr w:type="spellEnd"/>
      <w:r>
        <w:t xml:space="preserve">) punkta a) apakšpunktā un </w:t>
      </w:r>
      <w:proofErr w:type="spellStart"/>
      <w:r>
        <w:t>ii</w:t>
      </w:r>
      <w:proofErr w:type="spellEnd"/>
      <w:r>
        <w:t xml:space="preserve">) punkta b) apakšpunktā bija uzskaitīti tikai konkrēti Konvencijas pārkāpumu gadījumi un ka šis saraksts nebija </w:t>
      </w:r>
      <w:r w:rsidR="007D6F80">
        <w:t>izsmeļošs</w:t>
      </w:r>
      <w:r>
        <w:t>.</w:t>
      </w:r>
    </w:p>
    <w:p w:rsidR="00C0224A" w:rsidRPr="009D4272" w:rsidRDefault="003D7F16" w:rsidP="009D4272">
      <w:pPr>
        <w:pStyle w:val="ECHRPara"/>
      </w:pPr>
      <w:r w:rsidRPr="009D4272">
        <w:fldChar w:fldCharType="begin"/>
      </w:r>
      <w:r w:rsidR="00966DE3" w:rsidRPr="009D4272">
        <w:instrText xml:space="preserve"> SEQ level0 \*arabic </w:instrText>
      </w:r>
      <w:r w:rsidRPr="009D4272">
        <w:fldChar w:fldCharType="separate"/>
      </w:r>
      <w:r w:rsidR="009D4272" w:rsidRPr="009D4272">
        <w:rPr>
          <w:noProof/>
        </w:rPr>
        <w:t>91</w:t>
      </w:r>
      <w:r w:rsidRPr="009D4272">
        <w:fldChar w:fldCharType="end"/>
      </w:r>
      <w:r w:rsidR="00966DE3">
        <w:t>.  Iesniedzējs apgalvoja, ka viņš turpināja ciest no ļoti negatīvām sekām efektīvas, neatkarīgas un o</w:t>
      </w:r>
      <w:r w:rsidR="00BE506A">
        <w:t>bjektīvas izmeklēšanas trūkuma dēļ</w:t>
      </w:r>
      <w:r w:rsidR="00966DE3">
        <w:t xml:space="preserve">. </w:t>
      </w:r>
      <w:r w:rsidR="00966DE3">
        <w:lastRenderedPageBreak/>
        <w:t xml:space="preserve">Atbildīgo policijas darbinieku </w:t>
      </w:r>
      <w:r w:rsidR="00251779">
        <w:t>noteikšana</w:t>
      </w:r>
      <w:r w:rsidR="00966DE3">
        <w:t xml:space="preserve"> un viņu atbildības atzīšana iesniedzējam bija ļoti nozīmīga, neskatoties uz to, ka, beidzoties likumā noteiktajam noilguma termiņam, viņus vairs nevarēja sodīt. Šīs sekas varēja labot, tikai pieņemot lēmumu par kriminālprocesa atjaunošanu lietā Nr. 50207598. Kaut gan iesniedzējs jau bija izcietis deviņu gadu </w:t>
      </w:r>
      <w:r w:rsidR="00BE506A">
        <w:t>brīvības atņemšanas sodu</w:t>
      </w:r>
      <w:r w:rsidR="00966DE3">
        <w:t xml:space="preserve"> par laupīšanu, viņam bija īpaši svarīgi saņemt </w:t>
      </w:r>
      <w:r w:rsidR="00B86CA3">
        <w:t>apstiprinājumu tam</w:t>
      </w:r>
      <w:r w:rsidR="00966DE3">
        <w:t>, ka viņa notiesāšana ir bijusi balstīta uz kriminālprocesu, kur</w:t>
      </w:r>
      <w:r w:rsidR="00251779">
        <w:t>a</w:t>
      </w:r>
      <w:r w:rsidR="00966DE3">
        <w:t xml:space="preserve"> izmeklēšanas stadijā policijas darbinieki pret viņu ir slikti izturējušies, kas ir pretrunā Konvencijas </w:t>
      </w:r>
      <w:proofErr w:type="gramStart"/>
      <w:r w:rsidR="00966DE3">
        <w:t>3.pant</w:t>
      </w:r>
      <w:r w:rsidR="00BE506A">
        <w:t>am</w:t>
      </w:r>
      <w:proofErr w:type="gramEnd"/>
      <w:r w:rsidR="00966DE3">
        <w:t>.</w:t>
      </w:r>
    </w:p>
    <w:p w:rsidR="003D1498" w:rsidRPr="009D4272" w:rsidRDefault="003D7F16" w:rsidP="009D4272">
      <w:pPr>
        <w:pStyle w:val="ECHRPara"/>
      </w:pPr>
      <w:r w:rsidRPr="009D4272">
        <w:fldChar w:fldCharType="begin"/>
      </w:r>
      <w:r w:rsidR="00974F14" w:rsidRPr="009D4272">
        <w:instrText xml:space="preserve"> SEQ level0 \*arabic </w:instrText>
      </w:r>
      <w:r w:rsidRPr="009D4272">
        <w:fldChar w:fldCharType="separate"/>
      </w:r>
      <w:r w:rsidR="009D4272" w:rsidRPr="009D4272">
        <w:rPr>
          <w:noProof/>
        </w:rPr>
        <w:t>92</w:t>
      </w:r>
      <w:r w:rsidRPr="009D4272">
        <w:fldChar w:fldCharType="end"/>
      </w:r>
      <w:r w:rsidR="00974F14">
        <w:t>.  </w:t>
      </w:r>
      <w:r w:rsidR="00B86CA3">
        <w:t xml:space="preserve"> Iesniedzēja ieskatā</w:t>
      </w:r>
      <w:r w:rsidR="00974F14">
        <w:t xml:space="preserve">, </w:t>
      </w:r>
      <w:r w:rsidR="00B86CA3">
        <w:t>l</w:t>
      </w:r>
      <w:r w:rsidR="00BB63F3">
        <w:t>ai gan</w:t>
      </w:r>
      <w:r w:rsidR="00974F14">
        <w:t xml:space="preserve"> </w:t>
      </w:r>
      <w:r w:rsidR="00B86CA3">
        <w:t xml:space="preserve">Konvencijas </w:t>
      </w:r>
      <w:proofErr w:type="gramStart"/>
      <w:r w:rsidR="00974F14">
        <w:t>13.pants</w:t>
      </w:r>
      <w:proofErr w:type="gramEnd"/>
      <w:r w:rsidR="00974F14">
        <w:t xml:space="preserve"> neparedz, ka valstij būtu nepieciešams atjaunot kriminālprocesu visās lietās, būtu jābūt atbilstošai procedūrai atsevišķu lietu izskatīšanai pēc būtības.</w:t>
      </w:r>
    </w:p>
    <w:p w:rsidR="00A33282" w:rsidRPr="009D4272" w:rsidRDefault="00251779" w:rsidP="009D4272">
      <w:pPr>
        <w:pStyle w:val="ECHRHeading4"/>
      </w:pPr>
      <w:r>
        <w:t xml:space="preserve">(c) </w:t>
      </w:r>
      <w:r w:rsidR="00C457AF">
        <w:t xml:space="preserve">Trešās puses </w:t>
      </w:r>
      <w:r w:rsidR="00BB63F3">
        <w:t>iesaistīšanās lietā</w:t>
      </w:r>
    </w:p>
    <w:p w:rsidR="00D20293" w:rsidRPr="009D4272" w:rsidRDefault="003D7F16" w:rsidP="009D4272">
      <w:pPr>
        <w:pStyle w:val="ECHRPara"/>
      </w:pPr>
      <w:r w:rsidRPr="009D4272">
        <w:fldChar w:fldCharType="begin"/>
      </w:r>
      <w:r w:rsidR="009E5CC8" w:rsidRPr="009D4272">
        <w:instrText xml:space="preserve"> SEQ level0 \*arabic </w:instrText>
      </w:r>
      <w:r w:rsidRPr="009D4272">
        <w:fldChar w:fldCharType="separate"/>
      </w:r>
      <w:r w:rsidR="009D4272" w:rsidRPr="009D4272">
        <w:rPr>
          <w:noProof/>
        </w:rPr>
        <w:t>93</w:t>
      </w:r>
      <w:r w:rsidRPr="009D4272">
        <w:fldChar w:fldCharType="end"/>
      </w:r>
      <w:r w:rsidR="009E5CC8">
        <w:t xml:space="preserve">.  Helsinku Cilvēktiesību fonds (HCTF) lūdza Tiesu precizēt noteikumus, kas regulē iespēju </w:t>
      </w:r>
      <w:r w:rsidR="00197A16">
        <w:t>svītrot</w:t>
      </w:r>
      <w:r w:rsidR="009E5CC8">
        <w:t xml:space="preserve"> lietu no izskatāmo lietu saraksta, pamatojoties uz vienpusēju deklarāciju.</w:t>
      </w:r>
    </w:p>
    <w:p w:rsidR="00D20293" w:rsidRPr="009D4272" w:rsidRDefault="003D7F16" w:rsidP="009D4272">
      <w:pPr>
        <w:pStyle w:val="ECHRPara"/>
      </w:pPr>
      <w:r w:rsidRPr="009D4272">
        <w:fldChar w:fldCharType="begin"/>
      </w:r>
      <w:r w:rsidR="00AE612C" w:rsidRPr="009D4272">
        <w:instrText xml:space="preserve"> SEQ level0 \*arabic </w:instrText>
      </w:r>
      <w:r w:rsidRPr="009D4272">
        <w:fldChar w:fldCharType="separate"/>
      </w:r>
      <w:r w:rsidR="009D4272" w:rsidRPr="009D4272">
        <w:rPr>
          <w:noProof/>
        </w:rPr>
        <w:t>94</w:t>
      </w:r>
      <w:r w:rsidRPr="009D4272">
        <w:fldChar w:fldCharType="end"/>
      </w:r>
      <w:r w:rsidR="00AE612C">
        <w:t xml:space="preserve">. HCTF apgalvoja, ka vienpusējās deklarācijas procedūra </w:t>
      </w:r>
      <w:r w:rsidR="00251779">
        <w:t>ir</w:t>
      </w:r>
      <w:r w:rsidR="00AE612C">
        <w:t xml:space="preserve"> īpaši problemātiska, ja valdība ir iesniegusi vienpusējo deklarāciju uzreiz pēc tam, kad iesniedzēj</w:t>
      </w:r>
      <w:r w:rsidR="00D548B3">
        <w:t>s</w:t>
      </w:r>
      <w:r w:rsidR="00AE612C">
        <w:t xml:space="preserve"> </w:t>
      </w:r>
      <w:r w:rsidR="00454F34">
        <w:t xml:space="preserve">bija </w:t>
      </w:r>
      <w:r w:rsidR="00D548B3">
        <w:t>noraidījis iespēju</w:t>
      </w:r>
      <w:r w:rsidR="00AE612C">
        <w:t xml:space="preserve"> atrisināt šo lietu saskaņā ar Tiesas reglamenta 43. punktu (mierizlīgums). </w:t>
      </w:r>
      <w:r w:rsidR="00D548B3">
        <w:t>Tādējādi</w:t>
      </w:r>
      <w:r w:rsidR="00AE612C">
        <w:t xml:space="preserve"> iesniedzēji, neskatoties uz to, ka viņi s</w:t>
      </w:r>
      <w:r w:rsidR="009A79DD">
        <w:t>kaidri paziņoja par savu vēlmi</w:t>
      </w:r>
      <w:r w:rsidR="00454F34">
        <w:t>, lai</w:t>
      </w:r>
      <w:r w:rsidR="00D548B3">
        <w:t xml:space="preserve"> </w:t>
      </w:r>
      <w:r w:rsidR="00454F34">
        <w:t>lietas tiktu</w:t>
      </w:r>
      <w:r w:rsidR="00D548B3">
        <w:t xml:space="preserve"> turpmāk</w:t>
      </w:r>
      <w:r w:rsidR="009A79DD">
        <w:t xml:space="preserve"> izskatī</w:t>
      </w:r>
      <w:r w:rsidR="00454F34">
        <w:t>tas</w:t>
      </w:r>
      <w:r w:rsidR="009A79DD">
        <w:t xml:space="preserve"> Tiesā</w:t>
      </w:r>
      <w:r w:rsidR="00AE612C">
        <w:t xml:space="preserve">, jo viņus neapmierināja piedāvātie </w:t>
      </w:r>
      <w:r w:rsidR="009A79DD">
        <w:t>mier</w:t>
      </w:r>
      <w:r w:rsidR="00AE612C">
        <w:t xml:space="preserve">izlīguma nosacījumi, </w:t>
      </w:r>
      <w:r w:rsidR="009A79DD">
        <w:t>saskārās</w:t>
      </w:r>
      <w:r w:rsidR="00AE612C">
        <w:t xml:space="preserve"> </w:t>
      </w:r>
      <w:r w:rsidR="009A79DD">
        <w:t xml:space="preserve">ar to, </w:t>
      </w:r>
      <w:r w:rsidR="00AE612C">
        <w:t xml:space="preserve">ka Tiesa </w:t>
      </w:r>
      <w:r w:rsidR="00D548B3">
        <w:t>svītro</w:t>
      </w:r>
      <w:r w:rsidR="00AE612C">
        <w:t xml:space="preserve"> </w:t>
      </w:r>
      <w:r w:rsidR="00454F34">
        <w:t>tās</w:t>
      </w:r>
      <w:r w:rsidR="00AE612C">
        <w:t xml:space="preserve"> lietas no izskatāmo lietu saraksta. Tas dažreiz radīja </w:t>
      </w:r>
      <w:r w:rsidR="00454F34">
        <w:t>sarežģījumus</w:t>
      </w:r>
      <w:r w:rsidR="00AE612C">
        <w:t xml:space="preserve"> iesniedzējiem un viņu pārstāvjiem, jo </w:t>
      </w:r>
      <w:r w:rsidR="00454F34">
        <w:t>viņi</w:t>
      </w:r>
      <w:r w:rsidR="00AE612C">
        <w:t xml:space="preserve"> nevarēja izskaidrot saviem klientiem Tiesas pieeju.</w:t>
      </w:r>
    </w:p>
    <w:p w:rsidR="00D20293" w:rsidRPr="009D4272" w:rsidRDefault="003D7F16" w:rsidP="00454F34">
      <w:pPr>
        <w:pStyle w:val="ECHRPara"/>
      </w:pPr>
      <w:r w:rsidRPr="009D4272">
        <w:fldChar w:fldCharType="begin"/>
      </w:r>
      <w:r w:rsidR="00D20293" w:rsidRPr="009D4272">
        <w:instrText xml:space="preserve"> SEQ level0 \*arabic </w:instrText>
      </w:r>
      <w:r w:rsidRPr="009D4272">
        <w:fldChar w:fldCharType="separate"/>
      </w:r>
      <w:r w:rsidR="009D4272" w:rsidRPr="009D4272">
        <w:rPr>
          <w:noProof/>
        </w:rPr>
        <w:t>95</w:t>
      </w:r>
      <w:r w:rsidRPr="009D4272">
        <w:fldChar w:fldCharType="end"/>
      </w:r>
      <w:r w:rsidR="00D20293">
        <w:t>.  </w:t>
      </w:r>
      <w:r w:rsidR="00454F34">
        <w:t xml:space="preserve">Turklāt </w:t>
      </w:r>
      <w:r w:rsidR="00D20293">
        <w:t xml:space="preserve">HCTF norādīja, ka Tiesas prakse, iekļaujot noteiktas papildu prasības iepriekš minētajos lēmumos par lietu </w:t>
      </w:r>
      <w:r w:rsidR="00454F34">
        <w:t>svītrošanu no izskatāmo lietu sarakst</w:t>
      </w:r>
      <w:r w:rsidR="00251779">
        <w:t>a</w:t>
      </w:r>
      <w:r w:rsidR="00454F34">
        <w:t>, kas pārsniedza</w:t>
      </w:r>
      <w:r w:rsidR="00D20293">
        <w:t xml:space="preserve"> valdības </w:t>
      </w:r>
      <w:r w:rsidR="00454F34">
        <w:t xml:space="preserve">vienpusējā deklarācijā </w:t>
      </w:r>
      <w:r w:rsidR="00D20293">
        <w:t>uzņemt</w:t>
      </w:r>
      <w:r w:rsidR="00454F34">
        <w:t>o</w:t>
      </w:r>
      <w:r w:rsidR="00D20293">
        <w:t xml:space="preserve"> saistīb</w:t>
      </w:r>
      <w:r w:rsidR="00454F34">
        <w:t>u robežas</w:t>
      </w:r>
      <w:r w:rsidR="00D20293">
        <w:t xml:space="preserve"> (viņi atsaucās uz iepriekš citēto </w:t>
      </w:r>
      <w:proofErr w:type="spellStart"/>
      <w:r w:rsidR="00D20293">
        <w:rPr>
          <w:i/>
        </w:rPr>
        <w:t>Sroka</w:t>
      </w:r>
      <w:proofErr w:type="spellEnd"/>
      <w:r w:rsidR="00D20293">
        <w:t xml:space="preserve"> lietu), bija ļoti svarīga attiecībā uz </w:t>
      </w:r>
      <w:r w:rsidR="00454F34">
        <w:t>jebkādu tiesību aizsardzību, kas ir nodrošināma</w:t>
      </w:r>
      <w:r w:rsidR="00D20293">
        <w:t xml:space="preserve"> nacionālā līmenī pēc Tiesas lēmuma.</w:t>
      </w:r>
    </w:p>
    <w:p w:rsidR="00D20293" w:rsidRPr="009D4272" w:rsidRDefault="003D7F16" w:rsidP="009D4272">
      <w:pPr>
        <w:pStyle w:val="ECHRPara"/>
      </w:pPr>
      <w:r w:rsidRPr="009D4272">
        <w:fldChar w:fldCharType="begin"/>
      </w:r>
      <w:r w:rsidR="00D20293" w:rsidRPr="009D4272">
        <w:instrText xml:space="preserve"> SEQ level0 \*arabic </w:instrText>
      </w:r>
      <w:r w:rsidRPr="009D4272">
        <w:fldChar w:fldCharType="separate"/>
      </w:r>
      <w:r w:rsidR="009D4272" w:rsidRPr="009D4272">
        <w:rPr>
          <w:noProof/>
        </w:rPr>
        <w:t>96</w:t>
      </w:r>
      <w:r w:rsidRPr="009D4272">
        <w:fldChar w:fldCharType="end"/>
      </w:r>
      <w:r w:rsidR="00D20293">
        <w:t xml:space="preserve">.  Pieredze </w:t>
      </w:r>
      <w:r w:rsidR="00454F34">
        <w:t>poļu lietās</w:t>
      </w:r>
      <w:r w:rsidR="00D20293">
        <w:t xml:space="preserve"> </w:t>
      </w:r>
      <w:r w:rsidR="00454F34">
        <w:t xml:space="preserve">norādīja uz </w:t>
      </w:r>
      <w:r w:rsidR="00D20293">
        <w:t>stingru noteikumu, kas regulē lietu izvēli vienpusējām deklarācijām, trūkumu</w:t>
      </w:r>
      <w:r w:rsidR="00D75BAE">
        <w:t xml:space="preserve"> kopsakarā ar </w:t>
      </w:r>
      <w:r w:rsidR="00D20293">
        <w:t xml:space="preserve">lēmumu par lietu </w:t>
      </w:r>
      <w:r w:rsidR="00454F34">
        <w:t>svītrošanu no izskatāmo lietu saraksta</w:t>
      </w:r>
      <w:r w:rsidR="00D20293">
        <w:t>, pamatojoties uz vienpusējām deklarācijām, skaita pieaugum</w:t>
      </w:r>
      <w:r w:rsidR="00D75BAE">
        <w:t>u</w:t>
      </w:r>
      <w:r w:rsidR="00D20293">
        <w:t xml:space="preserve">. </w:t>
      </w:r>
      <w:r w:rsidR="004B7EFA">
        <w:t>Šos procesus un to iespējamās sekas bija grūti izskaidrot i</w:t>
      </w:r>
      <w:r w:rsidR="00D20293">
        <w:t xml:space="preserve">esniedzējiem, kuriem turklāt nebija iespēja </w:t>
      </w:r>
      <w:r w:rsidR="004B7EFA">
        <w:t>pārsūdzēt</w:t>
      </w:r>
      <w:r w:rsidR="00D20293">
        <w:t xml:space="preserve"> šādus lēmum</w:t>
      </w:r>
      <w:r w:rsidR="004B7EFA">
        <w:t>us, kurus</w:t>
      </w:r>
      <w:r w:rsidR="00D20293">
        <w:t xml:space="preserve">, pretēji spriedumiem, </w:t>
      </w:r>
      <w:r w:rsidR="004B7EFA">
        <w:t>nevar nodot izskatīšanai Lielajā palātā</w:t>
      </w:r>
      <w:r w:rsidR="00D20293">
        <w:t xml:space="preserve">. </w:t>
      </w:r>
      <w:r w:rsidR="004B7EFA">
        <w:t>Iesniedzēju vidū t</w:t>
      </w:r>
      <w:r w:rsidR="00D20293">
        <w:t>as mazināja Tiesas autoritāti un uzticību</w:t>
      </w:r>
      <w:r w:rsidR="00713767">
        <w:t xml:space="preserve"> Tiesai</w:t>
      </w:r>
      <w:r w:rsidR="00D20293">
        <w:t xml:space="preserve">. Kā arī, Tiesas sniegtā informācija, </w:t>
      </w:r>
      <w:r w:rsidR="004B7EFA">
        <w:t>svītrojot</w:t>
      </w:r>
      <w:r w:rsidR="00D20293">
        <w:t xml:space="preserve"> lietu no tās izskatāmo lietu saraksta, bija nepietiekama un iesniedzējiem mulsinoša. Lai novērstu šīs pretrunas praksē, Tiesas reglamentā ir jāiekļauj no Tiesas judikatūras izrietošie standarti.</w:t>
      </w:r>
    </w:p>
    <w:p w:rsidR="00D20293" w:rsidRPr="009D4272" w:rsidRDefault="003D7F16" w:rsidP="009D4272">
      <w:pPr>
        <w:pStyle w:val="ECHRPara"/>
      </w:pPr>
      <w:r w:rsidRPr="009D4272">
        <w:lastRenderedPageBreak/>
        <w:fldChar w:fldCharType="begin"/>
      </w:r>
      <w:r w:rsidR="00D20293" w:rsidRPr="009D4272">
        <w:instrText xml:space="preserve"> SEQ level0 \*arabic </w:instrText>
      </w:r>
      <w:r w:rsidRPr="009D4272">
        <w:fldChar w:fldCharType="separate"/>
      </w:r>
      <w:r w:rsidR="009D4272" w:rsidRPr="009D4272">
        <w:rPr>
          <w:noProof/>
        </w:rPr>
        <w:t>97</w:t>
      </w:r>
      <w:r w:rsidRPr="009D4272">
        <w:fldChar w:fldCharType="end"/>
      </w:r>
      <w:r w:rsidR="00D20293">
        <w:t>.  </w:t>
      </w:r>
      <w:r w:rsidR="004B7EFA">
        <w:t>Trešajai personai, kas iesaistās procesā,</w:t>
      </w:r>
      <w:r w:rsidR="00D20293">
        <w:t xml:space="preserve"> bija bažas par to, ka vienpusējo deklarāciju izmantošana </w:t>
      </w:r>
      <w:r w:rsidR="004B7EFA">
        <w:t>attiecās uz lielu lietu skaitu</w:t>
      </w:r>
      <w:r w:rsidR="00D20293">
        <w:t xml:space="preserve">, tostarp </w:t>
      </w:r>
      <w:r w:rsidR="004B7EFA">
        <w:t xml:space="preserve">uz </w:t>
      </w:r>
      <w:r w:rsidR="00D20293">
        <w:t>nozīmīgām lietām, kas izriet no ļaunp</w:t>
      </w:r>
      <w:r w:rsidR="004B7EFA">
        <w:t>rātīgām darbībām vai tiesību aktu nepilnībām</w:t>
      </w:r>
      <w:r w:rsidR="00D20293">
        <w:t>. Stingru noteikumu trūkums ļāva valdībām mēģināt izslēgt svarīgas lietas no izskatāmo lietu saraksta</w:t>
      </w:r>
      <w:r w:rsidR="004F7711">
        <w:t>, iesniedzot</w:t>
      </w:r>
      <w:r w:rsidR="00D20293">
        <w:t xml:space="preserve"> vienpusēj</w:t>
      </w:r>
      <w:r w:rsidR="006A12CA">
        <w:t>o</w:t>
      </w:r>
      <w:r w:rsidR="00D20293">
        <w:t xml:space="preserve"> deklarāciju.</w:t>
      </w:r>
    </w:p>
    <w:p w:rsidR="00D20293" w:rsidRPr="009D4272" w:rsidRDefault="003D7F16" w:rsidP="009D4272">
      <w:pPr>
        <w:pStyle w:val="ECHRPara"/>
      </w:pPr>
      <w:r w:rsidRPr="009D4272">
        <w:fldChar w:fldCharType="begin"/>
      </w:r>
      <w:r w:rsidR="00D20293" w:rsidRPr="009D4272">
        <w:instrText xml:space="preserve"> SEQ level0 \*arabic </w:instrText>
      </w:r>
      <w:r w:rsidRPr="009D4272">
        <w:fldChar w:fldCharType="separate"/>
      </w:r>
      <w:r w:rsidR="009D4272" w:rsidRPr="009D4272">
        <w:rPr>
          <w:noProof/>
        </w:rPr>
        <w:t>98</w:t>
      </w:r>
      <w:r w:rsidRPr="009D4272">
        <w:fldChar w:fldCharType="end"/>
      </w:r>
      <w:r w:rsidR="00D20293">
        <w:t>.  </w:t>
      </w:r>
      <w:r w:rsidR="006A12CA">
        <w:t>Ir bijušas</w:t>
      </w:r>
      <w:r w:rsidR="00D20293">
        <w:t xml:space="preserve"> situācijas, kad vienpusēj</w:t>
      </w:r>
      <w:r w:rsidR="006A12CA">
        <w:t>ās</w:t>
      </w:r>
      <w:r w:rsidR="00D20293">
        <w:t xml:space="preserve"> deklarācijas tika izmantotas gadījumos, kas saistīti ne tikai ar sūdzībām par atkārtotiem pārkāpumiem (piemēram, apcietinājuma ilgums), bet arī citām sūdzībām, kā, piemēram, ieslodzījuma vietu pārapdzīvotība, slikta izturēšanās un efektīvas izmeklēšanas trūkums. Izplatīta vienpusēj</w:t>
      </w:r>
      <w:r w:rsidR="006A12CA">
        <w:t>o</w:t>
      </w:r>
      <w:r w:rsidR="00D20293">
        <w:t xml:space="preserve"> deklarāciju izmantošana var radīt situācijas, kad Tiesa var uzskatīt gadījumus, kas atklāj ne tikai sistēmiskas problēmas, bet arī konkrētus un sarežģītus pārkāpumus, par atkārtotiem. Tas radīja iespaidu, ka Tiesa liek pusēm atrisināt lietu ar mierizlīguma vai vienpusējas deklarācijas palīdzību.</w:t>
      </w:r>
    </w:p>
    <w:p w:rsidR="00D20293" w:rsidRPr="009D4272" w:rsidRDefault="003D7F16" w:rsidP="009D4272">
      <w:pPr>
        <w:pStyle w:val="ECHRPara"/>
      </w:pPr>
      <w:r w:rsidRPr="009D4272">
        <w:fldChar w:fldCharType="begin"/>
      </w:r>
      <w:r w:rsidR="00D20293" w:rsidRPr="009D4272">
        <w:instrText xml:space="preserve"> SEQ level0 \*arabic </w:instrText>
      </w:r>
      <w:r w:rsidRPr="009D4272">
        <w:fldChar w:fldCharType="separate"/>
      </w:r>
      <w:r w:rsidR="009D4272" w:rsidRPr="009D4272">
        <w:rPr>
          <w:noProof/>
        </w:rPr>
        <w:t>99</w:t>
      </w:r>
      <w:r w:rsidRPr="009D4272">
        <w:fldChar w:fldCharType="end"/>
      </w:r>
      <w:r w:rsidR="00D20293">
        <w:t>.  Viens no nosacījumiem, lai Tiesa pieņemtu vienpusējo dekla</w:t>
      </w:r>
      <w:r w:rsidR="002973E8">
        <w:t>rāciju, bija tas,</w:t>
      </w:r>
      <w:r w:rsidR="00D20293">
        <w:t xml:space="preserve"> ka </w:t>
      </w:r>
      <w:r w:rsidR="002973E8">
        <w:t xml:space="preserve">vienpusējai deklarācijai </w:t>
      </w:r>
      <w:r w:rsidR="00D20293">
        <w:t xml:space="preserve">ir jānodrošina iesniedzējiem atbilstošu </w:t>
      </w:r>
      <w:r w:rsidR="003B3157">
        <w:t xml:space="preserve">tiesību aizsardzību </w:t>
      </w:r>
      <w:r w:rsidR="00250298">
        <w:t>pret</w:t>
      </w:r>
      <w:r w:rsidR="00D20293">
        <w:t xml:space="preserve"> iespējamiem cilvēktiesību pārkāpumiem. Tomēr bieži vien valdības </w:t>
      </w:r>
      <w:r w:rsidR="002973E8">
        <w:t xml:space="preserve">piedāvātie līdzekļi </w:t>
      </w:r>
      <w:r w:rsidR="00D20293">
        <w:t>tās vienpusēj</w:t>
      </w:r>
      <w:r w:rsidR="002973E8">
        <w:t>ā deklarācijā</w:t>
      </w:r>
      <w:r w:rsidR="00D20293">
        <w:t xml:space="preserve"> </w:t>
      </w:r>
      <w:r w:rsidR="002973E8">
        <w:t>nes</w:t>
      </w:r>
      <w:r w:rsidR="009755B7">
        <w:t xml:space="preserve">niedza </w:t>
      </w:r>
      <w:r w:rsidR="002973E8">
        <w:t>iesniedzējam nodarītā kaitējuma atlīdzinājumu</w:t>
      </w:r>
      <w:r w:rsidR="00D20293">
        <w:t>.</w:t>
      </w:r>
    </w:p>
    <w:p w:rsidR="00D20293" w:rsidRPr="009D4272" w:rsidRDefault="003D7F16" w:rsidP="009D4272">
      <w:pPr>
        <w:pStyle w:val="ECHRPara"/>
      </w:pPr>
      <w:r w:rsidRPr="009D4272">
        <w:fldChar w:fldCharType="begin"/>
      </w:r>
      <w:r w:rsidR="00D20293" w:rsidRPr="009D4272">
        <w:instrText xml:space="preserve"> SEQ level0 \*arabic </w:instrText>
      </w:r>
      <w:r w:rsidRPr="009D4272">
        <w:fldChar w:fldCharType="separate"/>
      </w:r>
      <w:r w:rsidR="009D4272" w:rsidRPr="009D4272">
        <w:rPr>
          <w:noProof/>
        </w:rPr>
        <w:t>100</w:t>
      </w:r>
      <w:r w:rsidRPr="009D4272">
        <w:fldChar w:fldCharType="end"/>
      </w:r>
      <w:r w:rsidR="00D20293">
        <w:t>.  </w:t>
      </w:r>
      <w:r w:rsidR="00F65B18">
        <w:t>Lai</w:t>
      </w:r>
      <w:r w:rsidR="00D20293">
        <w:t xml:space="preserve"> gan lietas </w:t>
      </w:r>
      <w:r w:rsidR="00AA6A5E">
        <w:t xml:space="preserve">izskatīšanas </w:t>
      </w:r>
      <w:r w:rsidR="00D20293">
        <w:t>atjaunošana bija viens no visefektīvākajiem ties</w:t>
      </w:r>
      <w:r w:rsidR="00F65B18">
        <w:t xml:space="preserve">ību </w:t>
      </w:r>
      <w:r w:rsidR="00D20293">
        <w:t>aizsardzības līdzekļiem, atsevišķos gadījumos nebija skaidrs tas, vai nacionālo tiesību akti pieļāva iespēju atjaunot lietu, pamatojoties uz lēmum</w:t>
      </w:r>
      <w:r w:rsidR="00F65B18">
        <w:t>a</w:t>
      </w:r>
      <w:r w:rsidR="00D20293">
        <w:t xml:space="preserve"> par lietas </w:t>
      </w:r>
      <w:r w:rsidR="00F65B18">
        <w:t>svītrošanu no izskatāmo lietu saraksta pēc vienpusējā</w:t>
      </w:r>
      <w:r w:rsidR="00D20293">
        <w:t>s deklarācijas</w:t>
      </w:r>
      <w:r w:rsidR="00F65B18">
        <w:t xml:space="preserve"> pieņemšanas</w:t>
      </w:r>
      <w:r w:rsidR="00D20293">
        <w:t>.</w:t>
      </w:r>
    </w:p>
    <w:p w:rsidR="00D20293" w:rsidRPr="009D4272" w:rsidRDefault="003D7F16" w:rsidP="009D4272">
      <w:pPr>
        <w:pStyle w:val="ECHRPara"/>
      </w:pPr>
      <w:r w:rsidRPr="009D4272">
        <w:fldChar w:fldCharType="begin"/>
      </w:r>
      <w:r w:rsidR="00D20293" w:rsidRPr="009D4272">
        <w:instrText xml:space="preserve"> SEQ level0 \*arabic </w:instrText>
      </w:r>
      <w:r w:rsidRPr="009D4272">
        <w:fldChar w:fldCharType="separate"/>
      </w:r>
      <w:r w:rsidR="009D4272" w:rsidRPr="009D4272">
        <w:rPr>
          <w:noProof/>
        </w:rPr>
        <w:t>101</w:t>
      </w:r>
      <w:r w:rsidRPr="009D4272">
        <w:fldChar w:fldCharType="end"/>
      </w:r>
      <w:r w:rsidR="00D20293">
        <w:t>.  HCTF rekomendēja piešķirt Ministru komitejai p</w:t>
      </w:r>
      <w:r w:rsidR="00A12E26">
        <w:t>ilnvaras uzraudzīt, kā tiek izpildīti visi lēmumi</w:t>
      </w:r>
      <w:r w:rsidR="00D20293">
        <w:t xml:space="preserve"> par lietu</w:t>
      </w:r>
      <w:r w:rsidR="00A12E26">
        <w:t xml:space="preserve"> svītrošanu no izskatāmo lietu saraksta pēc vienpusējās deklarācijas pieņemšanas</w:t>
      </w:r>
      <w:r w:rsidR="00D20293">
        <w:t>, nevis tikai t</w:t>
      </w:r>
      <w:r w:rsidR="00A12E26">
        <w:t>ie</w:t>
      </w:r>
      <w:r w:rsidR="00D20293">
        <w:t>, kur</w:t>
      </w:r>
      <w:r w:rsidR="00A12E26">
        <w:t>os</w:t>
      </w:r>
      <w:r w:rsidR="00D20293">
        <w:t xml:space="preserve"> Tiesa ir lēmusi piedzīt </w:t>
      </w:r>
      <w:r w:rsidR="00EE116D">
        <w:t>tiesāšanas</w:t>
      </w:r>
      <w:r w:rsidR="00D20293">
        <w:t xml:space="preserve"> izdevumus.</w:t>
      </w:r>
    </w:p>
    <w:p w:rsidR="003D1498" w:rsidRPr="009D4272" w:rsidRDefault="003D7F16" w:rsidP="009D4272">
      <w:pPr>
        <w:pStyle w:val="ECHRPara"/>
      </w:pPr>
      <w:r w:rsidRPr="009D4272">
        <w:fldChar w:fldCharType="begin"/>
      </w:r>
      <w:r w:rsidR="00D20293" w:rsidRPr="009D4272">
        <w:instrText xml:space="preserve"> SEQ level0 \*arabic </w:instrText>
      </w:r>
      <w:r w:rsidRPr="009D4272">
        <w:fldChar w:fldCharType="separate"/>
      </w:r>
      <w:r w:rsidR="009D4272" w:rsidRPr="009D4272">
        <w:rPr>
          <w:noProof/>
        </w:rPr>
        <w:t>102</w:t>
      </w:r>
      <w:r w:rsidRPr="009D4272">
        <w:fldChar w:fldCharType="end"/>
      </w:r>
      <w:r w:rsidR="00D20293">
        <w:t>.  Visbeidzot, HCTF lūdza Tiesu atteikt pieņemt vienpusējās deklarācijas noteikta veida lietās, jo īpaši tajās, kas varētu radīt nozīmīgu precedentu nacionā</w:t>
      </w:r>
      <w:r w:rsidR="0062721B">
        <w:t>lajās tiesībās,</w:t>
      </w:r>
      <w:r w:rsidR="00D20293">
        <w:t xml:space="preserve"> tajās, kur </w:t>
      </w:r>
      <w:r w:rsidR="0062721B">
        <w:t xml:space="preserve">nav </w:t>
      </w:r>
      <w:r w:rsidR="00D20293">
        <w:t>izveido</w:t>
      </w:r>
      <w:r w:rsidR="0062721B">
        <w:t>jusies</w:t>
      </w:r>
      <w:r w:rsidR="00D20293">
        <w:t xml:space="preserve"> </w:t>
      </w:r>
      <w:r w:rsidR="0062721B">
        <w:t xml:space="preserve">nacionālā </w:t>
      </w:r>
      <w:r w:rsidR="00D20293">
        <w:t>tiesu prakse attiecībā uz konkrēto jautājumu, un tajās, kur valdība nevarēja piedāvāt Ministru komitejai detalizētu rīcības plānu līdzīgu gadījumu risināšanai.</w:t>
      </w:r>
    </w:p>
    <w:p w:rsidR="003D1498" w:rsidRPr="009D4272" w:rsidRDefault="003D1498" w:rsidP="009D4272">
      <w:pPr>
        <w:pStyle w:val="ECHRHeading3"/>
      </w:pPr>
      <w:r>
        <w:t>2.  Tiesas vērtējums</w:t>
      </w:r>
    </w:p>
    <w:p w:rsidR="00890DB9" w:rsidRPr="009D4272" w:rsidRDefault="00890DB9" w:rsidP="009D4272">
      <w:pPr>
        <w:pStyle w:val="ECHRHeading4"/>
      </w:pPr>
      <w:r>
        <w:t>(a) Tiesas judikatūrā izveidotie principi</w:t>
      </w:r>
    </w:p>
    <w:p w:rsidR="004038A9" w:rsidRPr="009D4272" w:rsidRDefault="003D7F16" w:rsidP="009D4272">
      <w:pPr>
        <w:pStyle w:val="ECHRPara"/>
        <w:rPr>
          <w:i/>
          <w:szCs w:val="24"/>
        </w:rPr>
      </w:pPr>
      <w:r w:rsidRPr="009D4272">
        <w:rPr>
          <w:rFonts w:eastAsiaTheme="majorEastAsia"/>
        </w:rPr>
        <w:fldChar w:fldCharType="begin"/>
      </w:r>
      <w:r w:rsidR="00140E7E" w:rsidRPr="009D4272">
        <w:rPr>
          <w:rFonts w:eastAsiaTheme="majorEastAsia"/>
        </w:rPr>
        <w:instrText xml:space="preserve"> SEQ level0 \*arabic </w:instrText>
      </w:r>
      <w:r w:rsidRPr="009D4272">
        <w:rPr>
          <w:rFonts w:eastAsiaTheme="majorEastAsia"/>
        </w:rPr>
        <w:fldChar w:fldCharType="separate"/>
      </w:r>
      <w:r w:rsidR="009D4272" w:rsidRPr="009D4272">
        <w:rPr>
          <w:rFonts w:eastAsiaTheme="majorEastAsia"/>
          <w:noProof/>
        </w:rPr>
        <w:t>103</w:t>
      </w:r>
      <w:r w:rsidRPr="009D4272">
        <w:rPr>
          <w:rFonts w:eastAsiaTheme="majorEastAsia"/>
        </w:rPr>
        <w:fldChar w:fldCharType="end"/>
      </w:r>
      <w:r w:rsidR="00140E7E">
        <w:t xml:space="preserve">.  Tiesas judikatūrā ir labi </w:t>
      </w:r>
      <w:r w:rsidR="00AA6A5E">
        <w:t>iedibināts</w:t>
      </w:r>
      <w:r w:rsidR="00140E7E">
        <w:t xml:space="preserve"> pienākums veikt efektīvu izmeklēšanu par iespējamo izturēšanos</w:t>
      </w:r>
      <w:r w:rsidR="00AA6A5E" w:rsidRPr="00AA6A5E">
        <w:t xml:space="preserve"> </w:t>
      </w:r>
      <w:r w:rsidR="00AA6A5E">
        <w:t>no valsts amatpersonu puses</w:t>
      </w:r>
      <w:r w:rsidR="00140E7E">
        <w:t xml:space="preserve">, kas pārkāpj </w:t>
      </w:r>
      <w:r w:rsidR="009E3FBB">
        <w:t xml:space="preserve">Konvencijas </w:t>
      </w:r>
      <w:proofErr w:type="gramStart"/>
      <w:r w:rsidR="00AA6A5E">
        <w:t>3.pantu</w:t>
      </w:r>
      <w:proofErr w:type="gramEnd"/>
      <w:r w:rsidR="00140E7E">
        <w:t xml:space="preserve"> (skatīt visnesenāko avotu, </w:t>
      </w:r>
      <w:proofErr w:type="spellStart"/>
      <w:r w:rsidR="00140E7E">
        <w:rPr>
          <w:i/>
        </w:rPr>
        <w:t>Bouyid</w:t>
      </w:r>
      <w:proofErr w:type="spellEnd"/>
      <w:r w:rsidR="00140E7E">
        <w:rPr>
          <w:i/>
        </w:rPr>
        <w:t xml:space="preserve"> Beļģiju </w:t>
      </w:r>
      <w:r w:rsidR="00140E7E">
        <w:t xml:space="preserve">[LP], Nr. 23380/09, 114.-123. rindkopa, 2015.gada 28.septembris, un attiecībā uz pilnu paziņojumu par principiem no Lielās palātas, </w:t>
      </w:r>
      <w:proofErr w:type="spellStart"/>
      <w:r w:rsidR="00140E7E">
        <w:rPr>
          <w:i/>
        </w:rPr>
        <w:t>El-Masri</w:t>
      </w:r>
      <w:proofErr w:type="spellEnd"/>
      <w:r w:rsidR="00140E7E">
        <w:rPr>
          <w:i/>
        </w:rPr>
        <w:t xml:space="preserve"> pret bijušo </w:t>
      </w:r>
      <w:r w:rsidR="00140E7E">
        <w:rPr>
          <w:i/>
        </w:rPr>
        <w:lastRenderedPageBreak/>
        <w:t xml:space="preserve">Dienvidslāvijas Republiku Maķedoniju </w:t>
      </w:r>
      <w:r w:rsidR="00140E7E">
        <w:t>[LP], Nr. 39630/09, 182.-185. rindkopa, ECT</w:t>
      </w:r>
      <w:r w:rsidR="008C4A92">
        <w:t>K</w:t>
      </w:r>
      <w:r w:rsidR="00140E7E">
        <w:t xml:space="preserve"> 2012, un </w:t>
      </w:r>
      <w:proofErr w:type="spellStart"/>
      <w:r w:rsidR="00140E7E">
        <w:rPr>
          <w:i/>
          <w:snapToGrid w:val="0"/>
        </w:rPr>
        <w:t>Mocanu</w:t>
      </w:r>
      <w:proofErr w:type="spellEnd"/>
      <w:r w:rsidR="00140E7E">
        <w:rPr>
          <w:i/>
          <w:snapToGrid w:val="0"/>
        </w:rPr>
        <w:t xml:space="preserve"> un citi</w:t>
      </w:r>
      <w:r w:rsidR="00140E7E">
        <w:t>, citēts iepriekš, 31</w:t>
      </w:r>
      <w:r w:rsidR="00537240">
        <w:t xml:space="preserve">6.-326. rindkopa). Lai </w:t>
      </w:r>
      <w:r w:rsidR="00094607">
        <w:t>izmeklēšana</w:t>
      </w:r>
      <w:r w:rsidR="00537240">
        <w:t xml:space="preserve"> būtu „</w:t>
      </w:r>
      <w:r w:rsidR="00140E7E">
        <w:t xml:space="preserve">efektīva”, </w:t>
      </w:r>
      <w:r w:rsidR="00094607">
        <w:t>tai,</w:t>
      </w:r>
      <w:r w:rsidR="00140E7E">
        <w:t xml:space="preserve"> </w:t>
      </w:r>
      <w:r w:rsidR="00AA6A5E">
        <w:t xml:space="preserve">tāpat kā Konvencijas </w:t>
      </w:r>
      <w:proofErr w:type="gramStart"/>
      <w:r w:rsidR="00094607">
        <w:t>2.panta</w:t>
      </w:r>
      <w:proofErr w:type="gramEnd"/>
      <w:r w:rsidR="00094607">
        <w:t xml:space="preserve"> kontekstā</w:t>
      </w:r>
      <w:r w:rsidR="00140E7E">
        <w:t xml:space="preserve">, jābūt vispirms </w:t>
      </w:r>
      <w:r w:rsidR="00094607">
        <w:t>atbilstošai</w:t>
      </w:r>
      <w:r w:rsidR="00140E7E">
        <w:t xml:space="preserve"> (skatīt </w:t>
      </w:r>
      <w:proofErr w:type="spellStart"/>
      <w:r w:rsidR="00140E7E">
        <w:rPr>
          <w:i/>
          <w:snapToGrid w:val="0"/>
        </w:rPr>
        <w:t>Ramsahai</w:t>
      </w:r>
      <w:proofErr w:type="spellEnd"/>
      <w:r w:rsidR="00140E7E">
        <w:rPr>
          <w:i/>
          <w:snapToGrid w:val="0"/>
        </w:rPr>
        <w:t xml:space="preserve"> un citi pret Nīderlandi </w:t>
      </w:r>
      <w:r w:rsidR="00140E7E">
        <w:t>[LP], Nr. 52391/99, 324.rindkopa, ECT</w:t>
      </w:r>
      <w:r w:rsidR="008836C3">
        <w:t>K</w:t>
      </w:r>
      <w:r w:rsidR="00140E7E">
        <w:t xml:space="preserve"> 2007</w:t>
      </w:r>
      <w:r w:rsidR="00140E7E">
        <w:noBreakHyphen/>
        <w:t>II, un</w:t>
      </w:r>
      <w:r w:rsidR="00140E7E">
        <w:rPr>
          <w:i/>
          <w:snapToGrid w:val="0"/>
        </w:rPr>
        <w:t xml:space="preserve"> Mustafa </w:t>
      </w:r>
      <w:proofErr w:type="spellStart"/>
      <w:r w:rsidR="00140E7E">
        <w:rPr>
          <w:i/>
          <w:snapToGrid w:val="0"/>
        </w:rPr>
        <w:t>Tunç</w:t>
      </w:r>
      <w:proofErr w:type="spellEnd"/>
      <w:r w:rsidR="00140E7E">
        <w:rPr>
          <w:i/>
          <w:snapToGrid w:val="0"/>
        </w:rPr>
        <w:t xml:space="preserve"> un </w:t>
      </w:r>
      <w:proofErr w:type="spellStart"/>
      <w:r w:rsidR="00140E7E">
        <w:rPr>
          <w:i/>
          <w:snapToGrid w:val="0"/>
        </w:rPr>
        <w:t>Fecire</w:t>
      </w:r>
      <w:proofErr w:type="spellEnd"/>
      <w:r w:rsidR="00140E7E">
        <w:rPr>
          <w:i/>
          <w:snapToGrid w:val="0"/>
        </w:rPr>
        <w:t xml:space="preserve"> </w:t>
      </w:r>
      <w:proofErr w:type="spellStart"/>
      <w:r w:rsidR="00140E7E">
        <w:rPr>
          <w:i/>
          <w:snapToGrid w:val="0"/>
        </w:rPr>
        <w:t>Tunç</w:t>
      </w:r>
      <w:proofErr w:type="spellEnd"/>
      <w:r w:rsidR="00140E7E">
        <w:t xml:space="preserve"> </w:t>
      </w:r>
      <w:r w:rsidR="00140E7E">
        <w:rPr>
          <w:i/>
          <w:snapToGrid w:val="0"/>
        </w:rPr>
        <w:t>pret Turciju</w:t>
      </w:r>
      <w:r w:rsidR="00140E7E">
        <w:rPr>
          <w:i/>
        </w:rPr>
        <w:t xml:space="preserve"> </w:t>
      </w:r>
      <w:r w:rsidR="00140E7E">
        <w:t xml:space="preserve">[LP], Nr. 24014/05, 172. rindkopa, 2015.gada 14.aprīlis). Tas nozīmē, ka tai jāspēj panākt faktu noskaidrošanu un jākonstatē, vai pielietotais spēks bija konkrētos apstākļos pamatots vai nepamatots un vajadzības gadījumā jāidentificē atbildīgās personas (skatīt, </w:t>
      </w:r>
      <w:r w:rsidR="00140E7E">
        <w:rPr>
          <w:i/>
          <w:snapToGrid w:val="0"/>
        </w:rPr>
        <w:t>cita starpā</w:t>
      </w:r>
      <w:r w:rsidR="00140E7E">
        <w:t xml:space="preserve">, </w:t>
      </w:r>
      <w:proofErr w:type="spellStart"/>
      <w:r w:rsidR="00140E7E">
        <w:rPr>
          <w:i/>
          <w:snapToGrid w:val="0"/>
        </w:rPr>
        <w:t>Assenov</w:t>
      </w:r>
      <w:proofErr w:type="spellEnd"/>
      <w:r w:rsidR="00140E7E">
        <w:rPr>
          <w:i/>
          <w:snapToGrid w:val="0"/>
        </w:rPr>
        <w:t xml:space="preserve"> un citi pret Bulgāriju</w:t>
      </w:r>
      <w:r w:rsidR="00140E7E">
        <w:t xml:space="preserve">, </w:t>
      </w:r>
      <w:proofErr w:type="gramStart"/>
      <w:r w:rsidR="00140E7E">
        <w:t>1998.gada</w:t>
      </w:r>
      <w:proofErr w:type="gramEnd"/>
      <w:r w:rsidR="00140E7E">
        <w:t xml:space="preserve"> 28.oktobris, 102. rindkopa, </w:t>
      </w:r>
      <w:r w:rsidR="00140E7E">
        <w:rPr>
          <w:i/>
          <w:snapToGrid w:val="0"/>
        </w:rPr>
        <w:t xml:space="preserve">Ziņojumi </w:t>
      </w:r>
      <w:r w:rsidR="00140E7E">
        <w:t>1998</w:t>
      </w:r>
      <w:r w:rsidR="00140E7E">
        <w:noBreakHyphen/>
        <w:t xml:space="preserve">VIII; </w:t>
      </w:r>
      <w:proofErr w:type="spellStart"/>
      <w:r w:rsidR="00140E7E">
        <w:rPr>
          <w:i/>
          <w:snapToGrid w:val="0"/>
        </w:rPr>
        <w:t>Labita</w:t>
      </w:r>
      <w:proofErr w:type="spellEnd"/>
      <w:r w:rsidR="00140E7E">
        <w:rPr>
          <w:i/>
          <w:snapToGrid w:val="0"/>
        </w:rPr>
        <w:t xml:space="preserve"> pret Itāliju</w:t>
      </w:r>
      <w:r w:rsidR="00140E7E">
        <w:t xml:space="preserve"> [LP], Nr. 26772/95, 131.rindkopa, ECT</w:t>
      </w:r>
      <w:r w:rsidR="008836C3">
        <w:t>K</w:t>
      </w:r>
      <w:r w:rsidR="00140E7E">
        <w:t> 2000</w:t>
      </w:r>
      <w:r w:rsidR="00140E7E">
        <w:noBreakHyphen/>
        <w:t xml:space="preserve">IV; </w:t>
      </w:r>
      <w:proofErr w:type="spellStart"/>
      <w:r w:rsidR="00140E7E">
        <w:rPr>
          <w:i/>
        </w:rPr>
        <w:t>Giuliani</w:t>
      </w:r>
      <w:proofErr w:type="spellEnd"/>
      <w:r w:rsidR="00140E7E">
        <w:rPr>
          <w:i/>
        </w:rPr>
        <w:t xml:space="preserve"> un </w:t>
      </w:r>
      <w:proofErr w:type="spellStart"/>
      <w:r w:rsidR="00140E7E">
        <w:rPr>
          <w:i/>
        </w:rPr>
        <w:t>Gaggio</w:t>
      </w:r>
      <w:proofErr w:type="spellEnd"/>
      <w:r w:rsidR="00140E7E">
        <w:rPr>
          <w:i/>
        </w:rPr>
        <w:t xml:space="preserve"> pret Itāliju </w:t>
      </w:r>
      <w:r w:rsidR="00140E7E">
        <w:t>[LP], Nr. 23458/02, 301. rindkopa, ECT</w:t>
      </w:r>
      <w:r w:rsidR="008836C3">
        <w:t>K</w:t>
      </w:r>
      <w:r w:rsidR="00140E7E">
        <w:t xml:space="preserve"> 2011 (izraksti); un </w:t>
      </w:r>
      <w:r w:rsidR="00140E7E">
        <w:rPr>
          <w:i/>
          <w:snapToGrid w:val="0"/>
        </w:rPr>
        <w:t xml:space="preserve">Mustafa </w:t>
      </w:r>
      <w:proofErr w:type="spellStart"/>
      <w:r w:rsidR="00140E7E">
        <w:rPr>
          <w:i/>
          <w:snapToGrid w:val="0"/>
        </w:rPr>
        <w:t>Tunç</w:t>
      </w:r>
      <w:proofErr w:type="spellEnd"/>
      <w:r w:rsidR="00140E7E">
        <w:rPr>
          <w:i/>
          <w:snapToGrid w:val="0"/>
        </w:rPr>
        <w:t xml:space="preserve"> un </w:t>
      </w:r>
      <w:proofErr w:type="spellStart"/>
      <w:r w:rsidR="00140E7E">
        <w:rPr>
          <w:i/>
          <w:snapToGrid w:val="0"/>
        </w:rPr>
        <w:t>Fecire</w:t>
      </w:r>
      <w:proofErr w:type="spellEnd"/>
      <w:r w:rsidR="00140E7E">
        <w:rPr>
          <w:i/>
          <w:snapToGrid w:val="0"/>
        </w:rPr>
        <w:t xml:space="preserve"> </w:t>
      </w:r>
      <w:proofErr w:type="spellStart"/>
      <w:r w:rsidR="00140E7E">
        <w:rPr>
          <w:i/>
          <w:snapToGrid w:val="0"/>
        </w:rPr>
        <w:t>Tunç</w:t>
      </w:r>
      <w:proofErr w:type="spellEnd"/>
      <w:r w:rsidR="00140E7E">
        <w:t>, citēts iepriekš, 172. rindkopa).</w:t>
      </w:r>
    </w:p>
    <w:bookmarkStart w:id="34" w:name="para96"/>
    <w:p w:rsidR="00661F67" w:rsidRPr="00094607" w:rsidRDefault="003D7F16" w:rsidP="00094607">
      <w:pPr>
        <w:pStyle w:val="ECHRPara"/>
        <w:tabs>
          <w:tab w:val="left" w:pos="6312"/>
        </w:tabs>
      </w:pPr>
      <w:r w:rsidRPr="009D4272">
        <w:rPr>
          <w:snapToGrid w:val="0"/>
        </w:rPr>
        <w:fldChar w:fldCharType="begin"/>
      </w:r>
      <w:r w:rsidR="00D53EFE" w:rsidRPr="009D4272">
        <w:rPr>
          <w:snapToGrid w:val="0"/>
        </w:rPr>
        <w:instrText xml:space="preserve"> SEQ level0 \*arabic </w:instrText>
      </w:r>
      <w:r w:rsidRPr="009D4272">
        <w:rPr>
          <w:snapToGrid w:val="0"/>
        </w:rPr>
        <w:fldChar w:fldCharType="separate"/>
      </w:r>
      <w:r w:rsidR="009D4272" w:rsidRPr="009D4272">
        <w:rPr>
          <w:noProof/>
          <w:snapToGrid w:val="0"/>
        </w:rPr>
        <w:t>104</w:t>
      </w:r>
      <w:r w:rsidRPr="009D4272">
        <w:rPr>
          <w:snapToGrid w:val="0"/>
        </w:rPr>
        <w:fldChar w:fldCharType="end"/>
      </w:r>
      <w:bookmarkEnd w:id="34"/>
      <w:r w:rsidR="00D53EFE">
        <w:t xml:space="preserve">.  Papildus rūpīgai un efektīvai izmeklēšanai </w:t>
      </w:r>
      <w:r w:rsidR="00AA6A5E">
        <w:t xml:space="preserve">vajadzības gadījumā </w:t>
      </w:r>
      <w:r w:rsidR="00D53EFE">
        <w:t xml:space="preserve">valstij ir nepieciešams piešķirt iesniedzējam kompensāciju, lai </w:t>
      </w:r>
      <w:r w:rsidR="00094607">
        <w:t xml:space="preserve">nacionālajā līmenī </w:t>
      </w:r>
      <w:r w:rsidR="00D53EFE">
        <w:t xml:space="preserve">atlīdzinātu </w:t>
      </w:r>
      <w:r w:rsidR="00094607">
        <w:t xml:space="preserve">Konvencijas </w:t>
      </w:r>
      <w:proofErr w:type="gramStart"/>
      <w:r w:rsidR="00D53EFE">
        <w:t>3.panta</w:t>
      </w:r>
      <w:proofErr w:type="gramEnd"/>
      <w:r w:rsidR="00D53EFE">
        <w:t xml:space="preserve"> pārkāpum</w:t>
      </w:r>
      <w:r w:rsidR="00094607">
        <w:t>a rezultātā nodarīto</w:t>
      </w:r>
      <w:r w:rsidR="001D09BA">
        <w:t xml:space="preserve"> kait</w:t>
      </w:r>
      <w:r w:rsidR="00094607">
        <w:t>, vai vismaz dot</w:t>
      </w:r>
      <w:r w:rsidR="00AA6A5E">
        <w:t>u</w:t>
      </w:r>
      <w:r w:rsidR="00D53EFE">
        <w:t xml:space="preserve"> viņam vai viņai iespēju pieprasīt un saņemt kompensāciju par zaudējumiem, kas viņam vai viņai radušies sliktās izturēšanās rezultātā (skatīt </w:t>
      </w:r>
      <w:proofErr w:type="spellStart"/>
      <w:r w:rsidR="00D53EFE">
        <w:rPr>
          <w:i/>
        </w:rPr>
        <w:t>Gäfgen</w:t>
      </w:r>
      <w:proofErr w:type="spellEnd"/>
      <w:r w:rsidR="00D53EFE">
        <w:rPr>
          <w:i/>
        </w:rPr>
        <w:t xml:space="preserve"> pret Vāciju</w:t>
      </w:r>
      <w:r w:rsidR="00D53EFE">
        <w:t xml:space="preserve"> [LP], Nr. 22978/05, 118. rindkopa, ECT</w:t>
      </w:r>
      <w:r w:rsidR="008836C3">
        <w:t>K</w:t>
      </w:r>
      <w:r w:rsidR="00D53EFE">
        <w:t xml:space="preserve"> 2010).</w:t>
      </w:r>
    </w:p>
    <w:bookmarkStart w:id="35" w:name="para97"/>
    <w:p w:rsidR="00A243ED" w:rsidRPr="009D4272" w:rsidRDefault="003D7F16" w:rsidP="009D4272">
      <w:pPr>
        <w:pStyle w:val="ECHRPara"/>
      </w:pPr>
      <w:r w:rsidRPr="009D4272">
        <w:rPr>
          <w:snapToGrid w:val="0"/>
        </w:rPr>
        <w:fldChar w:fldCharType="begin"/>
      </w:r>
      <w:r w:rsidR="00D53EFE" w:rsidRPr="009D4272">
        <w:rPr>
          <w:snapToGrid w:val="0"/>
        </w:rPr>
        <w:instrText xml:space="preserve"> SEQ level0 \*arabic </w:instrText>
      </w:r>
      <w:r w:rsidRPr="009D4272">
        <w:rPr>
          <w:snapToGrid w:val="0"/>
        </w:rPr>
        <w:fldChar w:fldCharType="separate"/>
      </w:r>
      <w:r w:rsidR="009D4272" w:rsidRPr="009D4272">
        <w:rPr>
          <w:noProof/>
          <w:snapToGrid w:val="0"/>
        </w:rPr>
        <w:t>105</w:t>
      </w:r>
      <w:r w:rsidRPr="009D4272">
        <w:rPr>
          <w:snapToGrid w:val="0"/>
        </w:rPr>
        <w:fldChar w:fldCharType="end"/>
      </w:r>
      <w:bookmarkEnd w:id="35"/>
      <w:r w:rsidR="00D53EFE">
        <w:t xml:space="preserve">.  Tīšas sliktas izturēšanās gadījumos </w:t>
      </w:r>
      <w:proofErr w:type="gramStart"/>
      <w:r w:rsidR="00D53EFE">
        <w:t>3.panta</w:t>
      </w:r>
      <w:proofErr w:type="gramEnd"/>
      <w:r w:rsidR="00D53EFE">
        <w:t xml:space="preserve"> pārkāpumu nevar atlīdzināt tikai ar kompensācijas piešķiršanu cietušajam. Tas ir tāpēc, ka, ja iestādes</w:t>
      </w:r>
      <w:r w:rsidR="00D665BA" w:rsidRPr="00D665BA">
        <w:t xml:space="preserve"> </w:t>
      </w:r>
      <w:r w:rsidR="00D665BA">
        <w:t>varētu aprobežoties tikai ar kompensācijas izmaksu</w:t>
      </w:r>
      <w:r w:rsidR="00355BEA">
        <w:t>,</w:t>
      </w:r>
      <w:r w:rsidR="00D665BA">
        <w:t xml:space="preserve"> šādi</w:t>
      </w:r>
      <w:r w:rsidR="00D53EFE">
        <w:t xml:space="preserve"> </w:t>
      </w:r>
      <w:r w:rsidR="00355BEA">
        <w:t xml:space="preserve">reaģējot uz tīšas sliktas izturēšanās gadījumiem no valsts pārstāvju puses, un </w:t>
      </w:r>
      <w:r w:rsidR="00D53EFE">
        <w:t xml:space="preserve">nedarot pietiekami, lai sauktu pie atbildības un sodītu vainīgos, tad atsevišķos gadījumos valsts pārstāvjiem būtu iespējams ļaunprātīgi izmantot </w:t>
      </w:r>
      <w:r w:rsidR="00D665BA">
        <w:t xml:space="preserve">savas </w:t>
      </w:r>
      <w:r w:rsidR="00355BEA">
        <w:t xml:space="preserve">tiesības </w:t>
      </w:r>
      <w:r w:rsidR="00D665BA">
        <w:t>attiecībā uz tiem, kas atrodas viņu kontrolē, un praktiski</w:t>
      </w:r>
      <w:r w:rsidR="00355BEA">
        <w:t xml:space="preserve"> </w:t>
      </w:r>
      <w:r w:rsidR="00D665BA">
        <w:t>veicināt nesodāmību</w:t>
      </w:r>
      <w:r w:rsidR="00D53EFE">
        <w:t xml:space="preserve">, un vispārējais spīdzināšanas un necilvēcīgas izturēšanās un pazemošanas aizliegums, neskatoties uz tā būtisko nozīmi, būtu praksē neefektīvs (skatīt </w:t>
      </w:r>
      <w:proofErr w:type="spellStart"/>
      <w:r w:rsidR="00D53EFE">
        <w:rPr>
          <w:i/>
        </w:rPr>
        <w:t>Gäfgen</w:t>
      </w:r>
      <w:proofErr w:type="spellEnd"/>
      <w:r w:rsidR="00D53EFE">
        <w:t>, citēts iepriekš, 116. un 119. rindkopa).</w:t>
      </w:r>
    </w:p>
    <w:p w:rsidR="00627C47"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106</w:t>
      </w:r>
      <w:r w:rsidRPr="009D4272">
        <w:rPr>
          <w:noProof/>
        </w:rPr>
        <w:fldChar w:fldCharType="end"/>
      </w:r>
      <w:r w:rsidR="001C0212">
        <w:t>.  Turklāt</w:t>
      </w:r>
      <w:r w:rsidR="00E17C5D">
        <w:t xml:space="preserve"> izmeklēšanas iznākums un tam sekojošais kriminālprocess, tai skaitā piemērotās sankcijas, kā arī veiktie disciplinārie pasākumi, </w:t>
      </w:r>
      <w:r w:rsidR="00C22689">
        <w:t>ir uzskatāmi par</w:t>
      </w:r>
      <w:r w:rsidR="00E17C5D">
        <w:t xml:space="preserve"> izšķirošiem. Ir ļoti svarīgi nodrošināt, ka esošai </w:t>
      </w:r>
      <w:r w:rsidR="00BE5E15">
        <w:t>tiesību sistēmai</w:t>
      </w:r>
      <w:r w:rsidR="00E17C5D">
        <w:t xml:space="preserve"> ir prev</w:t>
      </w:r>
      <w:r w:rsidR="00BE5E15">
        <w:t xml:space="preserve">entīva nozīme un nozīmīga loma </w:t>
      </w:r>
      <w:r w:rsidR="000A09E5">
        <w:t>sliktas izturēšanā</w:t>
      </w:r>
      <w:r w:rsidR="00E17C5D">
        <w:t>s aizli</w:t>
      </w:r>
      <w:r w:rsidR="00537240">
        <w:t>eguma pārkāpum</w:t>
      </w:r>
      <w:r w:rsidR="00BE5E15">
        <w:t>u novēršanā</w:t>
      </w:r>
      <w:r w:rsidR="00537240">
        <w:t xml:space="preserve"> (</w:t>
      </w:r>
      <w:r w:rsidR="001C0212">
        <w:t>turpat</w:t>
      </w:r>
      <w:r w:rsidR="00E17C5D">
        <w:t>, 121. rindkopa).</w:t>
      </w:r>
    </w:p>
    <w:p w:rsidR="009205FC"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107</w:t>
      </w:r>
      <w:r w:rsidRPr="009D4272">
        <w:rPr>
          <w:noProof/>
        </w:rPr>
        <w:fldChar w:fldCharType="end"/>
      </w:r>
      <w:r w:rsidR="00E17C5D">
        <w:t xml:space="preserve">.  Tiesa arī norādīja, ka saistībā ar </w:t>
      </w:r>
      <w:r w:rsidR="00D2550C">
        <w:t xml:space="preserve">Konvencijas </w:t>
      </w:r>
      <w:proofErr w:type="gramStart"/>
      <w:r w:rsidR="00D2550C">
        <w:t>2.pantā</w:t>
      </w:r>
      <w:proofErr w:type="gramEnd"/>
      <w:r w:rsidR="00D2550C">
        <w:t xml:space="preserve"> paredzēto pienākumu </w:t>
      </w:r>
      <w:r w:rsidR="00E17C5D">
        <w:t xml:space="preserve">izmeklēt vardarbīgus vai aizdomīgus nāves gadījumus, ja informācija, kas, iespējams, rada jaunu skatījumu uz nāves apstākļiem, nonāk publiskā telpā, var rasties jauns pienākums izmeklēt </w:t>
      </w:r>
      <w:r w:rsidR="005D4A34">
        <w:t xml:space="preserve">šo </w:t>
      </w:r>
      <w:r w:rsidR="00E17C5D">
        <w:t xml:space="preserve">nāves gadījumu (skatīt </w:t>
      </w:r>
      <w:proofErr w:type="spellStart"/>
      <w:r w:rsidR="00E17C5D">
        <w:rPr>
          <w:i/>
        </w:rPr>
        <w:t>Hackett</w:t>
      </w:r>
      <w:proofErr w:type="spellEnd"/>
      <w:r w:rsidR="00E17C5D">
        <w:t xml:space="preserve"> </w:t>
      </w:r>
      <w:r w:rsidR="00E17C5D">
        <w:rPr>
          <w:i/>
        </w:rPr>
        <w:t>pret Apvienoto Karalisti</w:t>
      </w:r>
      <w:r w:rsidR="00E17C5D">
        <w:t xml:space="preserve"> (lēmums), Nr. 34698/04, 2005.gada 10.maijs; </w:t>
      </w:r>
      <w:proofErr w:type="spellStart"/>
      <w:r w:rsidR="00E17C5D">
        <w:rPr>
          <w:i/>
        </w:rPr>
        <w:t>Brecknell</w:t>
      </w:r>
      <w:proofErr w:type="spellEnd"/>
      <w:r w:rsidR="00E17C5D">
        <w:rPr>
          <w:i/>
        </w:rPr>
        <w:t xml:space="preserve"> pret Apvienoto Karalisti</w:t>
      </w:r>
      <w:r w:rsidR="00E17C5D">
        <w:t xml:space="preserve">, Nr. 32457/04, 66.-67.rindkopa, 2007.gada 27.novembris; un </w:t>
      </w:r>
      <w:proofErr w:type="spellStart"/>
      <w:r w:rsidR="00E17C5D">
        <w:rPr>
          <w:i/>
        </w:rPr>
        <w:t>Williams</w:t>
      </w:r>
      <w:proofErr w:type="spellEnd"/>
      <w:r w:rsidR="00E17C5D">
        <w:rPr>
          <w:i/>
        </w:rPr>
        <w:t xml:space="preserve">, </w:t>
      </w:r>
      <w:r w:rsidR="00E17C5D">
        <w:t xml:space="preserve">citēts iepriekš). Jebkuras turpmākās izmeklēšanas, ko pieprasa procesuālais pienākums, būtība un apjoms būs neizbēgami atkarīgs no katras konkrētās lietas </w:t>
      </w:r>
      <w:r w:rsidR="00E17C5D">
        <w:lastRenderedPageBreak/>
        <w:t xml:space="preserve">apstākļiem un var stipri atšķirties no tā, kas </w:t>
      </w:r>
      <w:r w:rsidR="00D2550C">
        <w:t xml:space="preserve">ir </w:t>
      </w:r>
      <w:r w:rsidR="00E17C5D">
        <w:t>gaidāms</w:t>
      </w:r>
      <w:r w:rsidR="00EC358D">
        <w:t xml:space="preserve"> nekavējoties, kad ir iestājusies personas nāve</w:t>
      </w:r>
      <w:r w:rsidR="00E17C5D">
        <w:t xml:space="preserve"> (skatīt </w:t>
      </w:r>
      <w:proofErr w:type="spellStart"/>
      <w:r w:rsidR="00E17C5D">
        <w:rPr>
          <w:i/>
        </w:rPr>
        <w:t>Stanimirović</w:t>
      </w:r>
      <w:proofErr w:type="spellEnd"/>
      <w:r w:rsidR="00E17C5D">
        <w:rPr>
          <w:i/>
        </w:rPr>
        <w:t xml:space="preserve"> pret Serbiju</w:t>
      </w:r>
      <w:r w:rsidR="00E17C5D">
        <w:t xml:space="preserve">, Nr. 26088/06, 29. rindkopa, </w:t>
      </w:r>
      <w:proofErr w:type="gramStart"/>
      <w:r w:rsidR="00E17C5D">
        <w:t>2011.gada</w:t>
      </w:r>
      <w:proofErr w:type="gramEnd"/>
      <w:r w:rsidR="00E17C5D">
        <w:t xml:space="preserve"> 18.oktobris, un </w:t>
      </w:r>
      <w:proofErr w:type="spellStart"/>
      <w:r w:rsidR="00E17C5D">
        <w:rPr>
          <w:i/>
        </w:rPr>
        <w:t>Harrison</w:t>
      </w:r>
      <w:proofErr w:type="spellEnd"/>
      <w:r w:rsidR="00E17C5D">
        <w:rPr>
          <w:i/>
        </w:rPr>
        <w:t xml:space="preserve"> un citi pret Apvienoto Karalisti</w:t>
      </w:r>
      <w:r w:rsidR="00E17C5D">
        <w:t>, Nr. 44301/13, 44379/13 un 44384/13, 51.rindkopa, 2014.gada 25.marts).</w:t>
      </w:r>
    </w:p>
    <w:p w:rsidR="0022028D" w:rsidRPr="009D4272" w:rsidRDefault="00983F61" w:rsidP="009D4272">
      <w:pPr>
        <w:pStyle w:val="ECHRPara"/>
        <w:rPr>
          <w:b/>
        </w:rPr>
      </w:pPr>
      <w:r>
        <w:t xml:space="preserve">Principi attiecībā uz </w:t>
      </w:r>
      <w:r w:rsidR="007C421E">
        <w:t xml:space="preserve">izmeklēšanas </w:t>
      </w:r>
      <w:r>
        <w:t xml:space="preserve">procesuālo pienākumu </w:t>
      </w:r>
      <w:r w:rsidR="007C421E">
        <w:t>atbilstoši</w:t>
      </w:r>
      <w:r>
        <w:t xml:space="preserve"> iepriekš minēt</w:t>
      </w:r>
      <w:r w:rsidR="007C421E">
        <w:t xml:space="preserve">ajam Konvencijas </w:t>
      </w:r>
      <w:proofErr w:type="gramStart"/>
      <w:r w:rsidR="007C421E">
        <w:t>2.pantam</w:t>
      </w:r>
      <w:proofErr w:type="gramEnd"/>
      <w:r>
        <w:t>, ir piemērojami līdzīgi kā procesuālais pienākums izmeklēt</w:t>
      </w:r>
      <w:r w:rsidR="007C421E">
        <w:t>, kas ir paredzēts Konvencijas</w:t>
      </w:r>
      <w:r>
        <w:t xml:space="preserve"> </w:t>
      </w:r>
      <w:r w:rsidR="007C421E">
        <w:t>3.pantā</w:t>
      </w:r>
      <w:r>
        <w:t xml:space="preserve"> (skatīt </w:t>
      </w:r>
      <w:proofErr w:type="spellStart"/>
      <w:r>
        <w:rPr>
          <w:i/>
        </w:rPr>
        <w:t>Tuna</w:t>
      </w:r>
      <w:proofErr w:type="spellEnd"/>
      <w:r>
        <w:rPr>
          <w:i/>
        </w:rPr>
        <w:t xml:space="preserve"> pret Turciju</w:t>
      </w:r>
      <w:r>
        <w:t xml:space="preserve">, Nr. 22339/03, 58.-63. rindkopa, 2010.gada 19.janvāris). Nacionālo iestāžu pienākums saskaņā ar Konvenciju veikt rūpīgu un efektīvu izmeklēšanu par </w:t>
      </w:r>
      <w:r w:rsidR="00CD5537">
        <w:t xml:space="preserve">apstrīdamajām </w:t>
      </w:r>
      <w:r w:rsidR="00D10175">
        <w:t xml:space="preserve">sūdzībām Konvencijas </w:t>
      </w:r>
      <w:proofErr w:type="gramStart"/>
      <w:r>
        <w:t>3.panta</w:t>
      </w:r>
      <w:proofErr w:type="gramEnd"/>
      <w:r>
        <w:t xml:space="preserve"> </w:t>
      </w:r>
      <w:r w:rsidR="00D10175">
        <w:t xml:space="preserve">kontekstā </w:t>
      </w:r>
      <w:r>
        <w:t xml:space="preserve">nepieprasa </w:t>
      </w:r>
      <w:r w:rsidR="00D10175">
        <w:t xml:space="preserve">obligāti </w:t>
      </w:r>
      <w:r>
        <w:t xml:space="preserve">sodīt valsts </w:t>
      </w:r>
      <w:r w:rsidR="00D10175">
        <w:t>amatpersonas</w:t>
      </w:r>
      <w:r>
        <w:t>, kas</w:t>
      </w:r>
      <w:r w:rsidR="007B337E">
        <w:t>,</w:t>
      </w:r>
      <w:r>
        <w:t xml:space="preserve"> iespējams</w:t>
      </w:r>
      <w:r w:rsidR="007B337E">
        <w:t>,</w:t>
      </w:r>
      <w:r>
        <w:t xml:space="preserve"> </w:t>
      </w:r>
      <w:r w:rsidR="00D10175">
        <w:t>ir iesaistīti sliktas izturēšanā</w:t>
      </w:r>
      <w:r>
        <w:t xml:space="preserve">s gadījumā. Konvencija prasa tikai, </w:t>
      </w:r>
      <w:r w:rsidR="00537240">
        <w:t>lai būtu „</w:t>
      </w:r>
      <w:r>
        <w:t xml:space="preserve">izmeklēšana, kas ļautu sodīt atbildīgās personas” (skatīt </w:t>
      </w:r>
      <w:proofErr w:type="spellStart"/>
      <w:r>
        <w:rPr>
          <w:i/>
        </w:rPr>
        <w:t>Egmez</w:t>
      </w:r>
      <w:proofErr w:type="spellEnd"/>
      <w:r>
        <w:rPr>
          <w:i/>
        </w:rPr>
        <w:t xml:space="preserve"> pret Kipru</w:t>
      </w:r>
      <w:r>
        <w:t>, Nr. 30873/96, 70. rindkopa, ECT</w:t>
      </w:r>
      <w:r w:rsidR="008C4A92">
        <w:t>K</w:t>
      </w:r>
      <w:r>
        <w:t xml:space="preserve"> 2000</w:t>
      </w:r>
      <w:r>
        <w:noBreakHyphen/>
        <w:t>XII).</w:t>
      </w:r>
    </w:p>
    <w:p w:rsidR="00D23FDA"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108</w:t>
      </w:r>
      <w:r w:rsidRPr="009D4272">
        <w:rPr>
          <w:noProof/>
        </w:rPr>
        <w:fldChar w:fldCharType="end"/>
      </w:r>
      <w:r w:rsidR="00E17C5D">
        <w:t xml:space="preserve">.  Attiecībā uz Konvencijas </w:t>
      </w:r>
      <w:proofErr w:type="gramStart"/>
      <w:r w:rsidR="00E17C5D">
        <w:t>13.pantu</w:t>
      </w:r>
      <w:proofErr w:type="gramEnd"/>
      <w:r w:rsidR="00E17C5D">
        <w:t xml:space="preserve">, Tiesa atkārtoti </w:t>
      </w:r>
      <w:r w:rsidR="00D10175">
        <w:t>norāda</w:t>
      </w:r>
      <w:r w:rsidR="00E17C5D">
        <w:t xml:space="preserve">, ka </w:t>
      </w:r>
      <w:r w:rsidR="00C733AB">
        <w:t>tas</w:t>
      </w:r>
      <w:r w:rsidR="00E17C5D">
        <w:t xml:space="preserve"> garantē tiesību aizsardzības līdzekļa pieejamību nacionāl</w:t>
      </w:r>
      <w:r w:rsidR="00C733AB">
        <w:t>aj</w:t>
      </w:r>
      <w:r w:rsidR="00E17C5D">
        <w:t xml:space="preserve">ā līmenī, </w:t>
      </w:r>
      <w:r w:rsidR="00C733AB">
        <w:t>ar kura palīdzību var</w:t>
      </w:r>
      <w:r w:rsidR="00E17C5D">
        <w:t xml:space="preserve"> iesniegt sūdzību par Konvencijas tiesību un brīvību pārkāpumu. </w:t>
      </w:r>
      <w:r w:rsidR="00C733AB">
        <w:t>Lai</w:t>
      </w:r>
      <w:r w:rsidR="00B16D5A">
        <w:t xml:space="preserve"> gan līgum</w:t>
      </w:r>
      <w:r w:rsidR="00E17C5D">
        <w:t>slēdzēj</w:t>
      </w:r>
      <w:r w:rsidR="00CD5537">
        <w:t>as</w:t>
      </w:r>
      <w:r w:rsidR="00E17C5D">
        <w:t xml:space="preserve"> valstīm tiek dota zināma </w:t>
      </w:r>
      <w:r w:rsidR="00B16D5A">
        <w:t xml:space="preserve">rīcības </w:t>
      </w:r>
      <w:r w:rsidR="00E17C5D">
        <w:t xml:space="preserve">brīvība attiecībā uz veidu, kādā tās ievēro savus pienākumus saskaņā ar šo nosacījumu, </w:t>
      </w:r>
      <w:r w:rsidR="00B16D5A">
        <w:t>valstī ir</w:t>
      </w:r>
      <w:r w:rsidR="00E17C5D">
        <w:t xml:space="preserve"> jābūt nacionāl</w:t>
      </w:r>
      <w:r w:rsidR="00B16D5A">
        <w:t>aj</w:t>
      </w:r>
      <w:r w:rsidR="00E17C5D">
        <w:t xml:space="preserve">am tiesību aizsardzības līdzeklim, kas ļauj kompetentajai nacionālajai iestādei gan </w:t>
      </w:r>
      <w:r w:rsidR="00B16D5A">
        <w:t>izskatīt</w:t>
      </w:r>
      <w:r w:rsidR="00E17C5D">
        <w:t xml:space="preserve"> attiecīgās Konvencijas sūdzīb</w:t>
      </w:r>
      <w:r w:rsidR="00B16D5A">
        <w:t>as</w:t>
      </w:r>
      <w:r w:rsidR="00E17C5D">
        <w:t xml:space="preserve"> pēc būtības, gan piešķirt atbilstošo </w:t>
      </w:r>
      <w:r w:rsidR="00B16D5A">
        <w:t>atlīdzinājumu</w:t>
      </w:r>
      <w:r w:rsidR="00E17C5D">
        <w:t xml:space="preserve">. </w:t>
      </w:r>
      <w:r w:rsidR="00DC3613">
        <w:t xml:space="preserve">Konvencijas </w:t>
      </w:r>
      <w:proofErr w:type="gramStart"/>
      <w:r w:rsidR="00DC3613">
        <w:t>13.pantā</w:t>
      </w:r>
      <w:proofErr w:type="gramEnd"/>
      <w:r w:rsidR="00DC3613">
        <w:t xml:space="preserve"> paredzētā </w:t>
      </w:r>
      <w:r w:rsidR="00E17C5D">
        <w:t xml:space="preserve">pienākuma </w:t>
      </w:r>
      <w:r w:rsidR="00CB7DD9">
        <w:t>tvērums</w:t>
      </w:r>
      <w:r w:rsidR="00E17C5D">
        <w:t xml:space="preserve"> mainās atkarībā no iesniedzēja sūdzīb</w:t>
      </w:r>
      <w:r w:rsidR="008F3324">
        <w:t>as rakstura</w:t>
      </w:r>
      <w:r w:rsidR="00E17C5D">
        <w:t xml:space="preserve"> </w:t>
      </w:r>
      <w:r w:rsidR="00DC3613">
        <w:t>atbilstoši Konvencijas normām</w:t>
      </w:r>
      <w:r w:rsidR="00E17C5D">
        <w:t>, bet tiesību aizsardz</w:t>
      </w:r>
      <w:r w:rsidR="00537240">
        <w:t>ībai jebkurā gadījumā ir jābūt „</w:t>
      </w:r>
      <w:r w:rsidR="00E17C5D">
        <w:t xml:space="preserve">efektīvai” </w:t>
      </w:r>
      <w:r w:rsidR="00DC3613">
        <w:t xml:space="preserve">gan </w:t>
      </w:r>
      <w:r w:rsidR="00E17C5D">
        <w:t xml:space="preserve">praksē, </w:t>
      </w:r>
      <w:r w:rsidR="00DC3613">
        <w:t>gan tiesību aktos</w:t>
      </w:r>
      <w:r w:rsidR="00E17C5D">
        <w:t>, jo īpaši tādā ziņā, ka tās īstenošan</w:t>
      </w:r>
      <w:r w:rsidR="00DC3613">
        <w:t>a</w:t>
      </w:r>
      <w:r w:rsidR="00E17C5D">
        <w:t xml:space="preserve"> nedrīkst nepamatoti </w:t>
      </w:r>
      <w:r w:rsidR="00DC3613">
        <w:t xml:space="preserve">tiek </w:t>
      </w:r>
      <w:r w:rsidR="00E17C5D">
        <w:t>kavēt</w:t>
      </w:r>
      <w:r w:rsidR="00DC3613">
        <w:t>a</w:t>
      </w:r>
      <w:r w:rsidR="00E17C5D">
        <w:t xml:space="preserve"> ar valsts iestāžu darbību vai bezdarbību (skatīt </w:t>
      </w:r>
      <w:proofErr w:type="spellStart"/>
      <w:r w:rsidR="00E17C5D">
        <w:rPr>
          <w:i/>
        </w:rPr>
        <w:t>Büyükdağ</w:t>
      </w:r>
      <w:proofErr w:type="spellEnd"/>
      <w:r w:rsidR="00E17C5D">
        <w:rPr>
          <w:i/>
        </w:rPr>
        <w:t xml:space="preserve"> pret Turciju</w:t>
      </w:r>
      <w:r w:rsidR="00E17C5D">
        <w:t xml:space="preserve">, Nr. 28340/95, 64. rindkopa, 2000.gada 21.decembris, ar tajā citētajām lietām, jo īpaši </w:t>
      </w:r>
      <w:proofErr w:type="spellStart"/>
      <w:r w:rsidR="00E17C5D">
        <w:rPr>
          <w:i/>
        </w:rPr>
        <w:t>Aksoy</w:t>
      </w:r>
      <w:proofErr w:type="spellEnd"/>
      <w:r w:rsidR="00E17C5D">
        <w:rPr>
          <w:i/>
        </w:rPr>
        <w:t xml:space="preserve"> pret Turciju</w:t>
      </w:r>
      <w:r w:rsidR="00E17C5D">
        <w:t xml:space="preserve">, 1996.gada 18.decembris, 95. rindkopa, </w:t>
      </w:r>
      <w:r w:rsidR="00E17C5D">
        <w:rPr>
          <w:i/>
        </w:rPr>
        <w:t>Ziņojumi </w:t>
      </w:r>
      <w:r w:rsidR="00E17C5D">
        <w:t>1996</w:t>
      </w:r>
      <w:r w:rsidR="00E17C5D">
        <w:noBreakHyphen/>
        <w:t>VI).</w:t>
      </w:r>
    </w:p>
    <w:p w:rsidR="00BB0E2E"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109</w:t>
      </w:r>
      <w:r w:rsidRPr="009D4272">
        <w:rPr>
          <w:noProof/>
        </w:rPr>
        <w:fldChar w:fldCharType="end"/>
      </w:r>
      <w:r w:rsidR="00DC3613">
        <w:t>.  Turklāt</w:t>
      </w:r>
      <w:r w:rsidR="00E17C5D">
        <w:t xml:space="preserve"> Tiesas </w:t>
      </w:r>
      <w:r w:rsidR="00DC3613">
        <w:t xml:space="preserve">nolēmumi </w:t>
      </w:r>
      <w:r w:rsidR="00E17C5D">
        <w:t xml:space="preserve">kalpo ne tikai tam, lai izlemtu tai iesniegtās lietas, bet, kopumā, lai izskaidrotu, aizsargātu un </w:t>
      </w:r>
      <w:r w:rsidR="00DC3613">
        <w:t>attīstītu</w:t>
      </w:r>
      <w:r w:rsidR="00E17C5D">
        <w:t xml:space="preserve"> Konvencij</w:t>
      </w:r>
      <w:r w:rsidR="00DC3613">
        <w:t>ā ietvertās normas</w:t>
      </w:r>
      <w:r w:rsidR="00E17C5D">
        <w:t xml:space="preserve">, tādējādi </w:t>
      </w:r>
      <w:r w:rsidR="00DC3613">
        <w:t>veicinot</w:t>
      </w:r>
      <w:r w:rsidR="00E17C5D">
        <w:t xml:space="preserve"> saistību</w:t>
      </w:r>
      <w:r w:rsidR="00DC3613" w:rsidRPr="00DC3613">
        <w:t xml:space="preserve"> </w:t>
      </w:r>
      <w:r w:rsidR="00DC3613">
        <w:t>ievērošanu</w:t>
      </w:r>
      <w:r w:rsidR="00E17C5D">
        <w:t>, ko valst</w:t>
      </w:r>
      <w:r w:rsidR="00DC3613">
        <w:t>is kā līgumslēdzēju puses ir uzņēmušās</w:t>
      </w:r>
      <w:r w:rsidR="00E17C5D">
        <w:t xml:space="preserve">. </w:t>
      </w:r>
      <w:r w:rsidR="00064D33">
        <w:t>Lai</w:t>
      </w:r>
      <w:r w:rsidR="00E17C5D">
        <w:t xml:space="preserve"> gan Konvencijas sistēmas sākotnējais mērķis ir sniegt individuālu </w:t>
      </w:r>
      <w:r w:rsidR="00064D33">
        <w:t>atlīdzinājumu</w:t>
      </w:r>
      <w:r w:rsidR="00E17C5D">
        <w:t xml:space="preserve">, tās misija ir arī </w:t>
      </w:r>
      <w:r w:rsidR="00064D33">
        <w:t>izlemt</w:t>
      </w:r>
      <w:r w:rsidR="00E17C5D">
        <w:t xml:space="preserve"> sabiedriski politiskus jautājumus </w:t>
      </w:r>
      <w:r w:rsidR="00064D33">
        <w:t>sabiedrības</w:t>
      </w:r>
      <w:r w:rsidR="00E17C5D">
        <w:t xml:space="preserve"> interesēs, līdz ar to paaugstinot vispārējos cilvēktiesību aizsardzības standartus un </w:t>
      </w:r>
      <w:r w:rsidR="00064D33">
        <w:t xml:space="preserve">attīstot </w:t>
      </w:r>
      <w:r w:rsidR="00E17C5D">
        <w:t xml:space="preserve">cilvēktiesību jurisprudenci visā Konvencijas valstu kopienā (skatīt </w:t>
      </w:r>
      <w:proofErr w:type="spellStart"/>
      <w:r w:rsidR="00E17C5D">
        <w:rPr>
          <w:i/>
        </w:rPr>
        <w:t>Rantsev</w:t>
      </w:r>
      <w:proofErr w:type="spellEnd"/>
      <w:r w:rsidR="00E17C5D">
        <w:rPr>
          <w:i/>
        </w:rPr>
        <w:t xml:space="preserve"> pret Kipru un Krieviju</w:t>
      </w:r>
      <w:r w:rsidR="00E17C5D">
        <w:t>, Nr. 25965/04, 197. rindkopa, ECT</w:t>
      </w:r>
      <w:r w:rsidR="00064D33">
        <w:t>K</w:t>
      </w:r>
      <w:r w:rsidR="00FF72C8">
        <w:t xml:space="preserve"> 2010 (izvilkumi</w:t>
      </w:r>
      <w:r w:rsidR="00E17C5D">
        <w:t>), ar turpmākām atsaucēm).</w:t>
      </w:r>
    </w:p>
    <w:p w:rsidR="00C52574" w:rsidRPr="009D4272" w:rsidRDefault="00B256D0" w:rsidP="009D4272">
      <w:pPr>
        <w:pStyle w:val="ECHRHeading4"/>
      </w:pPr>
      <w:r>
        <w:lastRenderedPageBreak/>
        <w:t>(b) Iepriekš minēto principu piemērošana konkrētajā lietā</w:t>
      </w:r>
    </w:p>
    <w:p w:rsidR="006E1AC3" w:rsidRPr="009D4272" w:rsidRDefault="00F9013D" w:rsidP="009D4272">
      <w:pPr>
        <w:pStyle w:val="ECHRHeading5"/>
      </w:pPr>
      <w:r>
        <w:t>(i) Konvencijas 3. pants</w:t>
      </w:r>
    </w:p>
    <w:p w:rsidR="00153C22" w:rsidRPr="009D4272" w:rsidRDefault="003D7F16" w:rsidP="009D4272">
      <w:pPr>
        <w:pStyle w:val="ECHRPara"/>
      </w:pPr>
      <w:r w:rsidRPr="009D4272">
        <w:fldChar w:fldCharType="begin"/>
      </w:r>
      <w:r w:rsidR="00C52574" w:rsidRPr="009D4272">
        <w:instrText xml:space="preserve"> SEQ level0 \*arabic </w:instrText>
      </w:r>
      <w:r w:rsidRPr="009D4272">
        <w:fldChar w:fldCharType="separate"/>
      </w:r>
      <w:r w:rsidR="009D4272" w:rsidRPr="009D4272">
        <w:rPr>
          <w:noProof/>
        </w:rPr>
        <w:t>110</w:t>
      </w:r>
      <w:r w:rsidRPr="009D4272">
        <w:fldChar w:fldCharType="end"/>
      </w:r>
      <w:r w:rsidR="00C52574">
        <w:t xml:space="preserve">.  Saskaņā ar Konvencijas </w:t>
      </w:r>
      <w:proofErr w:type="gramStart"/>
      <w:r w:rsidR="00C52574">
        <w:t>19.pantu</w:t>
      </w:r>
      <w:proofErr w:type="gramEnd"/>
      <w:r w:rsidR="00C52574">
        <w:t xml:space="preserve"> Tiesas pienākums ir nodrošināt to saistību ievērošanu, kuras ar Konvenciju uzņēmušās līgumslēdzējas valstis.</w:t>
      </w:r>
    </w:p>
    <w:p w:rsidR="00153C22" w:rsidRPr="009D4272" w:rsidRDefault="003D7F16" w:rsidP="009D4272">
      <w:pPr>
        <w:pStyle w:val="ECHRPara"/>
      </w:pPr>
      <w:r w:rsidRPr="009D4272">
        <w:fldChar w:fldCharType="begin"/>
      </w:r>
      <w:r w:rsidR="004314DE" w:rsidRPr="009D4272">
        <w:instrText xml:space="preserve"> SEQ level0 \*arabic </w:instrText>
      </w:r>
      <w:r w:rsidRPr="009D4272">
        <w:fldChar w:fldCharType="separate"/>
      </w:r>
      <w:r w:rsidR="009D4272" w:rsidRPr="009D4272">
        <w:rPr>
          <w:noProof/>
        </w:rPr>
        <w:t>111</w:t>
      </w:r>
      <w:r w:rsidRPr="009D4272">
        <w:fldChar w:fldCharType="end"/>
      </w:r>
      <w:r w:rsidR="004314DE">
        <w:t xml:space="preserve">.  Iesniedzējs apgalvoja, ka </w:t>
      </w:r>
      <w:r w:rsidR="003C01C4">
        <w:t xml:space="preserve">Valdībai-atbildētājai </w:t>
      </w:r>
      <w:r w:rsidR="004314DE">
        <w:t xml:space="preserve">bija pienākums izmeklēt sliktas izturēšanās gadījumu, kam viņš bija pakļauts, ņemot vērā to, ka </w:t>
      </w:r>
      <w:r w:rsidR="00967F15">
        <w:t>Valdība</w:t>
      </w:r>
      <w:r w:rsidR="004314DE">
        <w:t xml:space="preserve"> atzina </w:t>
      </w:r>
      <w:r w:rsidR="003C01C4">
        <w:t xml:space="preserve">Konvencijas </w:t>
      </w:r>
      <w:proofErr w:type="gramStart"/>
      <w:r w:rsidR="004314DE">
        <w:t>3.panta</w:t>
      </w:r>
      <w:proofErr w:type="gramEnd"/>
      <w:r w:rsidR="004314DE">
        <w:t xml:space="preserve"> pārkāpumu</w:t>
      </w:r>
      <w:r w:rsidR="00EB3293">
        <w:t>, ieskaitot</w:t>
      </w:r>
      <w:r w:rsidR="004314DE">
        <w:t xml:space="preserve"> </w:t>
      </w:r>
      <w:r w:rsidR="00EB3293">
        <w:t>vienpusējā deklarācijā iekļautās saistības</w:t>
      </w:r>
      <w:r w:rsidR="00537240">
        <w:t xml:space="preserve"> „</w:t>
      </w:r>
      <w:r w:rsidR="004314DE">
        <w:t xml:space="preserve">nodrošināt efektīvu tiesību aizsardzību” un Tiesas lēmumu </w:t>
      </w:r>
      <w:r w:rsidR="00EB3293">
        <w:t>par šīs vienpusējās deklarācijas apstiprināšanu</w:t>
      </w:r>
      <w:r w:rsidR="004314DE">
        <w:t>.</w:t>
      </w:r>
    </w:p>
    <w:p w:rsidR="00F05385" w:rsidRPr="009D4272" w:rsidRDefault="006931AC" w:rsidP="009D4272">
      <w:pPr>
        <w:pStyle w:val="ECHRPara"/>
      </w:pPr>
      <w:r>
        <w:t xml:space="preserve">Valdība apgalvoja, ka, gluži pretēji, ne </w:t>
      </w:r>
      <w:r w:rsidR="00967F15">
        <w:t>tās</w:t>
      </w:r>
      <w:r>
        <w:t xml:space="preserve"> vienpusējās deklarāc</w:t>
      </w:r>
      <w:r w:rsidR="00967F15">
        <w:t>ijas noteikumi, ne Tiesas lēmums</w:t>
      </w:r>
      <w:r>
        <w:t xml:space="preserve">, ar kuru deklarācija tika apstiprināta, </w:t>
      </w:r>
      <w:r w:rsidR="0004049F">
        <w:t>ne</w:t>
      </w:r>
      <w:r>
        <w:t>varētu būt veidot</w:t>
      </w:r>
      <w:r w:rsidR="00967F15">
        <w:t>s</w:t>
      </w:r>
      <w:r>
        <w:t xml:space="preserve"> tā, lai radītu pienākumu atjaunot izbeigto kriminālprocesu par slikto izturēšanos pret iesniedzēju.</w:t>
      </w:r>
    </w:p>
    <w:p w:rsidR="002C335A" w:rsidRPr="009D4272" w:rsidRDefault="003D7F16" w:rsidP="009D4272">
      <w:pPr>
        <w:pStyle w:val="ECHRPara"/>
      </w:pPr>
      <w:r w:rsidRPr="009D4272">
        <w:fldChar w:fldCharType="begin"/>
      </w:r>
      <w:r w:rsidR="00F05385" w:rsidRPr="009D4272">
        <w:instrText xml:space="preserve"> SEQ level0 \*arabic </w:instrText>
      </w:r>
      <w:r w:rsidRPr="009D4272">
        <w:fldChar w:fldCharType="separate"/>
      </w:r>
      <w:r w:rsidR="009D4272" w:rsidRPr="009D4272">
        <w:rPr>
          <w:noProof/>
        </w:rPr>
        <w:t>112</w:t>
      </w:r>
      <w:r w:rsidRPr="009D4272">
        <w:fldChar w:fldCharType="end"/>
      </w:r>
      <w:r w:rsidR="00F05385">
        <w:t xml:space="preserve">.  Tiesas uzdevums ir noteikt, pirmkārt, vai </w:t>
      </w:r>
      <w:r w:rsidR="00C60DB5">
        <w:t xml:space="preserve">valstij-atbildētājai </w:t>
      </w:r>
      <w:r w:rsidR="00F05385">
        <w:t>bija pienākums atjaunot izbeigto kriminālprocesu u</w:t>
      </w:r>
      <w:r w:rsidR="00967F15">
        <w:t>n vai atteikums to darīt izraisa jautājumu Konvencijas normu kontekstā</w:t>
      </w:r>
      <w:r w:rsidR="00F05385">
        <w:t>.</w:t>
      </w:r>
    </w:p>
    <w:p w:rsidR="002C335A" w:rsidRPr="009D4272" w:rsidRDefault="002C335A" w:rsidP="009D4272">
      <w:pPr>
        <w:pStyle w:val="ECHRPara"/>
        <w:rPr>
          <w:b/>
        </w:rPr>
      </w:pPr>
      <w:r>
        <w:t>T</w:t>
      </w:r>
      <w:r w:rsidR="00D35010">
        <w:t>iesa</w:t>
      </w:r>
      <w:r>
        <w:t xml:space="preserve"> </w:t>
      </w:r>
      <w:r w:rsidR="00D35010">
        <w:t>norāda</w:t>
      </w:r>
      <w:r>
        <w:t xml:space="preserve"> šajā sakarā, ka </w:t>
      </w:r>
      <w:r w:rsidR="00D35010">
        <w:t>tās</w:t>
      </w:r>
      <w:r>
        <w:t xml:space="preserve"> </w:t>
      </w:r>
      <w:proofErr w:type="gramStart"/>
      <w:r>
        <w:t>2009.gada</w:t>
      </w:r>
      <w:proofErr w:type="gramEnd"/>
      <w:r>
        <w:t xml:space="preserve"> 10.februāra lēmumā par lietas </w:t>
      </w:r>
      <w:r w:rsidR="00D35010">
        <w:t>svītrošanu no izskatāmo lietu saraksta</w:t>
      </w:r>
      <w:r>
        <w:t xml:space="preserve"> Tiesa skaidri nenorādīja Valdībai, vai </w:t>
      </w:r>
      <w:r w:rsidR="00D35010">
        <w:t xml:space="preserve">uz </w:t>
      </w:r>
      <w:r w:rsidR="00124439">
        <w:t>to</w:t>
      </w:r>
      <w:r w:rsidR="00D35010">
        <w:t xml:space="preserve"> attiecināms</w:t>
      </w:r>
      <w:r>
        <w:t xml:space="preserve"> pienākums veikt efektīvu izmeklēšanu v</w:t>
      </w:r>
      <w:r w:rsidR="005B0DCE">
        <w:t xml:space="preserve">ai šāds pienākums tika izslēgts, ņemot vērā </w:t>
      </w:r>
      <w:r>
        <w:t>pārkāpuma atzīšanu un kompensācijas izmaksu.</w:t>
      </w:r>
    </w:p>
    <w:p w:rsidR="000F4F6E" w:rsidRPr="009D4272" w:rsidRDefault="005B0DCE" w:rsidP="009D4272">
      <w:pPr>
        <w:pStyle w:val="ECHRPara"/>
      </w:pPr>
      <w:r>
        <w:t>Tādējādi</w:t>
      </w:r>
      <w:r w:rsidR="002A5534">
        <w:t xml:space="preserve"> Tiesa pārbaudīs, vai šāds pienākums varēja rasties no Valdības vienpusējā deklarācijā ietvertajām saistībām un no Tiesas </w:t>
      </w:r>
      <w:proofErr w:type="gramStart"/>
      <w:r w:rsidR="002A5534">
        <w:t>2009.gada</w:t>
      </w:r>
      <w:proofErr w:type="gramEnd"/>
      <w:r w:rsidR="002A5534">
        <w:t xml:space="preserve"> 10.februāra lēmuma, </w:t>
      </w:r>
      <w:r>
        <w:t>ar ko tā svītroja</w:t>
      </w:r>
      <w:r w:rsidR="002A5534">
        <w:t xml:space="preserve"> iesniedzēja sūdzību </w:t>
      </w:r>
      <w:r>
        <w:t xml:space="preserve">Konvencijas </w:t>
      </w:r>
      <w:r w:rsidR="002A5534">
        <w:t>3.panta procesuāl</w:t>
      </w:r>
      <w:r>
        <w:t>ā aspekta ietvaros</w:t>
      </w:r>
      <w:r w:rsidR="002A5534">
        <w:t xml:space="preserve"> saistībā ar iesniegumu Nr. 547/02 (skatīt iepriekš </w:t>
      </w:r>
      <w:r w:rsidR="003653A2">
        <w:fldChar w:fldCharType="begin"/>
      </w:r>
      <w:r w:rsidR="003653A2">
        <w:instrText xml:space="preserve"> REF para17 \h  \* MERGEFORMAT </w:instrText>
      </w:r>
      <w:r w:rsidR="003653A2">
        <w:fldChar w:fldCharType="separate"/>
      </w:r>
      <w:r w:rsidR="009D4272" w:rsidRPr="009D4272">
        <w:rPr>
          <w:noProof/>
        </w:rPr>
        <w:t>20</w:t>
      </w:r>
      <w:r w:rsidR="003653A2">
        <w:fldChar w:fldCharType="end"/>
      </w:r>
      <w:r w:rsidR="00537240">
        <w:t>.</w:t>
      </w:r>
      <w:r w:rsidR="002A5534">
        <w:t xml:space="preserve"> rindkopu), un vai attiecīgais atteikums ietvēra kāda procesuālā pienākuma neievērošanu, kas turpināja pastāvēt pēc šī lēmuma </w:t>
      </w:r>
      <w:r>
        <w:t>par lietas svītrošanu pieņemšanas</w:t>
      </w:r>
      <w:r w:rsidR="002A5534">
        <w:t>.</w:t>
      </w:r>
    </w:p>
    <w:p w:rsidR="008D43CD" w:rsidRPr="009D4272" w:rsidRDefault="003D7F16" w:rsidP="009D4272">
      <w:pPr>
        <w:pStyle w:val="ECHRPara"/>
      </w:pPr>
      <w:r w:rsidRPr="009D4272">
        <w:fldChar w:fldCharType="begin"/>
      </w:r>
      <w:r w:rsidR="002C335A" w:rsidRPr="009D4272">
        <w:instrText xml:space="preserve"> SEQ level0 \*arabic </w:instrText>
      </w:r>
      <w:r w:rsidRPr="009D4272">
        <w:fldChar w:fldCharType="separate"/>
      </w:r>
      <w:r w:rsidR="009D4272" w:rsidRPr="009D4272">
        <w:rPr>
          <w:noProof/>
        </w:rPr>
        <w:t>113</w:t>
      </w:r>
      <w:r w:rsidRPr="009D4272">
        <w:fldChar w:fldCharType="end"/>
      </w:r>
      <w:r w:rsidR="002C335A">
        <w:t xml:space="preserve">.  Tiesa atkārtoti </w:t>
      </w:r>
      <w:r w:rsidR="001C6CAE">
        <w:t>norāda</w:t>
      </w:r>
      <w:r w:rsidR="002C335A">
        <w:t xml:space="preserve">, ka, kā tas izriet no Konvencijas </w:t>
      </w:r>
      <w:proofErr w:type="gramStart"/>
      <w:r w:rsidR="002C335A">
        <w:t>37.panta</w:t>
      </w:r>
      <w:proofErr w:type="gramEnd"/>
      <w:r w:rsidR="002C335A">
        <w:t xml:space="preserve"> struktūras un tās judikatūras attiecībā uz vienpusējām deklarācijām (skatīt iepriekš </w:t>
      </w:r>
      <w:r w:rsidR="003653A2">
        <w:fldChar w:fldCharType="begin"/>
      </w:r>
      <w:r w:rsidR="003653A2">
        <w:instrText xml:space="preserve"> REF para59 \h  \* MERGEFORMAT </w:instrText>
      </w:r>
      <w:r w:rsidR="003653A2">
        <w:fldChar w:fldCharType="separate"/>
      </w:r>
      <w:r w:rsidR="009D4272" w:rsidRPr="009D4272">
        <w:rPr>
          <w:noProof/>
        </w:rPr>
        <w:t>64</w:t>
      </w:r>
      <w:r w:rsidR="003653A2">
        <w:fldChar w:fldCharType="end"/>
      </w:r>
      <w:r w:rsidR="00537240">
        <w:t>.</w:t>
      </w:r>
      <w:r w:rsidR="002C335A">
        <w:t xml:space="preserve"> līdz </w:t>
      </w:r>
      <w:r w:rsidRPr="009D4272">
        <w:fldChar w:fldCharType="begin"/>
      </w:r>
      <w:r w:rsidR="00C2201A" w:rsidRPr="009D4272">
        <w:instrText xml:space="preserve"> REF para64 \h </w:instrText>
      </w:r>
      <w:r w:rsidRPr="009D4272">
        <w:fldChar w:fldCharType="separate"/>
      </w:r>
      <w:r w:rsidR="009D4272" w:rsidRPr="009D4272">
        <w:rPr>
          <w:noProof/>
        </w:rPr>
        <w:t>69</w:t>
      </w:r>
      <w:r w:rsidRPr="009D4272">
        <w:fldChar w:fldCharType="end"/>
      </w:r>
      <w:r w:rsidR="00537240">
        <w:t>.</w:t>
      </w:r>
      <w:r w:rsidR="002C335A">
        <w:t xml:space="preserve"> rindkop</w:t>
      </w:r>
      <w:r w:rsidR="00A203C4">
        <w:t>u</w:t>
      </w:r>
      <w:r w:rsidR="002C335A">
        <w:t xml:space="preserve">), Tiesas lēmuma pamatā esošie iemesli apstiprināt vienpusējo deklarāciju un </w:t>
      </w:r>
      <w:r w:rsidR="00BE20C3">
        <w:t>svītrot</w:t>
      </w:r>
      <w:r w:rsidR="002C335A">
        <w:t xml:space="preserve"> iesniegumu (vai tā daļu) no izskatāmo lietu skaita ir cieši saistīt</w:t>
      </w:r>
      <w:r w:rsidR="00BE20C3">
        <w:t>i</w:t>
      </w:r>
      <w:r w:rsidR="002C335A">
        <w:t xml:space="preserve"> ar iesniedzēja sūdzības būtību un </w:t>
      </w:r>
      <w:r w:rsidR="00BE20C3">
        <w:t xml:space="preserve">Valdības-atbildētājas </w:t>
      </w:r>
      <w:r w:rsidR="002C335A">
        <w:t xml:space="preserve">pienākumiem </w:t>
      </w:r>
      <w:r w:rsidR="00885C1B">
        <w:t>atbilstoši</w:t>
      </w:r>
      <w:r w:rsidR="002C335A">
        <w:t xml:space="preserve"> Konvencij</w:t>
      </w:r>
      <w:r w:rsidR="00885C1B">
        <w:t>ai</w:t>
      </w:r>
      <w:r w:rsidR="002C335A">
        <w:t xml:space="preserve"> attiecībā uz pārkāptajām tiesībām.</w:t>
      </w:r>
    </w:p>
    <w:p w:rsidR="00F03349" w:rsidRPr="009D4272" w:rsidRDefault="003D7F16" w:rsidP="009D4272">
      <w:pPr>
        <w:pStyle w:val="ECHRPara"/>
      </w:pPr>
      <w:r w:rsidRPr="009D4272">
        <w:fldChar w:fldCharType="begin"/>
      </w:r>
      <w:r w:rsidR="004B04BC" w:rsidRPr="009D4272">
        <w:instrText xml:space="preserve"> SEQ level0 \*arabic </w:instrText>
      </w:r>
      <w:r w:rsidRPr="009D4272">
        <w:fldChar w:fldCharType="separate"/>
      </w:r>
      <w:r w:rsidR="009D4272" w:rsidRPr="009D4272">
        <w:rPr>
          <w:noProof/>
        </w:rPr>
        <w:t>114</w:t>
      </w:r>
      <w:r w:rsidRPr="009D4272">
        <w:fldChar w:fldCharType="end"/>
      </w:r>
      <w:r w:rsidR="004B04BC">
        <w:t xml:space="preserve">.  Ņemot vērā iepriekš minēto, </w:t>
      </w:r>
      <w:proofErr w:type="gramStart"/>
      <w:r w:rsidR="002B2A36">
        <w:t>2009.gada</w:t>
      </w:r>
      <w:proofErr w:type="gramEnd"/>
      <w:r w:rsidR="002B2A36">
        <w:t xml:space="preserve"> 10.februāra lēmumā </w:t>
      </w:r>
      <w:r w:rsidR="004B04BC">
        <w:t xml:space="preserve">Tiesa vērtēja Latvijas Valdības saistības, kas ietvertas tās 2008.gada 30.aprīļa vienpusējā deklarācijā attiecībā uz iesniegumu </w:t>
      </w:r>
      <w:r w:rsidR="002B2A36">
        <w:t>Nr. 547/02. Tiesas vērtējums</w:t>
      </w:r>
      <w:r w:rsidR="004B04BC">
        <w:t xml:space="preserve"> ir </w:t>
      </w:r>
      <w:r w:rsidR="002B2A36">
        <w:t>atspoguļots</w:t>
      </w:r>
      <w:r w:rsidR="004B04BC">
        <w:t xml:space="preserve"> </w:t>
      </w:r>
      <w:r w:rsidR="007F2438">
        <w:t xml:space="preserve">ar </w:t>
      </w:r>
      <w:r w:rsidR="004B04BC">
        <w:t xml:space="preserve">argumentiem un </w:t>
      </w:r>
      <w:r w:rsidR="002B2A36">
        <w:t>apsvērumiem</w:t>
      </w:r>
      <w:r w:rsidR="004B04BC">
        <w:t xml:space="preserve">, kas tika izvirzīti, lai pamatotu attiecīgo </w:t>
      </w:r>
      <w:r w:rsidR="002B2A36">
        <w:t xml:space="preserve">Konvencijas </w:t>
      </w:r>
      <w:proofErr w:type="gramStart"/>
      <w:r w:rsidR="002B2A36">
        <w:t>3.panta</w:t>
      </w:r>
      <w:proofErr w:type="gramEnd"/>
      <w:r w:rsidR="002B2A36">
        <w:t xml:space="preserve"> </w:t>
      </w:r>
      <w:r w:rsidR="004B04BC">
        <w:t xml:space="preserve">sūdzību </w:t>
      </w:r>
      <w:r w:rsidR="002B2A36">
        <w:t>svītrošanu no izskatāmo lietu saraksta</w:t>
      </w:r>
      <w:r w:rsidR="004B04BC">
        <w:t xml:space="preserve"> 2009.gada 10.februār</w:t>
      </w:r>
      <w:r w:rsidR="002B2A36">
        <w:t>a lēmumā</w:t>
      </w:r>
      <w:r w:rsidR="004B04BC">
        <w:t xml:space="preserve"> un kas veido </w:t>
      </w:r>
      <w:r w:rsidR="002B2A36">
        <w:t>tā</w:t>
      </w:r>
      <w:r w:rsidR="004B04BC">
        <w:t xml:space="preserve"> lēmuma daļu.</w:t>
      </w:r>
    </w:p>
    <w:p w:rsidR="00585445" w:rsidRPr="009D4272" w:rsidRDefault="003D7F16" w:rsidP="009D4272">
      <w:pPr>
        <w:pStyle w:val="ECHRPara"/>
      </w:pPr>
      <w:r w:rsidRPr="009D4272">
        <w:fldChar w:fldCharType="begin"/>
      </w:r>
      <w:r w:rsidR="00322452" w:rsidRPr="009D4272">
        <w:instrText xml:space="preserve"> SEQ level0 \*arabic </w:instrText>
      </w:r>
      <w:r w:rsidRPr="009D4272">
        <w:fldChar w:fldCharType="separate"/>
      </w:r>
      <w:r w:rsidR="009D4272" w:rsidRPr="009D4272">
        <w:rPr>
          <w:noProof/>
        </w:rPr>
        <w:t>115</w:t>
      </w:r>
      <w:r w:rsidRPr="009D4272">
        <w:fldChar w:fldCharType="end"/>
      </w:r>
      <w:r w:rsidR="00322452">
        <w:t xml:space="preserve">.  Šajā konkrētajā iesniegumā puses neapgalvo, ka Tiesa ir pieļāvusi acīmredzamu procesuālu kļūdu vai kļūdu pēc būtības, kad tā apstiprināja Valdības vienpusējo deklarāciju par pamatu tam, lai izslēgtu attiecīgās </w:t>
      </w:r>
      <w:r w:rsidR="00322452">
        <w:lastRenderedPageBreak/>
        <w:t xml:space="preserve">sūdzības no </w:t>
      </w:r>
      <w:r w:rsidR="00FB1E0E">
        <w:t xml:space="preserve">izskatāmo </w:t>
      </w:r>
      <w:r w:rsidR="00322452">
        <w:t>lietu saraksta. No otras puses</w:t>
      </w:r>
      <w:r w:rsidR="00FB1E0E">
        <w:t>,</w:t>
      </w:r>
      <w:r w:rsidR="00322452">
        <w:t xml:space="preserve"> </w:t>
      </w:r>
      <w:r w:rsidR="007F2438">
        <w:t>Valdība</w:t>
      </w:r>
      <w:r w:rsidR="00FB1E0E">
        <w:t xml:space="preserve"> nepiekrita secinājumiem, kas izriet </w:t>
      </w:r>
      <w:r w:rsidR="00322452">
        <w:t>no formulējuma:</w:t>
      </w:r>
    </w:p>
    <w:p w:rsidR="00585445" w:rsidRPr="009D4272" w:rsidRDefault="00537240" w:rsidP="009D4272">
      <w:pPr>
        <w:pStyle w:val="ECHRPara"/>
      </w:pPr>
      <w:r>
        <w:t>(a) Valdības apņemšanās „</w:t>
      </w:r>
      <w:r w:rsidR="00F10CC9">
        <w:t>veikt visus nepieciešamos pasākumus, lai turpmāk izvairītos no līdzīgiem pārkāpumiem, kā arī nodrošinātu ef</w:t>
      </w:r>
      <w:r w:rsidR="00FB1E0E">
        <w:t>ektīvu tiesību aizsardzību”, un</w:t>
      </w:r>
    </w:p>
    <w:p w:rsidR="00585445" w:rsidRPr="009D4272" w:rsidRDefault="00F10CC9" w:rsidP="009D4272">
      <w:pPr>
        <w:pStyle w:val="ECHRPara"/>
      </w:pPr>
      <w:r>
        <w:t>(b) lēmuma 54.rindkopas teikumā par iespēju izmantot citus tiesību aizsardzības līdzekļus:</w:t>
      </w:r>
      <w:r w:rsidR="00537240">
        <w:t xml:space="preserve"> „</w:t>
      </w:r>
      <w:r>
        <w:t xml:space="preserve">Šis lēmums neietekmē iesniedzēja </w:t>
      </w:r>
      <w:r w:rsidR="0031595A">
        <w:t xml:space="preserve">iespējas </w:t>
      </w:r>
      <w:r w:rsidR="00FE3E51">
        <w:t>izmantot</w:t>
      </w:r>
      <w:r>
        <w:t xml:space="preserve"> kādu citu pieejamu tiesību aizsardzības līdzek</w:t>
      </w:r>
      <w:r w:rsidR="00537240">
        <w:t xml:space="preserve">li, lai saņemtu </w:t>
      </w:r>
      <w:r w:rsidR="004465E3">
        <w:t>atlīdzību</w:t>
      </w:r>
      <w:r w:rsidR="00537240">
        <w:t>” („</w:t>
      </w:r>
      <w:proofErr w:type="spellStart"/>
      <w:r>
        <w:rPr>
          <w:i/>
        </w:rPr>
        <w:t>Cette</w:t>
      </w:r>
      <w:proofErr w:type="spellEnd"/>
      <w:r>
        <w:rPr>
          <w:i/>
        </w:rPr>
        <w:t xml:space="preserve"> </w:t>
      </w:r>
      <w:proofErr w:type="spellStart"/>
      <w:r>
        <w:rPr>
          <w:i/>
        </w:rPr>
        <w:t>décision</w:t>
      </w:r>
      <w:proofErr w:type="spellEnd"/>
      <w:r>
        <w:rPr>
          <w:i/>
        </w:rPr>
        <w:t xml:space="preserve"> ne </w:t>
      </w:r>
      <w:proofErr w:type="spellStart"/>
      <w:r>
        <w:rPr>
          <w:i/>
        </w:rPr>
        <w:t>préjuge</w:t>
      </w:r>
      <w:proofErr w:type="spellEnd"/>
      <w:r>
        <w:rPr>
          <w:i/>
        </w:rPr>
        <w:t xml:space="preserve"> </w:t>
      </w:r>
      <w:proofErr w:type="spellStart"/>
      <w:r>
        <w:rPr>
          <w:i/>
        </w:rPr>
        <w:t>en</w:t>
      </w:r>
      <w:proofErr w:type="spellEnd"/>
      <w:r>
        <w:rPr>
          <w:i/>
        </w:rPr>
        <w:t xml:space="preserve"> </w:t>
      </w:r>
      <w:proofErr w:type="spellStart"/>
      <w:r>
        <w:rPr>
          <w:i/>
        </w:rPr>
        <w:t>rien</w:t>
      </w:r>
      <w:proofErr w:type="spellEnd"/>
      <w:r>
        <w:rPr>
          <w:i/>
        </w:rPr>
        <w:t xml:space="preserve"> </w:t>
      </w:r>
      <w:proofErr w:type="spellStart"/>
      <w:r>
        <w:rPr>
          <w:i/>
        </w:rPr>
        <w:t>de</w:t>
      </w:r>
      <w:proofErr w:type="spellEnd"/>
      <w:r>
        <w:rPr>
          <w:i/>
        </w:rPr>
        <w:t xml:space="preserve"> la </w:t>
      </w:r>
      <w:proofErr w:type="spellStart"/>
      <w:r>
        <w:rPr>
          <w:i/>
        </w:rPr>
        <w:t>possibilité</w:t>
      </w:r>
      <w:proofErr w:type="spellEnd"/>
      <w:r>
        <w:rPr>
          <w:i/>
        </w:rPr>
        <w:t xml:space="preserve"> </w:t>
      </w:r>
      <w:proofErr w:type="spellStart"/>
      <w:r>
        <w:rPr>
          <w:i/>
        </w:rPr>
        <w:t>pour</w:t>
      </w:r>
      <w:proofErr w:type="spellEnd"/>
      <w:r>
        <w:rPr>
          <w:i/>
        </w:rPr>
        <w:t xml:space="preserve"> </w:t>
      </w:r>
      <w:proofErr w:type="spellStart"/>
      <w:r>
        <w:rPr>
          <w:i/>
        </w:rPr>
        <w:t>le</w:t>
      </w:r>
      <w:proofErr w:type="spellEnd"/>
      <w:r>
        <w:rPr>
          <w:i/>
        </w:rPr>
        <w:t xml:space="preserve"> </w:t>
      </w:r>
      <w:proofErr w:type="spellStart"/>
      <w:r>
        <w:rPr>
          <w:i/>
        </w:rPr>
        <w:t>requérant</w:t>
      </w:r>
      <w:proofErr w:type="spellEnd"/>
      <w:r>
        <w:rPr>
          <w:i/>
        </w:rPr>
        <w:t xml:space="preserve"> </w:t>
      </w:r>
      <w:proofErr w:type="spellStart"/>
      <w:r>
        <w:rPr>
          <w:i/>
        </w:rPr>
        <w:t>d’exercer</w:t>
      </w:r>
      <w:proofErr w:type="spellEnd"/>
      <w:r>
        <w:rPr>
          <w:i/>
        </w:rPr>
        <w:t xml:space="preserve">, </w:t>
      </w:r>
      <w:proofErr w:type="spellStart"/>
      <w:r>
        <w:rPr>
          <w:i/>
        </w:rPr>
        <w:t>le</w:t>
      </w:r>
      <w:proofErr w:type="spellEnd"/>
      <w:r>
        <w:rPr>
          <w:i/>
        </w:rPr>
        <w:t xml:space="preserve"> </w:t>
      </w:r>
      <w:proofErr w:type="spellStart"/>
      <w:r>
        <w:rPr>
          <w:i/>
        </w:rPr>
        <w:t>cas</w:t>
      </w:r>
      <w:proofErr w:type="spellEnd"/>
      <w:r>
        <w:rPr>
          <w:i/>
        </w:rPr>
        <w:t xml:space="preserve"> </w:t>
      </w:r>
      <w:proofErr w:type="spellStart"/>
      <w:r>
        <w:rPr>
          <w:i/>
        </w:rPr>
        <w:t>échéant</w:t>
      </w:r>
      <w:proofErr w:type="spellEnd"/>
      <w:r>
        <w:rPr>
          <w:i/>
        </w:rPr>
        <w:t xml:space="preserve">, </w:t>
      </w:r>
      <w:proofErr w:type="spellStart"/>
      <w:r>
        <w:rPr>
          <w:i/>
        </w:rPr>
        <w:t>d’autres</w:t>
      </w:r>
      <w:proofErr w:type="spellEnd"/>
      <w:r>
        <w:rPr>
          <w:i/>
        </w:rPr>
        <w:t xml:space="preserve"> </w:t>
      </w:r>
      <w:proofErr w:type="spellStart"/>
      <w:r>
        <w:rPr>
          <w:i/>
        </w:rPr>
        <w:t>recours</w:t>
      </w:r>
      <w:proofErr w:type="spellEnd"/>
      <w:r>
        <w:rPr>
          <w:i/>
        </w:rPr>
        <w:t xml:space="preserve"> </w:t>
      </w:r>
      <w:proofErr w:type="spellStart"/>
      <w:r>
        <w:rPr>
          <w:i/>
        </w:rPr>
        <w:t>afin</w:t>
      </w:r>
      <w:proofErr w:type="spellEnd"/>
      <w:r>
        <w:rPr>
          <w:i/>
        </w:rPr>
        <w:t xml:space="preserve"> </w:t>
      </w:r>
      <w:proofErr w:type="spellStart"/>
      <w:r>
        <w:rPr>
          <w:i/>
        </w:rPr>
        <w:t>d’obtenir</w:t>
      </w:r>
      <w:proofErr w:type="spellEnd"/>
      <w:r>
        <w:rPr>
          <w:i/>
        </w:rPr>
        <w:t xml:space="preserve"> </w:t>
      </w:r>
      <w:proofErr w:type="spellStart"/>
      <w:r>
        <w:rPr>
          <w:i/>
        </w:rPr>
        <w:t>réparation</w:t>
      </w:r>
      <w:proofErr w:type="spellEnd"/>
      <w:r>
        <w:t>”).</w:t>
      </w:r>
    </w:p>
    <w:bookmarkStart w:id="36" w:name="para113"/>
    <w:p w:rsidR="001A780F" w:rsidRPr="009D4272" w:rsidRDefault="003D7F16" w:rsidP="009D4272">
      <w:pPr>
        <w:pStyle w:val="ECHRPara"/>
      </w:pPr>
      <w:r w:rsidRPr="009D4272">
        <w:fldChar w:fldCharType="begin"/>
      </w:r>
      <w:r w:rsidR="00AA588F" w:rsidRPr="009D4272">
        <w:instrText xml:space="preserve"> SEQ level0 \*arabic </w:instrText>
      </w:r>
      <w:r w:rsidRPr="009D4272">
        <w:fldChar w:fldCharType="separate"/>
      </w:r>
      <w:r w:rsidR="009D4272" w:rsidRPr="009D4272">
        <w:rPr>
          <w:noProof/>
        </w:rPr>
        <w:t>116</w:t>
      </w:r>
      <w:r w:rsidRPr="009D4272">
        <w:fldChar w:fldCharType="end"/>
      </w:r>
      <w:bookmarkEnd w:id="36"/>
      <w:r w:rsidR="00AA588F">
        <w:t xml:space="preserve">.  Tiesa šajā lietā nekonstatē nekādus izņēmuma apstākļus (skatīt iepriekš </w:t>
      </w:r>
      <w:r w:rsidRPr="009D4272">
        <w:fldChar w:fldCharType="begin"/>
      </w:r>
      <w:r w:rsidR="002458AA" w:rsidRPr="009D4272">
        <w:instrText xml:space="preserve"> REF para64 \h </w:instrText>
      </w:r>
      <w:r w:rsidRPr="009D4272">
        <w:fldChar w:fldCharType="separate"/>
      </w:r>
      <w:r w:rsidR="009D4272" w:rsidRPr="009D4272">
        <w:rPr>
          <w:noProof/>
        </w:rPr>
        <w:t>69</w:t>
      </w:r>
      <w:r w:rsidRPr="009D4272">
        <w:fldChar w:fldCharType="end"/>
      </w:r>
      <w:r w:rsidR="00537240">
        <w:t>.</w:t>
      </w:r>
      <w:r w:rsidR="00AA588F">
        <w:t xml:space="preserve"> rindkopu), kas attaisnotu iesnieguma Nr. 547/02 daļas atjaunošanu izskatāmo lietu sarakstā, ko </w:t>
      </w:r>
      <w:r w:rsidR="007A30D0">
        <w:t>Tiesa</w:t>
      </w:r>
      <w:r w:rsidR="00AA588F">
        <w:t xml:space="preserve"> </w:t>
      </w:r>
      <w:r w:rsidR="0031595A">
        <w:t xml:space="preserve">bija svītrojusi </w:t>
      </w:r>
      <w:proofErr w:type="gramStart"/>
      <w:r w:rsidR="00AA588F">
        <w:t>2009.gada</w:t>
      </w:r>
      <w:proofErr w:type="gramEnd"/>
      <w:r w:rsidR="00AA588F">
        <w:t xml:space="preserve"> 10.februārī.</w:t>
      </w:r>
    </w:p>
    <w:p w:rsidR="00640DB3" w:rsidRPr="009D4272" w:rsidRDefault="00640DB3" w:rsidP="009D4272">
      <w:pPr>
        <w:pStyle w:val="ECHRPara"/>
      </w:pPr>
      <w:r>
        <w:t xml:space="preserve">Valdības </w:t>
      </w:r>
      <w:r w:rsidR="00F47DC1">
        <w:t xml:space="preserve">saistības </w:t>
      </w:r>
      <w:r>
        <w:t>saskaņ</w:t>
      </w:r>
      <w:r w:rsidR="00537240">
        <w:t>ā ar iepriekš minēto a) punktu „</w:t>
      </w:r>
      <w:r>
        <w:t>nodrošināt efektīvu tiesību aizsardzību” ir interpretējama</w:t>
      </w:r>
      <w:r w:rsidR="004465E3">
        <w:t>s</w:t>
      </w:r>
      <w:r>
        <w:t xml:space="preserve"> kā vispārējs pasākums, nevis konkrēts un individuāls pasākums, kas liecinātu, ka kriminālprocesa atjaunošanas atteikums pārkāpa šo noteikumu.</w:t>
      </w:r>
    </w:p>
    <w:p w:rsidR="0030089A" w:rsidRPr="009D4272" w:rsidRDefault="00640DB3" w:rsidP="009D4272">
      <w:pPr>
        <w:pStyle w:val="ECHRPara"/>
      </w:pPr>
      <w:r>
        <w:t xml:space="preserve">Tomēr Tiesa uzskata par īpaši </w:t>
      </w:r>
      <w:r w:rsidR="0059109D">
        <w:t>atbilstīgu</w:t>
      </w:r>
      <w:r>
        <w:t xml:space="preserve"> </w:t>
      </w:r>
      <w:r w:rsidR="0059109D">
        <w:t>norādi</w:t>
      </w:r>
      <w:r>
        <w:t xml:space="preserve"> iepriekš minētajā b) punktā </w:t>
      </w:r>
      <w:r w:rsidR="0059109D">
        <w:t xml:space="preserve">par </w:t>
      </w:r>
      <w:r>
        <w:t>to, ka iesnied</w:t>
      </w:r>
      <w:r w:rsidR="00537240">
        <w:t xml:space="preserve">zējs saglabā iespēju </w:t>
      </w:r>
      <w:r w:rsidR="0059109D">
        <w:t>izmantot</w:t>
      </w:r>
      <w:r w:rsidR="00537240">
        <w:t xml:space="preserve"> „</w:t>
      </w:r>
      <w:r>
        <w:t xml:space="preserve">jebkuru citu pieejamo tiesību aizsardzības līdzekli, lai saņemtu atlīdzību” kā priekšnosacījumu Tiesas lēmumam </w:t>
      </w:r>
      <w:r w:rsidR="0059109D">
        <w:t>svītrot</w:t>
      </w:r>
      <w:r>
        <w:t xml:space="preserve"> attiecīgo iesnieguma daļu no tās izskatāmo lietu saraksta.</w:t>
      </w:r>
    </w:p>
    <w:p w:rsidR="004342A3" w:rsidRPr="009D4272" w:rsidRDefault="0030089A" w:rsidP="009D4272">
      <w:pPr>
        <w:pStyle w:val="ECHRPara"/>
      </w:pPr>
      <w:r>
        <w:t>Šāda iespēja ir jāskata, ievērojot Tiesa</w:t>
      </w:r>
      <w:r w:rsidR="0059109D">
        <w:t>s judikatūru attiecībā uz slikt</w:t>
      </w:r>
      <w:r w:rsidR="0079487D">
        <w:t>a</w:t>
      </w:r>
      <w:r>
        <w:t xml:space="preserve">s izturēšanās gadījumiem no valsts </w:t>
      </w:r>
      <w:r w:rsidR="0059109D">
        <w:t>amatpersonu</w:t>
      </w:r>
      <w:r>
        <w:t xml:space="preserve"> puses. Iesniedzēja tiesības </w:t>
      </w:r>
      <w:r w:rsidR="0059109D">
        <w:t>izmantot esošos tiesību aizsardzības līdzekļus</w:t>
      </w:r>
      <w:r>
        <w:t>, lai saņemtu atlīdzību, ir j</w:t>
      </w:r>
      <w:r w:rsidR="0059109D">
        <w:t xml:space="preserve">āskata kopsakarā </w:t>
      </w:r>
      <w:r>
        <w:t>ar atbilstoš</w:t>
      </w:r>
      <w:r w:rsidR="00541FD2">
        <w:t>o</w:t>
      </w:r>
      <w:r>
        <w:t xml:space="preserve"> </w:t>
      </w:r>
      <w:r w:rsidR="0059109D">
        <w:t xml:space="preserve">Valdības-atbildētājas </w:t>
      </w:r>
      <w:r>
        <w:t>pienākumu nodrošināt viņam tiesību aizsardzību, izmeklējot slikt</w:t>
      </w:r>
      <w:r w:rsidR="0079487D">
        <w:t>o</w:t>
      </w:r>
      <w:r>
        <w:t xml:space="preserve"> izturēšanos pret viņu no valsts </w:t>
      </w:r>
      <w:r w:rsidR="002E1733">
        <w:t>amatpersonu</w:t>
      </w:r>
      <w:r>
        <w:t xml:space="preserve"> puses (skatīt iepriekš </w:t>
      </w:r>
      <w:r w:rsidR="003653A2">
        <w:fldChar w:fldCharType="begin"/>
      </w:r>
      <w:r w:rsidR="003653A2">
        <w:instrText xml:space="preserve"> REF para97 \h  \* MERGEFORMAT </w:instrText>
      </w:r>
      <w:r w:rsidR="003653A2">
        <w:fldChar w:fldCharType="separate"/>
      </w:r>
      <w:r w:rsidR="009D4272" w:rsidRPr="009D4272">
        <w:rPr>
          <w:noProof/>
          <w:snapToGrid w:val="0"/>
        </w:rPr>
        <w:t>105</w:t>
      </w:r>
      <w:r w:rsidR="003653A2">
        <w:fldChar w:fldCharType="end"/>
      </w:r>
      <w:r w:rsidR="00537240">
        <w:t>.</w:t>
      </w:r>
      <w:r>
        <w:t xml:space="preserve"> rindkopu).</w:t>
      </w:r>
    </w:p>
    <w:p w:rsidR="00804C8F" w:rsidRPr="009D4272" w:rsidRDefault="004342A3" w:rsidP="009D4272">
      <w:pPr>
        <w:pStyle w:val="ECHRPara"/>
      </w:pPr>
      <w:r>
        <w:t>Kompensācijas iz</w:t>
      </w:r>
      <w:r w:rsidR="0079487D">
        <w:t>maksa, ja tā ir īstenojama vienpusējā</w:t>
      </w:r>
      <w:r>
        <w:t xml:space="preserve">s deklarācijas vai </w:t>
      </w:r>
      <w:r w:rsidR="0079487D">
        <w:t xml:space="preserve">arī </w:t>
      </w:r>
      <w:r>
        <w:t xml:space="preserve">turpmākā nacionālā zaudējumu atlīdzības procesa rezultātā, nevar būt pietiekama, ņemot vērā valsts pienākumu saskaņā ar </w:t>
      </w:r>
      <w:r w:rsidR="0079487D">
        <w:t xml:space="preserve">Konvencija </w:t>
      </w:r>
      <w:proofErr w:type="gramStart"/>
      <w:r>
        <w:t>3.pantu</w:t>
      </w:r>
      <w:proofErr w:type="gramEnd"/>
      <w:r>
        <w:t xml:space="preserve"> veikt efektīvu izmeklēšanu tīšas sliktas izturēšanās gadījumos no valsts </w:t>
      </w:r>
      <w:r w:rsidR="0079487D">
        <w:t>amatpersonu</w:t>
      </w:r>
      <w:r>
        <w:t xml:space="preserve"> puses (skatīt </w:t>
      </w:r>
      <w:proofErr w:type="spellStart"/>
      <w:r>
        <w:rPr>
          <w:i/>
        </w:rPr>
        <w:t>Gäfgen</w:t>
      </w:r>
      <w:proofErr w:type="spellEnd"/>
      <w:r>
        <w:t>, citēts iepriekš, 116. un 119. rindkopa).</w:t>
      </w:r>
    </w:p>
    <w:p w:rsidR="006D77FB" w:rsidRPr="009D4272" w:rsidRDefault="003D7F16" w:rsidP="009D4272">
      <w:pPr>
        <w:pStyle w:val="ECHRPara"/>
      </w:pPr>
      <w:r w:rsidRPr="009D4272">
        <w:fldChar w:fldCharType="begin"/>
      </w:r>
      <w:r w:rsidR="00277B40" w:rsidRPr="009D4272">
        <w:instrText xml:space="preserve"> SEQ level0 \*arabic </w:instrText>
      </w:r>
      <w:r w:rsidRPr="009D4272">
        <w:fldChar w:fldCharType="separate"/>
      </w:r>
      <w:r w:rsidR="009D4272" w:rsidRPr="009D4272">
        <w:rPr>
          <w:noProof/>
        </w:rPr>
        <w:t>117</w:t>
      </w:r>
      <w:r w:rsidRPr="009D4272">
        <w:fldChar w:fldCharType="end"/>
      </w:r>
      <w:r w:rsidR="00277B40">
        <w:t>.  Tā</w:t>
      </w:r>
      <w:r w:rsidR="00301385">
        <w:t>dēļ</w:t>
      </w:r>
      <w:r w:rsidR="00277B40">
        <w:t xml:space="preserve"> Valdības interpretācija, </w:t>
      </w:r>
      <w:r w:rsidR="00301385">
        <w:t>atbilstoši tās</w:t>
      </w:r>
      <w:r w:rsidR="00277B40">
        <w:t xml:space="preserve"> vienpusēj</w:t>
      </w:r>
      <w:r w:rsidR="00301385">
        <w:t>ā</w:t>
      </w:r>
      <w:r w:rsidR="00277B40">
        <w:t xml:space="preserve"> deklarācijā</w:t>
      </w:r>
      <w:r w:rsidR="00301385">
        <w:t xml:space="preserve"> norādītajam</w:t>
      </w:r>
      <w:r w:rsidR="00277B40">
        <w:t xml:space="preserve">, ka kompensācijas izmaksa veidoja lietas galīgo noregulējumu, nav pieņemama. Šāda interpretācija </w:t>
      </w:r>
      <w:r w:rsidR="00301385">
        <w:t>izslēgtu</w:t>
      </w:r>
      <w:r w:rsidR="00277B40">
        <w:t xml:space="preserve"> būtisku daļu no iesniedzēja tiesībām un valsts pienākuma </w:t>
      </w:r>
      <w:r w:rsidR="00301385">
        <w:t>atbilstoši</w:t>
      </w:r>
      <w:r w:rsidR="00277B40">
        <w:t xml:space="preserve"> Konvencijas </w:t>
      </w:r>
      <w:proofErr w:type="gramStart"/>
      <w:r w:rsidR="00277B40">
        <w:t>3.panta</w:t>
      </w:r>
      <w:proofErr w:type="gramEnd"/>
      <w:r w:rsidR="00277B40">
        <w:t xml:space="preserve"> procesuāl</w:t>
      </w:r>
      <w:r w:rsidR="00771833">
        <w:t xml:space="preserve">ajam aspektam </w:t>
      </w:r>
      <w:r w:rsidR="00277B40">
        <w:t>(skatīt iepriekš </w:t>
      </w:r>
      <w:r w:rsidR="003653A2">
        <w:fldChar w:fldCharType="begin"/>
      </w:r>
      <w:r w:rsidR="003653A2">
        <w:instrText xml:space="preserve"> REF para96 \h  \* MERGEFORMAT </w:instrText>
      </w:r>
      <w:r w:rsidR="003653A2">
        <w:fldChar w:fldCharType="separate"/>
      </w:r>
      <w:r w:rsidR="009D4272" w:rsidRPr="009D4272">
        <w:rPr>
          <w:noProof/>
          <w:snapToGrid w:val="0"/>
        </w:rPr>
        <w:t>104</w:t>
      </w:r>
      <w:r w:rsidR="003653A2">
        <w:fldChar w:fldCharType="end"/>
      </w:r>
      <w:r w:rsidR="00537240">
        <w:t>.</w:t>
      </w:r>
      <w:r w:rsidR="00277B40">
        <w:t xml:space="preserve"> un </w:t>
      </w:r>
      <w:r w:rsidR="003653A2">
        <w:fldChar w:fldCharType="begin"/>
      </w:r>
      <w:r w:rsidR="003653A2">
        <w:instrText xml:space="preserve"> REF para97 \h  \* MERGEFORMAT </w:instrText>
      </w:r>
      <w:r w:rsidR="003653A2">
        <w:fldChar w:fldCharType="separate"/>
      </w:r>
      <w:r w:rsidR="009D4272" w:rsidRPr="009D4272">
        <w:rPr>
          <w:noProof/>
          <w:snapToGrid w:val="0"/>
        </w:rPr>
        <w:t>105</w:t>
      </w:r>
      <w:r w:rsidR="003653A2">
        <w:fldChar w:fldCharType="end"/>
      </w:r>
      <w:r w:rsidR="00537240">
        <w:t>.</w:t>
      </w:r>
      <w:r w:rsidR="00277B40">
        <w:t xml:space="preserve"> rindkopa).</w:t>
      </w:r>
    </w:p>
    <w:p w:rsidR="003B5860" w:rsidRPr="009D4272" w:rsidRDefault="00BB00B7" w:rsidP="009D4272">
      <w:pPr>
        <w:pStyle w:val="ECHRPara"/>
      </w:pPr>
      <w:r>
        <w:t xml:space="preserve">Lai gan tā ir taisnība, ka Tiesas </w:t>
      </w:r>
      <w:proofErr w:type="gramStart"/>
      <w:r>
        <w:t>2009.gada</w:t>
      </w:r>
      <w:proofErr w:type="gramEnd"/>
      <w:r>
        <w:t xml:space="preserve"> 10.februāra lēmums ietvēra galīgo iesniedzēja </w:t>
      </w:r>
      <w:r w:rsidR="00541FD2">
        <w:t>iesnieguma</w:t>
      </w:r>
      <w:r w:rsidR="00541FD2">
        <w:t xml:space="preserve"> Nr. 547/02 </w:t>
      </w:r>
      <w:r>
        <w:t xml:space="preserve">sūdzības </w:t>
      </w:r>
      <w:r w:rsidR="00D95572">
        <w:t>noregulējumu</w:t>
      </w:r>
      <w:r>
        <w:t xml:space="preserve"> </w:t>
      </w:r>
      <w:r w:rsidR="00D95572">
        <w:t xml:space="preserve">atbilstoši </w:t>
      </w:r>
      <w:r>
        <w:t>Konvencijas 3.pant</w:t>
      </w:r>
      <w:r w:rsidR="00D95572">
        <w:t>a procesuālaj</w:t>
      </w:r>
      <w:r w:rsidR="00A84B56">
        <w:t>am aspektam</w:t>
      </w:r>
      <w:r>
        <w:t xml:space="preserve">, Tiesa uzsver šajā kontekstā, ka vienpusējas deklarācijas procedūra ir izņēmuma gadījums. </w:t>
      </w:r>
      <w:r w:rsidR="000F78A5">
        <w:t>P</w:t>
      </w:r>
      <w:r>
        <w:t xml:space="preserve">iemēram, ja runa ir par Konvencijā ietverto pamattiesību pārkāpumiem, tad </w:t>
      </w:r>
      <w:r w:rsidR="00E2422E">
        <w:t xml:space="preserve">tās </w:t>
      </w:r>
      <w:r>
        <w:t xml:space="preserve">mērķis </w:t>
      </w:r>
      <w:r>
        <w:lastRenderedPageBreak/>
        <w:t>nav apiet iesniedzēja iebildumus pret mierizlīgumu vai ļaut Valdībai izvairīties no savas atbildības par šādiem pārkāpumiem.</w:t>
      </w:r>
    </w:p>
    <w:p w:rsidR="0064264D" w:rsidRPr="009D4272" w:rsidRDefault="003D7F16" w:rsidP="009D4272">
      <w:pPr>
        <w:pStyle w:val="ECHRPara"/>
      </w:pPr>
      <w:r w:rsidRPr="009D4272">
        <w:fldChar w:fldCharType="begin"/>
      </w:r>
      <w:r w:rsidR="00B83392" w:rsidRPr="009D4272">
        <w:instrText xml:space="preserve"> SEQ level0 \*arabic </w:instrText>
      </w:r>
      <w:r w:rsidRPr="009D4272">
        <w:fldChar w:fldCharType="separate"/>
      </w:r>
      <w:r w:rsidR="009D4272" w:rsidRPr="009D4272">
        <w:rPr>
          <w:noProof/>
        </w:rPr>
        <w:t>118</w:t>
      </w:r>
      <w:r w:rsidRPr="009D4272">
        <w:fldChar w:fldCharType="end"/>
      </w:r>
      <w:r w:rsidR="00B83392">
        <w:t>.  </w:t>
      </w:r>
      <w:r w:rsidR="00E2422E">
        <w:t>Tādējādi</w:t>
      </w:r>
      <w:r w:rsidR="00B83392">
        <w:t xml:space="preserve"> Tiesa uzskata, ka bez efektīvas izmeklēšanas saistībā ar sliktu izturēšanos pret iesniedzēju no policijas darbinieku puses, </w:t>
      </w:r>
      <w:proofErr w:type="gramStart"/>
      <w:r w:rsidR="00B83392">
        <w:t>2009.gada</w:t>
      </w:r>
      <w:proofErr w:type="gramEnd"/>
      <w:r w:rsidR="00B83392">
        <w:t xml:space="preserve"> 10.februāra lēmums par lietas </w:t>
      </w:r>
      <w:r w:rsidR="00E80DBC">
        <w:t>svītrošanu no izskatāmo lietu saraksta</w:t>
      </w:r>
      <w:r w:rsidR="00B83392">
        <w:t xml:space="preserve"> neizslēdza un nevarēja izslēgt Latvijas Valdības turpmāko pienākumu veikt izmeklēšanu saskaņā ar Konvencijas prasībām (skatīt arī </w:t>
      </w:r>
      <w:proofErr w:type="spellStart"/>
      <w:r w:rsidR="00B83392">
        <w:rPr>
          <w:i/>
        </w:rPr>
        <w:t>Žarković</w:t>
      </w:r>
      <w:proofErr w:type="spellEnd"/>
      <w:r w:rsidR="00B83392">
        <w:rPr>
          <w:i/>
        </w:rPr>
        <w:t xml:space="preserve"> un citi</w:t>
      </w:r>
      <w:r w:rsidR="00B83392">
        <w:t xml:space="preserve">, citēts iepriekš). Līdz ar to nevar apgalvot, ka, samaksājot vienpusējā deklarācijā norādīto kompensācijas summu un atzīstot vairāku Konvencijas noteikumu pārkāpumu, </w:t>
      </w:r>
      <w:r w:rsidR="00E2422E">
        <w:t>Valsts-</w:t>
      </w:r>
      <w:r w:rsidR="00B83392">
        <w:t xml:space="preserve">atbildētāja izpildīja </w:t>
      </w:r>
      <w:r w:rsidR="00E2422E">
        <w:t xml:space="preserve">turpināto </w:t>
      </w:r>
      <w:r w:rsidR="00B83392">
        <w:t xml:space="preserve">procesuālo pienākumu, </w:t>
      </w:r>
      <w:r w:rsidR="00A1668C">
        <w:t>kuram tā ir pakļauta</w:t>
      </w:r>
      <w:r w:rsidR="00B83392">
        <w:t xml:space="preserve"> </w:t>
      </w:r>
      <w:r w:rsidR="00A1668C">
        <w:t>atbilstoši</w:t>
      </w:r>
      <w:r w:rsidR="00B83392">
        <w:t xml:space="preserve"> Konvencijas </w:t>
      </w:r>
      <w:proofErr w:type="gramStart"/>
      <w:r w:rsidR="00B83392">
        <w:t>3.pant</w:t>
      </w:r>
      <w:r w:rsidR="00A1668C">
        <w:t>am</w:t>
      </w:r>
      <w:proofErr w:type="gramEnd"/>
      <w:r w:rsidR="00B83392">
        <w:t>.</w:t>
      </w:r>
    </w:p>
    <w:bookmarkStart w:id="37" w:name="para116"/>
    <w:p w:rsidR="00AF2E7D" w:rsidRPr="009D4272" w:rsidRDefault="003D7F16" w:rsidP="009D4272">
      <w:pPr>
        <w:pStyle w:val="ECHRPara"/>
      </w:pPr>
      <w:r w:rsidRPr="009D4272">
        <w:fldChar w:fldCharType="begin"/>
      </w:r>
      <w:r w:rsidR="00C642E4" w:rsidRPr="009D4272">
        <w:instrText xml:space="preserve"> SEQ level0 \*arabic </w:instrText>
      </w:r>
      <w:r w:rsidRPr="009D4272">
        <w:fldChar w:fldCharType="separate"/>
      </w:r>
      <w:r w:rsidR="009D4272" w:rsidRPr="009D4272">
        <w:rPr>
          <w:noProof/>
        </w:rPr>
        <w:t>119</w:t>
      </w:r>
      <w:r w:rsidRPr="009D4272">
        <w:fldChar w:fldCharType="end"/>
      </w:r>
      <w:bookmarkEnd w:id="37"/>
      <w:r w:rsidR="00C642E4">
        <w:t>.  Saskaņā ar attiecīgajiem Latvijas likumiem iesniedzējs varēja iesniegt lūgumu prokuroram par izmeklēšanas atjaunošanu</w:t>
      </w:r>
      <w:r w:rsidR="000F78A5">
        <w:t>,</w:t>
      </w:r>
      <w:r w:rsidR="00C642E4">
        <w:t xml:space="preserve"> un </w:t>
      </w:r>
      <w:r w:rsidR="000F78A5">
        <w:t>iesniedzējs</w:t>
      </w:r>
      <w:r w:rsidR="00C642E4">
        <w:t xml:space="preserve"> šo iespēju izmantoja. </w:t>
      </w:r>
      <w:r w:rsidR="00BE0133">
        <w:t>Ievērojot</w:t>
      </w:r>
      <w:r w:rsidR="00C642E4">
        <w:t xml:space="preserve"> Kriminālprocesa likuma 393.panta un 655. </w:t>
      </w:r>
      <w:r w:rsidR="00DF7888">
        <w:t>-</w:t>
      </w:r>
      <w:r w:rsidR="00BE0133">
        <w:t xml:space="preserve">657.panta noteikumus </w:t>
      </w:r>
      <w:r w:rsidR="00C642E4">
        <w:t xml:space="preserve">(skatīt iepriekš </w:t>
      </w:r>
      <w:r w:rsidRPr="009D4272">
        <w:fldChar w:fldCharType="begin"/>
      </w:r>
      <w:r w:rsidR="008121AE" w:rsidRPr="009D4272">
        <w:instrText xml:space="preserve"> REF para24 \h </w:instrText>
      </w:r>
      <w:r w:rsidRPr="009D4272">
        <w:fldChar w:fldCharType="separate"/>
      </w:r>
      <w:r w:rsidR="009D4272" w:rsidRPr="009D4272">
        <w:rPr>
          <w:noProof/>
        </w:rPr>
        <w:t>27</w:t>
      </w:r>
      <w:r w:rsidRPr="009D4272">
        <w:fldChar w:fldCharType="end"/>
      </w:r>
      <w:r w:rsidR="000104B0">
        <w:t>.</w:t>
      </w:r>
      <w:r w:rsidR="00C642E4">
        <w:t xml:space="preserve"> līdz </w:t>
      </w:r>
      <w:r w:rsidRPr="009D4272">
        <w:fldChar w:fldCharType="begin"/>
      </w:r>
      <w:r w:rsidR="008121AE" w:rsidRPr="009D4272">
        <w:instrText xml:space="preserve"> REF para28 \h </w:instrText>
      </w:r>
      <w:r w:rsidRPr="009D4272">
        <w:fldChar w:fldCharType="separate"/>
      </w:r>
      <w:r w:rsidR="009D4272" w:rsidRPr="009D4272">
        <w:rPr>
          <w:noProof/>
        </w:rPr>
        <w:t>31</w:t>
      </w:r>
      <w:r w:rsidRPr="009D4272">
        <w:fldChar w:fldCharType="end"/>
      </w:r>
      <w:r w:rsidR="000104B0">
        <w:t>.</w:t>
      </w:r>
      <w:r w:rsidR="00C642E4">
        <w:t xml:space="preserve"> rindkopu), prokuroram bija tiesības atjaunot kriminālprocesu, pamatojoties uz jaunatklātiem apstākļiem (skatīt otrādi, </w:t>
      </w:r>
      <w:proofErr w:type="spellStart"/>
      <w:r w:rsidR="00C642E4">
        <w:rPr>
          <w:i/>
        </w:rPr>
        <w:t>Rezgui</w:t>
      </w:r>
      <w:proofErr w:type="spellEnd"/>
      <w:r w:rsidR="00C642E4">
        <w:t xml:space="preserve">, citēts iepriekš). Tiesa norāda, ka saskaņā ar </w:t>
      </w:r>
      <w:r w:rsidR="00BE0133">
        <w:t xml:space="preserve">Kriminālprocesa likuma </w:t>
      </w:r>
      <w:r w:rsidR="00C642E4">
        <w:t>655.panta 2.punkta 5.apakšpunktu starptautiskās tiesu iestādes secinājums, ka Latvijā spēkā stājies lēmu</w:t>
      </w:r>
      <w:r w:rsidR="00BE0133">
        <w:t xml:space="preserve">ms neatbilst Latvijai saistošajām starptautiskajām tiesībām, </w:t>
      </w:r>
      <w:r w:rsidR="00C642E4">
        <w:t xml:space="preserve">veido jaunatklātu apstākli. </w:t>
      </w:r>
      <w:r w:rsidR="00BE0133">
        <w:t>Tiesībsargājošās</w:t>
      </w:r>
      <w:r w:rsidR="00C642E4">
        <w:t xml:space="preserve"> iestādes noraidīja iesniedzēja lūgumu divos līmeņos, pamatojoties uz to, ka Valdības vienpusējā deklarācija nav uzskatāma par jaunatklātu apstākli </w:t>
      </w:r>
      <w:r w:rsidR="00BE0133">
        <w:t xml:space="preserve">Kriminālprocesa likuma </w:t>
      </w:r>
      <w:r w:rsidR="00C642E4">
        <w:t>655.panta 2.punkta izpratnē.</w:t>
      </w:r>
    </w:p>
    <w:p w:rsidR="00AF2E7D" w:rsidRPr="009D4272" w:rsidRDefault="003D7F16" w:rsidP="009D4272">
      <w:pPr>
        <w:pStyle w:val="ECHRPara"/>
      </w:pPr>
      <w:r w:rsidRPr="009D4272">
        <w:fldChar w:fldCharType="begin"/>
      </w:r>
      <w:r w:rsidR="00E17C5D" w:rsidRPr="009D4272">
        <w:instrText xml:space="preserve"> SEQ level0 \*arabic </w:instrText>
      </w:r>
      <w:r w:rsidRPr="009D4272">
        <w:fldChar w:fldCharType="separate"/>
      </w:r>
      <w:r w:rsidR="009D4272" w:rsidRPr="009D4272">
        <w:rPr>
          <w:noProof/>
        </w:rPr>
        <w:t>120</w:t>
      </w:r>
      <w:r w:rsidRPr="009D4272">
        <w:rPr>
          <w:noProof/>
        </w:rPr>
        <w:fldChar w:fldCharType="end"/>
      </w:r>
      <w:r w:rsidR="00E17C5D">
        <w:t>.  </w:t>
      </w:r>
      <w:r w:rsidR="00ED1882">
        <w:t>Tāpat Tiesa atkārtoti norāda</w:t>
      </w:r>
      <w:r w:rsidR="00E17C5D">
        <w:t xml:space="preserve">, ka saskaņā ar </w:t>
      </w:r>
      <w:r w:rsidR="00ED1882">
        <w:t>ie</w:t>
      </w:r>
      <w:r w:rsidR="00E17C5D">
        <w:t>dibināto judikatūru, pieteikums par kriminālprocesa atjaunošanu vai citu tiesību aizsardzības līdzekļu</w:t>
      </w:r>
      <w:r w:rsidR="00491077">
        <w:t>,</w:t>
      </w:r>
      <w:r w:rsidR="00E17C5D">
        <w:t xml:space="preserve"> </w:t>
      </w:r>
      <w:r w:rsidR="00491077">
        <w:t>kuri nav obligāti jāizsmeļ,</w:t>
      </w:r>
      <w:r w:rsidR="00E17C5D">
        <w:t xml:space="preserve"> </w:t>
      </w:r>
      <w:r w:rsidR="00491077">
        <w:t xml:space="preserve">izmantošanu </w:t>
      </w:r>
      <w:r w:rsidR="00E17C5D">
        <w:t>nevar tikt ņem</w:t>
      </w:r>
      <w:r w:rsidR="00491077">
        <w:t>t</w:t>
      </w:r>
      <w:r w:rsidR="00E17C5D">
        <w:t xml:space="preserve">s vērā Konvencijas </w:t>
      </w:r>
      <w:proofErr w:type="gramStart"/>
      <w:r w:rsidR="00E17C5D">
        <w:t>35.panta</w:t>
      </w:r>
      <w:proofErr w:type="gramEnd"/>
      <w:r w:rsidR="00E17C5D">
        <w:t xml:space="preserve"> 1.punkta </w:t>
      </w:r>
      <w:r w:rsidR="004A1786">
        <w:t>kontekstā</w:t>
      </w:r>
      <w:r w:rsidR="00E17C5D">
        <w:t xml:space="preserve"> (skatīt, piemēram, </w:t>
      </w:r>
      <w:proofErr w:type="spellStart"/>
      <w:r w:rsidR="00E17C5D">
        <w:rPr>
          <w:i/>
        </w:rPr>
        <w:t>Withey</w:t>
      </w:r>
      <w:proofErr w:type="spellEnd"/>
      <w:r w:rsidR="00E17C5D">
        <w:rPr>
          <w:i/>
        </w:rPr>
        <w:t xml:space="preserve"> pret Apvienoto Karalisti</w:t>
      </w:r>
      <w:r w:rsidR="00E17C5D">
        <w:t xml:space="preserve"> (lēmums), Nr. 59493/00, ECT</w:t>
      </w:r>
      <w:r w:rsidR="004A0809">
        <w:t>K</w:t>
      </w:r>
      <w:r w:rsidR="00E17C5D">
        <w:t xml:space="preserve"> 2003-X, un </w:t>
      </w:r>
      <w:r w:rsidR="00E17C5D">
        <w:rPr>
          <w:i/>
        </w:rPr>
        <w:t>H. pret Islandi</w:t>
      </w:r>
      <w:r w:rsidR="00E17C5D">
        <w:t xml:space="preserve">, citēts iepriekš, ar turpmākām atsaucēm). Šāda pieeja konkrētajā lietā </w:t>
      </w:r>
      <w:r w:rsidR="00491077">
        <w:t>radītu tādas sekas</w:t>
      </w:r>
      <w:r w:rsidR="00E17C5D">
        <w:t>, ka Tiesai formālu iemeslu dēļ ti</w:t>
      </w:r>
      <w:r w:rsidR="00491077">
        <w:t>ktu</w:t>
      </w:r>
      <w:r w:rsidR="00E17C5D">
        <w:t xml:space="preserve"> liegta iespēja izskatīt iesniedzēja sūdzību par efektīvas izmeklēšanas trūkumu pēc būtības.</w:t>
      </w:r>
    </w:p>
    <w:p w:rsidR="00AF2E7D" w:rsidRPr="009D4272" w:rsidRDefault="005400B3" w:rsidP="009D4272">
      <w:pPr>
        <w:pStyle w:val="ECHRPara"/>
      </w:pPr>
      <w:r>
        <w:t xml:space="preserve">Tomēr īpašos apstākļos Tiesa konstatē iemeslu atkāpties no šī noteikuma, ņemot vērā šādus faktorus: Valdības tiešā un nepārprotamā atzīšana, ka ir notikusi slikta izturēšanās pret iesniedzēju un ka izmeklēšana neatbilda Konvencijas </w:t>
      </w:r>
      <w:proofErr w:type="gramStart"/>
      <w:r>
        <w:t>3.pantā</w:t>
      </w:r>
      <w:proofErr w:type="gramEnd"/>
      <w:r>
        <w:t xml:space="preserve"> nostiprinātajām efektivitātes prasībām; Tiesas </w:t>
      </w:r>
      <w:r w:rsidR="004A1786">
        <w:t xml:space="preserve">veiktais </w:t>
      </w:r>
      <w:r>
        <w:t xml:space="preserve">šīs deklarācijas </w:t>
      </w:r>
      <w:r w:rsidR="004A1786">
        <w:t>iz</w:t>
      </w:r>
      <w:r>
        <w:t xml:space="preserve">vērtējums un, ņemot vērā </w:t>
      </w:r>
      <w:r w:rsidR="004A1786">
        <w:t xml:space="preserve">tā </w:t>
      </w:r>
      <w:r>
        <w:t xml:space="preserve">secinājumus, </w:t>
      </w:r>
      <w:r w:rsidR="004A1786">
        <w:t>Tiesas</w:t>
      </w:r>
      <w:r>
        <w:t xml:space="preserve"> lēmums </w:t>
      </w:r>
      <w:r w:rsidR="004A1786">
        <w:t>svītrot</w:t>
      </w:r>
      <w:r>
        <w:t xml:space="preserve"> šo iesnieguma daļu no tās izskatāmo lietu saraksta ar 2009.gada 10.februāra galīgo lēmumu, tādējādi noslēdzot lietas izskatīšanu (skatīt šī lēmuma 54.rindkopu) - vienlaikus norādot, ka iesniedzējam </w:t>
      </w:r>
      <w:r w:rsidR="004A1786">
        <w:t>ir iespēja</w:t>
      </w:r>
      <w:r>
        <w:t xml:space="preserve"> izmantot jebkādus viņam pieejamos nacionālos tiesību aizsardzības līdzekļus; un tas, ka </w:t>
      </w:r>
      <w:r w:rsidR="009A17E2">
        <w:t>neesot efektīvai izmeklēšanai</w:t>
      </w:r>
      <w:r>
        <w:t xml:space="preserve"> turpina pastāvēt </w:t>
      </w:r>
      <w:r w:rsidR="004A1786">
        <w:t>Valsts-</w:t>
      </w:r>
      <w:r>
        <w:t xml:space="preserve">atbildētājas </w:t>
      </w:r>
      <w:r w:rsidR="004A1786">
        <w:t xml:space="preserve">Konvencijas </w:t>
      </w:r>
      <w:r>
        <w:t>3.pantā noteiktais procesuālais pienākums.</w:t>
      </w:r>
    </w:p>
    <w:p w:rsidR="0079440B" w:rsidRPr="009D4272" w:rsidRDefault="003D7F16" w:rsidP="009D4272">
      <w:pPr>
        <w:pStyle w:val="ECHRPara"/>
      </w:pPr>
      <w:r w:rsidRPr="009D4272">
        <w:fldChar w:fldCharType="begin"/>
      </w:r>
      <w:r w:rsidR="00360B11" w:rsidRPr="009D4272">
        <w:instrText xml:space="preserve"> SEQ level0 \*arabic </w:instrText>
      </w:r>
      <w:r w:rsidRPr="009D4272">
        <w:fldChar w:fldCharType="separate"/>
      </w:r>
      <w:r w:rsidR="009D4272" w:rsidRPr="009D4272">
        <w:rPr>
          <w:noProof/>
        </w:rPr>
        <w:t>121</w:t>
      </w:r>
      <w:r w:rsidRPr="009D4272">
        <w:fldChar w:fldCharType="end"/>
      </w:r>
      <w:r w:rsidR="00360B11">
        <w:t>.  Pievēršoties minētās sūdzības būtībai, Tiesa sākumā atzīmē, ka tā nepaudīs viedokli par to, vai Latvijas prokuroriem bija vai nebija pamat</w:t>
      </w:r>
      <w:r w:rsidR="00C13A4C">
        <w:t>a</w:t>
      </w:r>
      <w:r w:rsidR="00360B11">
        <w:t xml:space="preserve"> </w:t>
      </w:r>
      <w:r w:rsidR="00360B11">
        <w:lastRenderedPageBreak/>
        <w:t xml:space="preserve">izlemt </w:t>
      </w:r>
      <w:r w:rsidR="00C13A4C">
        <w:t>par</w:t>
      </w:r>
      <w:r w:rsidR="00360B11">
        <w:t xml:space="preserve"> iesniedzēja lūgum</w:t>
      </w:r>
      <w:r w:rsidR="00C13A4C">
        <w:t>a</w:t>
      </w:r>
      <w:r w:rsidR="00360B11">
        <w:t xml:space="preserve"> atjaunot izmeklēšanu</w:t>
      </w:r>
      <w:r w:rsidR="00C13A4C">
        <w:t xml:space="preserve"> noraidīšanu</w:t>
      </w:r>
      <w:r w:rsidR="00360B11">
        <w:t xml:space="preserve">. Saskaņā ar </w:t>
      </w:r>
      <w:r w:rsidR="00C13A4C">
        <w:t>iedibināto judikatūru</w:t>
      </w:r>
      <w:r w:rsidR="00360B11">
        <w:t xml:space="preserve"> Konvencija principā negarantē tiesības atjaunot izbeigtu lietu </w:t>
      </w:r>
      <w:proofErr w:type="gramStart"/>
      <w:r w:rsidR="00360B11">
        <w:t>(</w:t>
      </w:r>
      <w:proofErr w:type="gramEnd"/>
      <w:r w:rsidR="00360B11">
        <w:t xml:space="preserve">skatīt, </w:t>
      </w:r>
      <w:proofErr w:type="spellStart"/>
      <w:r w:rsidR="00360B11">
        <w:rPr>
          <w:i/>
        </w:rPr>
        <w:t>mutatis</w:t>
      </w:r>
      <w:proofErr w:type="spellEnd"/>
      <w:r w:rsidR="00360B11">
        <w:rPr>
          <w:i/>
        </w:rPr>
        <w:t xml:space="preserve"> </w:t>
      </w:r>
      <w:proofErr w:type="spellStart"/>
      <w:r w:rsidR="00360B11">
        <w:rPr>
          <w:i/>
        </w:rPr>
        <w:t>mutandis</w:t>
      </w:r>
      <w:proofErr w:type="spellEnd"/>
      <w:r w:rsidR="00360B11">
        <w:rPr>
          <w:i/>
        </w:rPr>
        <w:t xml:space="preserve">, </w:t>
      </w:r>
      <w:proofErr w:type="spellStart"/>
      <w:r w:rsidR="00360B11">
        <w:rPr>
          <w:i/>
        </w:rPr>
        <w:t>Bochan</w:t>
      </w:r>
      <w:proofErr w:type="spellEnd"/>
      <w:r w:rsidR="00360B11">
        <w:rPr>
          <w:i/>
        </w:rPr>
        <w:t xml:space="preserve"> pret Ukrainu (Nr. 2)</w:t>
      </w:r>
      <w:r w:rsidR="00360B11">
        <w:t xml:space="preserve"> [LP], Nr. 22251/08, 44. rindkopa, ECT</w:t>
      </w:r>
      <w:r w:rsidR="00C13A4C">
        <w:t>K</w:t>
      </w:r>
      <w:r w:rsidR="00360B11">
        <w:t xml:space="preserve"> 2015). </w:t>
      </w:r>
      <w:r w:rsidR="008F4305">
        <w:t xml:space="preserve">Tomēr </w:t>
      </w:r>
      <w:r w:rsidR="00360B11">
        <w:t xml:space="preserve">Tiesa var izvērtēt, vai veids, kādā Latvijas iestādes </w:t>
      </w:r>
      <w:r w:rsidR="008F4305">
        <w:t xml:space="preserve">izskatīja </w:t>
      </w:r>
      <w:r w:rsidR="00360B11">
        <w:t xml:space="preserve">iesniedzēja lūgumu, radīja </w:t>
      </w:r>
      <w:r w:rsidR="008F4305">
        <w:t>sekas,</w:t>
      </w:r>
      <w:r w:rsidR="00360B11">
        <w:t xml:space="preserve"> kas bija nesaderīga</w:t>
      </w:r>
      <w:bookmarkStart w:id="38" w:name="para120"/>
      <w:r w:rsidR="008F4305">
        <w:t>s</w:t>
      </w:r>
      <w:r w:rsidR="00360B11">
        <w:t xml:space="preserve"> ar </w:t>
      </w:r>
      <w:r w:rsidR="008F4305">
        <w:t>valsts</w:t>
      </w:r>
      <w:r w:rsidR="00360B11">
        <w:t xml:space="preserve"> </w:t>
      </w:r>
      <w:r w:rsidR="00915AB8">
        <w:t>turpmāko</w:t>
      </w:r>
      <w:r w:rsidR="008F4305">
        <w:t xml:space="preserve"> Konvencijas</w:t>
      </w:r>
      <w:r w:rsidR="00360B11">
        <w:t xml:space="preserve"> </w:t>
      </w:r>
      <w:proofErr w:type="gramStart"/>
      <w:r w:rsidR="00360B11">
        <w:t>3.pantā</w:t>
      </w:r>
      <w:proofErr w:type="gramEnd"/>
      <w:r w:rsidR="00360B11">
        <w:t xml:space="preserve"> noteikto pienākumu veikt efektīvu izmeklēšanu.</w:t>
      </w:r>
    </w:p>
    <w:bookmarkStart w:id="39" w:name="para122"/>
    <w:bookmarkStart w:id="40" w:name="para121"/>
    <w:p w:rsidR="00FC53C7" w:rsidRDefault="003D7F16" w:rsidP="00BB2151">
      <w:pPr>
        <w:pStyle w:val="ECHRPara"/>
      </w:pPr>
      <w:r w:rsidRPr="009D4272">
        <w:fldChar w:fldCharType="begin"/>
      </w:r>
      <w:r w:rsidR="001B4DF5" w:rsidRPr="009D4272">
        <w:instrText xml:space="preserve"> SEQ level0 \*arabic </w:instrText>
      </w:r>
      <w:r w:rsidRPr="009D4272">
        <w:fldChar w:fldCharType="separate"/>
      </w:r>
      <w:r w:rsidR="009D4272" w:rsidRPr="009D4272">
        <w:rPr>
          <w:noProof/>
        </w:rPr>
        <w:t>122</w:t>
      </w:r>
      <w:r w:rsidRPr="009D4272">
        <w:fldChar w:fldCharType="end"/>
      </w:r>
      <w:bookmarkEnd w:id="39"/>
      <w:r w:rsidR="001B4DF5">
        <w:t>.  </w:t>
      </w:r>
      <w:bookmarkEnd w:id="38"/>
      <w:bookmarkEnd w:id="40"/>
      <w:r w:rsidR="001B4DF5">
        <w:t xml:space="preserve">Jebkurā gadījumā, pat pieņemot to, ka izmeklēšanas iestādes nevarēja esošā nacionālā tiesiskā regulējuma ietvaros atjaunot izmeklēšanu, kas tika izbeigta </w:t>
      </w:r>
      <w:proofErr w:type="gramStart"/>
      <w:r w:rsidR="001B4DF5">
        <w:t>2001.gada</w:t>
      </w:r>
      <w:proofErr w:type="gramEnd"/>
      <w:r w:rsidR="001B4DF5">
        <w:t xml:space="preserve"> 19.martā, Tiesa neu</w:t>
      </w:r>
      <w:r w:rsidR="007C4725">
        <w:t xml:space="preserve">zskata, ka kāds no augstāka amata </w:t>
      </w:r>
      <w:r w:rsidR="001B4DF5">
        <w:t>prokurora 2010.gada 20.decem</w:t>
      </w:r>
      <w:r w:rsidR="007C4725">
        <w:t xml:space="preserve">bra lēmumā minētajiem nacionālajos tiesību aktos esošajiem </w:t>
      </w:r>
      <w:r w:rsidR="001B4DF5">
        <w:t xml:space="preserve">šķēršļiem </w:t>
      </w:r>
      <w:r w:rsidR="007C4725">
        <w:t xml:space="preserve">varēja mazināt </w:t>
      </w:r>
      <w:r w:rsidR="00A13468">
        <w:t>valsts-</w:t>
      </w:r>
      <w:r w:rsidR="007C4725">
        <w:t>atbildētājas</w:t>
      </w:r>
      <w:r w:rsidR="001B4DF5">
        <w:t xml:space="preserve"> </w:t>
      </w:r>
      <w:r w:rsidR="00915AB8">
        <w:t>turpmāko</w:t>
      </w:r>
      <w:r w:rsidR="001B4DF5">
        <w:t xml:space="preserve"> pienākumu saskaņā ar Konvencijas 3.pantu veikt efektīvu izmeklēšanu (skatīt iepriekš arī </w:t>
      </w:r>
      <w:r w:rsidR="003653A2">
        <w:fldChar w:fldCharType="begin"/>
      </w:r>
      <w:r w:rsidR="003653A2">
        <w:instrText xml:space="preserve"> REF para34 \h  \* MERGEFORMAT </w:instrText>
      </w:r>
      <w:r w:rsidR="003653A2">
        <w:fldChar w:fldCharType="separate"/>
      </w:r>
      <w:r w:rsidR="009D4272" w:rsidRPr="009D4272">
        <w:rPr>
          <w:noProof/>
        </w:rPr>
        <w:t>34</w:t>
      </w:r>
      <w:r w:rsidR="003653A2">
        <w:fldChar w:fldCharType="end"/>
      </w:r>
      <w:r w:rsidR="000104B0">
        <w:t>.</w:t>
      </w:r>
      <w:r w:rsidR="001B4DF5">
        <w:t xml:space="preserve"> rindkopu). Citādi, ja iestādes varētu </w:t>
      </w:r>
      <w:r w:rsidR="00BB2151">
        <w:t>aprobežoties</w:t>
      </w:r>
      <w:r w:rsidR="001B4DF5">
        <w:t xml:space="preserve"> </w:t>
      </w:r>
      <w:r w:rsidR="00BB2151">
        <w:t xml:space="preserve">tikai ar kompensācijas izmaksu, šādi reaģējot </w:t>
      </w:r>
      <w:r w:rsidR="001B4DF5">
        <w:t>uz tīšas sliktas izturēšanās gadījumiem no valsts pārstāvju puses</w:t>
      </w:r>
      <w:r w:rsidR="00BB2151">
        <w:t xml:space="preserve"> un</w:t>
      </w:r>
      <w:r w:rsidR="001B4DF5">
        <w:t xml:space="preserve"> nedarot pietiekami, lai sauktu pie atbildības un sodītu vainīgos, tad atsevišķos gadījumos valsts pārstāvjiem būtu iespējams ļaunprātīgi izmantot </w:t>
      </w:r>
      <w:r w:rsidR="00BB2151">
        <w:t>savas tiesības attiecībā uz tiem, kas atrodas viņu kontrolē, un praktiski veicināt nesodāmību, un vispārējais spīdzināšanas un necilvēcīgas izturēšanās un pazemošanas aizliegums, neskatoties uz tā būtisko nozīmi, būtu praksē neefektīvs</w:t>
      </w:r>
      <w:r w:rsidR="001B4DF5">
        <w:t xml:space="preserve"> (skatīt </w:t>
      </w:r>
      <w:proofErr w:type="spellStart"/>
      <w:r w:rsidR="001B4DF5">
        <w:rPr>
          <w:i/>
        </w:rPr>
        <w:t>Gäfgen</w:t>
      </w:r>
      <w:proofErr w:type="spellEnd"/>
      <w:r w:rsidR="001B4DF5">
        <w:t>, citēts iepriekš, 119. rindkopa).</w:t>
      </w:r>
    </w:p>
    <w:p w:rsidR="008C100A" w:rsidRPr="009D4272" w:rsidRDefault="003D7F16" w:rsidP="009D4272">
      <w:pPr>
        <w:pStyle w:val="ECHRPara"/>
      </w:pPr>
      <w:r w:rsidRPr="009D4272">
        <w:fldChar w:fldCharType="begin"/>
      </w:r>
      <w:r w:rsidR="008C100A" w:rsidRPr="009D4272">
        <w:instrText xml:space="preserve"> SEQ level0 \*arabic </w:instrText>
      </w:r>
      <w:r w:rsidRPr="009D4272">
        <w:fldChar w:fldCharType="separate"/>
      </w:r>
      <w:r w:rsidR="009D4272" w:rsidRPr="009D4272">
        <w:rPr>
          <w:noProof/>
        </w:rPr>
        <w:t>123</w:t>
      </w:r>
      <w:r w:rsidRPr="009D4272">
        <w:fldChar w:fldCharType="end"/>
      </w:r>
      <w:r w:rsidR="008C100A">
        <w:t xml:space="preserve">.  Ņemot vērā iestāžu atteikumu atjaunot izbeigto kriminālprocesu par slikto izturēšanos pret iesniedzēju, ko Valdība ir atzinusi savā vienpusējā deklarācijā iesniegumā Nr. 547/02, Tiesa uzskata konkrētajā lietā, ka iesniedzējs neguva labumu no efektīvas izmeklēšanas, kā to prasa Konvencijas </w:t>
      </w:r>
      <w:proofErr w:type="gramStart"/>
      <w:r w:rsidR="008C100A">
        <w:t>3.pants</w:t>
      </w:r>
      <w:proofErr w:type="gramEnd"/>
      <w:r w:rsidR="008C100A">
        <w:t>.</w:t>
      </w:r>
    </w:p>
    <w:bookmarkStart w:id="41" w:name="para123"/>
    <w:p w:rsidR="00505966" w:rsidRPr="009D4272" w:rsidRDefault="003D7F16" w:rsidP="009D4272">
      <w:pPr>
        <w:pStyle w:val="ECHRPara"/>
      </w:pPr>
      <w:r w:rsidRPr="009D4272">
        <w:fldChar w:fldCharType="begin"/>
      </w:r>
      <w:r w:rsidR="008C100A" w:rsidRPr="009D4272">
        <w:instrText xml:space="preserve"> SEQ level0 \*arabic </w:instrText>
      </w:r>
      <w:r w:rsidRPr="009D4272">
        <w:fldChar w:fldCharType="separate"/>
      </w:r>
      <w:r w:rsidR="009D4272" w:rsidRPr="009D4272">
        <w:rPr>
          <w:noProof/>
        </w:rPr>
        <w:t>124</w:t>
      </w:r>
      <w:r w:rsidRPr="009D4272">
        <w:fldChar w:fldCharType="end"/>
      </w:r>
      <w:bookmarkEnd w:id="41"/>
      <w:r w:rsidR="008C100A">
        <w:t>.  Tāpēc Tiesa noraida Valdības sāko</w:t>
      </w:r>
      <w:r w:rsidR="00397619">
        <w:t>tnējo iebildumu, ka iesniegums p</w:t>
      </w:r>
      <w:r w:rsidR="008C100A">
        <w:t>ēc būtības neatbilst Konvencijai</w:t>
      </w:r>
      <w:r w:rsidR="00397619">
        <w:t xml:space="preserve"> </w:t>
      </w:r>
      <w:proofErr w:type="spellStart"/>
      <w:r w:rsidR="00397619" w:rsidRPr="00397619">
        <w:rPr>
          <w:i/>
        </w:rPr>
        <w:t>ratione</w:t>
      </w:r>
      <w:proofErr w:type="spellEnd"/>
      <w:r w:rsidR="00397619" w:rsidRPr="00397619">
        <w:rPr>
          <w:i/>
        </w:rPr>
        <w:t xml:space="preserve"> </w:t>
      </w:r>
      <w:proofErr w:type="spellStart"/>
      <w:r w:rsidR="00397619" w:rsidRPr="00397619">
        <w:rPr>
          <w:i/>
        </w:rPr>
        <w:t>materiae</w:t>
      </w:r>
      <w:proofErr w:type="spellEnd"/>
      <w:r w:rsidR="008C100A">
        <w:t xml:space="preserve">, kā arī viņu iebildumus par cietušā statusa neesamību, nacionālo tiesību aizsardzības līdzekļu neizmantošanu un neatbilstību sešu mēnešu </w:t>
      </w:r>
      <w:r w:rsidR="00397619">
        <w:t xml:space="preserve">termiņa </w:t>
      </w:r>
      <w:r w:rsidR="008C100A">
        <w:t xml:space="preserve">noteikumam. Lemjot pēc būtības, tā konstatē, ka ir </w:t>
      </w:r>
      <w:r w:rsidR="009A532D">
        <w:t>noticis</w:t>
      </w:r>
      <w:r w:rsidR="00397619">
        <w:t xml:space="preserve"> Konvencijas </w:t>
      </w:r>
      <w:proofErr w:type="gramStart"/>
      <w:r w:rsidR="00397619">
        <w:t>3.panta</w:t>
      </w:r>
      <w:proofErr w:type="gramEnd"/>
      <w:r w:rsidR="00397619">
        <w:t xml:space="preserve"> </w:t>
      </w:r>
      <w:r w:rsidR="009A532D">
        <w:t xml:space="preserve">procesuālā aspekta </w:t>
      </w:r>
      <w:r w:rsidR="00397619">
        <w:t>pārkāpums</w:t>
      </w:r>
      <w:r w:rsidR="008C100A">
        <w:t>.</w:t>
      </w:r>
    </w:p>
    <w:p w:rsidR="00782053" w:rsidRPr="009D4272" w:rsidRDefault="001A2298" w:rsidP="009D4272">
      <w:pPr>
        <w:pStyle w:val="ECHRHeading5"/>
      </w:pPr>
      <w:r>
        <w:t>(</w:t>
      </w:r>
      <w:proofErr w:type="spellStart"/>
      <w:r>
        <w:t>ii</w:t>
      </w:r>
      <w:proofErr w:type="spellEnd"/>
      <w:r>
        <w:t>) Konvencijas 13. pants</w:t>
      </w:r>
    </w:p>
    <w:p w:rsidR="00CD7410" w:rsidRPr="009D4272" w:rsidRDefault="003D7F16" w:rsidP="009D4272">
      <w:pPr>
        <w:pStyle w:val="ECHRPara"/>
      </w:pPr>
      <w:r w:rsidRPr="009D4272">
        <w:fldChar w:fldCharType="begin"/>
      </w:r>
      <w:r w:rsidR="005808AD" w:rsidRPr="009D4272">
        <w:instrText xml:space="preserve"> SEQ level0 \*arabic </w:instrText>
      </w:r>
      <w:r w:rsidRPr="009D4272">
        <w:fldChar w:fldCharType="separate"/>
      </w:r>
      <w:r w:rsidR="009D4272" w:rsidRPr="009D4272">
        <w:rPr>
          <w:noProof/>
        </w:rPr>
        <w:t>125</w:t>
      </w:r>
      <w:r w:rsidRPr="009D4272">
        <w:fldChar w:fldCharType="end"/>
      </w:r>
      <w:r w:rsidR="005808AD">
        <w:t xml:space="preserve">.  Ņemot vērā Tiesas iegūtās ziņas </w:t>
      </w:r>
      <w:r w:rsidRPr="009D4272">
        <w:fldChar w:fldCharType="begin"/>
      </w:r>
      <w:r w:rsidR="00F6679F" w:rsidRPr="009D4272">
        <w:instrText xml:space="preserve"> REF para116 \h </w:instrText>
      </w:r>
      <w:r w:rsidRPr="009D4272">
        <w:fldChar w:fldCharType="separate"/>
      </w:r>
      <w:r w:rsidR="009D4272" w:rsidRPr="009D4272">
        <w:rPr>
          <w:noProof/>
        </w:rPr>
        <w:t>119</w:t>
      </w:r>
      <w:r w:rsidRPr="009D4272">
        <w:fldChar w:fldCharType="end"/>
      </w:r>
      <w:r w:rsidR="000104B0">
        <w:t>.</w:t>
      </w:r>
      <w:r w:rsidR="005808AD">
        <w:t xml:space="preserve"> un </w:t>
      </w:r>
      <w:r w:rsidRPr="009D4272">
        <w:fldChar w:fldCharType="begin"/>
      </w:r>
      <w:r w:rsidR="00355D00" w:rsidRPr="009D4272">
        <w:instrText xml:space="preserve"> REF para122 \h </w:instrText>
      </w:r>
      <w:r w:rsidRPr="009D4272">
        <w:fldChar w:fldCharType="separate"/>
      </w:r>
      <w:r w:rsidR="009D4272" w:rsidRPr="009D4272">
        <w:rPr>
          <w:noProof/>
        </w:rPr>
        <w:t>122</w:t>
      </w:r>
      <w:r w:rsidRPr="009D4272">
        <w:fldChar w:fldCharType="end"/>
      </w:r>
      <w:r w:rsidR="000104B0">
        <w:t>.</w:t>
      </w:r>
      <w:r w:rsidR="005808AD">
        <w:t xml:space="preserve"> rindkopā un tās secinājumu </w:t>
      </w:r>
      <w:r w:rsidR="003653A2">
        <w:fldChar w:fldCharType="begin"/>
      </w:r>
      <w:r w:rsidR="003653A2">
        <w:instrText xml:space="preserve"> REF para123 \h  \* MERGEFORMAT </w:instrText>
      </w:r>
      <w:r w:rsidR="003653A2">
        <w:fldChar w:fldCharType="separate"/>
      </w:r>
      <w:r w:rsidR="009D4272" w:rsidRPr="009D4272">
        <w:rPr>
          <w:noProof/>
        </w:rPr>
        <w:t>124</w:t>
      </w:r>
      <w:r w:rsidR="003653A2">
        <w:fldChar w:fldCharType="end"/>
      </w:r>
      <w:r w:rsidR="000104B0">
        <w:t>.</w:t>
      </w:r>
      <w:r w:rsidR="005808AD">
        <w:t xml:space="preserve"> rindkopā, Tiesa uzskata, ka nerodas atsevišķs jautājums par iespējamo </w:t>
      </w:r>
      <w:r w:rsidR="009A532D">
        <w:t xml:space="preserve">Konvencijas </w:t>
      </w:r>
      <w:r w:rsidR="005808AD">
        <w:t xml:space="preserve">13. panta pārkāpumu, kas pieņemts saistībā ar </w:t>
      </w:r>
      <w:proofErr w:type="gramStart"/>
      <w:r w:rsidR="005808AD">
        <w:t>3.pantu</w:t>
      </w:r>
      <w:proofErr w:type="gramEnd"/>
      <w:r w:rsidR="005808AD">
        <w:t xml:space="preserve"> (skatīt, no citiem avotiem, </w:t>
      </w:r>
      <w:proofErr w:type="spellStart"/>
      <w:r w:rsidR="005808AD">
        <w:rPr>
          <w:i/>
        </w:rPr>
        <w:t>Nachova</w:t>
      </w:r>
      <w:proofErr w:type="spellEnd"/>
      <w:r w:rsidR="005808AD">
        <w:rPr>
          <w:i/>
        </w:rPr>
        <w:t xml:space="preserve"> un citi pret Bulgāriju </w:t>
      </w:r>
      <w:r w:rsidR="005808AD">
        <w:t>[LP], Nr. 43577/98 un 43579/98, 123. rindkopa, ECT</w:t>
      </w:r>
      <w:r w:rsidR="007862F8">
        <w:t>K</w:t>
      </w:r>
      <w:r w:rsidR="005808AD">
        <w:t xml:space="preserve"> 2005</w:t>
      </w:r>
      <w:r w:rsidR="005808AD">
        <w:noBreakHyphen/>
        <w:t xml:space="preserve">VII; </w:t>
      </w:r>
      <w:proofErr w:type="spellStart"/>
      <w:r w:rsidR="005808AD">
        <w:rPr>
          <w:i/>
        </w:rPr>
        <w:t>Stanev</w:t>
      </w:r>
      <w:proofErr w:type="spellEnd"/>
      <w:r w:rsidR="005808AD">
        <w:rPr>
          <w:i/>
        </w:rPr>
        <w:t xml:space="preserve"> pret Bulgāriju </w:t>
      </w:r>
      <w:r w:rsidR="005808AD">
        <w:t>[LP], Nr. 36760/06, 252. rindkopa, ECT</w:t>
      </w:r>
      <w:r w:rsidR="007862F8">
        <w:t>K</w:t>
      </w:r>
      <w:r w:rsidR="005808AD">
        <w:t xml:space="preserve"> 2012; un </w:t>
      </w:r>
      <w:proofErr w:type="spellStart"/>
      <w:r w:rsidR="005808AD">
        <w:rPr>
          <w:i/>
        </w:rPr>
        <w:t>Chiragov</w:t>
      </w:r>
      <w:proofErr w:type="spellEnd"/>
      <w:r w:rsidR="005808AD">
        <w:rPr>
          <w:i/>
        </w:rPr>
        <w:t xml:space="preserve"> un citi pret Armēniju </w:t>
      </w:r>
      <w:r w:rsidR="005808AD">
        <w:t>[LP], Nr. 13216/05, 220. rindkopa, ECT</w:t>
      </w:r>
      <w:r w:rsidR="00CF0CF7">
        <w:t>K</w:t>
      </w:r>
      <w:r w:rsidR="005808AD">
        <w:t xml:space="preserve"> 2015).</w:t>
      </w:r>
    </w:p>
    <w:p w:rsidR="00014566" w:rsidRPr="009D4272" w:rsidRDefault="000439E1" w:rsidP="009D4272">
      <w:pPr>
        <w:pStyle w:val="ECHRHeading1"/>
      </w:pPr>
      <w:r>
        <w:lastRenderedPageBreak/>
        <w:t>II.  KONVENCIJAS 41. PANTA PIEMĒROŠANA</w:t>
      </w:r>
    </w:p>
    <w:p w:rsidR="00014566" w:rsidRPr="009D4272" w:rsidRDefault="003D7F16" w:rsidP="009D4272">
      <w:pPr>
        <w:pStyle w:val="ECHRPara"/>
      </w:pPr>
      <w:r w:rsidRPr="009D4272">
        <w:fldChar w:fldCharType="begin"/>
      </w:r>
      <w:r w:rsidR="00A956FC" w:rsidRPr="009D4272">
        <w:instrText xml:space="preserve"> SEQ level0 \*arabic </w:instrText>
      </w:r>
      <w:r w:rsidRPr="009D4272">
        <w:fldChar w:fldCharType="separate"/>
      </w:r>
      <w:r w:rsidR="009D4272" w:rsidRPr="009D4272">
        <w:rPr>
          <w:noProof/>
        </w:rPr>
        <w:t>126</w:t>
      </w:r>
      <w:r w:rsidRPr="009D4272">
        <w:fldChar w:fldCharType="end"/>
      </w:r>
      <w:r w:rsidR="000104B0">
        <w:t>.  Konvencijas 41. pants paredz</w:t>
      </w:r>
      <w:r w:rsidR="00A956FC">
        <w:t>:</w:t>
      </w:r>
    </w:p>
    <w:p w:rsidR="00014566" w:rsidRPr="009D4272" w:rsidRDefault="000104B0" w:rsidP="009D4272">
      <w:pPr>
        <w:pStyle w:val="ECHRParaQuote"/>
        <w:keepNext/>
        <w:keepLines/>
      </w:pPr>
      <w:r>
        <w:t>„</w:t>
      </w:r>
      <w:r w:rsidR="00014566">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30464C" w:rsidRPr="009D4272" w:rsidRDefault="0030464C" w:rsidP="009D4272">
      <w:pPr>
        <w:pStyle w:val="ECHRHeading2"/>
      </w:pPr>
      <w:r>
        <w:t>A. Kaitējums</w:t>
      </w:r>
    </w:p>
    <w:p w:rsidR="00B3042C" w:rsidRPr="009D4272" w:rsidRDefault="003D7F16" w:rsidP="009D4272">
      <w:pPr>
        <w:pStyle w:val="ECHRPara"/>
      </w:pPr>
      <w:r w:rsidRPr="009D4272">
        <w:fldChar w:fldCharType="begin"/>
      </w:r>
      <w:r w:rsidR="004D1D5E" w:rsidRPr="009D4272">
        <w:instrText xml:space="preserve"> SEQ level0 \*arabic </w:instrText>
      </w:r>
      <w:r w:rsidRPr="009D4272">
        <w:fldChar w:fldCharType="separate"/>
      </w:r>
      <w:r w:rsidR="009D4272" w:rsidRPr="009D4272">
        <w:rPr>
          <w:noProof/>
        </w:rPr>
        <w:t>127</w:t>
      </w:r>
      <w:r w:rsidRPr="009D4272">
        <w:fldChar w:fldCharType="end"/>
      </w:r>
      <w:r w:rsidR="004D1D5E">
        <w:t>.  Iesniedzējs lūdza piešķirt kompensāciju 50 000 eiro (EUR) apmērā par morālo kaitējumu.</w:t>
      </w:r>
    </w:p>
    <w:p w:rsidR="00B3042C" w:rsidRPr="009D4272" w:rsidRDefault="003D7F16" w:rsidP="009D4272">
      <w:pPr>
        <w:pStyle w:val="ECHRPara"/>
      </w:pPr>
      <w:r w:rsidRPr="009D4272">
        <w:fldChar w:fldCharType="begin"/>
      </w:r>
      <w:r w:rsidR="00B3042C" w:rsidRPr="009D4272">
        <w:instrText xml:space="preserve"> SEQ level0 \*arabic </w:instrText>
      </w:r>
      <w:r w:rsidRPr="009D4272">
        <w:fldChar w:fldCharType="separate"/>
      </w:r>
      <w:r w:rsidR="009D4272" w:rsidRPr="009D4272">
        <w:rPr>
          <w:noProof/>
        </w:rPr>
        <w:t>128</w:t>
      </w:r>
      <w:r w:rsidRPr="009D4272">
        <w:fldChar w:fldCharType="end"/>
      </w:r>
      <w:r w:rsidR="00B3042C">
        <w:t xml:space="preserve">.  Valdība apgalvoja, ka, ņemot vērā iesnieguma patvaļīgi paplašināto </w:t>
      </w:r>
      <w:r w:rsidR="009A532D">
        <w:t>tvērumu</w:t>
      </w:r>
      <w:r w:rsidR="00B3042C">
        <w:t xml:space="preserve">, prasība par kompensācijas </w:t>
      </w:r>
      <w:r w:rsidR="009A532D">
        <w:t xml:space="preserve">piešķiršanu ir noraidāma </w:t>
      </w:r>
      <w:r w:rsidR="00B3042C">
        <w:t xml:space="preserve">kā acīmredzami nepamatota. Jebkurā gadījumā prasītā summa </w:t>
      </w:r>
      <w:r w:rsidR="009A532D">
        <w:t>ir</w:t>
      </w:r>
      <w:r w:rsidR="00B3042C">
        <w:t xml:space="preserve"> pārmērīga.</w:t>
      </w:r>
    </w:p>
    <w:p w:rsidR="004E0AF8" w:rsidRPr="009D4272" w:rsidRDefault="003D7F16" w:rsidP="009D4272">
      <w:pPr>
        <w:pStyle w:val="ECHRPara"/>
      </w:pPr>
      <w:r w:rsidRPr="009D4272">
        <w:fldChar w:fldCharType="begin"/>
      </w:r>
      <w:r w:rsidR="00732196" w:rsidRPr="009D4272">
        <w:instrText xml:space="preserve"> SEQ level0 \*arabic </w:instrText>
      </w:r>
      <w:r w:rsidRPr="009D4272">
        <w:fldChar w:fldCharType="separate"/>
      </w:r>
      <w:r w:rsidR="009D4272" w:rsidRPr="009D4272">
        <w:rPr>
          <w:noProof/>
        </w:rPr>
        <w:t>129</w:t>
      </w:r>
      <w:r w:rsidRPr="009D4272">
        <w:fldChar w:fldCharType="end"/>
      </w:r>
      <w:r w:rsidR="00732196">
        <w:t xml:space="preserve">.  Tiesa uzskata par nenoliedzamu to, ka iesniedzējam tika nodarīts morālais kaitējums sakarā ar Konvencija </w:t>
      </w:r>
      <w:proofErr w:type="gramStart"/>
      <w:r w:rsidR="00732196">
        <w:t>3.panta</w:t>
      </w:r>
      <w:proofErr w:type="gramEnd"/>
      <w:r w:rsidR="00732196">
        <w:t xml:space="preserve"> </w:t>
      </w:r>
      <w:r w:rsidR="009A532D">
        <w:t>procesuālā aspekta pārkāpumu</w:t>
      </w:r>
      <w:r w:rsidR="00732196">
        <w:t xml:space="preserve">. Sniedzot savu novērtējumu pēc līdzvērtības principa, kā to prasa Konvencijas </w:t>
      </w:r>
      <w:proofErr w:type="gramStart"/>
      <w:r w:rsidR="00732196">
        <w:t>41.pants</w:t>
      </w:r>
      <w:proofErr w:type="gramEnd"/>
      <w:r w:rsidR="00732196">
        <w:t xml:space="preserve">, tā piespriež </w:t>
      </w:r>
      <w:r w:rsidR="00BC2585">
        <w:t>iesniedzējam</w:t>
      </w:r>
      <w:r w:rsidR="00732196">
        <w:t xml:space="preserve"> </w:t>
      </w:r>
      <w:r w:rsidR="00BC2585">
        <w:t xml:space="preserve">EUR </w:t>
      </w:r>
      <w:r w:rsidR="00732196">
        <w:t>4 000.</w:t>
      </w:r>
    </w:p>
    <w:p w:rsidR="00014566" w:rsidRPr="009D4272" w:rsidRDefault="0030464C" w:rsidP="009D4272">
      <w:pPr>
        <w:pStyle w:val="ECHRHeading2"/>
      </w:pPr>
      <w:r>
        <w:t>B. Nokavējuma procenti</w:t>
      </w:r>
    </w:p>
    <w:p w:rsidR="00014566" w:rsidRPr="009D4272" w:rsidRDefault="003D7F16" w:rsidP="009D4272">
      <w:pPr>
        <w:pStyle w:val="ECHRPara"/>
      </w:pPr>
      <w:r w:rsidRPr="009D4272">
        <w:fldChar w:fldCharType="begin"/>
      </w:r>
      <w:r w:rsidR="00A956FC" w:rsidRPr="009D4272">
        <w:instrText xml:space="preserve"> SEQ level0 \*arabic </w:instrText>
      </w:r>
      <w:r w:rsidRPr="009D4272">
        <w:fldChar w:fldCharType="separate"/>
      </w:r>
      <w:r w:rsidR="009D4272" w:rsidRPr="009D4272">
        <w:rPr>
          <w:noProof/>
        </w:rPr>
        <w:t>130</w:t>
      </w:r>
      <w:r w:rsidRPr="009D4272">
        <w:fldChar w:fldCharType="end"/>
      </w:r>
      <w:r w:rsidR="00A956FC">
        <w:t>.  Tiesa uzskata par atbilstošu, ka nokavējuma procentu likme ir jānosaka, pamatojoties uz Eiropas Centrālās bankas rezerves aizdevumu procentu likmi, tai pieskaitot trīs procentu punktus.</w:t>
      </w:r>
    </w:p>
    <w:p w:rsidR="00014566" w:rsidRPr="009D4272" w:rsidRDefault="00BB5883" w:rsidP="009D4272">
      <w:pPr>
        <w:pStyle w:val="ECHRTitle1"/>
      </w:pPr>
      <w:r>
        <w:t xml:space="preserve">ŠO IEMESLU DĒĻ TIESA </w:t>
      </w:r>
    </w:p>
    <w:p w:rsidR="00C93B7A" w:rsidRPr="009D4272" w:rsidRDefault="00BD3082" w:rsidP="009D4272">
      <w:pPr>
        <w:pStyle w:val="JuList"/>
      </w:pPr>
      <w:r>
        <w:t>1.  </w:t>
      </w:r>
      <w:r w:rsidR="00D170EF">
        <w:rPr>
          <w:i/>
        </w:rPr>
        <w:t>Pievieno</w:t>
      </w:r>
      <w:r>
        <w:rPr>
          <w:i/>
        </w:rPr>
        <w:t xml:space="preserve"> </w:t>
      </w:r>
      <w:r w:rsidR="00D170EF">
        <w:rPr>
          <w:i/>
        </w:rPr>
        <w:t xml:space="preserve">lietas izskatīšanai </w:t>
      </w:r>
      <w:r>
        <w:rPr>
          <w:i/>
        </w:rPr>
        <w:t>pēc būtības</w:t>
      </w:r>
      <w:r>
        <w:t>, ar balsu vairākumu, Valdības iebildum</w:t>
      </w:r>
      <w:r w:rsidR="00D170EF">
        <w:t>us</w:t>
      </w:r>
      <w:r>
        <w:t xml:space="preserve"> par to, ka pārējās iesniedzēja sūdzības saskaņā ar </w:t>
      </w:r>
      <w:r w:rsidR="00D170EF">
        <w:t xml:space="preserve">Konvencijas 3. un </w:t>
      </w:r>
      <w:proofErr w:type="gramStart"/>
      <w:r w:rsidR="00D170EF">
        <w:t>13.pantu</w:t>
      </w:r>
      <w:proofErr w:type="gramEnd"/>
      <w:r w:rsidR="00D170EF">
        <w:t xml:space="preserve"> ir nesaviet</w:t>
      </w:r>
      <w:r>
        <w:t>o</w:t>
      </w:r>
      <w:r w:rsidR="00D170EF">
        <w:t>j</w:t>
      </w:r>
      <w:r>
        <w:t xml:space="preserve">amas </w:t>
      </w:r>
      <w:proofErr w:type="spellStart"/>
      <w:r w:rsidR="00D170EF" w:rsidRPr="00D170EF">
        <w:rPr>
          <w:i/>
        </w:rPr>
        <w:t>ratione</w:t>
      </w:r>
      <w:proofErr w:type="spellEnd"/>
      <w:r w:rsidR="00D170EF" w:rsidRPr="00D170EF">
        <w:rPr>
          <w:i/>
        </w:rPr>
        <w:t xml:space="preserve"> </w:t>
      </w:r>
      <w:proofErr w:type="spellStart"/>
      <w:r w:rsidR="00D170EF" w:rsidRPr="00D170EF">
        <w:rPr>
          <w:i/>
        </w:rPr>
        <w:t>materiae</w:t>
      </w:r>
      <w:proofErr w:type="spellEnd"/>
      <w:r>
        <w:t xml:space="preserve"> </w:t>
      </w:r>
      <w:r w:rsidR="00D170EF">
        <w:t xml:space="preserve">ar </w:t>
      </w:r>
      <w:r>
        <w:t xml:space="preserve">Konvencijas nosacījumiem un ir nepieņemamas, pamatojoties uz cietušā statusa </w:t>
      </w:r>
      <w:r w:rsidR="00D170EF">
        <w:t>neesamību</w:t>
      </w:r>
      <w:r>
        <w:t xml:space="preserve">, nacionālo tiesību aizsardzības līdzekļu neizsmelšanu un neatbilstību sešu mēnešu </w:t>
      </w:r>
      <w:r w:rsidR="00D170EF">
        <w:t xml:space="preserve">termiņa </w:t>
      </w:r>
      <w:r>
        <w:t xml:space="preserve">noteikumam, un </w:t>
      </w:r>
      <w:r>
        <w:rPr>
          <w:i/>
        </w:rPr>
        <w:t>noraida</w:t>
      </w:r>
      <w:r>
        <w:t xml:space="preserve"> šos iebildumus;</w:t>
      </w:r>
    </w:p>
    <w:p w:rsidR="004975C6" w:rsidRPr="009D4272" w:rsidRDefault="004975C6" w:rsidP="009D4272">
      <w:pPr>
        <w:pStyle w:val="JuList"/>
        <w:ind w:left="0" w:firstLine="0"/>
      </w:pPr>
    </w:p>
    <w:p w:rsidR="00B637B9" w:rsidRPr="009D4272" w:rsidRDefault="00865B27" w:rsidP="009D4272">
      <w:pPr>
        <w:pStyle w:val="JuList"/>
      </w:pPr>
      <w:r>
        <w:t>2.  </w:t>
      </w:r>
      <w:r>
        <w:rPr>
          <w:i/>
        </w:rPr>
        <w:t>Pasludina</w:t>
      </w:r>
      <w:r>
        <w:t>, ar balsu vairākumu, pārējo iesniegumu par pieņemamu;</w:t>
      </w:r>
    </w:p>
    <w:p w:rsidR="00014566" w:rsidRPr="009D4272" w:rsidRDefault="00014566" w:rsidP="009D4272">
      <w:pPr>
        <w:pStyle w:val="JuList"/>
        <w:ind w:left="0" w:firstLine="0"/>
      </w:pPr>
    </w:p>
    <w:p w:rsidR="00014566" w:rsidRPr="009D4272" w:rsidRDefault="00865B27" w:rsidP="009D4272">
      <w:pPr>
        <w:pStyle w:val="JuList"/>
      </w:pPr>
      <w:r>
        <w:t>3.  </w:t>
      </w:r>
      <w:r>
        <w:rPr>
          <w:i/>
        </w:rPr>
        <w:t>Nolemj</w:t>
      </w:r>
      <w:r>
        <w:t xml:space="preserve">, ar desmit balsīm pret septiņām, ka ir </w:t>
      </w:r>
      <w:r w:rsidR="00806F03">
        <w:t>noticis</w:t>
      </w:r>
      <w:r>
        <w:t xml:space="preserve"> Konvencijas </w:t>
      </w:r>
      <w:proofErr w:type="gramStart"/>
      <w:r>
        <w:t>3.panta</w:t>
      </w:r>
      <w:proofErr w:type="gramEnd"/>
      <w:r>
        <w:t xml:space="preserve"> </w:t>
      </w:r>
      <w:r w:rsidR="00E87846">
        <w:t xml:space="preserve">procesuālā aspekta </w:t>
      </w:r>
      <w:r>
        <w:t>pārkāpums.</w:t>
      </w:r>
    </w:p>
    <w:p w:rsidR="00014566" w:rsidRPr="009D4272" w:rsidRDefault="00014566" w:rsidP="009D4272">
      <w:pPr>
        <w:pStyle w:val="JuList"/>
      </w:pPr>
    </w:p>
    <w:p w:rsidR="00014566" w:rsidRPr="009D4272" w:rsidRDefault="00865B27" w:rsidP="009D4272">
      <w:pPr>
        <w:pStyle w:val="JuList"/>
      </w:pPr>
      <w:r>
        <w:lastRenderedPageBreak/>
        <w:t>4.  </w:t>
      </w:r>
      <w:r>
        <w:rPr>
          <w:i/>
        </w:rPr>
        <w:t>Nolemj</w:t>
      </w:r>
      <w:r>
        <w:t xml:space="preserve"> vien</w:t>
      </w:r>
      <w:r w:rsidR="00495D00">
        <w:t>prātīgi</w:t>
      </w:r>
      <w:r>
        <w:t xml:space="preserve">, ka nav nepieciešams izskatīt sūdzību saskaņā ar Konvencijas </w:t>
      </w:r>
      <w:proofErr w:type="gramStart"/>
      <w:r>
        <w:t>13.pantu</w:t>
      </w:r>
      <w:proofErr w:type="gramEnd"/>
      <w:r>
        <w:t xml:space="preserve"> </w:t>
      </w:r>
      <w:r w:rsidR="00CA3ECD">
        <w:t xml:space="preserve">saistībā </w:t>
      </w:r>
      <w:r>
        <w:t>ar Konvencijas 3.pantu;</w:t>
      </w:r>
    </w:p>
    <w:p w:rsidR="00014566" w:rsidRPr="009D4272" w:rsidRDefault="00014566" w:rsidP="009D4272">
      <w:pPr>
        <w:pStyle w:val="JuList"/>
        <w:ind w:left="0" w:firstLine="0"/>
      </w:pPr>
    </w:p>
    <w:p w:rsidR="00014566" w:rsidRPr="009D4272" w:rsidRDefault="00865B27" w:rsidP="009D4272">
      <w:pPr>
        <w:pStyle w:val="JuList"/>
      </w:pPr>
      <w:r>
        <w:t>5.  </w:t>
      </w:r>
      <w:r>
        <w:rPr>
          <w:i/>
        </w:rPr>
        <w:t>Nolemj,</w:t>
      </w:r>
      <w:r>
        <w:t xml:space="preserve"> ar deviņām balsīm pret astoņām,</w:t>
      </w:r>
    </w:p>
    <w:p w:rsidR="00A13468" w:rsidRDefault="00CA3ECD" w:rsidP="00A13468">
      <w:pPr>
        <w:pStyle w:val="JuLista"/>
      </w:pPr>
      <w:r>
        <w:t xml:space="preserve">(a) </w:t>
      </w:r>
      <w:r>
        <w:tab/>
        <w:t xml:space="preserve">ka </w:t>
      </w:r>
      <w:r w:rsidR="00A13468">
        <w:rPr>
          <w:szCs w:val="24"/>
        </w:rPr>
        <w:t>valstij-</w:t>
      </w:r>
      <w:r w:rsidR="00A13468" w:rsidRPr="0025507A">
        <w:rPr>
          <w:szCs w:val="24"/>
        </w:rPr>
        <w:t xml:space="preserve">atbildētājai </w:t>
      </w:r>
      <w:r w:rsidR="00014566">
        <w:t xml:space="preserve">triju mēnešu laikā ir jāizmaksā iesniedzējam </w:t>
      </w:r>
      <w:r w:rsidR="00A13468">
        <w:t xml:space="preserve">EUR </w:t>
      </w:r>
      <w:r w:rsidR="00014566">
        <w:t xml:space="preserve">4 000 (četri trūkstoši eiro), </w:t>
      </w:r>
      <w:r w:rsidR="00A13468">
        <w:t>kā atlīdzību par morālo kaitējumu, pieskaitot jebkādus ieturamos nodokļus;</w:t>
      </w:r>
    </w:p>
    <w:p w:rsidR="00A13468" w:rsidRPr="00476755" w:rsidRDefault="00A13468" w:rsidP="00A13468">
      <w:pPr>
        <w:pStyle w:val="JuLista"/>
        <w:rPr>
          <w:szCs w:val="24"/>
        </w:rPr>
      </w:pPr>
      <w:r>
        <w:t xml:space="preserve"> </w:t>
      </w:r>
      <w:r w:rsidR="00014566">
        <w:t>(b)</w:t>
      </w:r>
      <w:r w:rsidR="00014566">
        <w:tab/>
      </w:r>
      <w:r>
        <w:t xml:space="preserve">ka, </w:t>
      </w:r>
      <w:r w:rsidRPr="00476755">
        <w:rPr>
          <w:szCs w:val="24"/>
        </w:rPr>
        <w:t xml:space="preserve">sākot no iepriekš minētā triju mēnešu termiņa iestāšanās līdz samaksas veikšanai, iepriekš </w:t>
      </w:r>
      <w:r>
        <w:rPr>
          <w:szCs w:val="24"/>
        </w:rPr>
        <w:t>minētajām summām</w:t>
      </w:r>
      <w:r w:rsidRPr="00476755">
        <w:rPr>
          <w:szCs w:val="24"/>
        </w:rPr>
        <w:t xml:space="preserve"> piemēro vienkāršo procentu likmi, kas vienāda ar attiecīgajā laika periodā spēkā esošo Eiropas Centrālās bankas rezerves kreditēšanas likmi, pies</w:t>
      </w:r>
      <w:r>
        <w:rPr>
          <w:szCs w:val="24"/>
        </w:rPr>
        <w:t>kaitot tai trīs procentpunktus.</w:t>
      </w:r>
    </w:p>
    <w:p w:rsidR="00014566" w:rsidRPr="009D4272" w:rsidRDefault="00014566" w:rsidP="00A13468">
      <w:pPr>
        <w:pStyle w:val="JuLista"/>
      </w:pPr>
    </w:p>
    <w:p w:rsidR="00014566" w:rsidRPr="009D4272" w:rsidRDefault="00014566" w:rsidP="009D4272">
      <w:pPr>
        <w:pStyle w:val="JuList"/>
      </w:pPr>
    </w:p>
    <w:p w:rsidR="00014566" w:rsidRPr="009D4272" w:rsidRDefault="00865B27" w:rsidP="009D4272">
      <w:pPr>
        <w:pStyle w:val="JuList"/>
      </w:pPr>
      <w:r>
        <w:t>6.  </w:t>
      </w:r>
      <w:r>
        <w:rPr>
          <w:i/>
        </w:rPr>
        <w:t>Noraida</w:t>
      </w:r>
      <w:r>
        <w:t xml:space="preserve"> </w:t>
      </w:r>
      <w:r w:rsidR="00A13468">
        <w:t>vienprātīgi</w:t>
      </w:r>
      <w:r>
        <w:t xml:space="preserve"> iesniedzēja prasību par taisnīgu atlīdzību pārējā daļā.</w:t>
      </w:r>
    </w:p>
    <w:p w:rsidR="00466926" w:rsidRPr="009D4272" w:rsidRDefault="00466926" w:rsidP="009D4272">
      <w:pPr>
        <w:pStyle w:val="JuParaLast"/>
      </w:pPr>
      <w:r>
        <w:t xml:space="preserve">Sastādīts angļu un franču valodā un pasludināts atklātā tiesas sēdē Cilvēktiesību ēkā, Strasbūrā, </w:t>
      </w:r>
      <w:proofErr w:type="gramStart"/>
      <w:r>
        <w:t>2016.gada</w:t>
      </w:r>
      <w:proofErr w:type="gramEnd"/>
      <w:r>
        <w:t xml:space="preserve"> 5.jūlijā.</w:t>
      </w:r>
    </w:p>
    <w:p w:rsidR="00014566" w:rsidRPr="009D4272" w:rsidRDefault="00014566" w:rsidP="009D4272">
      <w:pPr>
        <w:pStyle w:val="JuSigned"/>
      </w:pPr>
      <w:r>
        <w:tab/>
      </w:r>
      <w:proofErr w:type="spellStart"/>
      <w:r>
        <w:rPr>
          <w:i/>
        </w:rPr>
        <w:t>Lawrence</w:t>
      </w:r>
      <w:proofErr w:type="spellEnd"/>
      <w:r>
        <w:rPr>
          <w:i/>
        </w:rPr>
        <w:t xml:space="preserve"> </w:t>
      </w:r>
      <w:proofErr w:type="spellStart"/>
      <w:r>
        <w:rPr>
          <w:i/>
        </w:rPr>
        <w:t>Early</w:t>
      </w:r>
      <w:proofErr w:type="spellEnd"/>
      <w:r>
        <w:tab/>
      </w:r>
      <w:proofErr w:type="spellStart"/>
      <w:r>
        <w:rPr>
          <w:i/>
        </w:rPr>
        <w:t>Guido</w:t>
      </w:r>
      <w:proofErr w:type="spellEnd"/>
      <w:r>
        <w:rPr>
          <w:i/>
        </w:rPr>
        <w:t xml:space="preserve"> Raimondi</w:t>
      </w:r>
      <w:r>
        <w:br/>
      </w:r>
      <w:r>
        <w:tab/>
        <w:t>juriskonsults</w:t>
      </w:r>
      <w:r>
        <w:tab/>
        <w:t>priekšsēdētājs</w:t>
      </w:r>
    </w:p>
    <w:p w:rsidR="00A33282" w:rsidRPr="009D4272" w:rsidRDefault="00A33282" w:rsidP="009D4272">
      <w:pPr>
        <w:pStyle w:val="JuParaLast"/>
      </w:pPr>
      <w:r>
        <w:t xml:space="preserve">Saskaņā ar Konvencijas </w:t>
      </w:r>
      <w:proofErr w:type="gramStart"/>
      <w:r>
        <w:t>45.panta</w:t>
      </w:r>
      <w:proofErr w:type="gramEnd"/>
      <w:r>
        <w:t xml:space="preserve"> 2.punktu un Tiesas reglamenta 74.punkta 2.</w:t>
      </w:r>
      <w:r w:rsidR="00D706BB">
        <w:t>daļu</w:t>
      </w:r>
      <w:r>
        <w:t xml:space="preserve"> šim spriedumam pielikumā tiek pievienoti šādi atsevišķi viedokļi:</w:t>
      </w:r>
    </w:p>
    <w:p w:rsidR="00B71FB3" w:rsidRPr="009D4272" w:rsidRDefault="00855962" w:rsidP="009D4272">
      <w:pPr>
        <w:pStyle w:val="ECHRPara"/>
      </w:pPr>
      <w:r>
        <w:t xml:space="preserve">(a) </w:t>
      </w:r>
      <w:r w:rsidR="00A33282">
        <w:t xml:space="preserve">daļēji atšķirīgais tiesneša </w:t>
      </w:r>
      <w:proofErr w:type="spellStart"/>
      <w:r w:rsidR="00A33282">
        <w:rPr>
          <w:i/>
        </w:rPr>
        <w:t>Nicolaou</w:t>
      </w:r>
      <w:proofErr w:type="spellEnd"/>
      <w:r w:rsidR="00A33282">
        <w:t xml:space="preserve"> viedoklis;</w:t>
      </w:r>
    </w:p>
    <w:p w:rsidR="00A33282" w:rsidRPr="009D4272" w:rsidRDefault="00855962" w:rsidP="009D4272">
      <w:pPr>
        <w:pStyle w:val="ECHRPara"/>
      </w:pPr>
      <w:r>
        <w:t xml:space="preserve">(b) </w:t>
      </w:r>
      <w:r w:rsidR="00B71FB3">
        <w:t xml:space="preserve">tiesneša </w:t>
      </w:r>
      <w:r w:rsidR="00B71FB3">
        <w:rPr>
          <w:i/>
        </w:rPr>
        <w:t>Silvis</w:t>
      </w:r>
      <w:r w:rsidR="00B71FB3">
        <w:t xml:space="preserve"> atšķirīgais viedoklis, kam pievienojās tiesneši </w:t>
      </w:r>
      <w:proofErr w:type="spellStart"/>
      <w:r w:rsidR="00B71FB3">
        <w:rPr>
          <w:i/>
        </w:rPr>
        <w:t>Villiger</w:t>
      </w:r>
      <w:proofErr w:type="spellEnd"/>
      <w:r w:rsidR="00B71FB3">
        <w:rPr>
          <w:i/>
        </w:rPr>
        <w:t xml:space="preserve">, </w:t>
      </w:r>
      <w:proofErr w:type="spellStart"/>
      <w:r w:rsidR="00B71FB3">
        <w:rPr>
          <w:i/>
        </w:rPr>
        <w:t>Hirvelä</w:t>
      </w:r>
      <w:proofErr w:type="spellEnd"/>
      <w:r w:rsidR="00B71FB3">
        <w:rPr>
          <w:i/>
        </w:rPr>
        <w:t xml:space="preserve">, </w:t>
      </w:r>
      <w:proofErr w:type="spellStart"/>
      <w:r w:rsidR="00B71FB3">
        <w:rPr>
          <w:i/>
        </w:rPr>
        <w:t>Mahoney</w:t>
      </w:r>
      <w:proofErr w:type="spellEnd"/>
      <w:r w:rsidR="00B71FB3">
        <w:rPr>
          <w:i/>
        </w:rPr>
        <w:t xml:space="preserve">, </w:t>
      </w:r>
      <w:proofErr w:type="spellStart"/>
      <w:r w:rsidR="00B71FB3">
        <w:rPr>
          <w:i/>
        </w:rPr>
        <w:t>Wojtyczek</w:t>
      </w:r>
      <w:proofErr w:type="spellEnd"/>
      <w:r w:rsidR="00B71FB3">
        <w:rPr>
          <w:i/>
        </w:rPr>
        <w:t xml:space="preserve">, </w:t>
      </w:r>
      <w:proofErr w:type="spellStart"/>
      <w:r w:rsidR="00B71FB3">
        <w:rPr>
          <w:i/>
        </w:rPr>
        <w:t>Kjølbro</w:t>
      </w:r>
      <w:proofErr w:type="spellEnd"/>
      <w:r w:rsidR="00B71FB3">
        <w:t xml:space="preserve"> un </w:t>
      </w:r>
      <w:r w:rsidR="00B71FB3">
        <w:rPr>
          <w:i/>
        </w:rPr>
        <w:t>Briede</w:t>
      </w:r>
      <w:r w:rsidR="00B71FB3">
        <w:t>;</w:t>
      </w:r>
    </w:p>
    <w:p w:rsidR="00BA2FD5" w:rsidRPr="009D4272" w:rsidRDefault="00855962" w:rsidP="009D4272">
      <w:pPr>
        <w:pStyle w:val="ECHRPara"/>
      </w:pPr>
      <w:r>
        <w:t>(c)</w:t>
      </w:r>
      <w:proofErr w:type="gramStart"/>
      <w:r>
        <w:t xml:space="preserve">  </w:t>
      </w:r>
      <w:proofErr w:type="gramEnd"/>
      <w:r w:rsidR="00B71FB3">
        <w:t xml:space="preserve">tiesneša </w:t>
      </w:r>
      <w:proofErr w:type="spellStart"/>
      <w:r w:rsidR="00B71FB3">
        <w:rPr>
          <w:i/>
        </w:rPr>
        <w:t>Wojtyczek</w:t>
      </w:r>
      <w:proofErr w:type="spellEnd"/>
      <w:r w:rsidR="00B71FB3">
        <w:t xml:space="preserve"> atšķirīgais viedoklis.</w:t>
      </w:r>
    </w:p>
    <w:p w:rsidR="00A33282" w:rsidRPr="009D4272" w:rsidRDefault="00A33282" w:rsidP="009D4272">
      <w:pPr>
        <w:pStyle w:val="JuInitialled"/>
      </w:pPr>
      <w:r>
        <w:t>G.R.</w:t>
      </w:r>
      <w:r>
        <w:br/>
        <w:t>T.L.E.</w:t>
      </w:r>
    </w:p>
    <w:p w:rsidR="00666B92" w:rsidRPr="009D4272" w:rsidRDefault="00666B92" w:rsidP="009D4272">
      <w:pPr>
        <w:jc w:val="left"/>
      </w:pPr>
    </w:p>
    <w:p w:rsidR="00666B92" w:rsidRPr="009D4272" w:rsidRDefault="00666B92" w:rsidP="009D4272">
      <w:pPr>
        <w:pStyle w:val="ECHRTitleCentre1"/>
        <w:sectPr w:rsidR="00666B92" w:rsidRPr="009D4272" w:rsidSect="00843893">
          <w:headerReference w:type="even" r:id="rId14"/>
          <w:headerReference w:type="default" r:id="rId15"/>
          <w:footerReference w:type="default" r:id="rId16"/>
          <w:footnotePr>
            <w:numRestart w:val="eachPage"/>
          </w:footnotePr>
          <w:pgSz w:w="11906" w:h="16838" w:code="9"/>
          <w:pgMar w:top="2274" w:right="2274" w:bottom="2274" w:left="2274" w:header="1701" w:footer="720" w:gutter="0"/>
          <w:pgNumType w:start="1"/>
          <w:cols w:space="720"/>
          <w:docGrid w:linePitch="326"/>
        </w:sectPr>
      </w:pPr>
    </w:p>
    <w:p w:rsidR="00B6283D" w:rsidRPr="009D4272" w:rsidRDefault="00B6283D" w:rsidP="009D4272">
      <w:pPr>
        <w:pStyle w:val="ECHRTitleCentre1"/>
      </w:pPr>
      <w:r>
        <w:lastRenderedPageBreak/>
        <w:t xml:space="preserve">DAĻĒJI ATŠĶIRĪGAIS TIESNEŠA </w:t>
      </w:r>
      <w:r>
        <w:rPr>
          <w:i/>
        </w:rPr>
        <w:t>NICOLAOU</w:t>
      </w:r>
      <w:r>
        <w:t xml:space="preserve"> VIEDOKLIS</w:t>
      </w:r>
    </w:p>
    <w:p w:rsidR="00B6283D" w:rsidRPr="009D4272" w:rsidRDefault="00502BBB" w:rsidP="009D4272">
      <w:pPr>
        <w:pStyle w:val="OpiHA"/>
      </w:pPr>
      <w:r>
        <w:t>Fona informācija</w:t>
      </w:r>
    </w:p>
    <w:p w:rsidR="00B6283D" w:rsidRPr="009D4272" w:rsidRDefault="00B6283D" w:rsidP="009D4272">
      <w:pPr>
        <w:pStyle w:val="OpiPara"/>
      </w:pPr>
      <w:r>
        <w:t>1.  Nozīmīg</w:t>
      </w:r>
      <w:r w:rsidR="004F1479">
        <w:t>os faktus</w:t>
      </w:r>
      <w:r>
        <w:t xml:space="preserve">, kā rezultātā šis iesniegums tika iesniegts, </w:t>
      </w:r>
      <w:r w:rsidR="004F1479">
        <w:t>var īsumā izklāstīt šādi</w:t>
      </w:r>
      <w:r>
        <w:t xml:space="preserve">. </w:t>
      </w:r>
      <w:proofErr w:type="gramStart"/>
      <w:r>
        <w:t>1998.gadā</w:t>
      </w:r>
      <w:proofErr w:type="gramEnd"/>
      <w:r>
        <w:t xml:space="preserve"> iesniedzējs tika aizturēts ar apsūdzību nopietnā noziegumā un pēc tam aizvests uz policijas iecirkni, kur pēc nopratināšanas no viņa tika iegūta atzīšanās. Uzreiz pēc tam viņš sūdzējās, ka atzīšanās tika iegūta sliktas izturēšanās rezultātā pret viņu no policijas darbinieku puses</w:t>
      </w:r>
      <w:r w:rsidR="004F1479">
        <w:t>, kas notika</w:t>
      </w:r>
      <w:r>
        <w:t xml:space="preserve"> nopratināšanas laikā.</w:t>
      </w:r>
    </w:p>
    <w:p w:rsidR="00B6283D" w:rsidRPr="009D4272" w:rsidRDefault="00B6283D" w:rsidP="009D4272">
      <w:pPr>
        <w:pStyle w:val="OpiPara"/>
      </w:pPr>
      <w:r>
        <w:t>2.  </w:t>
      </w:r>
      <w:r w:rsidR="00B202F1">
        <w:t>  Pamatojoties uz sūdzību,</w:t>
      </w:r>
      <w:r>
        <w:t xml:space="preserve"> tika uzsākts kriminālprocess pret iesaistītajām personām. Tomēr 2001.</w:t>
      </w:r>
      <w:r w:rsidR="003A631C">
        <w:t xml:space="preserve"> </w:t>
      </w:r>
      <w:r>
        <w:t xml:space="preserve">gada martā izmeklētājs, kurš uzskatīja, ka trūkst pierādījumu </w:t>
      </w:r>
      <w:r w:rsidR="004808BA">
        <w:t>krimināl</w:t>
      </w:r>
      <w:r>
        <w:t xml:space="preserve">procesa virzīšanai, </w:t>
      </w:r>
      <w:r w:rsidR="004808BA">
        <w:t xml:space="preserve">to izbeidza. </w:t>
      </w:r>
      <w:r>
        <w:t>Procesa izbeigšanas lēmumā tika norādīts, cita starpā, ka iesniedz</w:t>
      </w:r>
      <w:r w:rsidR="00B202F1">
        <w:t xml:space="preserve">ēja apgalvojumi bija nesakarīgi, </w:t>
      </w:r>
      <w:r>
        <w:t>un gūtie miesas bojājumi, kuri tika raksturoti kā viegli miesas bojājumi, varēja tikt radīti aizturēšanas laikā.</w:t>
      </w:r>
    </w:p>
    <w:p w:rsidR="001724DF" w:rsidRPr="009D4272" w:rsidRDefault="00B6283D" w:rsidP="009D4272">
      <w:pPr>
        <w:pStyle w:val="OpiPara"/>
      </w:pPr>
      <w:r>
        <w:t>3.  T</w:t>
      </w:r>
      <w:r w:rsidR="00B202F1">
        <w:t>ajā pašā</w:t>
      </w:r>
      <w:r>
        <w:t xml:space="preserve"> laikā 2000.</w:t>
      </w:r>
      <w:r w:rsidR="003A631C">
        <w:t xml:space="preserve"> </w:t>
      </w:r>
      <w:r>
        <w:t>gada septem</w:t>
      </w:r>
      <w:bookmarkStart w:id="42" w:name="_GoBack"/>
      <w:bookmarkEnd w:id="42"/>
      <w:r>
        <w:t xml:space="preserve">brī iesniedzējs un līdzatbildētājs, kurš bija iesniedzis līdzīgu sūdzību par sliktu izturēšanos, tika notiesāti un viņiem tika </w:t>
      </w:r>
      <w:r w:rsidR="00B202F1">
        <w:t>piespriests</w:t>
      </w:r>
      <w:r>
        <w:t xml:space="preserve"> ilgstošs ieslodzījums</w:t>
      </w:r>
      <w:r w:rsidR="00B202F1">
        <w:t>; tas notika tiesas procesā, kura gaitā</w:t>
      </w:r>
      <w:r>
        <w:t xml:space="preserve"> viņi savu vainu noliedza un kurā viņu sniegtās atzīšanās tika izmantotas kā pierādījumi. Viņu apelācijas sūdzības tika noraidīts un pēc tam abi </w:t>
      </w:r>
      <w:r w:rsidR="00B202F1">
        <w:t>iesniedzēji</w:t>
      </w:r>
      <w:r>
        <w:t xml:space="preserve"> iesniedza iesniegumus Tiesā.</w:t>
      </w:r>
    </w:p>
    <w:p w:rsidR="001724DF" w:rsidRPr="009D4272" w:rsidRDefault="00B6283D" w:rsidP="009D4272">
      <w:pPr>
        <w:pStyle w:val="OpiPara"/>
      </w:pPr>
      <w:r>
        <w:t>4.  Iesniedzējs savā pirmajā iesniegumā (</w:t>
      </w:r>
      <w:r>
        <w:rPr>
          <w:i/>
        </w:rPr>
        <w:t>Jeronovičs pret Latviju</w:t>
      </w:r>
      <w:r>
        <w:t>, Nr. 547/02, 2009.</w:t>
      </w:r>
      <w:r w:rsidR="003A631C">
        <w:t xml:space="preserve"> </w:t>
      </w:r>
      <w:r>
        <w:t>gada 1.</w:t>
      </w:r>
      <w:r w:rsidR="003A631C">
        <w:t xml:space="preserve"> </w:t>
      </w:r>
      <w:r>
        <w:t xml:space="preserve">decembris) sūdzējās, cita starpā, a) ka </w:t>
      </w:r>
      <w:r w:rsidR="00F4370B">
        <w:t>aizturēšanas</w:t>
      </w:r>
      <w:r>
        <w:t xml:space="preserve"> laikā, kad viņš tika nopratināts, policija</w:t>
      </w:r>
      <w:r w:rsidR="00F4370B">
        <w:t>s darbinieki</w:t>
      </w:r>
      <w:r>
        <w:t xml:space="preserve"> i</w:t>
      </w:r>
      <w:r w:rsidR="00F4370B">
        <w:t>r slikti pret viņu izturējuš</w:t>
      </w:r>
      <w:r>
        <w:t>ies, pārkāpjot Konvencijas 3.</w:t>
      </w:r>
      <w:r w:rsidR="003A631C">
        <w:t xml:space="preserve"> </w:t>
      </w:r>
      <w:r>
        <w:t xml:space="preserve">pantu, </w:t>
      </w:r>
      <w:r w:rsidR="00F4370B">
        <w:t>ar mērķi iegūt</w:t>
      </w:r>
      <w:r>
        <w:t xml:space="preserve"> atzīšanos; un b) ka šādi iegūt</w:t>
      </w:r>
      <w:r w:rsidR="00F4370B">
        <w:t>ie apgalvojumi</w:t>
      </w:r>
      <w:r>
        <w:t xml:space="preserve"> pēc tam ir ti</w:t>
      </w:r>
      <w:r w:rsidR="00F4370B">
        <w:t>kuši</w:t>
      </w:r>
      <w:r>
        <w:t xml:space="preserve"> izmantot</w:t>
      </w:r>
      <w:r w:rsidR="00F4370B">
        <w:t>i</w:t>
      </w:r>
      <w:r>
        <w:t xml:space="preserve"> kā pierādījums pret viņu tiesas procesa laikā, pārkāpjot Konvencijas 6.</w:t>
      </w:r>
      <w:r w:rsidR="003A631C">
        <w:t xml:space="preserve"> </w:t>
      </w:r>
      <w:r>
        <w:t>panta 1.punktā nostiprināto taisnīguma prasību.</w:t>
      </w:r>
    </w:p>
    <w:p w:rsidR="00B6283D" w:rsidRPr="009D4272" w:rsidRDefault="00B6283D" w:rsidP="009D4272">
      <w:pPr>
        <w:pStyle w:val="OpiPara"/>
      </w:pPr>
      <w:r>
        <w:t>5.  Valdībai par šīm sūdzībām tika paziņots 2007.</w:t>
      </w:r>
      <w:r w:rsidR="003A631C">
        <w:t xml:space="preserve"> </w:t>
      </w:r>
      <w:r>
        <w:t>gadā kopā ar dažām citām lietām, kam šajā kontekstā nav būtiskas nozīmes. Pēc neveiksmīgiem m</w:t>
      </w:r>
      <w:r w:rsidR="003A631C">
        <w:t>ēģinājumiem panākt mierizlīgumu</w:t>
      </w:r>
      <w:r>
        <w:t xml:space="preserve"> Valdība 2008.</w:t>
      </w:r>
      <w:r w:rsidR="003A631C">
        <w:t xml:space="preserve"> </w:t>
      </w:r>
      <w:r>
        <w:t>gadā iesniedza vienpusējo deklarāciju, kuras noteikumi ir atrodami šī sprieduma 19.rindkop</w:t>
      </w:r>
      <w:r w:rsidR="00AB6AE0">
        <w:t xml:space="preserve">ā. </w:t>
      </w:r>
      <w:r w:rsidR="003A631C">
        <w:t>Valdība</w:t>
      </w:r>
      <w:r w:rsidR="00AB6AE0">
        <w:t xml:space="preserve"> atzina, ka iesniedzēja „</w:t>
      </w:r>
      <w:r>
        <w:t xml:space="preserve">fiziskā </w:t>
      </w:r>
      <w:r w:rsidR="00124439">
        <w:t>ietekmēšana</w:t>
      </w:r>
      <w:r>
        <w:t>”</w:t>
      </w:r>
      <w:r w:rsidR="00AB6AE0">
        <w:t xml:space="preserve"> policijā, kā arī tam sekojošā „</w:t>
      </w:r>
      <w:r>
        <w:t>izmeklēšanas efe</w:t>
      </w:r>
      <w:r w:rsidR="00AB6AE0">
        <w:t>ktivitāte” „</w:t>
      </w:r>
      <w:r>
        <w:t>neatbilda 3.</w:t>
      </w:r>
      <w:r w:rsidR="003A631C">
        <w:t xml:space="preserve"> </w:t>
      </w:r>
      <w:r>
        <w:t xml:space="preserve">pantā noteiktajiem standartiem” un piedāvāja izmaksāt </w:t>
      </w:r>
      <w:r w:rsidR="003A631C">
        <w:t>iesniedzējam</w:t>
      </w:r>
      <w:r>
        <w:t xml:space="preserve"> </w:t>
      </w:r>
      <w:r w:rsidR="00AB6AE0">
        <w:rPr>
          <w:i/>
        </w:rPr>
        <w:t>„</w:t>
      </w:r>
      <w:proofErr w:type="spellStart"/>
      <w:r>
        <w:rPr>
          <w:i/>
        </w:rPr>
        <w:t>ex</w:t>
      </w:r>
      <w:proofErr w:type="spellEnd"/>
      <w:r>
        <w:rPr>
          <w:i/>
        </w:rPr>
        <w:t xml:space="preserve"> gratia”</w:t>
      </w:r>
      <w:r>
        <w:t xml:space="preserve"> noteiktu naudas summu kā kompensāciju par </w:t>
      </w:r>
      <w:r w:rsidR="003A631C">
        <w:t>materiālo un morālo kaitējumu un tiesāšanas izdevumiem</w:t>
      </w:r>
      <w:r>
        <w:t xml:space="preserve">. </w:t>
      </w:r>
      <w:r w:rsidR="00F1478C">
        <w:t>Valdība</w:t>
      </w:r>
      <w:r>
        <w:t xml:space="preserve"> piebilda ar galējo</w:t>
      </w:r>
      <w:r w:rsidR="00AB6AE0">
        <w:t xml:space="preserve"> paziņojumu, ka šāds maksājums „</w:t>
      </w:r>
      <w:r>
        <w:t>veido lietas galīgo atrisinājumu”.</w:t>
      </w:r>
    </w:p>
    <w:p w:rsidR="00B6283D" w:rsidRPr="009D4272" w:rsidRDefault="00B6283D" w:rsidP="009D4272">
      <w:pPr>
        <w:pStyle w:val="OpiPara"/>
      </w:pPr>
      <w:r>
        <w:t xml:space="preserve">6.  Ar Palātas </w:t>
      </w:r>
      <w:proofErr w:type="gramStart"/>
      <w:r>
        <w:t>2009.gada</w:t>
      </w:r>
      <w:proofErr w:type="gramEnd"/>
      <w:r>
        <w:t xml:space="preserve"> 10.februāra lēmumu Tiesa, pamatojoties uz vienpusējo deklarāciju un atsaucoties uz Konvencijas 37.panta 1.punkta c) apa</w:t>
      </w:r>
      <w:r w:rsidR="008B463F">
        <w:t>k</w:t>
      </w:r>
      <w:r>
        <w:t xml:space="preserve">špunktu, </w:t>
      </w:r>
      <w:r w:rsidR="008B463F">
        <w:t>svītroja</w:t>
      </w:r>
      <w:r w:rsidR="005671C0">
        <w:t xml:space="preserve"> iesniedzēja sūdzību par Konvencijas 3.panta pārkāpumu</w:t>
      </w:r>
      <w:r>
        <w:t xml:space="preserve"> no izskatāmo lietu saraksta gan </w:t>
      </w:r>
      <w:r w:rsidR="005671C0">
        <w:t>no tā materiālā</w:t>
      </w:r>
      <w:r>
        <w:t xml:space="preserve">, gan </w:t>
      </w:r>
      <w:r w:rsidR="005671C0">
        <w:t xml:space="preserve">arī </w:t>
      </w:r>
      <w:r>
        <w:t>proces</w:t>
      </w:r>
      <w:r w:rsidR="005671C0">
        <w:t>uālā aspekta</w:t>
      </w:r>
      <w:r>
        <w:t xml:space="preserve"> (skatīt šī sprieduma 20. rindkopu). Turklāt, Tiesa </w:t>
      </w:r>
      <w:r w:rsidR="00FD3FF1">
        <w:lastRenderedPageBreak/>
        <w:t>noraidīja</w:t>
      </w:r>
      <w:r>
        <w:t>, cita starpā</w:t>
      </w:r>
      <w:r w:rsidR="00FD3FF1">
        <w:t>,</w:t>
      </w:r>
      <w:r>
        <w:t xml:space="preserve"> sūdzību par </w:t>
      </w:r>
      <w:r w:rsidR="00FD3FF1">
        <w:t xml:space="preserve">Konvencijas </w:t>
      </w:r>
      <w:proofErr w:type="gramStart"/>
      <w:r>
        <w:t>6.panta</w:t>
      </w:r>
      <w:proofErr w:type="gramEnd"/>
      <w:r>
        <w:t xml:space="preserve"> 1.punktā paredzēto taisnīgumu kā nepieņemamu (skatīt šī sprieduma 21.rindkopu). Divas pārējās sūdzības, kuras vienlaicīgi tika atzītas par nepieņemamām </w:t>
      </w:r>
      <w:r w:rsidR="000E2E31">
        <w:t xml:space="preserve">izskatīšanai </w:t>
      </w:r>
      <w:r>
        <w:t xml:space="preserve">un par kurām galīgais spriedums tika pieņemts </w:t>
      </w:r>
      <w:proofErr w:type="gramStart"/>
      <w:r>
        <w:t>2009.gada</w:t>
      </w:r>
      <w:proofErr w:type="gramEnd"/>
      <w:r>
        <w:t xml:space="preserve"> 1.decembrī, neattiecas uz konkrēto lietu.</w:t>
      </w:r>
    </w:p>
    <w:p w:rsidR="00B6283D" w:rsidRPr="009D4272" w:rsidRDefault="00B6283D" w:rsidP="009D4272">
      <w:pPr>
        <w:pStyle w:val="OpiPara"/>
      </w:pPr>
      <w:r>
        <w:t xml:space="preserve">7.  Pēc tam, kad Tiesa bija galīgi lēmusi par pirmo iesniegumu, iesniedzējs </w:t>
      </w:r>
      <w:r w:rsidR="000E2E31">
        <w:t>vērsās</w:t>
      </w:r>
      <w:r>
        <w:t xml:space="preserve"> nacionālajās iestādēs un, pamatojoties uz vienpusējo dek</w:t>
      </w:r>
      <w:r w:rsidR="000E2E31">
        <w:t xml:space="preserve">larāciju, kurā tika atzīts Konvencijas </w:t>
      </w:r>
      <w:proofErr w:type="gramStart"/>
      <w:r>
        <w:t>3.pantā</w:t>
      </w:r>
      <w:proofErr w:type="gramEnd"/>
      <w:r>
        <w:t xml:space="preserve"> paredzēto tiesību pārkāpums, lūdza a) lai iestādes ievēro </w:t>
      </w:r>
      <w:r w:rsidR="000E2E31">
        <w:t xml:space="preserve">Konvencijas </w:t>
      </w:r>
      <w:r>
        <w:t xml:space="preserve">3.panta procesuālās prasības, atjaunojot un turpinot izskatīt kriminālprocesu saistībā ar slikto izturēšanos pret viņu, un b) lai viņi atjauno kriminālprocesu, ar kuru viņš tika notiesāts, jo tika pieļauta kļūda, pieņemot kā pierādījumu atzīšanos, kas iegūta, pārkāpjot </w:t>
      </w:r>
      <w:r w:rsidR="000E2E31">
        <w:t xml:space="preserve">Konvencijas </w:t>
      </w:r>
      <w:r>
        <w:t>3.pantu.</w:t>
      </w:r>
    </w:p>
    <w:p w:rsidR="00B6283D" w:rsidRPr="009D4272" w:rsidRDefault="00B6283D" w:rsidP="009D4272">
      <w:pPr>
        <w:pStyle w:val="OpiPara"/>
      </w:pPr>
      <w:r>
        <w:t xml:space="preserve">8.  Kriminālprocesa likums paredzēja, ka, ievērojot noteiktas prasības un noteikumus, izbeigtu kriminālprocesu vai kriminālvajāšanu var atjaunot, ja konstatēts, ka tā pieņemšanai nebija likumīga pamata, vai ja atklāti jauni apstākļi (393.pants); tas paredzēja arī to, ka atjaunot kriminālprocesu, kurā ir spēkā stājies tiesas spriedums vai lēmums, var sakarā ar </w:t>
      </w:r>
      <w:r w:rsidR="00CF2408">
        <w:t>likumā</w:t>
      </w:r>
      <w:r>
        <w:t xml:space="preserve"> uzskaitītiem jaunatklātiem apstākļiem (655.</w:t>
      </w:r>
      <w:r>
        <w:noBreakHyphen/>
        <w:t>657.pants).</w:t>
      </w:r>
    </w:p>
    <w:p w:rsidR="00B6283D" w:rsidRPr="009D4272" w:rsidRDefault="00B6283D" w:rsidP="009D4272">
      <w:pPr>
        <w:pStyle w:val="OpiPara"/>
      </w:pPr>
      <w:r>
        <w:t>9.  Iesniedzēja lūgumi par procesa atjaunošanu tika izskatīti div</w:t>
      </w:r>
      <w:r w:rsidR="00645CF6">
        <w:t>os līmeņos,</w:t>
      </w:r>
      <w:r>
        <w:t xml:space="preserve"> un tie tika noraidīti ar </w:t>
      </w:r>
      <w:proofErr w:type="gramStart"/>
      <w:r>
        <w:t>2010.gada</w:t>
      </w:r>
      <w:proofErr w:type="gramEnd"/>
      <w:r>
        <w:t xml:space="preserve"> 20.decembra galīgo lēmumu. Lēmumu pamatojums balstījās tikai un vienīgi uz </w:t>
      </w:r>
      <w:r w:rsidR="00645CF6">
        <w:t xml:space="preserve">Kriminālprocesa likuma </w:t>
      </w:r>
      <w:r>
        <w:t xml:space="preserve">655.-657.panta piemērošanu un interpretāciju, kas </w:t>
      </w:r>
      <w:r w:rsidR="00792042">
        <w:t>bija attiecināmi</w:t>
      </w:r>
      <w:r>
        <w:t xml:space="preserve"> tikai </w:t>
      </w:r>
      <w:r w:rsidR="00792042">
        <w:t xml:space="preserve">uz </w:t>
      </w:r>
      <w:r>
        <w:t xml:space="preserve">iesniedzēja </w:t>
      </w:r>
      <w:r w:rsidR="00792042">
        <w:t>notiesāšanu</w:t>
      </w:r>
      <w:r>
        <w:t>. Izbeigtais kriminālprocess pret policijas darbiniekiem netika vispār pieminēts, kā arī netika pieminēta iespējamā nepieciešamība atjaunot izmeklēšanu saistībā ar slikto izturēšanos pret iesniedzēju.</w:t>
      </w:r>
    </w:p>
    <w:p w:rsidR="00B6283D" w:rsidRPr="009D4272" w:rsidRDefault="00B6283D" w:rsidP="009D4272">
      <w:pPr>
        <w:pStyle w:val="OpiHA"/>
      </w:pPr>
      <w:r>
        <w:t>Šis iesniegums</w:t>
      </w:r>
    </w:p>
    <w:p w:rsidR="00B6283D" w:rsidRPr="009D4272" w:rsidRDefault="00B6283D" w:rsidP="009D4272">
      <w:pPr>
        <w:pStyle w:val="OpiPara"/>
      </w:pPr>
      <w:r>
        <w:t xml:space="preserve">10.  Šajā iesniegumā iesniedzējs sūdzējās, ka saskaņā ar </w:t>
      </w:r>
      <w:r w:rsidR="008024E0">
        <w:t xml:space="preserve">Konvencijas </w:t>
      </w:r>
      <w:proofErr w:type="gramStart"/>
      <w:r>
        <w:t>13.pantu</w:t>
      </w:r>
      <w:proofErr w:type="gramEnd"/>
      <w:r>
        <w:t xml:space="preserve"> iestāžu atteikums atjaunot kriminālprocesu par sliktās izturēšanās pret viņu pierādīja, ka nav tāda tiesību aizsardzības līdzekļa, ar kuru aizstāvēt savas tiesības </w:t>
      </w:r>
      <w:r w:rsidR="00161920">
        <w:t xml:space="preserve">Konvencijas </w:t>
      </w:r>
      <w:r>
        <w:t xml:space="preserve">3.panta </w:t>
      </w:r>
      <w:r w:rsidR="00161920">
        <w:t>procesuālā aspekta izpratnē</w:t>
      </w:r>
      <w:r>
        <w:t>, ņemot vērā</w:t>
      </w:r>
      <w:r w:rsidR="00161920">
        <w:t xml:space="preserve"> to</w:t>
      </w:r>
      <w:r>
        <w:t xml:space="preserve">, ka iestādes </w:t>
      </w:r>
      <w:r w:rsidR="00161920">
        <w:t>neveica</w:t>
      </w:r>
      <w:r>
        <w:t xml:space="preserve"> pienācīgu izmeklēšanu par slikto izturēšanos pret viņu.  Viņš sūdzējās arī par iestāžu atte</w:t>
      </w:r>
      <w:r w:rsidR="005E3FB0">
        <w:t xml:space="preserve">ikumu atjaunot kriminālprocesu, kas noveda pie viņa notiesāšanas, </w:t>
      </w:r>
      <w:r>
        <w:t xml:space="preserve">lai varētu </w:t>
      </w:r>
      <w:r w:rsidR="005E3FB0">
        <w:t>pārskatīt jautājumu</w:t>
      </w:r>
      <w:r>
        <w:t xml:space="preserve"> par </w:t>
      </w:r>
      <w:r w:rsidR="005E3FB0">
        <w:t xml:space="preserve">Konvencijas </w:t>
      </w:r>
      <w:proofErr w:type="gramStart"/>
      <w:r>
        <w:t>6.panta</w:t>
      </w:r>
      <w:proofErr w:type="gramEnd"/>
      <w:r>
        <w:t xml:space="preserve"> 1.punktā </w:t>
      </w:r>
      <w:r w:rsidR="005E3FB0">
        <w:t>paredzēto taisnīguma prasību;</w:t>
      </w:r>
      <w:r>
        <w:t xml:space="preserve"> tomēr šī sūdzība, kura ar 2012.gada 9.oktobra Tiesas lēmumu tika atzīta par nepieņemamu, acīmredzami vairs nevar tikt izskatīta.</w:t>
      </w:r>
    </w:p>
    <w:p w:rsidR="00B6283D" w:rsidRPr="009D4272" w:rsidRDefault="00B6283D" w:rsidP="009D4272">
      <w:pPr>
        <w:pStyle w:val="OpiHA"/>
      </w:pPr>
      <w:r>
        <w:lastRenderedPageBreak/>
        <w:t>Mans vērtējums</w:t>
      </w:r>
    </w:p>
    <w:p w:rsidR="00B6283D" w:rsidRPr="009D4272" w:rsidRDefault="00B6283D" w:rsidP="009D4272">
      <w:pPr>
        <w:pStyle w:val="OpiPara"/>
      </w:pPr>
      <w:r>
        <w:t xml:space="preserve">11.  Manuprāt, vienīgais reālais jautājums šobrīd ir tas, vai Latvija turpina pārkāpt savu pienākumu izmeklēt </w:t>
      </w:r>
      <w:r w:rsidR="00142603">
        <w:t xml:space="preserve">jau agrāk atzīto </w:t>
      </w:r>
      <w:r>
        <w:t>slikto izturēšanos pret iesniedzēj</w:t>
      </w:r>
      <w:r w:rsidR="00142603">
        <w:t>u no policijas darbinieku puses</w:t>
      </w:r>
      <w:r>
        <w:t xml:space="preserve">. Tam var būt tikai viena atbilde un tā noteikti ir apstiprinoša. Pilnīgi nav nozīmes tam, vai nacionālie tiesību akti paredz vai neparedz mehānismus, ar kuriem iesniedzējs varētu lūgt iestādēm rīkoties šajā sakarā. Līdz ar to nav nozīmes arī tam, vai saskaņā ar nacionālajiem tiesību aktiem iesniedzēja lūgumi atjaunot procesu tika izskatīti pareizi vai nepareizi. Tiklīdz iestādēm kļuva zināms fakts par slikto izturēšanos pret iesniedzēju, tām bija pienākums rīkoties bez </w:t>
      </w:r>
      <w:r w:rsidR="00865CA1">
        <w:t>atgādinājumiem</w:t>
      </w:r>
      <w:r>
        <w:t xml:space="preserve">; tām vajadzēja nekavējoties veikt </w:t>
      </w:r>
      <w:r w:rsidR="00142603">
        <w:t xml:space="preserve">Konvencijas </w:t>
      </w:r>
      <w:proofErr w:type="gramStart"/>
      <w:r>
        <w:t>3.pantam</w:t>
      </w:r>
      <w:proofErr w:type="gramEnd"/>
      <w:r>
        <w:t xml:space="preserve"> atbilstošu izmeklēšanu, kuras nozīme ir pietiekami skaidri noteikta ar stingri </w:t>
      </w:r>
      <w:r w:rsidR="00142603">
        <w:t>iedibinātu</w:t>
      </w:r>
      <w:r>
        <w:t xml:space="preserve"> un neapstrīdamu judikatūru. Dalībvalstīm būtu jāapzinās savs pienākums šajā sakarā.</w:t>
      </w:r>
    </w:p>
    <w:p w:rsidR="00B6283D" w:rsidRPr="009D4272" w:rsidRDefault="00B6283D" w:rsidP="009D4272">
      <w:pPr>
        <w:pStyle w:val="OpiPara"/>
      </w:pPr>
      <w:r>
        <w:t xml:space="preserve">12.  Tāpēc šajā lietā nebija nepieciešams </w:t>
      </w:r>
      <w:r w:rsidR="00090592">
        <w:t>izskatīt</w:t>
      </w:r>
      <w:r>
        <w:t xml:space="preserve"> nacionālā tiesību aizsardzības līdzekļa esamību, ko iesniedzējs varēja izmantot, lai nodrošinātu savas atzītās tiesības uz izmeklēšan</w:t>
      </w:r>
      <w:r w:rsidR="00090592">
        <w:t>as veikšanu</w:t>
      </w:r>
      <w:r>
        <w:t xml:space="preserve">. Attiecīgi, Konvencijas </w:t>
      </w:r>
      <w:proofErr w:type="gramStart"/>
      <w:r>
        <w:t>13.pa</w:t>
      </w:r>
      <w:r w:rsidR="008A3344">
        <w:t>ntam</w:t>
      </w:r>
      <w:proofErr w:type="gramEnd"/>
      <w:r w:rsidR="008A3344">
        <w:t xml:space="preserve"> nebija lomas šajā lietā</w:t>
      </w:r>
      <w:r>
        <w:t xml:space="preserve">. Es teiktu, ar vislielāko cieņu, ka nesaprotu, kāpēc vairums </w:t>
      </w:r>
      <w:r w:rsidR="0061246F">
        <w:t xml:space="preserve">spriedumā iedziļinās - un ar tādu vērienu </w:t>
      </w:r>
      <w:r>
        <w:t xml:space="preserve">- </w:t>
      </w:r>
      <w:r w:rsidR="0061246F">
        <w:t xml:space="preserve">jautājumā par procesa atjaunošanu </w:t>
      </w:r>
      <w:r>
        <w:t>un pēc tam</w:t>
      </w:r>
      <w:r w:rsidR="0061246F">
        <w:t>,</w:t>
      </w:r>
      <w:r>
        <w:t xml:space="preserve"> </w:t>
      </w:r>
      <w:r w:rsidR="0061246F">
        <w:t>lietas</w:t>
      </w:r>
      <w:r>
        <w:t xml:space="preserve"> gaitā</w:t>
      </w:r>
      <w:r w:rsidR="0061246F">
        <w:t>,</w:t>
      </w:r>
      <w:r>
        <w:t xml:space="preserve"> </w:t>
      </w:r>
      <w:r w:rsidR="0061246F">
        <w:t>izskata</w:t>
      </w:r>
      <w:r>
        <w:t xml:space="preserve"> sākotnējo</w:t>
      </w:r>
      <w:r w:rsidR="0061246F">
        <w:t>s</w:t>
      </w:r>
      <w:r>
        <w:t xml:space="preserve"> iebildumu</w:t>
      </w:r>
      <w:r w:rsidR="0061246F">
        <w:t>s</w:t>
      </w:r>
      <w:r>
        <w:t xml:space="preserve"> par cietušā statusu, atbilstību </w:t>
      </w:r>
      <w:proofErr w:type="spellStart"/>
      <w:r w:rsidR="0061246F" w:rsidRPr="0061246F">
        <w:rPr>
          <w:i/>
        </w:rPr>
        <w:t>ratione</w:t>
      </w:r>
      <w:proofErr w:type="spellEnd"/>
      <w:r w:rsidR="0061246F" w:rsidRPr="0061246F">
        <w:rPr>
          <w:i/>
        </w:rPr>
        <w:t xml:space="preserve"> </w:t>
      </w:r>
      <w:proofErr w:type="spellStart"/>
      <w:r w:rsidR="0061246F" w:rsidRPr="0061246F">
        <w:rPr>
          <w:i/>
        </w:rPr>
        <w:t>materiae</w:t>
      </w:r>
      <w:proofErr w:type="spellEnd"/>
      <w:r>
        <w:t xml:space="preserve">, </w:t>
      </w:r>
      <w:r w:rsidR="0061246F">
        <w:t xml:space="preserve">tiesību </w:t>
      </w:r>
      <w:r>
        <w:t xml:space="preserve">aizsardzības līdzekļu </w:t>
      </w:r>
      <w:r w:rsidR="0061246F">
        <w:t>izsmelšanu</w:t>
      </w:r>
      <w:r>
        <w:t xml:space="preserve"> un sešu mēnešu </w:t>
      </w:r>
      <w:r w:rsidR="0061246F">
        <w:t xml:space="preserve">termiņa </w:t>
      </w:r>
      <w:r>
        <w:t xml:space="preserve">noteikuma pārbaudi, ja pirmie trīs </w:t>
      </w:r>
      <w:r w:rsidR="0031127E">
        <w:t>neattiecas uz</w:t>
      </w:r>
      <w:r>
        <w:t xml:space="preserve"> </w:t>
      </w:r>
      <w:r w:rsidR="0061246F">
        <w:t>jautājum</w:t>
      </w:r>
      <w:r w:rsidR="0031127E">
        <w:t>u</w:t>
      </w:r>
      <w:r w:rsidR="0061246F">
        <w:t xml:space="preserve"> par </w:t>
      </w:r>
      <w:r>
        <w:t xml:space="preserve">valsts pienākumu izmeklēt </w:t>
      </w:r>
      <w:proofErr w:type="gramStart"/>
      <w:r>
        <w:t>un,</w:t>
      </w:r>
      <w:proofErr w:type="gramEnd"/>
      <w:r>
        <w:t xml:space="preserve"> </w:t>
      </w:r>
      <w:r w:rsidR="0061246F">
        <w:t xml:space="preserve">kas attiecas </w:t>
      </w:r>
      <w:r>
        <w:t>uz ceturto, vairākum</w:t>
      </w:r>
      <w:r w:rsidR="0061246F">
        <w:t xml:space="preserve">s uz to attiecināja pavisam savādāku pieeju </w:t>
      </w:r>
      <w:r>
        <w:t xml:space="preserve">(kaut gan, par laimi, tas nav radījis nelabvēlīgu rezultātu). Tam, ka puses ir izvēlējušās apstrīdēt lietu no šī viedokļa, </w:t>
      </w:r>
      <w:r w:rsidR="0061246F">
        <w:t>nenozīmē, ka tas ir jāizskata</w:t>
      </w:r>
      <w:r>
        <w:t xml:space="preserve">, </w:t>
      </w:r>
      <w:r w:rsidR="0061246F">
        <w:t>un</w:t>
      </w:r>
      <w:r>
        <w:t xml:space="preserve"> turklāt, šāda rīcība var būt pretrunā Konvencij</w:t>
      </w:r>
      <w:r w:rsidR="0061246F">
        <w:t>ai</w:t>
      </w:r>
      <w:r>
        <w:t xml:space="preserve"> un radīt neskaidrību īpaši jūtīgā jomā. Tas, ko vēlos pateikt, ir aprakstīts sprieduma 120.rindkopā, kur Tiesa atsaucas uz vispārējo noteikumu pret </w:t>
      </w:r>
      <w:r w:rsidR="004F0EEB">
        <w:t xml:space="preserve">procesa </w:t>
      </w:r>
      <w:r>
        <w:t>atjaunošanu un pēc tam atrod iemeslu atkāpties no tā:</w:t>
      </w:r>
    </w:p>
    <w:p w:rsidR="004F0EEB" w:rsidRPr="00AE795E" w:rsidRDefault="00AB6AE0" w:rsidP="004F0EEB">
      <w:pPr>
        <w:pStyle w:val="ECHRPara"/>
        <w:rPr>
          <w:sz w:val="20"/>
        </w:rPr>
      </w:pPr>
      <w:r w:rsidRPr="00AE795E">
        <w:rPr>
          <w:sz w:val="20"/>
        </w:rPr>
        <w:t>„</w:t>
      </w:r>
      <w:r w:rsidR="004F0EEB" w:rsidRPr="00AE795E">
        <w:rPr>
          <w:sz w:val="20"/>
        </w:rPr>
        <w:t xml:space="preserve">Tāpat Tiesa atkārtoti norāda, ka saskaņā ar iedibināto judikatūru, pieteikums par kriminālprocesa atjaunošanu vai citu tiesību aizsardzības līdzekļu, kuri nav obligāti jāizsmeļ, izmantošanu nevar tikt ņemts vērā Konvencijas </w:t>
      </w:r>
      <w:proofErr w:type="gramStart"/>
      <w:r w:rsidR="004F0EEB" w:rsidRPr="00AE795E">
        <w:rPr>
          <w:sz w:val="20"/>
        </w:rPr>
        <w:t>35.panta</w:t>
      </w:r>
      <w:proofErr w:type="gramEnd"/>
      <w:r w:rsidR="004F0EEB" w:rsidRPr="00AE795E">
        <w:rPr>
          <w:sz w:val="20"/>
        </w:rPr>
        <w:t xml:space="preserve"> 1.punkta kontekstā (skatīt, piemēram, </w:t>
      </w:r>
      <w:proofErr w:type="spellStart"/>
      <w:r w:rsidR="004F0EEB" w:rsidRPr="00AE795E">
        <w:rPr>
          <w:i/>
          <w:sz w:val="20"/>
        </w:rPr>
        <w:t>Withey</w:t>
      </w:r>
      <w:proofErr w:type="spellEnd"/>
      <w:r w:rsidR="004F0EEB" w:rsidRPr="00AE795E">
        <w:rPr>
          <w:i/>
          <w:sz w:val="20"/>
        </w:rPr>
        <w:t xml:space="preserve"> pret Apvienoto Karalisti</w:t>
      </w:r>
      <w:r w:rsidR="004F0EEB" w:rsidRPr="00AE795E">
        <w:rPr>
          <w:sz w:val="20"/>
        </w:rPr>
        <w:t xml:space="preserve"> (lēmums), Nr. 59493/00, ECT</w:t>
      </w:r>
      <w:r w:rsidR="00FD0E0F">
        <w:rPr>
          <w:sz w:val="20"/>
        </w:rPr>
        <w:t>K</w:t>
      </w:r>
      <w:r w:rsidR="004F0EEB" w:rsidRPr="00AE795E">
        <w:rPr>
          <w:sz w:val="20"/>
        </w:rPr>
        <w:t xml:space="preserve"> 2003-X, un </w:t>
      </w:r>
      <w:r w:rsidR="004F0EEB" w:rsidRPr="00AE795E">
        <w:rPr>
          <w:i/>
          <w:sz w:val="20"/>
        </w:rPr>
        <w:t>H. pret Islandi</w:t>
      </w:r>
      <w:r w:rsidR="004F0EEB" w:rsidRPr="00AE795E">
        <w:rPr>
          <w:sz w:val="20"/>
        </w:rPr>
        <w:t>, citēts iepriekš, ar turpmākām atsaucēm). Šāda pieeja konkrētajā lietā radītu tādas sekas, ka Tiesai formālu iemeslu dēļ tiktu liegta iespēja izskatīt iesniedzēja sūdzību par efektīvas izmeklēšanas trūkumu pēc būtības.</w:t>
      </w:r>
    </w:p>
    <w:p w:rsidR="004F0EEB" w:rsidRPr="00AE795E" w:rsidRDefault="004F0EEB" w:rsidP="004F0EEB">
      <w:pPr>
        <w:pStyle w:val="ECHRPara"/>
        <w:rPr>
          <w:sz w:val="20"/>
        </w:rPr>
      </w:pPr>
      <w:r w:rsidRPr="00AE795E">
        <w:rPr>
          <w:sz w:val="20"/>
        </w:rPr>
        <w:t xml:space="preserve">Tomēr īpašos apstākļos Tiesa konstatē iemeslu atkāpties no šī noteikuma, ņemot vērā šādus faktorus: Valdības tiešā un nepārprotamā atzīšana, ka ir notikusi slikta izturēšanās pret iesniedzēju un ka izmeklēšana neatbilda Konvencijas </w:t>
      </w:r>
      <w:proofErr w:type="gramStart"/>
      <w:r w:rsidRPr="00AE795E">
        <w:rPr>
          <w:sz w:val="20"/>
        </w:rPr>
        <w:t>3.pantā</w:t>
      </w:r>
      <w:proofErr w:type="gramEnd"/>
      <w:r w:rsidRPr="00AE795E">
        <w:rPr>
          <w:sz w:val="20"/>
        </w:rPr>
        <w:t xml:space="preserve"> nostiprinātajām efektivitātes prasībām; Tiesas veiktais šīs deklarācijas izvērtējums un, ņemot vērā tā secinājumus, Tiesas lēmums svītrot šo iesnieguma daļu no tās izskatāmo lietu saraksta ar 2009.gada 10.februāra galīgo lēmumu, tādējādi noslēdzot lietas izskatīšanu (skatīt šī lēmuma 54.rindkopu) - vienlaikus norādot, ka iesniedzējam ir iespēja izmantot jebkādus viņam pieejamos nacionālos tiesību aizsardzības līdzekļus; un tas, ka neesot efektīvai </w:t>
      </w:r>
      <w:r w:rsidRPr="00AE795E">
        <w:rPr>
          <w:sz w:val="20"/>
        </w:rPr>
        <w:lastRenderedPageBreak/>
        <w:t>izmeklēšanai turpina pastāvēt Valsts-atbildētājas Konvencijas 3.pantā noteiktais procesuālais pienākums.</w:t>
      </w:r>
      <w:r w:rsidR="007D0E05" w:rsidRPr="00AE795E">
        <w:rPr>
          <w:sz w:val="20"/>
        </w:rPr>
        <w:t>”</w:t>
      </w:r>
    </w:p>
    <w:p w:rsidR="00B6283D" w:rsidRPr="004F0EEB" w:rsidRDefault="00B6283D" w:rsidP="004F0EEB">
      <w:pPr>
        <w:pStyle w:val="OpiQuot"/>
        <w:ind w:left="0"/>
        <w:rPr>
          <w:sz w:val="24"/>
        </w:rPr>
      </w:pPr>
      <w:r w:rsidRPr="004F0EEB">
        <w:rPr>
          <w:sz w:val="24"/>
        </w:rPr>
        <w:t>13.  Manuprāt</w:t>
      </w:r>
      <w:r w:rsidR="00092DEC">
        <w:rPr>
          <w:sz w:val="24"/>
        </w:rPr>
        <w:t>,</w:t>
      </w:r>
      <w:r w:rsidRPr="004F0EEB">
        <w:rPr>
          <w:sz w:val="24"/>
        </w:rPr>
        <w:t xml:space="preserve"> pēdējās trīs rindas no šī </w:t>
      </w:r>
      <w:r w:rsidR="00092DEC">
        <w:rPr>
          <w:sz w:val="24"/>
        </w:rPr>
        <w:t>izvilkuma</w:t>
      </w:r>
      <w:r w:rsidRPr="004F0EEB">
        <w:rPr>
          <w:sz w:val="24"/>
        </w:rPr>
        <w:t xml:space="preserve"> ietver visu, ko </w:t>
      </w:r>
      <w:r w:rsidR="00092DEC">
        <w:rPr>
          <w:sz w:val="24"/>
        </w:rPr>
        <w:t xml:space="preserve">ir </w:t>
      </w:r>
      <w:r w:rsidRPr="004F0EEB">
        <w:rPr>
          <w:sz w:val="24"/>
        </w:rPr>
        <w:t>nepieciešams pateikt. Vairākuma viedoklis par to, ka lai sasniegtu to rezultātu, ko iespējams sasniegt ar lietas atjaunošanas argumentu, ir turpmāk apkopots 123.rindkopā, kur teikts šādi:</w:t>
      </w:r>
    </w:p>
    <w:p w:rsidR="00B6283D" w:rsidRPr="00AE795E" w:rsidRDefault="00AB6AE0" w:rsidP="004F0EEB">
      <w:pPr>
        <w:pStyle w:val="OpiQuot"/>
        <w:ind w:left="0"/>
      </w:pPr>
      <w:r w:rsidRPr="00AE795E">
        <w:t>„</w:t>
      </w:r>
      <w:r w:rsidR="00B6283D" w:rsidRPr="00AE795E">
        <w:t xml:space="preserve">Ņemot vērā iestāžu atteikumu atjaunot izbeigto kriminālprocesu par slikto izturēšanos pret iesniedzēju, ko Valdība ir atzinusi savā vienpusējā deklarācijā iesniegumā Nr. 547/02, Tiesa uzskata konkrētajā lietā, ka iesniedzējs neguva labumu no efektīvas izmeklēšanas, kā to prasa Konvencijas </w:t>
      </w:r>
      <w:proofErr w:type="gramStart"/>
      <w:r w:rsidR="00B6283D" w:rsidRPr="00AE795E">
        <w:t>3.pants</w:t>
      </w:r>
      <w:proofErr w:type="gramEnd"/>
      <w:r w:rsidR="00B6283D" w:rsidRPr="00AE795E">
        <w:t>.”</w:t>
      </w:r>
    </w:p>
    <w:p w:rsidR="00B6283D" w:rsidRPr="009D4272" w:rsidRDefault="00B6283D" w:rsidP="009D4272">
      <w:pPr>
        <w:pStyle w:val="OpiPara"/>
      </w:pPr>
      <w:r>
        <w:t xml:space="preserve">14.  Esmu gatavs piekrist vairākuma secinājumam, ka ir bijis Konvencijas </w:t>
      </w:r>
      <w:proofErr w:type="gramStart"/>
      <w:r>
        <w:t>3.panta</w:t>
      </w:r>
      <w:proofErr w:type="gramEnd"/>
      <w:r>
        <w:t xml:space="preserve"> </w:t>
      </w:r>
      <w:r w:rsidR="00CC05BB">
        <w:t>procesuālā aspekta pārkāpums</w:t>
      </w:r>
      <w:r>
        <w:t xml:space="preserve">. Tomēr esmu nonācis pie šī secinājuma tikai pēc tam, </w:t>
      </w:r>
      <w:r w:rsidR="00B04C97">
        <w:t>ja</w:t>
      </w:r>
      <w:r>
        <w:t xml:space="preserve"> pirmais iesniegums tik</w:t>
      </w:r>
      <w:r w:rsidR="00B04C97">
        <w:t>tu</w:t>
      </w:r>
      <w:r>
        <w:t xml:space="preserve"> atjaunots Tiesas izskatāmo lietu sarakstā saskaņā ar Konvencijas </w:t>
      </w:r>
      <w:proofErr w:type="gramStart"/>
      <w:r>
        <w:t>37.panta</w:t>
      </w:r>
      <w:proofErr w:type="gramEnd"/>
      <w:r>
        <w:t xml:space="preserve"> 2.punktu, kas paredz</w:t>
      </w:r>
      <w:r w:rsidR="00490FE9">
        <w:t>, ka Tiesa var tā rīkoties, ja „</w:t>
      </w:r>
      <w:r>
        <w:t xml:space="preserve">tā uzskata, ka apstākļi attaisno šādu rīcību.” Tiesas reglamenta 43.panta 5.punkts, kurš arī ir būtisks, ir jāskata, ņemot vērā Konvencijas formulējumu. Es nepiekrītu vairākuma viedoklim, kas pausts sprieduma 116.rindkopā, ka </w:t>
      </w:r>
      <w:r w:rsidR="00B04C97">
        <w:t xml:space="preserve">šīs lietas </w:t>
      </w:r>
      <w:r>
        <w:t>apstākļi neattaisno šādu rīcību.</w:t>
      </w:r>
    </w:p>
    <w:p w:rsidR="00B6283D" w:rsidRPr="009D4272" w:rsidRDefault="00B6283D" w:rsidP="009D4272">
      <w:pPr>
        <w:pStyle w:val="OpiPara"/>
      </w:pPr>
      <w:r>
        <w:t xml:space="preserve">15.  Ar cieņu izturos pret viedokli, ka Tiesa neapdomāti pieņēma vienpusējo deklarāciju ar tiem noteikumiem, kādi bija formulēti. Jāatceras, ka Valdības piekrišana tam, ka veiktā izmeklēšana attiecībā uz slikto izturēšanos pret iesniedzēju neatbilda </w:t>
      </w:r>
      <w:r w:rsidR="00CE47C0">
        <w:t xml:space="preserve">Konvencijas </w:t>
      </w:r>
      <w:proofErr w:type="gramStart"/>
      <w:r>
        <w:t>3.panta</w:t>
      </w:r>
      <w:proofErr w:type="gramEnd"/>
      <w:r>
        <w:t xml:space="preserve"> standartiem, skaidri nozīmēja to, ka bija nepieciešama turpmāka izmeklēšana, kas atbilstu šiem standartiem, pat ja galu galā tā </w:t>
      </w:r>
      <w:r w:rsidR="00D6677E">
        <w:t>ne</w:t>
      </w:r>
      <w:r>
        <w:t xml:space="preserve">dotu kādus pozitīvus rezultātus. Tomēr Tiesa nepieprasīja Valdībai pildīt attiecīgās saistības, kā tas tika darīts lietā </w:t>
      </w:r>
      <w:proofErr w:type="spellStart"/>
      <w:r>
        <w:rPr>
          <w:i/>
        </w:rPr>
        <w:t>Žarković</w:t>
      </w:r>
      <w:proofErr w:type="spellEnd"/>
      <w:r>
        <w:rPr>
          <w:i/>
        </w:rPr>
        <w:t xml:space="preserve"> un citi pret Horvātiju</w:t>
      </w:r>
      <w:r>
        <w:t xml:space="preserve"> ((lēmums), Nr. 75187/12, </w:t>
      </w:r>
      <w:proofErr w:type="gramStart"/>
      <w:r>
        <w:t>2015.gada</w:t>
      </w:r>
      <w:proofErr w:type="gramEnd"/>
      <w:r>
        <w:t xml:space="preserve"> 9.jūnijs), ko nedrīkst uzskatīt par </w:t>
      </w:r>
      <w:r w:rsidR="00AE795E">
        <w:t>vienīgu</w:t>
      </w:r>
      <w:r>
        <w:t xml:space="preserve"> lietu. </w:t>
      </w:r>
      <w:r w:rsidR="00AE795E">
        <w:t>Tajā pašā</w:t>
      </w:r>
      <w:r>
        <w:t xml:space="preserve"> laikā tā, šķiet, apstiprināj</w:t>
      </w:r>
      <w:r w:rsidR="00490FE9">
        <w:t>a minēto nosacījumu par to, ka „</w:t>
      </w:r>
      <w:r>
        <w:t xml:space="preserve">maksājums veido galīgo lietas atrisinājumu”, un tikai norādīja, ka lēmums par lietas </w:t>
      </w:r>
      <w:r w:rsidR="00AE795E">
        <w:t xml:space="preserve">svītrošanu no izskatāmo lietu saraksta </w:t>
      </w:r>
      <w:r>
        <w:t xml:space="preserve">“neietekmē iesniedzēja iespēju </w:t>
      </w:r>
      <w:r w:rsidR="00AE795E">
        <w:t>izmantot</w:t>
      </w:r>
      <w:r>
        <w:t xml:space="preserve"> jebkādus citus pieejamos tiesību aizsardzības līdzekļus, lai saņemtu atlīdzību”, ja nekas nenorādīja uz jebkādu piemērojamu tiesību aizsardzības līdzekļu esamību un, kā tas atklājās, tādi faktiski nemaz neeksistēj</w:t>
      </w:r>
      <w:r w:rsidR="00490FE9">
        <w:t>a. Es neko neteikšu par frāzes „</w:t>
      </w:r>
      <w:proofErr w:type="spellStart"/>
      <w:r>
        <w:rPr>
          <w:i/>
        </w:rPr>
        <w:t>ex</w:t>
      </w:r>
      <w:proofErr w:type="spellEnd"/>
      <w:r>
        <w:rPr>
          <w:i/>
        </w:rPr>
        <w:t xml:space="preserve"> gratia</w:t>
      </w:r>
      <w:r>
        <w:t xml:space="preserve">” iekļaušanu, kas kaut gan acīmredzami mazina pārkāpuma atzīšanu - manuprāt, diezgan neatbilstoši - nav rets gadījums un, par nožēlu, mūsu judikatūrā, šķiet, pieņemams. Vadošajā lietā, kas citēta Tiesas lēmumā par lietas </w:t>
      </w:r>
      <w:r w:rsidR="00773414">
        <w:t>svītrošanu no izskatāmo lietu saraksta</w:t>
      </w:r>
      <w:r>
        <w:t xml:space="preserve">, proti, </w:t>
      </w:r>
      <w:proofErr w:type="spellStart"/>
      <w:r>
        <w:rPr>
          <w:i/>
        </w:rPr>
        <w:t>Tahsin</w:t>
      </w:r>
      <w:proofErr w:type="spellEnd"/>
      <w:r>
        <w:rPr>
          <w:i/>
        </w:rPr>
        <w:t xml:space="preserve"> </w:t>
      </w:r>
      <w:proofErr w:type="spellStart"/>
      <w:r>
        <w:rPr>
          <w:i/>
        </w:rPr>
        <w:t>Acar</w:t>
      </w:r>
      <w:proofErr w:type="spellEnd"/>
      <w:r>
        <w:rPr>
          <w:i/>
        </w:rPr>
        <w:t xml:space="preserve"> pret Turciju </w:t>
      </w:r>
      <w:r>
        <w:t>(sākotnējais iebildums) ([LP], Nr. 26307/95, 84. rindkopa, ECT</w:t>
      </w:r>
      <w:r w:rsidR="007E2214">
        <w:t>K</w:t>
      </w:r>
      <w:r>
        <w:t xml:space="preserve"> 2003-VI), ir skaidrs, ka Tiesai būtu jāprasa attiecīgas saistības:</w:t>
      </w:r>
    </w:p>
    <w:p w:rsidR="00B6283D" w:rsidRPr="00AE795E" w:rsidRDefault="00490FE9" w:rsidP="009D4272">
      <w:pPr>
        <w:pStyle w:val="OpiQuot"/>
      </w:pPr>
      <w:r w:rsidRPr="00AE795E">
        <w:t>„</w:t>
      </w:r>
      <w:r w:rsidR="00B6283D" w:rsidRPr="00AE795E">
        <w:t xml:space="preserve">...ja lietā ir pirmsšķietami pierādījumi, kas pierāda apgalvojumus, ka nacionālai izmeklēšanai bija trūkumi salīdzinājumā ar to, kas ir nepieciešams saskaņā ar Konvenciju, tad vienpusējai deklarācijai vismaz būtu jāietver </w:t>
      </w:r>
      <w:r w:rsidR="00AE795E">
        <w:t>to atzīšanu</w:t>
      </w:r>
      <w:r w:rsidR="00B6283D" w:rsidRPr="00AE795E">
        <w:t xml:space="preserve">, kopā ar </w:t>
      </w:r>
      <w:r w:rsidR="00A13468" w:rsidRPr="00AE795E">
        <w:lastRenderedPageBreak/>
        <w:t>Valsts-</w:t>
      </w:r>
      <w:r w:rsidR="00B6283D" w:rsidRPr="00AE795E">
        <w:t xml:space="preserve">atbildētājas apņemšanos Ministru komitejas uzraudzībā, ņemot vērā pēdējās pienākumus saskaņā ar Konvencijas </w:t>
      </w:r>
      <w:proofErr w:type="gramStart"/>
      <w:r w:rsidR="00B6283D" w:rsidRPr="00AE795E">
        <w:t>46.panta</w:t>
      </w:r>
      <w:proofErr w:type="gramEnd"/>
      <w:r w:rsidR="00B6283D" w:rsidRPr="00AE795E">
        <w:t xml:space="preserve"> 2.punktu, veikt izmeklēšanu, kas pilnībā atbilst Konvencijas prasībām, kā to Tiesa ir noteikusi iepriekšējās lietās ...”</w:t>
      </w:r>
    </w:p>
    <w:p w:rsidR="001724DF" w:rsidRPr="009D4272" w:rsidRDefault="00B6283D" w:rsidP="00AE795E">
      <w:pPr>
        <w:pStyle w:val="OpiPara"/>
      </w:pPr>
      <w:r>
        <w:t>16.  Tiklīdz iesniegums tika atjaunos Tiesas izskatāmo lietu sarakstā, es būtu konstatējis pārkāpumu šajā kontekstā un būtu uzskatījis</w:t>
      </w:r>
      <w:r w:rsidR="00AE795E">
        <w:t>, ka</w:t>
      </w:r>
      <w:r>
        <w:t xml:space="preserve"> Valdība</w:t>
      </w:r>
      <w:r w:rsidR="00F33393">
        <w:t>s izmaksātā kompensācija</w:t>
      </w:r>
      <w:r>
        <w:t xml:space="preserve"> saskaņā ar lēmumu par lietas </w:t>
      </w:r>
      <w:r w:rsidR="00F33393">
        <w:t>svītrošanu no izskatāmo lietu saraksta</w:t>
      </w:r>
      <w:r>
        <w:t xml:space="preserve"> </w:t>
      </w:r>
      <w:r w:rsidR="00F33393">
        <w:t xml:space="preserve">ir uzskatāma par </w:t>
      </w:r>
      <w:r>
        <w:t>atlīdzību, uz kuru iesniedzējam bija tiesības saskaņā ar šo spriedumu.</w:t>
      </w:r>
    </w:p>
    <w:p w:rsidR="00B6283D" w:rsidRPr="009D4272" w:rsidRDefault="00B6283D" w:rsidP="009D4272">
      <w:pPr>
        <w:pStyle w:val="OpiPara"/>
      </w:pPr>
      <w:r>
        <w:t>17.  Pašreizējā situācijā man nav lielas izvēles iespējas, kā vien piekrist pārkāpuma konstatēšanai šī iesnieguma kontekstā; tomēr, ņemot vērā līdzīgu pieeju šim jautājumam, es nepiešķirtu atsevišķu papildu kompensācijas summu. Manuprāt, vairākums vēlas piešķir</w:t>
      </w:r>
      <w:r w:rsidR="00437025">
        <w:t>t</w:t>
      </w:r>
      <w:r>
        <w:t xml:space="preserve"> iesniedzējam kompensāciju divreiz par to, kas būtībā ir viens un tas pats pārkāpums. Šī lieta, kā es redzu, nav lieta, kur nākamais iesniegums rada vai iespējams rada jaunu problēmu saistībā ar iepriekšējo iesniegumu, kā, piemēram, lietā </w:t>
      </w:r>
      <w:proofErr w:type="spellStart"/>
      <w:r>
        <w:rPr>
          <w:i/>
        </w:rPr>
        <w:t>Verein</w:t>
      </w:r>
      <w:proofErr w:type="spellEnd"/>
      <w:r>
        <w:rPr>
          <w:i/>
        </w:rPr>
        <w:t xml:space="preserve"> </w:t>
      </w:r>
      <w:proofErr w:type="spellStart"/>
      <w:r>
        <w:rPr>
          <w:i/>
        </w:rPr>
        <w:t>gegen</w:t>
      </w:r>
      <w:proofErr w:type="spellEnd"/>
      <w:r>
        <w:rPr>
          <w:i/>
        </w:rPr>
        <w:t xml:space="preserve"> </w:t>
      </w:r>
      <w:proofErr w:type="spellStart"/>
      <w:r>
        <w:rPr>
          <w:i/>
        </w:rPr>
        <w:t>Tierfabriken</w:t>
      </w:r>
      <w:proofErr w:type="spellEnd"/>
      <w:r>
        <w:rPr>
          <w:i/>
        </w:rPr>
        <w:t xml:space="preserve"> </w:t>
      </w:r>
      <w:proofErr w:type="spellStart"/>
      <w:r>
        <w:rPr>
          <w:i/>
        </w:rPr>
        <w:t>Schweiz</w:t>
      </w:r>
      <w:proofErr w:type="spellEnd"/>
      <w:r>
        <w:rPr>
          <w:i/>
        </w:rPr>
        <w:t xml:space="preserve"> (</w:t>
      </w:r>
      <w:proofErr w:type="spellStart"/>
      <w:r>
        <w:rPr>
          <w:i/>
        </w:rPr>
        <w:t>VgT</w:t>
      </w:r>
      <w:proofErr w:type="spellEnd"/>
      <w:r>
        <w:rPr>
          <w:i/>
        </w:rPr>
        <w:t>) pret Šveici (Nr. 2)</w:t>
      </w:r>
      <w:r>
        <w:t xml:space="preserve"> ([LP], Nr. 32772/02, ECT</w:t>
      </w:r>
      <w:r w:rsidR="003B6914">
        <w:t>K</w:t>
      </w:r>
      <w:r>
        <w:t xml:space="preserve"> 2009);</w:t>
      </w:r>
      <w:r>
        <w:rPr>
          <w:i/>
        </w:rPr>
        <w:t xml:space="preserve"> </w:t>
      </w:r>
      <w:r>
        <w:t xml:space="preserve">tā nav arī lieta par turpmāku pārkāpumu, kas dalāma laicīgās daļās, par kurām kompensācija ir piespriesta atsevišķi, kā lietā </w:t>
      </w:r>
      <w:proofErr w:type="spellStart"/>
      <w:r>
        <w:rPr>
          <w:i/>
        </w:rPr>
        <w:t>Ivanţoc</w:t>
      </w:r>
      <w:proofErr w:type="spellEnd"/>
      <w:r>
        <w:rPr>
          <w:i/>
        </w:rPr>
        <w:t xml:space="preserve"> un citi pret Moldovu un Krieviju (Nr. 23687/05, </w:t>
      </w:r>
      <w:proofErr w:type="gramStart"/>
      <w:r w:rsidRPr="00892585">
        <w:t>2011.gada</w:t>
      </w:r>
      <w:proofErr w:type="gramEnd"/>
      <w:r w:rsidRPr="00892585">
        <w:t xml:space="preserve"> 15.novembris)</w:t>
      </w:r>
      <w:r>
        <w:rPr>
          <w:i/>
        </w:rPr>
        <w:t xml:space="preserve">, </w:t>
      </w:r>
      <w:r>
        <w:t xml:space="preserve">vai lieta, kurā ir izcelts un atsevišķi risināts laika elements, kas attiecas uz pienācīgu izmeklēšanu, pirms citu aspektu pārbaudes, kas joprojām tiek izskatīti esošajā izmeklēšanā, kā lietā </w:t>
      </w:r>
      <w:proofErr w:type="spellStart"/>
      <w:r>
        <w:rPr>
          <w:i/>
        </w:rPr>
        <w:t>McCaughey</w:t>
      </w:r>
      <w:proofErr w:type="spellEnd"/>
      <w:r>
        <w:rPr>
          <w:i/>
        </w:rPr>
        <w:t xml:space="preserve"> un citi pret Apvienoto Karalisti (Nr. 43098/09, </w:t>
      </w:r>
      <w:r w:rsidRPr="00892585">
        <w:t>ECT</w:t>
      </w:r>
      <w:r w:rsidR="00892585">
        <w:t>K</w:t>
      </w:r>
      <w:r w:rsidRPr="00892585">
        <w:t xml:space="preserve"> 2013)</w:t>
      </w:r>
      <w:r>
        <w:rPr>
          <w:i/>
        </w:rPr>
        <w:t>.</w:t>
      </w:r>
      <w:r>
        <w:t xml:space="preserve"> Visas šīs lietas bija saistītas tikai ar vienu sūdzību, un kompensācijas piešķiršana par to bija atbilstoša </w:t>
      </w:r>
      <w:r w:rsidR="007E05EA">
        <w:t>kompensācijas piešķiršanai</w:t>
      </w:r>
      <w:r>
        <w:t xml:space="preserve"> citā lietā, ar kuru tai bija līdzība vai saistība, neskatoties uz to, kura tika iesniegta Tiesā vispirms. Tomēr nav iespējams darīt tā, kā šajā lietā, kad Tiesa uzskatīja sūdzību kā vienu gadījumu.</w:t>
      </w:r>
    </w:p>
    <w:p w:rsidR="00B6283D" w:rsidRPr="009D4272" w:rsidRDefault="00B6283D" w:rsidP="009D4272">
      <w:pPr>
        <w:pStyle w:val="OpiPara"/>
      </w:pPr>
    </w:p>
    <w:p w:rsidR="00B6283D" w:rsidRPr="009D4272" w:rsidRDefault="00B6283D" w:rsidP="009D4272">
      <w:pPr>
        <w:pStyle w:val="ECHRTitleCentre1"/>
        <w:sectPr w:rsidR="00B6283D" w:rsidRPr="009D4272" w:rsidSect="00666B92">
          <w:headerReference w:type="even" r:id="rId17"/>
          <w:headerReference w:type="default" r:id="rId18"/>
          <w:footnotePr>
            <w:numRestart w:val="eachPage"/>
          </w:footnotePr>
          <w:pgSz w:w="11906" w:h="16838" w:code="9"/>
          <w:pgMar w:top="2274" w:right="2274" w:bottom="2274" w:left="2274" w:header="1701" w:footer="720" w:gutter="0"/>
          <w:cols w:space="720"/>
          <w:docGrid w:linePitch="326"/>
        </w:sectPr>
      </w:pPr>
    </w:p>
    <w:p w:rsidR="00666B92" w:rsidRPr="009D4272" w:rsidRDefault="00666B92" w:rsidP="009D4272">
      <w:pPr>
        <w:pStyle w:val="ECHRTitleCentre1"/>
      </w:pPr>
      <w:r>
        <w:lastRenderedPageBreak/>
        <w:t xml:space="preserve">TIESNEŠA </w:t>
      </w:r>
      <w:r>
        <w:rPr>
          <w:i/>
        </w:rPr>
        <w:t>SILVIS</w:t>
      </w:r>
      <w:r>
        <w:t xml:space="preserve"> ATŠĶIRĪGAIS VIEDOKLIS, KAM PIEVIENOJĀS TIESNEŠI </w:t>
      </w:r>
      <w:r>
        <w:rPr>
          <w:i/>
        </w:rPr>
        <w:t>VILLIGER, HIRVELÄ, MAHONEY, WOJTYCZEK, KJØLBRO</w:t>
      </w:r>
      <w:r>
        <w:t xml:space="preserve"> UN </w:t>
      </w:r>
      <w:r>
        <w:rPr>
          <w:i/>
        </w:rPr>
        <w:t>BRIEDE</w:t>
      </w:r>
    </w:p>
    <w:p w:rsidR="00666B92" w:rsidRPr="009D4272" w:rsidRDefault="00666B92" w:rsidP="009D4272">
      <w:pPr>
        <w:pStyle w:val="OpiPara"/>
      </w:pPr>
      <w:r>
        <w:t xml:space="preserve">1.  Kāds ir Tiesas lēmuma par lietas </w:t>
      </w:r>
      <w:r w:rsidR="006A59BB">
        <w:t>svītrošanu no izskatāmo lietu saraksta statuss</w:t>
      </w:r>
      <w:r>
        <w:t xml:space="preserve">? Maz ticams, ka lietā, kur ir lēmums par nepieņemamību vai lietas </w:t>
      </w:r>
      <w:r w:rsidR="00547249">
        <w:t>svītrošanu no izskatāmo lietu saraksta</w:t>
      </w:r>
      <w:r>
        <w:t>, tiek u</w:t>
      </w:r>
      <w:r w:rsidR="00703866">
        <w:t>zskatīts, ka</w:t>
      </w:r>
      <w:r w:rsidR="00490FE9">
        <w:t xml:space="preserve"> </w:t>
      </w:r>
      <w:r w:rsidR="00703866">
        <w:t>Tiesa būs</w:t>
      </w:r>
      <w:r w:rsidR="00490FE9">
        <w:t xml:space="preserve"> „</w:t>
      </w:r>
      <w:r>
        <w:t xml:space="preserve">pārbaudījusi” tās uzmanības lokā nonākušo jautājumu </w:t>
      </w:r>
      <w:r w:rsidR="00BD1574">
        <w:t xml:space="preserve">Konvencijas </w:t>
      </w:r>
      <w:proofErr w:type="gramStart"/>
      <w:r>
        <w:t>35.panta</w:t>
      </w:r>
      <w:proofErr w:type="gramEnd"/>
      <w:r>
        <w:t xml:space="preserve"> 2.punkta b) apakšpunkta izpratnē (skatīt, piemēram, kontekstā ar lēmumiem par nepieņemamību, lietā </w:t>
      </w:r>
      <w:proofErr w:type="spellStart"/>
      <w:r>
        <w:rPr>
          <w:i/>
        </w:rPr>
        <w:t>Previti</w:t>
      </w:r>
      <w:proofErr w:type="spellEnd"/>
      <w:r>
        <w:rPr>
          <w:i/>
        </w:rPr>
        <w:t xml:space="preserve"> pret Itāliju</w:t>
      </w:r>
      <w:r>
        <w:t xml:space="preserve"> (lēmums), Nr. 45291/06, 291.-94.rindkopa, 2009.gada 8.decembris, un</w:t>
      </w:r>
      <w:r w:rsidR="00BD1574">
        <w:t xml:space="preserve"> </w:t>
      </w:r>
      <w:r>
        <w:rPr>
          <w:i/>
        </w:rPr>
        <w:t>Manuel pret Portugāli</w:t>
      </w:r>
      <w:r>
        <w:t xml:space="preserve"> (lēmums), Nr. 62341/00, 2002.gada 31.janvāris, un lēmuma par lietas </w:t>
      </w:r>
      <w:r w:rsidR="00E10901">
        <w:t>svītrošanu</w:t>
      </w:r>
      <w:r>
        <w:t xml:space="preserve"> pēc mierizlīguma kontekstā, </w:t>
      </w:r>
      <w:proofErr w:type="spellStart"/>
      <w:r>
        <w:rPr>
          <w:i/>
        </w:rPr>
        <w:t>Kezer</w:t>
      </w:r>
      <w:proofErr w:type="spellEnd"/>
      <w:r>
        <w:rPr>
          <w:i/>
        </w:rPr>
        <w:t xml:space="preserve"> un citi pret Turciju</w:t>
      </w:r>
      <w:r>
        <w:t xml:space="preserve"> (lēmums), Nr. 58058/00, 2004.gada 5.oktobris). Nebūtu nekādas nozīmes piešķirt atšķirīgu statusu lēmumam par lietas </w:t>
      </w:r>
      <w:r w:rsidR="004737C7">
        <w:t>svītrošanu no izskatāmo lietu saraksta</w:t>
      </w:r>
      <w:r>
        <w:t xml:space="preserve"> pēc vienpusējas deklarācijas. Šajā konkrētajā iesniegumā puses neapgalvo, ka Tiesa ir pieļāvusi acīmredzamu procesuālu kļūdu vai kļūdu pēc būtības, kad tā apstiprināja Valdības vienpusējo deklarāciju par pamatu tam, lai </w:t>
      </w:r>
      <w:r w:rsidR="004737C7">
        <w:t xml:space="preserve">svītrotu </w:t>
      </w:r>
      <w:r>
        <w:t>iesniegumu no lietu saraksta.</w:t>
      </w:r>
    </w:p>
    <w:p w:rsidR="00666B92" w:rsidRPr="009D4272" w:rsidRDefault="00666B92" w:rsidP="009D4272">
      <w:pPr>
        <w:pStyle w:val="OpiPara"/>
      </w:pPr>
      <w:r>
        <w:t xml:space="preserve">2.  Galvenais jautājums šajā lietā ir, vai </w:t>
      </w:r>
      <w:r w:rsidR="00A13468">
        <w:t>Valdībai-</w:t>
      </w:r>
      <w:r>
        <w:t xml:space="preserve">atbildētājai bija vai nebija turpmākais pienākums saskaņā ar Konvencijas 3. un </w:t>
      </w:r>
      <w:proofErr w:type="gramStart"/>
      <w:r>
        <w:t>13.pantu</w:t>
      </w:r>
      <w:proofErr w:type="gramEnd"/>
      <w:r>
        <w:t xml:space="preserve">, neskatoties uz Tiesas 2009.gada 10.februāra lēmumu par lietas </w:t>
      </w:r>
      <w:r w:rsidR="00E455A7">
        <w:t>svītrošanu</w:t>
      </w:r>
      <w:r>
        <w:t xml:space="preserve">, atjaunot izbeigto kriminālprocesu saistībā ar iesniedzēja apgalvojumiem par slikto izturēšanos pret viņu. Šādam pienākumam bija jābūt iekļautam lēmumā par lietas </w:t>
      </w:r>
      <w:r w:rsidR="00E10901">
        <w:t>svītrošanu</w:t>
      </w:r>
      <w:r>
        <w:t>, taču tas nebija izdarīts.</w:t>
      </w:r>
    </w:p>
    <w:p w:rsidR="00666B92" w:rsidRPr="009D4272" w:rsidRDefault="00666B92" w:rsidP="009D4272">
      <w:pPr>
        <w:pStyle w:val="OpiPara"/>
      </w:pPr>
      <w:r>
        <w:t xml:space="preserve">Šajā kontekstā ir jāatzīmē, ka Tiesas lēmuma par lietas </w:t>
      </w:r>
      <w:r w:rsidR="00E455A7">
        <w:t>svītrošanu</w:t>
      </w:r>
      <w:r>
        <w:t xml:space="preserve"> izpildes uzraudzība konkrētajā lietā ir jautājums, kas ir ārpus Ministru komitejas uzraudzības lomas </w:t>
      </w:r>
      <w:r w:rsidR="00E455A7">
        <w:t>tvēruma</w:t>
      </w:r>
      <w:r>
        <w:t xml:space="preserve"> saskaņā ar Konvencijas </w:t>
      </w:r>
      <w:proofErr w:type="gramStart"/>
      <w:r>
        <w:t>46.pantu</w:t>
      </w:r>
      <w:proofErr w:type="gramEnd"/>
      <w:r>
        <w:t xml:space="preserve">, jo lēmums nebija ne balstīts uz mierizlīgumu (Konvencijas 39.pants un </w:t>
      </w:r>
      <w:r w:rsidR="00E455A7">
        <w:t xml:space="preserve">Tiesas </w:t>
      </w:r>
      <w:r>
        <w:t>reglamenta 43.punkt</w:t>
      </w:r>
      <w:r w:rsidR="00490FE9">
        <w:t>a 3.</w:t>
      </w:r>
      <w:r w:rsidR="008153B9">
        <w:t>daļa</w:t>
      </w:r>
      <w:r>
        <w:t>), ne</w:t>
      </w:r>
      <w:r w:rsidR="00E455A7">
        <w:t xml:space="preserve"> arī</w:t>
      </w:r>
      <w:r>
        <w:t xml:space="preserve"> sūdzības tika izslēgtas ar spriedumu pēc tam, kad tās ir pasludinātas par nepieņemamām</w:t>
      </w:r>
      <w:r w:rsidR="00E455A7">
        <w:t xml:space="preserve"> izskatīšanai</w:t>
      </w:r>
      <w:r>
        <w:t xml:space="preserve"> (</w:t>
      </w:r>
      <w:r w:rsidR="00E455A7">
        <w:t xml:space="preserve">Tiesas </w:t>
      </w:r>
      <w:r>
        <w:t>reglamenta 43.punkts 3.</w:t>
      </w:r>
      <w:r w:rsidR="008153B9">
        <w:t>daļa</w:t>
      </w:r>
      <w:r>
        <w:t>).</w:t>
      </w:r>
      <w:r w:rsidR="008153B9">
        <w:t xml:space="preserve"> Tiesa nepiesprieda arī nekādu kompensāciju par tiesāšanas izdevumiem </w:t>
      </w:r>
      <w:r>
        <w:t xml:space="preserve">(skatīt arī </w:t>
      </w:r>
      <w:r w:rsidR="00DF27D9">
        <w:t xml:space="preserve">Tiesas </w:t>
      </w:r>
      <w:r>
        <w:t>reglamenta 43.punkta 4.</w:t>
      </w:r>
      <w:r w:rsidR="004139B9">
        <w:t>daļu</w:t>
      </w:r>
      <w:r>
        <w:t>).</w:t>
      </w:r>
    </w:p>
    <w:p w:rsidR="00666B92" w:rsidRPr="009D4272" w:rsidRDefault="00666B92" w:rsidP="009D4272">
      <w:pPr>
        <w:pStyle w:val="OpiPara"/>
      </w:pPr>
      <w:r>
        <w:t xml:space="preserve">No otras puses, saskaņā ar Konvencijas </w:t>
      </w:r>
      <w:proofErr w:type="gramStart"/>
      <w:r>
        <w:t>37.panta</w:t>
      </w:r>
      <w:proofErr w:type="gramEnd"/>
      <w:r>
        <w:t xml:space="preserve"> 2.punktu Tiesai ir pilnvaras atjaunot iesniegumu tās izskatāmo lie</w:t>
      </w:r>
      <w:r w:rsidR="00490FE9">
        <w:t>tu sarakstā, ja tā uzskata, ka „</w:t>
      </w:r>
      <w:r>
        <w:t>apstākļi attaisno šādu rīcību”. Saskaņā ar Tiesas reglamenta 43.punkta 5.</w:t>
      </w:r>
      <w:r w:rsidR="000526ED">
        <w:t>daļu</w:t>
      </w:r>
      <w:r w:rsidR="00490FE9">
        <w:t xml:space="preserve"> </w:t>
      </w:r>
      <w:r w:rsidR="000526ED">
        <w:t>Tiesa</w:t>
      </w:r>
      <w:r w:rsidR="00490FE9">
        <w:t xml:space="preserve"> var šādi rīkoties, ja „</w:t>
      </w:r>
      <w:r>
        <w:t>tā uzskata, ka izņēmuma apstākļi to attaisno”. Tas, protams, attiecas uz jaunatklātiem apstākļiem. Tiesa nekonstatē šādus apstākļus (skatīt sprieduma 116.rindkopu) un tas ir pareizi.</w:t>
      </w:r>
    </w:p>
    <w:p w:rsidR="00666B92" w:rsidRPr="009D4272" w:rsidRDefault="00666B92" w:rsidP="009D4272">
      <w:pPr>
        <w:pStyle w:val="OpiPara"/>
      </w:pPr>
      <w:r>
        <w:t xml:space="preserve">3.  Valdība uzskata, ka Tiesa ir apstiprinājusi savā </w:t>
      </w:r>
      <w:proofErr w:type="gramStart"/>
      <w:r>
        <w:t>2009.gada</w:t>
      </w:r>
      <w:proofErr w:type="gramEnd"/>
      <w:r>
        <w:t xml:space="preserve"> 10.februāra lēmumā par lietas </w:t>
      </w:r>
      <w:r w:rsidR="00E10901">
        <w:t>svītrošanu</w:t>
      </w:r>
      <w:r>
        <w:t xml:space="preserve"> to, ka Valdības iesniegtā vienpusējā deklarācija atbilda Tiesas judikatūrā, jo īpaši lietā </w:t>
      </w:r>
      <w:proofErr w:type="spellStart"/>
      <w:r>
        <w:rPr>
          <w:i/>
        </w:rPr>
        <w:t>Tahsin</w:t>
      </w:r>
      <w:proofErr w:type="spellEnd"/>
      <w:r>
        <w:rPr>
          <w:i/>
        </w:rPr>
        <w:t xml:space="preserve"> </w:t>
      </w:r>
      <w:proofErr w:type="spellStart"/>
      <w:r>
        <w:rPr>
          <w:i/>
        </w:rPr>
        <w:t>Acar</w:t>
      </w:r>
      <w:proofErr w:type="spellEnd"/>
      <w:r>
        <w:rPr>
          <w:i/>
        </w:rPr>
        <w:t xml:space="preserve"> pret Turciju</w:t>
      </w:r>
      <w:r>
        <w:t xml:space="preserve"> ([LP], Nr. 26307/95, 75.-76. rindkopa, ECT</w:t>
      </w:r>
      <w:r w:rsidR="00AB4579">
        <w:t>K</w:t>
      </w:r>
      <w:r>
        <w:t xml:space="preserve"> 2004-III), nostiprinātajām prasībām. Nekas Valdības vienpusējā deklarācijā neliecināja par </w:t>
      </w:r>
      <w:r>
        <w:lastRenderedPageBreak/>
        <w:t>apņemšanos atjaunot kriminālprocesu. Gluži pretēji, vienīgā Valdības vienpusējā deklarācijā piedāvātā atlīdzība, ko Tiesa apstiprināja, bija kompensācijas izmaksa. Tiesas lēmums neprasīja atjaunot kriminālprocesu iesniedzēja lietā. Tāpēc Valdībai nebija iemesla atjaunot to izskatāmo lietu sarakstā.</w:t>
      </w:r>
    </w:p>
    <w:p w:rsidR="00666B92" w:rsidRPr="009D4272" w:rsidRDefault="00666B92" w:rsidP="009D4272">
      <w:pPr>
        <w:pStyle w:val="OpiPara"/>
      </w:pPr>
      <w:r>
        <w:t xml:space="preserve">4.  Vai šo situāciju nemaina tas, ka Tiesas lēmums par lietas </w:t>
      </w:r>
      <w:r w:rsidR="00156B57">
        <w:t xml:space="preserve">svītrošanu no izskatāmo lietu saraksta </w:t>
      </w:r>
      <w:r>
        <w:t>ietvēra šādu punktu?</w:t>
      </w:r>
    </w:p>
    <w:p w:rsidR="00666B92" w:rsidRPr="009D4272" w:rsidRDefault="00490FE9" w:rsidP="009D4272">
      <w:pPr>
        <w:pStyle w:val="OpiQuot"/>
      </w:pPr>
      <w:r>
        <w:t>„</w:t>
      </w:r>
      <w:r w:rsidR="00666B92">
        <w:t>Šis lēmums neizslēdz iespēju iesniedzējam izmantot kādus citus pieejamos tiesību aizsardzības līdzekļus pārsūd</w:t>
      </w:r>
      <w:r>
        <w:t>zībai” (franču valodā: „</w:t>
      </w:r>
      <w:proofErr w:type="spellStart"/>
      <w:r w:rsidR="00666B92">
        <w:rPr>
          <w:i/>
        </w:rPr>
        <w:t>Cette</w:t>
      </w:r>
      <w:proofErr w:type="spellEnd"/>
      <w:r w:rsidR="00666B92">
        <w:rPr>
          <w:i/>
        </w:rPr>
        <w:t xml:space="preserve"> </w:t>
      </w:r>
      <w:proofErr w:type="spellStart"/>
      <w:r w:rsidR="00666B92">
        <w:rPr>
          <w:i/>
        </w:rPr>
        <w:t>décision</w:t>
      </w:r>
      <w:proofErr w:type="spellEnd"/>
      <w:r w:rsidR="00666B92">
        <w:rPr>
          <w:i/>
        </w:rPr>
        <w:t xml:space="preserve"> ne </w:t>
      </w:r>
      <w:proofErr w:type="spellStart"/>
      <w:r w:rsidR="00666B92">
        <w:rPr>
          <w:i/>
        </w:rPr>
        <w:t>préjuge</w:t>
      </w:r>
      <w:proofErr w:type="spellEnd"/>
      <w:r w:rsidR="00666B92">
        <w:rPr>
          <w:i/>
        </w:rPr>
        <w:t xml:space="preserve"> </w:t>
      </w:r>
      <w:proofErr w:type="spellStart"/>
      <w:r w:rsidR="00666B92">
        <w:rPr>
          <w:i/>
        </w:rPr>
        <w:t>en</w:t>
      </w:r>
      <w:proofErr w:type="spellEnd"/>
      <w:r w:rsidR="00666B92">
        <w:rPr>
          <w:i/>
        </w:rPr>
        <w:t xml:space="preserve"> </w:t>
      </w:r>
      <w:proofErr w:type="spellStart"/>
      <w:r w:rsidR="00666B92">
        <w:rPr>
          <w:i/>
        </w:rPr>
        <w:t>rien</w:t>
      </w:r>
      <w:proofErr w:type="spellEnd"/>
      <w:r w:rsidR="00666B92">
        <w:rPr>
          <w:i/>
        </w:rPr>
        <w:t xml:space="preserve"> </w:t>
      </w:r>
      <w:proofErr w:type="spellStart"/>
      <w:r w:rsidR="00666B92">
        <w:rPr>
          <w:i/>
        </w:rPr>
        <w:t>de</w:t>
      </w:r>
      <w:proofErr w:type="spellEnd"/>
      <w:r w:rsidR="00666B92">
        <w:rPr>
          <w:i/>
        </w:rPr>
        <w:t xml:space="preserve"> la </w:t>
      </w:r>
      <w:proofErr w:type="spellStart"/>
      <w:r w:rsidR="00666B92">
        <w:rPr>
          <w:i/>
        </w:rPr>
        <w:t>possibilité</w:t>
      </w:r>
      <w:proofErr w:type="spellEnd"/>
      <w:r w:rsidR="00666B92">
        <w:rPr>
          <w:i/>
        </w:rPr>
        <w:t xml:space="preserve"> </w:t>
      </w:r>
      <w:proofErr w:type="spellStart"/>
      <w:r w:rsidR="00666B92">
        <w:rPr>
          <w:i/>
        </w:rPr>
        <w:t>pour</w:t>
      </w:r>
      <w:proofErr w:type="spellEnd"/>
      <w:r w:rsidR="00666B92">
        <w:rPr>
          <w:i/>
        </w:rPr>
        <w:t xml:space="preserve"> </w:t>
      </w:r>
      <w:proofErr w:type="spellStart"/>
      <w:r w:rsidR="00666B92">
        <w:rPr>
          <w:i/>
        </w:rPr>
        <w:t>le</w:t>
      </w:r>
      <w:proofErr w:type="spellEnd"/>
      <w:r w:rsidR="00666B92">
        <w:rPr>
          <w:i/>
        </w:rPr>
        <w:t xml:space="preserve"> </w:t>
      </w:r>
      <w:proofErr w:type="spellStart"/>
      <w:r w:rsidR="00666B92">
        <w:rPr>
          <w:i/>
        </w:rPr>
        <w:t>requérant</w:t>
      </w:r>
      <w:proofErr w:type="spellEnd"/>
      <w:r w:rsidR="00666B92">
        <w:rPr>
          <w:i/>
        </w:rPr>
        <w:t xml:space="preserve"> </w:t>
      </w:r>
      <w:proofErr w:type="spellStart"/>
      <w:r w:rsidR="00666B92">
        <w:rPr>
          <w:i/>
        </w:rPr>
        <w:t>d’exercer</w:t>
      </w:r>
      <w:proofErr w:type="spellEnd"/>
      <w:r w:rsidR="00666B92">
        <w:rPr>
          <w:i/>
        </w:rPr>
        <w:t xml:space="preserve">, </w:t>
      </w:r>
      <w:proofErr w:type="spellStart"/>
      <w:r w:rsidR="00666B92">
        <w:rPr>
          <w:i/>
        </w:rPr>
        <w:t>le</w:t>
      </w:r>
      <w:proofErr w:type="spellEnd"/>
      <w:r w:rsidR="00666B92">
        <w:rPr>
          <w:i/>
        </w:rPr>
        <w:t xml:space="preserve"> </w:t>
      </w:r>
      <w:proofErr w:type="spellStart"/>
      <w:r w:rsidR="00666B92">
        <w:rPr>
          <w:i/>
        </w:rPr>
        <w:t>cas</w:t>
      </w:r>
      <w:proofErr w:type="spellEnd"/>
      <w:r w:rsidR="00666B92">
        <w:rPr>
          <w:i/>
        </w:rPr>
        <w:t xml:space="preserve"> </w:t>
      </w:r>
      <w:proofErr w:type="spellStart"/>
      <w:r w:rsidR="00666B92">
        <w:rPr>
          <w:i/>
        </w:rPr>
        <w:t>échéant</w:t>
      </w:r>
      <w:proofErr w:type="spellEnd"/>
      <w:r w:rsidR="00666B92">
        <w:rPr>
          <w:i/>
        </w:rPr>
        <w:t xml:space="preserve">, </w:t>
      </w:r>
      <w:proofErr w:type="spellStart"/>
      <w:r w:rsidR="00666B92">
        <w:rPr>
          <w:i/>
        </w:rPr>
        <w:t>d’autres</w:t>
      </w:r>
      <w:proofErr w:type="spellEnd"/>
      <w:r w:rsidR="00666B92">
        <w:rPr>
          <w:i/>
        </w:rPr>
        <w:t xml:space="preserve"> </w:t>
      </w:r>
      <w:proofErr w:type="spellStart"/>
      <w:r w:rsidR="00666B92">
        <w:rPr>
          <w:i/>
        </w:rPr>
        <w:t>recours</w:t>
      </w:r>
      <w:proofErr w:type="spellEnd"/>
      <w:r w:rsidR="00666B92">
        <w:rPr>
          <w:i/>
        </w:rPr>
        <w:t xml:space="preserve"> </w:t>
      </w:r>
      <w:proofErr w:type="spellStart"/>
      <w:r w:rsidR="00666B92">
        <w:rPr>
          <w:i/>
        </w:rPr>
        <w:t>afin</w:t>
      </w:r>
      <w:proofErr w:type="spellEnd"/>
      <w:r w:rsidR="00666B92">
        <w:rPr>
          <w:i/>
        </w:rPr>
        <w:t xml:space="preserve"> </w:t>
      </w:r>
      <w:proofErr w:type="spellStart"/>
      <w:r w:rsidR="00666B92">
        <w:rPr>
          <w:i/>
        </w:rPr>
        <w:t>d’obtenir</w:t>
      </w:r>
      <w:proofErr w:type="spellEnd"/>
      <w:r w:rsidR="00666B92">
        <w:rPr>
          <w:i/>
        </w:rPr>
        <w:t xml:space="preserve"> </w:t>
      </w:r>
      <w:proofErr w:type="spellStart"/>
      <w:r w:rsidR="00666B92">
        <w:rPr>
          <w:i/>
        </w:rPr>
        <w:t>réparation</w:t>
      </w:r>
      <w:proofErr w:type="spellEnd"/>
      <w:r w:rsidR="00666B92">
        <w:t>”).</w:t>
      </w:r>
    </w:p>
    <w:p w:rsidR="00666B92" w:rsidRPr="009D4272" w:rsidRDefault="00666B92" w:rsidP="009D4272">
      <w:pPr>
        <w:pStyle w:val="OpiPara"/>
      </w:pPr>
      <w:r>
        <w:t xml:space="preserve">Manuprāt, </w:t>
      </w:r>
      <w:r w:rsidR="00CA316C">
        <w:t>nav pamata apgalvot, ka ir pienākums</w:t>
      </w:r>
      <w:r>
        <w:t xml:space="preserve"> atjaunot kriminālprocesu bez kādiem jaunatklātiem faktiem pēc vienpusējās deklarācijas</w:t>
      </w:r>
      <w:r w:rsidR="00CA316C">
        <w:t xml:space="preserve"> apstiprināšanas</w:t>
      </w:r>
      <w:r>
        <w:t xml:space="preserve">; tas </w:t>
      </w:r>
      <w:r w:rsidR="00CA316C">
        <w:t>arī atbilst</w:t>
      </w:r>
      <w:r>
        <w:t xml:space="preserve"> nacionālajos tiesību aktos pieejamām iespējām. Taču Tiesa, ņemot vērā lēmum</w:t>
      </w:r>
      <w:r w:rsidR="00CA316C">
        <w:t>u</w:t>
      </w:r>
      <w:r>
        <w:t xml:space="preserve"> par lietas </w:t>
      </w:r>
      <w:r w:rsidR="00CA316C">
        <w:t>svītrošanu no izskatāmo lietu saraksta</w:t>
      </w:r>
      <w:r>
        <w:t xml:space="preserve">, uzskata </w:t>
      </w:r>
      <w:r w:rsidR="00CA316C">
        <w:t>to</w:t>
      </w:r>
      <w:r>
        <w:t xml:space="preserve"> kā notikumu, kas rada pienākumu turpināt izmeklēšanu (skatīt 116.rindkopu, kas atsaucas uz šādu pienākumu kā </w:t>
      </w:r>
      <w:r>
        <w:rPr>
          <w:i/>
        </w:rPr>
        <w:t>priekšnosacījumu</w:t>
      </w:r>
      <w:r>
        <w:t xml:space="preserve"> lēmumam par lietas </w:t>
      </w:r>
      <w:r w:rsidR="00B76B79">
        <w:t>svītrošanu no izskatāmo lietu saraksta</w:t>
      </w:r>
      <w:r>
        <w:t>). Es nevaru uzskatīt šo spriedumu savādāk, kā novirzi no judikatūras attiecībā uz sūdzību, kuras Tiesa ir risinājusi ar galīgo spriedumu vai lēmumu, statusu. Šī pastāvošā judikatūra a</w:t>
      </w:r>
      <w:r w:rsidR="00CA316C">
        <w:t>ttiecas ne tikai uz sūdzībām Konvencijas</w:t>
      </w:r>
      <w:r>
        <w:t xml:space="preserve"> </w:t>
      </w:r>
      <w:proofErr w:type="gramStart"/>
      <w:r>
        <w:t>6.pant</w:t>
      </w:r>
      <w:r w:rsidR="00CA316C">
        <w:t>a</w:t>
      </w:r>
      <w:proofErr w:type="gramEnd"/>
      <w:r w:rsidR="00CA316C">
        <w:t xml:space="preserve"> izpratnē </w:t>
      </w:r>
      <w:r>
        <w:t xml:space="preserve">(kā lietā </w:t>
      </w:r>
      <w:proofErr w:type="spellStart"/>
      <w:r>
        <w:rPr>
          <w:i/>
        </w:rPr>
        <w:t>Fischer</w:t>
      </w:r>
      <w:proofErr w:type="spellEnd"/>
      <w:r>
        <w:rPr>
          <w:i/>
        </w:rPr>
        <w:t xml:space="preserve"> pret Austriju</w:t>
      </w:r>
      <w:r>
        <w:t xml:space="preserve"> (lēmums), Nr. 27569/02, ECT</w:t>
      </w:r>
      <w:r w:rsidR="004A0809">
        <w:t>K</w:t>
      </w:r>
      <w:r>
        <w:t xml:space="preserve"> 2003</w:t>
      </w:r>
      <w:r>
        <w:noBreakHyphen/>
        <w:t xml:space="preserve">VI; </w:t>
      </w:r>
      <w:proofErr w:type="spellStart"/>
      <w:r>
        <w:rPr>
          <w:i/>
        </w:rPr>
        <w:t>Komanicky</w:t>
      </w:r>
      <w:proofErr w:type="spellEnd"/>
      <w:r>
        <w:rPr>
          <w:i/>
        </w:rPr>
        <w:t xml:space="preserve"> pret Slovākiju</w:t>
      </w:r>
      <w:r>
        <w:t xml:space="preserve"> (lēmums), Nr. 13677/03, 2005.gada 1.marts; un </w:t>
      </w:r>
      <w:proofErr w:type="spellStart"/>
      <w:r>
        <w:rPr>
          <w:i/>
        </w:rPr>
        <w:t>Öcalan</w:t>
      </w:r>
      <w:proofErr w:type="spellEnd"/>
      <w:r>
        <w:rPr>
          <w:i/>
        </w:rPr>
        <w:t xml:space="preserve"> pret Turciju</w:t>
      </w:r>
      <w:r>
        <w:t xml:space="preserve"> (lēmums), Nr. 5980/07, 2010.gada 6.jūlijs). Lietā </w:t>
      </w:r>
      <w:proofErr w:type="spellStart"/>
      <w:r>
        <w:rPr>
          <w:i/>
        </w:rPr>
        <w:t>Egmez</w:t>
      </w:r>
      <w:proofErr w:type="spellEnd"/>
      <w:r>
        <w:rPr>
          <w:i/>
        </w:rPr>
        <w:t xml:space="preserve"> pret Kipru</w:t>
      </w:r>
      <w:r>
        <w:t xml:space="preserve"> ((lēmums), Nr. 12214/07, </w:t>
      </w:r>
      <w:proofErr w:type="gramStart"/>
      <w:r>
        <w:t>2012.gada</w:t>
      </w:r>
      <w:proofErr w:type="gramEnd"/>
      <w:r>
        <w:t xml:space="preserve"> 18.septembris) Tiesa nekonstatēja nekādus jaunus apstākļus, kas atjaunotu procesuālo pienākumu saskaņā ar </w:t>
      </w:r>
      <w:r w:rsidR="00CA316C">
        <w:t xml:space="preserve">Konvencijas </w:t>
      </w:r>
      <w:r>
        <w:t xml:space="preserve">3.pantu un līdz ar to izraisītu iespējamu šīs normas pārkāpumu. Tas pats būtu jāievēro šajā lietā. Argumentācija, ko Tiesa tagad ir apstiprinājusi ar balsu vairākumu, varētu būt attiecināma arī </w:t>
      </w:r>
      <w:r w:rsidR="00CA316C">
        <w:t xml:space="preserve">uz </w:t>
      </w:r>
      <w:r>
        <w:t xml:space="preserve">iesniegumiem, ko Tiesa ir noteikusi spriedumā (un nevis lēmumā par lietas </w:t>
      </w:r>
      <w:r w:rsidR="00CA316C">
        <w:t>svītrošanu no izskatāmo lietu saraksta</w:t>
      </w:r>
      <w:r>
        <w:t xml:space="preserve">) un ja valsts, pēc iesniedzēja domām, nav ievērojusi iepriekšējā spriedumā konstatēto pārkāpumu. Citiem vārdiem sakot, ja Tiesa konstatē spriedumā, ka valsts nav veikusi efektīvu izmeklēšanu, pārkāpjot Konvencijas 2. vai </w:t>
      </w:r>
      <w:proofErr w:type="gramStart"/>
      <w:r>
        <w:t>3.pantu</w:t>
      </w:r>
      <w:proofErr w:type="gramEnd"/>
      <w:r>
        <w:t>, un ja valsts pēc tam nenodrošina to, ka tiek veikta jauna izmeklēšana, kas atbilst Konvencijas prasībām, tad iesniedzējs var iesniegt jaunu iesniegumu un Tiesa var konstatēt jaunu pārkāpumu.</w:t>
      </w:r>
    </w:p>
    <w:p w:rsidR="00666B92" w:rsidRPr="009D4272" w:rsidRDefault="00666B92" w:rsidP="009D4272">
      <w:pPr>
        <w:pStyle w:val="OpiPara"/>
      </w:pPr>
      <w:r>
        <w:t xml:space="preserve">5.  Šajā lietā veikto pasākumu pārbaude parādīs, kā iesniedzēja apgalvojums par slikto izturēšanos pret viņu pēc viņa aizturēšanas </w:t>
      </w:r>
      <w:proofErr w:type="gramStart"/>
      <w:r>
        <w:t>1998.gada</w:t>
      </w:r>
      <w:proofErr w:type="gramEnd"/>
      <w:r>
        <w:t xml:space="preserve"> 25.aprīlī ar aizdomām par vairākumu noziegumu izdarīšanu, joprojām nodarbina Tiesu 2016.gadā. Iesniedzējs iesniedza sūdzības par slikto izturēšanos </w:t>
      </w:r>
      <w:proofErr w:type="gramStart"/>
      <w:r>
        <w:t>2001.gada</w:t>
      </w:r>
      <w:proofErr w:type="gramEnd"/>
      <w:r>
        <w:t xml:space="preserve"> 8.oktobrī. Pēc vairāk kā pieciem gadiem - </w:t>
      </w:r>
      <w:proofErr w:type="gramStart"/>
      <w:r>
        <w:t>2007.gada</w:t>
      </w:r>
      <w:proofErr w:type="gramEnd"/>
      <w:r>
        <w:t xml:space="preserve"> 22.februārī - Valdībai tika paziņots par iesniegumu un 2008.gada </w:t>
      </w:r>
      <w:r>
        <w:lastRenderedPageBreak/>
        <w:t xml:space="preserve">30.aprīlī </w:t>
      </w:r>
      <w:r w:rsidR="00C32224">
        <w:t>tā</w:t>
      </w:r>
      <w:r>
        <w:t xml:space="preserve"> </w:t>
      </w:r>
      <w:r w:rsidR="00C32224">
        <w:t>iesniedza</w:t>
      </w:r>
      <w:r>
        <w:t xml:space="preserve"> vienpusēju deklarāciju, atzīstot </w:t>
      </w:r>
      <w:r w:rsidR="00A85D35">
        <w:t xml:space="preserve">Konvencijas </w:t>
      </w:r>
      <w:r>
        <w:t xml:space="preserve">3.panta pārkāpumu un piešķirot iesniedzējam kompensāciju par to. 2009.gada 10.februārī Tiesa apstiprināja Valdības vienpusējo deklarāciju un </w:t>
      </w:r>
      <w:r w:rsidR="006B55C0">
        <w:t>svītroja</w:t>
      </w:r>
      <w:r>
        <w:t xml:space="preserve"> lietu no izskatāmo lietu saraksta attiecībā uz deklarācijā iekļauto faktu par slikto izturēšanos. Saskaņā ar šo deklarāciju iesniedzējs saņēma 4 500 eiro (EUR). Pēc tam 2012.</w:t>
      </w:r>
      <w:r w:rsidR="006B55C0">
        <w:t xml:space="preserve"> </w:t>
      </w:r>
      <w:r>
        <w:t>gada 1.</w:t>
      </w:r>
      <w:r w:rsidR="006B55C0">
        <w:t xml:space="preserve"> </w:t>
      </w:r>
      <w:r>
        <w:t xml:space="preserve">decembrī Tiesa konstatēja pārkāpumus attiecībā uz iesniedzēja apcietināšanas apstākļiem pēc iepriekš minētās aizturēšanas, kā arī </w:t>
      </w:r>
      <w:r w:rsidR="006B55C0">
        <w:t xml:space="preserve">Konvencijas </w:t>
      </w:r>
      <w:r>
        <w:t>6.</w:t>
      </w:r>
      <w:r w:rsidR="006B55C0">
        <w:t xml:space="preserve"> </w:t>
      </w:r>
      <w:r>
        <w:t>panta 1.punkta pārkāpumu, jo iesniedzējam, atrodoties apcietinājumā, netika dota iespēja piedalī</w:t>
      </w:r>
      <w:r w:rsidR="00D3168C">
        <w:t>ties tiesas procesā Augstākajā t</w:t>
      </w:r>
      <w:r>
        <w:t xml:space="preserve">iesā </w:t>
      </w:r>
      <w:r w:rsidR="001C3DD2">
        <w:t>viņa lietas izskatīšanā</w:t>
      </w:r>
      <w:r>
        <w:t xml:space="preserve">. Viņam tika piešķirti </w:t>
      </w:r>
      <w:r w:rsidR="001C3DD2">
        <w:t xml:space="preserve">EUR </w:t>
      </w:r>
      <w:r>
        <w:t xml:space="preserve">5 000. Visas šīs sūdzības jau bija sākotnējā iesnieguma </w:t>
      </w:r>
      <w:r w:rsidR="001C3DD2">
        <w:t xml:space="preserve">daļa </w:t>
      </w:r>
      <w:r>
        <w:t>2001.</w:t>
      </w:r>
      <w:r w:rsidR="006B55C0">
        <w:t xml:space="preserve"> </w:t>
      </w:r>
      <w:r w:rsidR="001C3DD2">
        <w:t>gad</w:t>
      </w:r>
      <w:r>
        <w:t>ā. Tomēr 2010.</w:t>
      </w:r>
      <w:r w:rsidR="006B55C0">
        <w:t xml:space="preserve"> </w:t>
      </w:r>
      <w:r>
        <w:t>gadā iesniedzējs vēlreiz atkārtoja savas sūdzības jaunā iesniegumā un ietvēra jaunu sūdzību par to, ka pēc vienpusējās deklarācijas apstiprināšanas nav atjaunota izmeklēšana par slikto izturēšanos pret viņu, neskatoties uz viņa centieniem to panākt nacionālā līmenī. 2012.</w:t>
      </w:r>
      <w:r w:rsidR="001C3DD2">
        <w:t xml:space="preserve"> </w:t>
      </w:r>
      <w:r>
        <w:t>gada 9.</w:t>
      </w:r>
      <w:r w:rsidR="001C3DD2">
        <w:t xml:space="preserve"> </w:t>
      </w:r>
      <w:r>
        <w:t xml:space="preserve">oktobrī Tiesa pasludināja vecās sūdzības par daļēji nepieņemamām, bet </w:t>
      </w:r>
      <w:r w:rsidR="001C3DD2">
        <w:t>nodeva lietas izskatīšanu Lielajai Palātai</w:t>
      </w:r>
      <w:r>
        <w:t xml:space="preserve"> attiecībā uz sūdzību par lēmumu neatjaunot izmeklēšanu par slikto izturēšanos pret iesniedzēju pēc vienpusējās deklarācijas apstiprināšanas. Trīs no piecām Tiesas nodaļām vienā vai citā veidā ir skatījušas iesniedzēja sūdzības pēc 1998. gada 25.aprīļa notikumiem, un tagad to ir darījusi arī Lielā Palāta. Vairākumam no Lielās Palātas joprojām nav izdevies noves</w:t>
      </w:r>
      <w:r w:rsidR="001C3DD2">
        <w:t>t šo lietu līdz galam. Tā vietā</w:t>
      </w:r>
      <w:r>
        <w:t xml:space="preserve"> izskatās, it kā būtu iedarbināta nebeidzama </w:t>
      </w:r>
      <w:proofErr w:type="spellStart"/>
      <w:r>
        <w:rPr>
          <w:i/>
        </w:rPr>
        <w:t>perpetuum</w:t>
      </w:r>
      <w:proofErr w:type="spellEnd"/>
      <w:r>
        <w:rPr>
          <w:i/>
        </w:rPr>
        <w:t xml:space="preserve"> </w:t>
      </w:r>
      <w:proofErr w:type="spellStart"/>
      <w:r>
        <w:rPr>
          <w:i/>
        </w:rPr>
        <w:t>mobile</w:t>
      </w:r>
      <w:proofErr w:type="spellEnd"/>
      <w:r>
        <w:t xml:space="preserve"> tiesvedība. Kādam nolūkam tas tiek darīts? Vai tas ir pastāvīgas saistības teorētiskais jēdziens? Nevaru iedomāties nopietn</w:t>
      </w:r>
      <w:r w:rsidR="001C3DD2">
        <w:t>u</w:t>
      </w:r>
      <w:r>
        <w:t xml:space="preserve"> izmeklēšan</w:t>
      </w:r>
      <w:r w:rsidR="001C3DD2">
        <w:t>u</w:t>
      </w:r>
      <w:r>
        <w:t xml:space="preserve"> lietā, kā šī, kas uzsākta vai atsākta pēc tik daudziem gadiem.</w:t>
      </w:r>
    </w:p>
    <w:p w:rsidR="00666B92" w:rsidRPr="009D4272" w:rsidRDefault="00666B92" w:rsidP="009D4272">
      <w:pPr>
        <w:pStyle w:val="OpiPara"/>
      </w:pPr>
      <w:r>
        <w:t xml:space="preserve">6.  Šis spriedums grauj pārliecību, kādai būtu jādominē pēc tam, kad Tiesa ir pabeigusi savu </w:t>
      </w:r>
      <w:r w:rsidR="007C1E4A">
        <w:t>lietas izskatīšanu</w:t>
      </w:r>
      <w:r>
        <w:t xml:space="preserve">. Turpmākā saistība attiecībā uz </w:t>
      </w:r>
      <w:r w:rsidR="00261A67">
        <w:t>tiesisko</w:t>
      </w:r>
      <w:r>
        <w:t xml:space="preserve"> no</w:t>
      </w:r>
      <w:r w:rsidR="00261A67">
        <w:t>teiktību ir pārāk vērtīga</w:t>
      </w:r>
      <w:r>
        <w:t xml:space="preserve">, </w:t>
      </w:r>
      <w:r w:rsidR="00261A67">
        <w:t>lai to upurētu ar mērķi mēģināt</w:t>
      </w:r>
      <w:r>
        <w:t xml:space="preserve"> labot iepriekšēj</w:t>
      </w:r>
      <w:r w:rsidR="00261A67">
        <w:t>ās</w:t>
      </w:r>
      <w:r>
        <w:t xml:space="preserve"> vienpusējās deklarācijas apstiprināšanu, pat, ja pēc notikušā, var uzskatīt, ka Tiesai bija negribīgāk jāliedz iesniedzējam efektīvas izmeklēšanas priekšrocības </w:t>
      </w:r>
      <w:r w:rsidR="00261A67">
        <w:t xml:space="preserve">Konvencijas </w:t>
      </w:r>
      <w:proofErr w:type="gramStart"/>
      <w:r w:rsidR="00261A67">
        <w:t>3.panta</w:t>
      </w:r>
      <w:proofErr w:type="gramEnd"/>
      <w:r w:rsidR="00261A67">
        <w:t xml:space="preserve"> kontekstā</w:t>
      </w:r>
      <w:r>
        <w:t>.</w:t>
      </w:r>
    </w:p>
    <w:p w:rsidR="00666B92" w:rsidRPr="009D4272" w:rsidRDefault="00666B92" w:rsidP="009D4272">
      <w:pPr>
        <w:pStyle w:val="OpiPara"/>
        <w:jc w:val="right"/>
      </w:pPr>
    </w:p>
    <w:p w:rsidR="00C16B21" w:rsidRPr="009D4272" w:rsidRDefault="00C16B21" w:rsidP="009D4272">
      <w:pPr>
        <w:sectPr w:rsidR="00C16B21" w:rsidRPr="009D4272" w:rsidSect="00666B92">
          <w:footnotePr>
            <w:numRestart w:val="eachPage"/>
          </w:footnotePr>
          <w:pgSz w:w="11906" w:h="16838" w:code="9"/>
          <w:pgMar w:top="2274" w:right="2274" w:bottom="2274" w:left="2274" w:header="1701" w:footer="720" w:gutter="0"/>
          <w:cols w:space="720"/>
          <w:docGrid w:linePitch="326"/>
        </w:sectPr>
      </w:pPr>
    </w:p>
    <w:p w:rsidR="00C16B21" w:rsidRPr="009D4272" w:rsidRDefault="00C16B21" w:rsidP="009D4272">
      <w:pPr>
        <w:pStyle w:val="ECHRTitleCentre1"/>
      </w:pPr>
      <w:r>
        <w:lastRenderedPageBreak/>
        <w:t xml:space="preserve">TIESNEŠA </w:t>
      </w:r>
      <w:r>
        <w:rPr>
          <w:i/>
        </w:rPr>
        <w:t>WOJTYCZEK</w:t>
      </w:r>
      <w:r>
        <w:t xml:space="preserve"> ATŠĶIRĪGAIS VIEDOKLIS</w:t>
      </w:r>
    </w:p>
    <w:p w:rsidR="00C16B21" w:rsidRPr="009D4272" w:rsidRDefault="00C16B21" w:rsidP="009D4272">
      <w:pPr>
        <w:pStyle w:val="OpiTranslation"/>
      </w:pPr>
      <w:r>
        <w:t>(tulkojums)</w:t>
      </w:r>
    </w:p>
    <w:p w:rsidR="00C16B21" w:rsidRPr="009D4272" w:rsidRDefault="00C16B21" w:rsidP="009D4272">
      <w:pPr>
        <w:pStyle w:val="OpiPara"/>
      </w:pPr>
    </w:p>
    <w:p w:rsidR="00C16B21" w:rsidRPr="009D4272" w:rsidRDefault="00C16B21" w:rsidP="009D4272">
      <w:pPr>
        <w:pStyle w:val="OpiPara"/>
      </w:pPr>
      <w:r>
        <w:t xml:space="preserve">Galvenie iebildumi saistībā ar šo spriedumu ir pausti atsevišķajā tiesneša </w:t>
      </w:r>
      <w:r>
        <w:rPr>
          <w:i/>
        </w:rPr>
        <w:t>Silvis</w:t>
      </w:r>
      <w:r>
        <w:t xml:space="preserve"> viedoklī, kam pievienojās tiesneši </w:t>
      </w:r>
      <w:proofErr w:type="spellStart"/>
      <w:r>
        <w:rPr>
          <w:i/>
        </w:rPr>
        <w:t>Villiger</w:t>
      </w:r>
      <w:proofErr w:type="spellEnd"/>
      <w:r>
        <w:rPr>
          <w:i/>
        </w:rPr>
        <w:t xml:space="preserve">, </w:t>
      </w:r>
      <w:proofErr w:type="spellStart"/>
      <w:r>
        <w:rPr>
          <w:i/>
        </w:rPr>
        <w:t>Hirvelä</w:t>
      </w:r>
      <w:proofErr w:type="spellEnd"/>
      <w:r>
        <w:rPr>
          <w:i/>
        </w:rPr>
        <w:t xml:space="preserve">, </w:t>
      </w:r>
      <w:proofErr w:type="spellStart"/>
      <w:r>
        <w:rPr>
          <w:i/>
        </w:rPr>
        <w:t>Mahoney</w:t>
      </w:r>
      <w:proofErr w:type="spellEnd"/>
      <w:r>
        <w:rPr>
          <w:i/>
        </w:rPr>
        <w:t xml:space="preserve">, </w:t>
      </w:r>
      <w:proofErr w:type="spellStart"/>
      <w:r>
        <w:rPr>
          <w:i/>
        </w:rPr>
        <w:t>Kjølbro</w:t>
      </w:r>
      <w:proofErr w:type="spellEnd"/>
      <w:r>
        <w:rPr>
          <w:i/>
        </w:rPr>
        <w:t>, Briede</w:t>
      </w:r>
      <w:r>
        <w:t xml:space="preserve"> un es. No savas puses vēlos </w:t>
      </w:r>
      <w:r w:rsidR="00E657C4">
        <w:t>uzsvērt</w:t>
      </w:r>
      <w:r>
        <w:t xml:space="preserve"> divus papildu punktus.</w:t>
      </w:r>
    </w:p>
    <w:p w:rsidR="00C16B21" w:rsidRPr="009D4272" w:rsidRDefault="00C16B21" w:rsidP="009D4272">
      <w:pPr>
        <w:pStyle w:val="OpiPara"/>
      </w:pPr>
      <w:r>
        <w:t>1.  Efektīva Konvencijas mehānisma darbība paredz minimālu lojalitāti attiecībās starp Tiesu un tiesvedības pusēm. Jo īpaši, Tiesai pietiekami precīzi savos spriedumos un lēmumos ir jānorāda pusēm izrietoš</w:t>
      </w:r>
      <w:r w:rsidR="00915AB8">
        <w:t>ie</w:t>
      </w:r>
      <w:r>
        <w:t xml:space="preserve"> pienākum</w:t>
      </w:r>
      <w:r w:rsidR="00915AB8">
        <w:t>i</w:t>
      </w:r>
      <w:r>
        <w:t xml:space="preserve">. Vienpusējas deklarācijas gadījumā, lai apmierinātu </w:t>
      </w:r>
      <w:r w:rsidR="003D7BAB">
        <w:t>tiesiskās</w:t>
      </w:r>
      <w:r>
        <w:t xml:space="preserve"> noteiktības prasības un novērstu turpmākos strīdus pušu starpā, deklarācijas tekstā ir skaidri jānorāda </w:t>
      </w:r>
      <w:r w:rsidR="00A13468">
        <w:t>valstij-</w:t>
      </w:r>
      <w:r>
        <w:t xml:space="preserve">atbildētājai no Konvencijas pārkāpuma izrietošās dažādās </w:t>
      </w:r>
      <w:r w:rsidR="00EC03AA">
        <w:t>atzītās saistības</w:t>
      </w:r>
      <w:r>
        <w:t xml:space="preserve">. Tiesai ir jānodrošina tas, lai vienpusējā deklarācija ievēro nepieciešamo minimumu skaidrības un precizitātes ziņā. Proti, šajā lietā, ja Tiesa uzskatīja, ka </w:t>
      </w:r>
      <w:r w:rsidR="00A13468">
        <w:t>valstij-</w:t>
      </w:r>
      <w:r>
        <w:t>atbildētājai ir pienākums atjaunot kriminālizmeklēšanu, tad būtu b</w:t>
      </w:r>
      <w:r w:rsidR="009B6F94">
        <w:t>ijis vēlams, lai tā neapstiprinātu</w:t>
      </w:r>
      <w:r>
        <w:t xml:space="preserve"> vienpusējo deklarāciju, kurā nebija ietverta skaidra </w:t>
      </w:r>
      <w:r w:rsidR="009B6F94">
        <w:t>norāde</w:t>
      </w:r>
      <w:r>
        <w:t xml:space="preserve"> šajā sakarā. Ņemot vērā to, ka Tiesa apstiprināja vienpusējo deklarāciju, kurā šāda </w:t>
      </w:r>
      <w:r w:rsidR="00DD68B3">
        <w:t>norāde</w:t>
      </w:r>
      <w:r>
        <w:t xml:space="preserve"> nebija iekļauta, ir grūti vainot Latviju par to, ka tā nav ievērojusi savas saistības šajā lietā.</w:t>
      </w:r>
    </w:p>
    <w:p w:rsidR="00C16B21" w:rsidRPr="009D4272" w:rsidRDefault="00C16B21" w:rsidP="009D4272">
      <w:pPr>
        <w:pStyle w:val="OpiPara"/>
      </w:pPr>
      <w:r>
        <w:t xml:space="preserve">2.  Spriedums šajā lietā tieši attiecas uz trešo pušu tiesībām. Kriminālizmeklēšana var ietekmēt vairāku iestāžu aizdomās turēto personu par sodāma nodarījuma izdarīšanu intereses. Kādas no šīm aizdomās turētajām personām var būt nevainīgas. Visām šīm iesaistītajām personām, neskatoties uz to, vai tās ir vainīgas vai nevainīgas, ir tiesības uz to, lai viņu lieta tiek izskatīta ar galīgo lēmumu saprātīgā termiņā. Ja pienākumu veikt kriminālizmeklēšanu, kas izriet no Konvencijas 2. un </w:t>
      </w:r>
      <w:proofErr w:type="gramStart"/>
      <w:r>
        <w:t>3.panta</w:t>
      </w:r>
      <w:proofErr w:type="gramEnd"/>
      <w:r>
        <w:t>, nevar laika gaitā izslēgt un ja nacionālajām iestādēm ir pienākums atjaunot izmeklēšanas, kas bija izbeigtas līdz šim laikam, lai izpildītu visas Konvencijas prasības, tad tā rezultātā var rasties liels lietu skaits, kur nevainīgas personas atrodas pastāvīgā neskaidrības stāvoklī attiecībā uz savu likteni, un tas būtu viņu tiesību pārkāpums saskaņā ar Konvencijas 6.pantu. Ar nožēlu atzīmēju, ka Tiesa nav ņēmusi vērā šo lietas aspektu.</w:t>
      </w:r>
    </w:p>
    <w:sectPr w:rsidR="00C16B21" w:rsidRPr="009D4272" w:rsidSect="003D7F16">
      <w:headerReference w:type="even" r:id="rId19"/>
      <w:headerReference w:type="default" r:id="rId20"/>
      <w:footnotePr>
        <w:numRestart w:val="eachPage"/>
      </w:footnotePr>
      <w:pgSz w:w="11906" w:h="16838"/>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67" w:rsidRDefault="00713767" w:rsidP="00014566">
      <w:r>
        <w:separator/>
      </w:r>
    </w:p>
  </w:endnote>
  <w:endnote w:type="continuationSeparator" w:id="0">
    <w:p w:rsidR="00713767" w:rsidRDefault="00713767"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67" w:rsidRPr="00150BFA" w:rsidRDefault="00713767" w:rsidP="00843893">
    <w:pPr>
      <w:jc w:val="center"/>
    </w:pPr>
    <w:r>
      <w:rPr>
        <w:noProof/>
        <w:lang w:bidi="ar-SA"/>
      </w:rPr>
      <w:drawing>
        <wp:inline distT="0" distB="0" distL="0" distR="0">
          <wp:extent cx="771525" cy="619125"/>
          <wp:effectExtent l="0" t="0" r="9525" b="9525"/>
          <wp:docPr id="45" name="Picture 4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713767" w:rsidRPr="00A737D1" w:rsidRDefault="00713767" w:rsidP="00843893">
    <w:pPr>
      <w:pStyle w:val="Footer"/>
      <w:jc w:val="cen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67" w:rsidRPr="00150BFA" w:rsidRDefault="00713767" w:rsidP="00843893">
    <w:pPr>
      <w:jc w:val="center"/>
    </w:pPr>
  </w:p>
  <w:p w:rsidR="00713767" w:rsidRPr="00A737D1" w:rsidRDefault="00713767" w:rsidP="00843893">
    <w:pPr>
      <w:pStyle w:val="Footer"/>
      <w:jc w:val="cen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67" w:rsidRDefault="00713767" w:rsidP="00014566">
      <w:r>
        <w:separator/>
      </w:r>
    </w:p>
  </w:footnote>
  <w:footnote w:type="continuationSeparator" w:id="0">
    <w:p w:rsidR="00713767" w:rsidRDefault="00713767" w:rsidP="0001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67" w:rsidRPr="00A45145" w:rsidRDefault="00713767" w:rsidP="00843893">
    <w:pPr>
      <w:jc w:val="center"/>
    </w:pPr>
    <w:r>
      <w:rPr>
        <w:noProof/>
        <w:lang w:bidi="ar-SA"/>
      </w:rPr>
      <w:drawing>
        <wp:inline distT="0" distB="0" distL="0" distR="0">
          <wp:extent cx="2962275" cy="1219200"/>
          <wp:effectExtent l="0" t="0" r="9525" b="0"/>
          <wp:docPr id="43" name="Picture 4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713767" w:rsidRDefault="00713767" w:rsidP="008438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67" w:rsidRPr="00FF2306" w:rsidRDefault="00713767" w:rsidP="00EE1DA9">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124439">
      <w:rPr>
        <w:rStyle w:val="PageNumber"/>
        <w:noProof/>
        <w:szCs w:val="18"/>
      </w:rPr>
      <w:t>34</w:t>
    </w:r>
    <w:r>
      <w:rPr>
        <w:rStyle w:val="PageNumber"/>
        <w:szCs w:val="18"/>
      </w:rPr>
      <w:fldChar w:fldCharType="end"/>
    </w:r>
    <w:r>
      <w:tab/>
      <w:t>SPRIEDUMS LIETĀ JERONOVIČS pret LATVIJU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67" w:rsidRPr="00D60D87" w:rsidRDefault="00713767" w:rsidP="00D60D87">
    <w:pPr>
      <w:pStyle w:val="ECHRHeader"/>
    </w:pPr>
    <w:r>
      <w:tab/>
      <w:t>JERONOVIČS pret LATVIJU SPRIEDUMS</w:t>
    </w:r>
    <w:r>
      <w:tab/>
    </w:r>
    <w:r>
      <w:rPr>
        <w:rStyle w:val="PageNumber"/>
        <w:szCs w:val="18"/>
      </w:rPr>
      <w:fldChar w:fldCharType="begin"/>
    </w:r>
    <w:r>
      <w:rPr>
        <w:rStyle w:val="PageNumber"/>
        <w:szCs w:val="18"/>
      </w:rPr>
      <w:instrText xml:space="preserve"> PAGE </w:instrText>
    </w:r>
    <w:r>
      <w:rPr>
        <w:rStyle w:val="PageNumber"/>
        <w:szCs w:val="18"/>
      </w:rPr>
      <w:fldChar w:fldCharType="separate"/>
    </w:r>
    <w:r w:rsidR="00124439">
      <w:rPr>
        <w:rStyle w:val="PageNumber"/>
        <w:noProof/>
        <w:szCs w:val="18"/>
      </w:rPr>
      <w:t>35</w:t>
    </w:r>
    <w:r>
      <w:rPr>
        <w:rStyle w:val="PageNumber"/>
        <w:szCs w:val="1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67" w:rsidRPr="00FF2306" w:rsidRDefault="00713767" w:rsidP="00EE1DA9">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124439">
      <w:rPr>
        <w:rStyle w:val="PageNumber"/>
        <w:noProof/>
        <w:szCs w:val="18"/>
      </w:rPr>
      <w:t>36</w:t>
    </w:r>
    <w:r>
      <w:rPr>
        <w:rStyle w:val="PageNumber"/>
        <w:szCs w:val="18"/>
      </w:rPr>
      <w:fldChar w:fldCharType="end"/>
    </w:r>
    <w:r>
      <w:tab/>
      <w:t>SPRIEDUMS LIETĀ JERONOVIČS pret LATVIJU</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67" w:rsidRPr="00D60D87" w:rsidRDefault="00713767" w:rsidP="00D60D87">
    <w:pPr>
      <w:pStyle w:val="ECHRHeader"/>
    </w:pPr>
    <w:r>
      <w:tab/>
      <w:t>SPRIEDUMS LIETĀ JERONOVIČS pret LATVIJU</w:t>
    </w:r>
    <w:r>
      <w:tab/>
    </w:r>
    <w:r>
      <w:rPr>
        <w:rStyle w:val="PageNumber"/>
        <w:szCs w:val="18"/>
      </w:rPr>
      <w:fldChar w:fldCharType="begin"/>
    </w:r>
    <w:r>
      <w:rPr>
        <w:rStyle w:val="PageNumber"/>
        <w:szCs w:val="18"/>
      </w:rPr>
      <w:instrText xml:space="preserve"> PAGE </w:instrText>
    </w:r>
    <w:r>
      <w:rPr>
        <w:rStyle w:val="PageNumber"/>
        <w:szCs w:val="18"/>
      </w:rPr>
      <w:fldChar w:fldCharType="separate"/>
    </w:r>
    <w:r w:rsidR="00124439">
      <w:rPr>
        <w:rStyle w:val="PageNumber"/>
        <w:noProof/>
        <w:szCs w:val="18"/>
      </w:rPr>
      <w:t>37</w:t>
    </w:r>
    <w:r>
      <w:rPr>
        <w:rStyle w:val="PageNumber"/>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67" w:rsidRPr="00695401" w:rsidRDefault="00713767" w:rsidP="00DF21AE">
    <w:pPr>
      <w:pStyle w:val="ECHRHeader"/>
    </w:pPr>
    <w:r>
      <w:rPr>
        <w:rStyle w:val="PageNumber"/>
      </w:rPr>
      <w:fldChar w:fldCharType="begin"/>
    </w:r>
    <w:r>
      <w:rPr>
        <w:rStyle w:val="PageNumber"/>
      </w:rPr>
      <w:instrText xml:space="preserve"> PAGE </w:instrText>
    </w:r>
    <w:r>
      <w:rPr>
        <w:rStyle w:val="PageNumber"/>
      </w:rPr>
      <w:fldChar w:fldCharType="separate"/>
    </w:r>
    <w:r w:rsidR="00F449B2">
      <w:rPr>
        <w:rStyle w:val="PageNumber"/>
        <w:noProof/>
      </w:rPr>
      <w:t>44</w:t>
    </w:r>
    <w:r>
      <w:rPr>
        <w:rStyle w:val="PageNumber"/>
      </w:rPr>
      <w:fldChar w:fldCharType="end"/>
    </w:r>
    <w:r>
      <w:tab/>
      <w:t>SPRIEDUMS LIETĀ J</w:t>
    </w:r>
    <w:r w:rsidR="00424AE7">
      <w:t>ERONOVIČS pret LATVIJU</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67" w:rsidRPr="00695401" w:rsidRDefault="00713767" w:rsidP="00DF21AE">
    <w:pPr>
      <w:pStyle w:val="ECHRHeader"/>
    </w:pPr>
    <w:r>
      <w:tab/>
      <w:t>SPRIEDUMS LIETĀ JERONOVIČS pret LATVIJU JUDGMENT – ATŠĶIRĪGI VIEDOKĻI</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8">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40">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1"/>
  </w:num>
  <w:num w:numId="2">
    <w:abstractNumId w:val="15"/>
  </w:num>
  <w:num w:numId="3">
    <w:abstractNumId w:val="9"/>
  </w:num>
  <w:num w:numId="4">
    <w:abstractNumId w:val="4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21"/>
  </w:num>
  <w:num w:numId="16">
    <w:abstractNumId w:val="25"/>
  </w:num>
  <w:num w:numId="17">
    <w:abstractNumId w:val="39"/>
  </w:num>
  <w:num w:numId="18">
    <w:abstractNumId w:val="34"/>
  </w:num>
  <w:num w:numId="19">
    <w:abstractNumId w:val="35"/>
  </w:num>
  <w:num w:numId="20">
    <w:abstractNumId w:val="24"/>
  </w:num>
  <w:num w:numId="21">
    <w:abstractNumId w:val="14"/>
  </w:num>
  <w:num w:numId="22">
    <w:abstractNumId w:val="19"/>
  </w:num>
  <w:num w:numId="23">
    <w:abstractNumId w:val="37"/>
  </w:num>
  <w:num w:numId="24">
    <w:abstractNumId w:val="33"/>
  </w:num>
  <w:num w:numId="25">
    <w:abstractNumId w:val="36"/>
  </w:num>
  <w:num w:numId="26">
    <w:abstractNumId w:val="42"/>
  </w:num>
  <w:num w:numId="27">
    <w:abstractNumId w:val="22"/>
  </w:num>
  <w:num w:numId="28">
    <w:abstractNumId w:val="10"/>
  </w:num>
  <w:num w:numId="29">
    <w:abstractNumId w:val="30"/>
  </w:num>
  <w:num w:numId="30">
    <w:abstractNumId w:val="16"/>
  </w:num>
  <w:num w:numId="31">
    <w:abstractNumId w:val="3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1"/>
  </w:num>
  <w:num w:numId="35">
    <w:abstractNumId w:val="31"/>
  </w:num>
  <w:num w:numId="36">
    <w:abstractNumId w:val="27"/>
  </w:num>
  <w:num w:numId="37">
    <w:abstractNumId w:val="28"/>
  </w:num>
  <w:num w:numId="38">
    <w:abstractNumId w:val="1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2"/>
  </w:num>
  <w:num w:numId="42">
    <w:abstractNumId w:val="23"/>
  </w:num>
  <w:num w:numId="43">
    <w:abstractNumId w:val="32"/>
  </w:num>
  <w:num w:numId="44">
    <w:abstractNumId w:val="29"/>
  </w:num>
  <w:num w:numId="45">
    <w:abstractNumId w:val="26"/>
  </w:num>
  <w:num w:numId="46">
    <w:abstractNumId w:val="40"/>
  </w:num>
  <w:num w:numId="47">
    <w:abstractNumId w:val="20"/>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A956FC"/>
    <w:rsid w:val="00000FA7"/>
    <w:rsid w:val="00001038"/>
    <w:rsid w:val="0000103D"/>
    <w:rsid w:val="000010ED"/>
    <w:rsid w:val="000013F1"/>
    <w:rsid w:val="00002BE3"/>
    <w:rsid w:val="00002E14"/>
    <w:rsid w:val="000030FB"/>
    <w:rsid w:val="00003DDD"/>
    <w:rsid w:val="000040D8"/>
    <w:rsid w:val="000041F8"/>
    <w:rsid w:val="000042A8"/>
    <w:rsid w:val="00004308"/>
    <w:rsid w:val="00005B7A"/>
    <w:rsid w:val="00005BF0"/>
    <w:rsid w:val="0000608E"/>
    <w:rsid w:val="000064C0"/>
    <w:rsid w:val="00006FFE"/>
    <w:rsid w:val="00007154"/>
    <w:rsid w:val="00007693"/>
    <w:rsid w:val="000103AE"/>
    <w:rsid w:val="000104B0"/>
    <w:rsid w:val="00010D30"/>
    <w:rsid w:val="00011700"/>
    <w:rsid w:val="00011AB2"/>
    <w:rsid w:val="00011D69"/>
    <w:rsid w:val="000122F0"/>
    <w:rsid w:val="00012AD3"/>
    <w:rsid w:val="00013DBF"/>
    <w:rsid w:val="0001401F"/>
    <w:rsid w:val="00014566"/>
    <w:rsid w:val="00015990"/>
    <w:rsid w:val="00015C2D"/>
    <w:rsid w:val="00015D40"/>
    <w:rsid w:val="00015F00"/>
    <w:rsid w:val="00016100"/>
    <w:rsid w:val="00016152"/>
    <w:rsid w:val="00021045"/>
    <w:rsid w:val="00021DC2"/>
    <w:rsid w:val="00022C1D"/>
    <w:rsid w:val="00023101"/>
    <w:rsid w:val="000234A0"/>
    <w:rsid w:val="00023811"/>
    <w:rsid w:val="00024007"/>
    <w:rsid w:val="000267FF"/>
    <w:rsid w:val="000271EE"/>
    <w:rsid w:val="0002750D"/>
    <w:rsid w:val="0003037D"/>
    <w:rsid w:val="0003076F"/>
    <w:rsid w:val="00030922"/>
    <w:rsid w:val="00030F9B"/>
    <w:rsid w:val="00030FA1"/>
    <w:rsid w:val="00031097"/>
    <w:rsid w:val="00032812"/>
    <w:rsid w:val="00032F54"/>
    <w:rsid w:val="00033AF2"/>
    <w:rsid w:val="00034987"/>
    <w:rsid w:val="00034E71"/>
    <w:rsid w:val="00035C28"/>
    <w:rsid w:val="000362A9"/>
    <w:rsid w:val="00037CC6"/>
    <w:rsid w:val="0004049F"/>
    <w:rsid w:val="00040562"/>
    <w:rsid w:val="00040CCF"/>
    <w:rsid w:val="00041135"/>
    <w:rsid w:val="00041E88"/>
    <w:rsid w:val="00043987"/>
    <w:rsid w:val="000439E1"/>
    <w:rsid w:val="00043F94"/>
    <w:rsid w:val="000445AF"/>
    <w:rsid w:val="00044A36"/>
    <w:rsid w:val="0004504E"/>
    <w:rsid w:val="00045E96"/>
    <w:rsid w:val="00046175"/>
    <w:rsid w:val="00046E89"/>
    <w:rsid w:val="0004747F"/>
    <w:rsid w:val="0005024D"/>
    <w:rsid w:val="00050CF4"/>
    <w:rsid w:val="0005166A"/>
    <w:rsid w:val="000519C0"/>
    <w:rsid w:val="00051C32"/>
    <w:rsid w:val="00051F70"/>
    <w:rsid w:val="000526ED"/>
    <w:rsid w:val="00052C1B"/>
    <w:rsid w:val="00052E06"/>
    <w:rsid w:val="00053804"/>
    <w:rsid w:val="0005442F"/>
    <w:rsid w:val="00054880"/>
    <w:rsid w:val="00055EF6"/>
    <w:rsid w:val="00056242"/>
    <w:rsid w:val="000568FF"/>
    <w:rsid w:val="00056CB0"/>
    <w:rsid w:val="000602DF"/>
    <w:rsid w:val="0006030F"/>
    <w:rsid w:val="00061B05"/>
    <w:rsid w:val="00062814"/>
    <w:rsid w:val="00062973"/>
    <w:rsid w:val="00062D5D"/>
    <w:rsid w:val="000632D5"/>
    <w:rsid w:val="000644EE"/>
    <w:rsid w:val="00064D33"/>
    <w:rsid w:val="00065762"/>
    <w:rsid w:val="00065F3A"/>
    <w:rsid w:val="0006768D"/>
    <w:rsid w:val="0006773E"/>
    <w:rsid w:val="00067BBA"/>
    <w:rsid w:val="00067F59"/>
    <w:rsid w:val="000708C5"/>
    <w:rsid w:val="00071EC3"/>
    <w:rsid w:val="00073DBF"/>
    <w:rsid w:val="00074863"/>
    <w:rsid w:val="00074FA8"/>
    <w:rsid w:val="00075906"/>
    <w:rsid w:val="00075ACA"/>
    <w:rsid w:val="000762E1"/>
    <w:rsid w:val="00076D53"/>
    <w:rsid w:val="00077251"/>
    <w:rsid w:val="000772F6"/>
    <w:rsid w:val="0008170E"/>
    <w:rsid w:val="000834EC"/>
    <w:rsid w:val="00084FBE"/>
    <w:rsid w:val="000856D7"/>
    <w:rsid w:val="0008616F"/>
    <w:rsid w:val="00090592"/>
    <w:rsid w:val="000925AD"/>
    <w:rsid w:val="00092DEC"/>
    <w:rsid w:val="0009421D"/>
    <w:rsid w:val="0009424D"/>
    <w:rsid w:val="00094607"/>
    <w:rsid w:val="0009488B"/>
    <w:rsid w:val="00094A9D"/>
    <w:rsid w:val="00095F99"/>
    <w:rsid w:val="00096A90"/>
    <w:rsid w:val="00097636"/>
    <w:rsid w:val="00097AFC"/>
    <w:rsid w:val="000A0210"/>
    <w:rsid w:val="000A09E5"/>
    <w:rsid w:val="000A0CBD"/>
    <w:rsid w:val="000A24EB"/>
    <w:rsid w:val="000A42B5"/>
    <w:rsid w:val="000A49F4"/>
    <w:rsid w:val="000A60B2"/>
    <w:rsid w:val="000A633F"/>
    <w:rsid w:val="000A63E4"/>
    <w:rsid w:val="000A6BD9"/>
    <w:rsid w:val="000A7578"/>
    <w:rsid w:val="000A7D8C"/>
    <w:rsid w:val="000B211F"/>
    <w:rsid w:val="000B2C61"/>
    <w:rsid w:val="000B639B"/>
    <w:rsid w:val="000B6923"/>
    <w:rsid w:val="000B69E6"/>
    <w:rsid w:val="000B7D67"/>
    <w:rsid w:val="000C033C"/>
    <w:rsid w:val="000C0A84"/>
    <w:rsid w:val="000C0FB6"/>
    <w:rsid w:val="000C14EF"/>
    <w:rsid w:val="000C1720"/>
    <w:rsid w:val="000C1A21"/>
    <w:rsid w:val="000C1C58"/>
    <w:rsid w:val="000C52DA"/>
    <w:rsid w:val="000C5311"/>
    <w:rsid w:val="000C58BE"/>
    <w:rsid w:val="000C5F3C"/>
    <w:rsid w:val="000C66E0"/>
    <w:rsid w:val="000C673D"/>
    <w:rsid w:val="000C6B7A"/>
    <w:rsid w:val="000C6DCC"/>
    <w:rsid w:val="000D13DE"/>
    <w:rsid w:val="000D2252"/>
    <w:rsid w:val="000D23C3"/>
    <w:rsid w:val="000D2BA8"/>
    <w:rsid w:val="000D3558"/>
    <w:rsid w:val="000D393D"/>
    <w:rsid w:val="000D3A23"/>
    <w:rsid w:val="000D47AA"/>
    <w:rsid w:val="000D6BA2"/>
    <w:rsid w:val="000D713A"/>
    <w:rsid w:val="000D721F"/>
    <w:rsid w:val="000E069B"/>
    <w:rsid w:val="000E0C25"/>
    <w:rsid w:val="000E0E82"/>
    <w:rsid w:val="000E17EB"/>
    <w:rsid w:val="000E1DC5"/>
    <w:rsid w:val="000E216A"/>
    <w:rsid w:val="000E223F"/>
    <w:rsid w:val="000E2272"/>
    <w:rsid w:val="000E22CF"/>
    <w:rsid w:val="000E279C"/>
    <w:rsid w:val="000E2E31"/>
    <w:rsid w:val="000E4DB8"/>
    <w:rsid w:val="000E5B55"/>
    <w:rsid w:val="000E62B7"/>
    <w:rsid w:val="000E6373"/>
    <w:rsid w:val="000E7D45"/>
    <w:rsid w:val="000F1A5A"/>
    <w:rsid w:val="000F1E13"/>
    <w:rsid w:val="000F3537"/>
    <w:rsid w:val="000F3785"/>
    <w:rsid w:val="000F39D6"/>
    <w:rsid w:val="000F430C"/>
    <w:rsid w:val="000F4350"/>
    <w:rsid w:val="000F436D"/>
    <w:rsid w:val="000F4F6E"/>
    <w:rsid w:val="000F657F"/>
    <w:rsid w:val="000F6CD9"/>
    <w:rsid w:val="000F7332"/>
    <w:rsid w:val="000F7851"/>
    <w:rsid w:val="000F787C"/>
    <w:rsid w:val="000F78A5"/>
    <w:rsid w:val="001003C5"/>
    <w:rsid w:val="0010114E"/>
    <w:rsid w:val="001011E4"/>
    <w:rsid w:val="001013C4"/>
    <w:rsid w:val="0010227A"/>
    <w:rsid w:val="001028C3"/>
    <w:rsid w:val="00102BA1"/>
    <w:rsid w:val="00102E06"/>
    <w:rsid w:val="001033E3"/>
    <w:rsid w:val="00103912"/>
    <w:rsid w:val="00103E10"/>
    <w:rsid w:val="00104143"/>
    <w:rsid w:val="00104431"/>
    <w:rsid w:val="00104466"/>
    <w:rsid w:val="00104E23"/>
    <w:rsid w:val="00105836"/>
    <w:rsid w:val="00105929"/>
    <w:rsid w:val="00105B33"/>
    <w:rsid w:val="00106117"/>
    <w:rsid w:val="001069BE"/>
    <w:rsid w:val="00106ADE"/>
    <w:rsid w:val="00107B57"/>
    <w:rsid w:val="001112D0"/>
    <w:rsid w:val="00111B0C"/>
    <w:rsid w:val="00111BA0"/>
    <w:rsid w:val="00112CDA"/>
    <w:rsid w:val="00113FBB"/>
    <w:rsid w:val="001147A7"/>
    <w:rsid w:val="00114AD7"/>
    <w:rsid w:val="00114B11"/>
    <w:rsid w:val="00116946"/>
    <w:rsid w:val="00117FE3"/>
    <w:rsid w:val="00120899"/>
    <w:rsid w:val="00120D6C"/>
    <w:rsid w:val="00120FE0"/>
    <w:rsid w:val="00122A29"/>
    <w:rsid w:val="00123D75"/>
    <w:rsid w:val="00123FA9"/>
    <w:rsid w:val="00124439"/>
    <w:rsid w:val="00124899"/>
    <w:rsid w:val="00124BFB"/>
    <w:rsid w:val="00124DA3"/>
    <w:rsid w:val="00124E75"/>
    <w:rsid w:val="00125576"/>
    <w:rsid w:val="001257EC"/>
    <w:rsid w:val="00126DCE"/>
    <w:rsid w:val="0012710C"/>
    <w:rsid w:val="0012793E"/>
    <w:rsid w:val="00130353"/>
    <w:rsid w:val="00130B48"/>
    <w:rsid w:val="00131A13"/>
    <w:rsid w:val="00131B9F"/>
    <w:rsid w:val="00132C6A"/>
    <w:rsid w:val="00133093"/>
    <w:rsid w:val="00133BFA"/>
    <w:rsid w:val="00133D33"/>
    <w:rsid w:val="001349E0"/>
    <w:rsid w:val="00134A8E"/>
    <w:rsid w:val="00134D64"/>
    <w:rsid w:val="00135A30"/>
    <w:rsid w:val="00135E07"/>
    <w:rsid w:val="0013612C"/>
    <w:rsid w:val="00137C05"/>
    <w:rsid w:val="00137FF6"/>
    <w:rsid w:val="001401FD"/>
    <w:rsid w:val="00140E7E"/>
    <w:rsid w:val="0014100E"/>
    <w:rsid w:val="00141650"/>
    <w:rsid w:val="00142603"/>
    <w:rsid w:val="0014547A"/>
    <w:rsid w:val="00145EB9"/>
    <w:rsid w:val="0014646A"/>
    <w:rsid w:val="00147B2C"/>
    <w:rsid w:val="00151690"/>
    <w:rsid w:val="001517DF"/>
    <w:rsid w:val="0015217F"/>
    <w:rsid w:val="001521A9"/>
    <w:rsid w:val="00152644"/>
    <w:rsid w:val="00153590"/>
    <w:rsid w:val="00153A30"/>
    <w:rsid w:val="00153C22"/>
    <w:rsid w:val="00153DC2"/>
    <w:rsid w:val="00154335"/>
    <w:rsid w:val="00154684"/>
    <w:rsid w:val="00154807"/>
    <w:rsid w:val="00155333"/>
    <w:rsid w:val="001569C1"/>
    <w:rsid w:val="00156B57"/>
    <w:rsid w:val="00156EBA"/>
    <w:rsid w:val="0015780E"/>
    <w:rsid w:val="00160828"/>
    <w:rsid w:val="00160DF1"/>
    <w:rsid w:val="00161279"/>
    <w:rsid w:val="00161920"/>
    <w:rsid w:val="00162A12"/>
    <w:rsid w:val="00163181"/>
    <w:rsid w:val="00163453"/>
    <w:rsid w:val="00166530"/>
    <w:rsid w:val="00166D9A"/>
    <w:rsid w:val="00170021"/>
    <w:rsid w:val="00171D6C"/>
    <w:rsid w:val="00171FA8"/>
    <w:rsid w:val="001720D7"/>
    <w:rsid w:val="001724DF"/>
    <w:rsid w:val="001731C7"/>
    <w:rsid w:val="00174FC7"/>
    <w:rsid w:val="00176CD2"/>
    <w:rsid w:val="00177E98"/>
    <w:rsid w:val="0018258D"/>
    <w:rsid w:val="001832BD"/>
    <w:rsid w:val="00183F10"/>
    <w:rsid w:val="00186451"/>
    <w:rsid w:val="00186C6E"/>
    <w:rsid w:val="00187D7D"/>
    <w:rsid w:val="00190AE8"/>
    <w:rsid w:val="00191293"/>
    <w:rsid w:val="00191357"/>
    <w:rsid w:val="001943B5"/>
    <w:rsid w:val="001943EB"/>
    <w:rsid w:val="0019469D"/>
    <w:rsid w:val="00194FE8"/>
    <w:rsid w:val="00195134"/>
    <w:rsid w:val="00195EB5"/>
    <w:rsid w:val="001965EA"/>
    <w:rsid w:val="0019744F"/>
    <w:rsid w:val="001976BF"/>
    <w:rsid w:val="00197A16"/>
    <w:rsid w:val="00197F96"/>
    <w:rsid w:val="001A0DF4"/>
    <w:rsid w:val="001A145B"/>
    <w:rsid w:val="001A1DB2"/>
    <w:rsid w:val="001A2298"/>
    <w:rsid w:val="001A233A"/>
    <w:rsid w:val="001A2C93"/>
    <w:rsid w:val="001A31B2"/>
    <w:rsid w:val="001A33E6"/>
    <w:rsid w:val="001A52A3"/>
    <w:rsid w:val="001A5970"/>
    <w:rsid w:val="001A5C84"/>
    <w:rsid w:val="001A674C"/>
    <w:rsid w:val="001A696D"/>
    <w:rsid w:val="001A69AE"/>
    <w:rsid w:val="001A6AF3"/>
    <w:rsid w:val="001A6E3A"/>
    <w:rsid w:val="001A77AB"/>
    <w:rsid w:val="001A780F"/>
    <w:rsid w:val="001B0575"/>
    <w:rsid w:val="001B0CA4"/>
    <w:rsid w:val="001B0E60"/>
    <w:rsid w:val="001B15A6"/>
    <w:rsid w:val="001B2542"/>
    <w:rsid w:val="001B2EBB"/>
    <w:rsid w:val="001B3B24"/>
    <w:rsid w:val="001B3D6B"/>
    <w:rsid w:val="001B3F83"/>
    <w:rsid w:val="001B4DF5"/>
    <w:rsid w:val="001B57B0"/>
    <w:rsid w:val="001B7476"/>
    <w:rsid w:val="001C0212"/>
    <w:rsid w:val="001C0499"/>
    <w:rsid w:val="001C053C"/>
    <w:rsid w:val="001C0AB3"/>
    <w:rsid w:val="001C0E37"/>
    <w:rsid w:val="001C0F98"/>
    <w:rsid w:val="001C2A42"/>
    <w:rsid w:val="001C3DD2"/>
    <w:rsid w:val="001C5AAC"/>
    <w:rsid w:val="001C5E8B"/>
    <w:rsid w:val="001C6CAE"/>
    <w:rsid w:val="001C7705"/>
    <w:rsid w:val="001D03C3"/>
    <w:rsid w:val="001D0630"/>
    <w:rsid w:val="001D0966"/>
    <w:rsid w:val="001D09BA"/>
    <w:rsid w:val="001D0F78"/>
    <w:rsid w:val="001D1354"/>
    <w:rsid w:val="001D1FA5"/>
    <w:rsid w:val="001D28F5"/>
    <w:rsid w:val="001D2D9F"/>
    <w:rsid w:val="001D34DF"/>
    <w:rsid w:val="001D4739"/>
    <w:rsid w:val="001D63ED"/>
    <w:rsid w:val="001D64F9"/>
    <w:rsid w:val="001D6ECB"/>
    <w:rsid w:val="001D7348"/>
    <w:rsid w:val="001D755C"/>
    <w:rsid w:val="001D7F26"/>
    <w:rsid w:val="001E035B"/>
    <w:rsid w:val="001E0961"/>
    <w:rsid w:val="001E0996"/>
    <w:rsid w:val="001E2F71"/>
    <w:rsid w:val="001E3EAE"/>
    <w:rsid w:val="001E42B3"/>
    <w:rsid w:val="001E477F"/>
    <w:rsid w:val="001E47E0"/>
    <w:rsid w:val="001E5A0B"/>
    <w:rsid w:val="001E5F9A"/>
    <w:rsid w:val="001E6F32"/>
    <w:rsid w:val="001E7034"/>
    <w:rsid w:val="001F2145"/>
    <w:rsid w:val="001F2E47"/>
    <w:rsid w:val="001F3378"/>
    <w:rsid w:val="001F37D3"/>
    <w:rsid w:val="001F5647"/>
    <w:rsid w:val="001F6262"/>
    <w:rsid w:val="001F67B0"/>
    <w:rsid w:val="001F718C"/>
    <w:rsid w:val="001F7B3D"/>
    <w:rsid w:val="00201665"/>
    <w:rsid w:val="00201C7E"/>
    <w:rsid w:val="00201D1D"/>
    <w:rsid w:val="00202009"/>
    <w:rsid w:val="002034BD"/>
    <w:rsid w:val="00203BDE"/>
    <w:rsid w:val="00203D9D"/>
    <w:rsid w:val="002040E8"/>
    <w:rsid w:val="00204186"/>
    <w:rsid w:val="00204890"/>
    <w:rsid w:val="00205E7E"/>
    <w:rsid w:val="00205F9F"/>
    <w:rsid w:val="002069C5"/>
    <w:rsid w:val="00206E84"/>
    <w:rsid w:val="002070D3"/>
    <w:rsid w:val="00210338"/>
    <w:rsid w:val="002103A4"/>
    <w:rsid w:val="002114AD"/>
    <w:rsid w:val="002115FC"/>
    <w:rsid w:val="00211958"/>
    <w:rsid w:val="0021291C"/>
    <w:rsid w:val="00212DA3"/>
    <w:rsid w:val="002133F8"/>
    <w:rsid w:val="0021357B"/>
    <w:rsid w:val="0021423C"/>
    <w:rsid w:val="00214E4B"/>
    <w:rsid w:val="00216C15"/>
    <w:rsid w:val="0021760E"/>
    <w:rsid w:val="00220256"/>
    <w:rsid w:val="0022028D"/>
    <w:rsid w:val="00220E39"/>
    <w:rsid w:val="002211A3"/>
    <w:rsid w:val="00222568"/>
    <w:rsid w:val="00222621"/>
    <w:rsid w:val="0022311E"/>
    <w:rsid w:val="00223CA6"/>
    <w:rsid w:val="002246CB"/>
    <w:rsid w:val="002255F3"/>
    <w:rsid w:val="00225C85"/>
    <w:rsid w:val="00225D71"/>
    <w:rsid w:val="00225F8C"/>
    <w:rsid w:val="00227B1F"/>
    <w:rsid w:val="00230A4B"/>
    <w:rsid w:val="00230D00"/>
    <w:rsid w:val="00231BDE"/>
    <w:rsid w:val="00231DF7"/>
    <w:rsid w:val="00231FD1"/>
    <w:rsid w:val="002323CC"/>
    <w:rsid w:val="002326EA"/>
    <w:rsid w:val="00233805"/>
    <w:rsid w:val="002339E0"/>
    <w:rsid w:val="00233C66"/>
    <w:rsid w:val="00233CF8"/>
    <w:rsid w:val="0023449B"/>
    <w:rsid w:val="00234507"/>
    <w:rsid w:val="002348EB"/>
    <w:rsid w:val="00234B07"/>
    <w:rsid w:val="00234B14"/>
    <w:rsid w:val="0023575D"/>
    <w:rsid w:val="002368EE"/>
    <w:rsid w:val="00237148"/>
    <w:rsid w:val="0024057E"/>
    <w:rsid w:val="0024137A"/>
    <w:rsid w:val="00241F00"/>
    <w:rsid w:val="0024222D"/>
    <w:rsid w:val="00242D4A"/>
    <w:rsid w:val="0024326D"/>
    <w:rsid w:val="00243553"/>
    <w:rsid w:val="00244B0E"/>
    <w:rsid w:val="00244F6C"/>
    <w:rsid w:val="002458AA"/>
    <w:rsid w:val="002462C8"/>
    <w:rsid w:val="00246797"/>
    <w:rsid w:val="00250244"/>
    <w:rsid w:val="00250298"/>
    <w:rsid w:val="0025121D"/>
    <w:rsid w:val="00251779"/>
    <w:rsid w:val="0025181F"/>
    <w:rsid w:val="00252A97"/>
    <w:rsid w:val="00253246"/>
    <w:rsid w:val="002532C5"/>
    <w:rsid w:val="00253CED"/>
    <w:rsid w:val="0025469B"/>
    <w:rsid w:val="0025729B"/>
    <w:rsid w:val="00260463"/>
    <w:rsid w:val="00260C03"/>
    <w:rsid w:val="00260E17"/>
    <w:rsid w:val="00261A67"/>
    <w:rsid w:val="00265100"/>
    <w:rsid w:val="0026540E"/>
    <w:rsid w:val="00271716"/>
    <w:rsid w:val="00272E15"/>
    <w:rsid w:val="002748D1"/>
    <w:rsid w:val="00275123"/>
    <w:rsid w:val="00277B40"/>
    <w:rsid w:val="002821BF"/>
    <w:rsid w:val="00282240"/>
    <w:rsid w:val="0028269E"/>
    <w:rsid w:val="00282C42"/>
    <w:rsid w:val="00282F27"/>
    <w:rsid w:val="00283414"/>
    <w:rsid w:val="0028366A"/>
    <w:rsid w:val="00283CCF"/>
    <w:rsid w:val="00283EDE"/>
    <w:rsid w:val="00284552"/>
    <w:rsid w:val="00284EED"/>
    <w:rsid w:val="00285380"/>
    <w:rsid w:val="0028572A"/>
    <w:rsid w:val="002909A4"/>
    <w:rsid w:val="00291562"/>
    <w:rsid w:val="0029180C"/>
    <w:rsid w:val="00291B71"/>
    <w:rsid w:val="002922EE"/>
    <w:rsid w:val="0029238D"/>
    <w:rsid w:val="00292BC2"/>
    <w:rsid w:val="00292BD7"/>
    <w:rsid w:val="00292CEB"/>
    <w:rsid w:val="00292FB8"/>
    <w:rsid w:val="002933F7"/>
    <w:rsid w:val="00294136"/>
    <w:rsid w:val="0029448F"/>
    <w:rsid w:val="002946E8"/>
    <w:rsid w:val="002948AD"/>
    <w:rsid w:val="00294945"/>
    <w:rsid w:val="00294C05"/>
    <w:rsid w:val="00294C92"/>
    <w:rsid w:val="00295F42"/>
    <w:rsid w:val="0029714C"/>
    <w:rsid w:val="00297332"/>
    <w:rsid w:val="002973E8"/>
    <w:rsid w:val="00297989"/>
    <w:rsid w:val="00297DE6"/>
    <w:rsid w:val="002A01CC"/>
    <w:rsid w:val="002A09F6"/>
    <w:rsid w:val="002A205F"/>
    <w:rsid w:val="002A24A5"/>
    <w:rsid w:val="002A29A2"/>
    <w:rsid w:val="002A3B40"/>
    <w:rsid w:val="002A5114"/>
    <w:rsid w:val="002A53EA"/>
    <w:rsid w:val="002A5534"/>
    <w:rsid w:val="002A5BC7"/>
    <w:rsid w:val="002A61B1"/>
    <w:rsid w:val="002A663C"/>
    <w:rsid w:val="002A7359"/>
    <w:rsid w:val="002A79CD"/>
    <w:rsid w:val="002B036D"/>
    <w:rsid w:val="002B2690"/>
    <w:rsid w:val="002B28A4"/>
    <w:rsid w:val="002B2A36"/>
    <w:rsid w:val="002B3C17"/>
    <w:rsid w:val="002B3DEA"/>
    <w:rsid w:val="002B444B"/>
    <w:rsid w:val="002B50EA"/>
    <w:rsid w:val="002B5887"/>
    <w:rsid w:val="002B6358"/>
    <w:rsid w:val="002B68D0"/>
    <w:rsid w:val="002B7518"/>
    <w:rsid w:val="002B79EC"/>
    <w:rsid w:val="002C0692"/>
    <w:rsid w:val="002C0A19"/>
    <w:rsid w:val="002C0BD7"/>
    <w:rsid w:val="002C0E27"/>
    <w:rsid w:val="002C27D2"/>
    <w:rsid w:val="002C2896"/>
    <w:rsid w:val="002C3040"/>
    <w:rsid w:val="002C335A"/>
    <w:rsid w:val="002C3770"/>
    <w:rsid w:val="002C5189"/>
    <w:rsid w:val="002C6C11"/>
    <w:rsid w:val="002C71D6"/>
    <w:rsid w:val="002D022D"/>
    <w:rsid w:val="002D1080"/>
    <w:rsid w:val="002D24BB"/>
    <w:rsid w:val="002D25AF"/>
    <w:rsid w:val="002D26B4"/>
    <w:rsid w:val="002D3017"/>
    <w:rsid w:val="002D31CD"/>
    <w:rsid w:val="002D38B7"/>
    <w:rsid w:val="002D406D"/>
    <w:rsid w:val="002D4C01"/>
    <w:rsid w:val="002D4C63"/>
    <w:rsid w:val="002D4F0A"/>
    <w:rsid w:val="002D5431"/>
    <w:rsid w:val="002D59B2"/>
    <w:rsid w:val="002D61F8"/>
    <w:rsid w:val="002D702C"/>
    <w:rsid w:val="002E0097"/>
    <w:rsid w:val="002E05BC"/>
    <w:rsid w:val="002E1733"/>
    <w:rsid w:val="002E4D8F"/>
    <w:rsid w:val="002E5767"/>
    <w:rsid w:val="002E5937"/>
    <w:rsid w:val="002E700D"/>
    <w:rsid w:val="002E737E"/>
    <w:rsid w:val="002E7A67"/>
    <w:rsid w:val="002E7F9F"/>
    <w:rsid w:val="002F2AF7"/>
    <w:rsid w:val="002F3CE8"/>
    <w:rsid w:val="002F40CB"/>
    <w:rsid w:val="002F43CB"/>
    <w:rsid w:val="002F4EC7"/>
    <w:rsid w:val="002F58D3"/>
    <w:rsid w:val="002F63DC"/>
    <w:rsid w:val="002F7E1C"/>
    <w:rsid w:val="0030089A"/>
    <w:rsid w:val="00301385"/>
    <w:rsid w:val="003013C9"/>
    <w:rsid w:val="00301A75"/>
    <w:rsid w:val="00301D19"/>
    <w:rsid w:val="00302266"/>
    <w:rsid w:val="003024CE"/>
    <w:rsid w:val="0030294A"/>
    <w:rsid w:val="00302F70"/>
    <w:rsid w:val="0030336F"/>
    <w:rsid w:val="00303457"/>
    <w:rsid w:val="0030375E"/>
    <w:rsid w:val="0030464C"/>
    <w:rsid w:val="00304790"/>
    <w:rsid w:val="00304B5B"/>
    <w:rsid w:val="00305C71"/>
    <w:rsid w:val="00305C8C"/>
    <w:rsid w:val="00305EEF"/>
    <w:rsid w:val="003061EE"/>
    <w:rsid w:val="003070FF"/>
    <w:rsid w:val="00307A86"/>
    <w:rsid w:val="0031127E"/>
    <w:rsid w:val="00311311"/>
    <w:rsid w:val="00311AED"/>
    <w:rsid w:val="0031219D"/>
    <w:rsid w:val="00312A30"/>
    <w:rsid w:val="00312D94"/>
    <w:rsid w:val="003135D7"/>
    <w:rsid w:val="00314615"/>
    <w:rsid w:val="00314AE9"/>
    <w:rsid w:val="0031595A"/>
    <w:rsid w:val="003167C2"/>
    <w:rsid w:val="00316B92"/>
    <w:rsid w:val="00320F72"/>
    <w:rsid w:val="003212CA"/>
    <w:rsid w:val="00322452"/>
    <w:rsid w:val="003226BD"/>
    <w:rsid w:val="0032299C"/>
    <w:rsid w:val="0032463E"/>
    <w:rsid w:val="00325165"/>
    <w:rsid w:val="00326224"/>
    <w:rsid w:val="003266DF"/>
    <w:rsid w:val="0033082E"/>
    <w:rsid w:val="0033124B"/>
    <w:rsid w:val="00331581"/>
    <w:rsid w:val="00332F31"/>
    <w:rsid w:val="003333AC"/>
    <w:rsid w:val="0033415A"/>
    <w:rsid w:val="003343DE"/>
    <w:rsid w:val="0033484F"/>
    <w:rsid w:val="00334B17"/>
    <w:rsid w:val="00334D0F"/>
    <w:rsid w:val="0033505B"/>
    <w:rsid w:val="003353E5"/>
    <w:rsid w:val="00335C11"/>
    <w:rsid w:val="00335EF5"/>
    <w:rsid w:val="00336D87"/>
    <w:rsid w:val="00336EEF"/>
    <w:rsid w:val="00337102"/>
    <w:rsid w:val="00337EE4"/>
    <w:rsid w:val="003405E9"/>
    <w:rsid w:val="00340FFD"/>
    <w:rsid w:val="003410F6"/>
    <w:rsid w:val="003433E5"/>
    <w:rsid w:val="00344181"/>
    <w:rsid w:val="00344D4A"/>
    <w:rsid w:val="0034515C"/>
    <w:rsid w:val="0034542E"/>
    <w:rsid w:val="003464D0"/>
    <w:rsid w:val="003467E5"/>
    <w:rsid w:val="00346C79"/>
    <w:rsid w:val="00346F6B"/>
    <w:rsid w:val="0035041D"/>
    <w:rsid w:val="003506B1"/>
    <w:rsid w:val="0035179A"/>
    <w:rsid w:val="00351916"/>
    <w:rsid w:val="003522F9"/>
    <w:rsid w:val="00352BE6"/>
    <w:rsid w:val="00352EF7"/>
    <w:rsid w:val="00354700"/>
    <w:rsid w:val="003553D6"/>
    <w:rsid w:val="0035586D"/>
    <w:rsid w:val="0035599E"/>
    <w:rsid w:val="00355BEA"/>
    <w:rsid w:val="00355D00"/>
    <w:rsid w:val="003565F9"/>
    <w:rsid w:val="00356AC7"/>
    <w:rsid w:val="00357401"/>
    <w:rsid w:val="003600FD"/>
    <w:rsid w:val="003604D8"/>
    <w:rsid w:val="003609FA"/>
    <w:rsid w:val="00360B11"/>
    <w:rsid w:val="003612FB"/>
    <w:rsid w:val="00361328"/>
    <w:rsid w:val="003618C0"/>
    <w:rsid w:val="00361BE5"/>
    <w:rsid w:val="00361E37"/>
    <w:rsid w:val="003623E6"/>
    <w:rsid w:val="00362467"/>
    <w:rsid w:val="00362861"/>
    <w:rsid w:val="003653A2"/>
    <w:rsid w:val="003657FC"/>
    <w:rsid w:val="0036736C"/>
    <w:rsid w:val="0036748B"/>
    <w:rsid w:val="003675F4"/>
    <w:rsid w:val="003700DB"/>
    <w:rsid w:val="003710C8"/>
    <w:rsid w:val="003712CE"/>
    <w:rsid w:val="00372C10"/>
    <w:rsid w:val="003734A1"/>
    <w:rsid w:val="003740D0"/>
    <w:rsid w:val="003747AA"/>
    <w:rsid w:val="003750BE"/>
    <w:rsid w:val="00375DC3"/>
    <w:rsid w:val="0037656C"/>
    <w:rsid w:val="00376A0F"/>
    <w:rsid w:val="0037721B"/>
    <w:rsid w:val="00380E1A"/>
    <w:rsid w:val="00380F1F"/>
    <w:rsid w:val="0038207F"/>
    <w:rsid w:val="003821EF"/>
    <w:rsid w:val="00383B59"/>
    <w:rsid w:val="00384928"/>
    <w:rsid w:val="00384F90"/>
    <w:rsid w:val="00385275"/>
    <w:rsid w:val="00387B9D"/>
    <w:rsid w:val="00387DA6"/>
    <w:rsid w:val="00390249"/>
    <w:rsid w:val="00390F9B"/>
    <w:rsid w:val="0039135E"/>
    <w:rsid w:val="003914B1"/>
    <w:rsid w:val="00391ECD"/>
    <w:rsid w:val="00392715"/>
    <w:rsid w:val="0039322C"/>
    <w:rsid w:val="003932EA"/>
    <w:rsid w:val="0039364F"/>
    <w:rsid w:val="00394FDD"/>
    <w:rsid w:val="003958E3"/>
    <w:rsid w:val="00396686"/>
    <w:rsid w:val="00396C73"/>
    <w:rsid w:val="00397619"/>
    <w:rsid w:val="0039778E"/>
    <w:rsid w:val="00397E6D"/>
    <w:rsid w:val="003A1682"/>
    <w:rsid w:val="003A2860"/>
    <w:rsid w:val="003A2D80"/>
    <w:rsid w:val="003A3107"/>
    <w:rsid w:val="003A41DD"/>
    <w:rsid w:val="003A5D7E"/>
    <w:rsid w:val="003A631C"/>
    <w:rsid w:val="003A6D54"/>
    <w:rsid w:val="003A76C3"/>
    <w:rsid w:val="003A7CB3"/>
    <w:rsid w:val="003B02EA"/>
    <w:rsid w:val="003B0BEB"/>
    <w:rsid w:val="003B0C46"/>
    <w:rsid w:val="003B1C21"/>
    <w:rsid w:val="003B1F9A"/>
    <w:rsid w:val="003B2351"/>
    <w:rsid w:val="003B235E"/>
    <w:rsid w:val="003B3157"/>
    <w:rsid w:val="003B33CE"/>
    <w:rsid w:val="003B4745"/>
    <w:rsid w:val="003B482D"/>
    <w:rsid w:val="003B4941"/>
    <w:rsid w:val="003B5073"/>
    <w:rsid w:val="003B5860"/>
    <w:rsid w:val="003B626B"/>
    <w:rsid w:val="003B6914"/>
    <w:rsid w:val="003B6AB0"/>
    <w:rsid w:val="003B6C82"/>
    <w:rsid w:val="003B755C"/>
    <w:rsid w:val="003B7817"/>
    <w:rsid w:val="003C01C4"/>
    <w:rsid w:val="003C0E5A"/>
    <w:rsid w:val="003C0ECB"/>
    <w:rsid w:val="003C10A1"/>
    <w:rsid w:val="003C19CC"/>
    <w:rsid w:val="003C1B9B"/>
    <w:rsid w:val="003C2604"/>
    <w:rsid w:val="003C260E"/>
    <w:rsid w:val="003C2815"/>
    <w:rsid w:val="003C3137"/>
    <w:rsid w:val="003C4DCC"/>
    <w:rsid w:val="003C50F9"/>
    <w:rsid w:val="003C5714"/>
    <w:rsid w:val="003C6731"/>
    <w:rsid w:val="003C6899"/>
    <w:rsid w:val="003C6B9F"/>
    <w:rsid w:val="003C6E2A"/>
    <w:rsid w:val="003C735D"/>
    <w:rsid w:val="003C74EA"/>
    <w:rsid w:val="003D0299"/>
    <w:rsid w:val="003D046F"/>
    <w:rsid w:val="003D1498"/>
    <w:rsid w:val="003D2F7B"/>
    <w:rsid w:val="003D5A73"/>
    <w:rsid w:val="003D5B7F"/>
    <w:rsid w:val="003D6057"/>
    <w:rsid w:val="003D6514"/>
    <w:rsid w:val="003D739B"/>
    <w:rsid w:val="003D7BAB"/>
    <w:rsid w:val="003D7F16"/>
    <w:rsid w:val="003E0290"/>
    <w:rsid w:val="003E27B2"/>
    <w:rsid w:val="003E2B9C"/>
    <w:rsid w:val="003E2E4D"/>
    <w:rsid w:val="003E3BF1"/>
    <w:rsid w:val="003E4A91"/>
    <w:rsid w:val="003E4B80"/>
    <w:rsid w:val="003E52EE"/>
    <w:rsid w:val="003E6462"/>
    <w:rsid w:val="003E6495"/>
    <w:rsid w:val="003E653D"/>
    <w:rsid w:val="003E68D2"/>
    <w:rsid w:val="003E6D80"/>
    <w:rsid w:val="003E771B"/>
    <w:rsid w:val="003F023B"/>
    <w:rsid w:val="003F05FA"/>
    <w:rsid w:val="003F09BE"/>
    <w:rsid w:val="003F09DA"/>
    <w:rsid w:val="003F16C7"/>
    <w:rsid w:val="003F1FEC"/>
    <w:rsid w:val="003F222D"/>
    <w:rsid w:val="003F244A"/>
    <w:rsid w:val="003F26BA"/>
    <w:rsid w:val="003F2728"/>
    <w:rsid w:val="003F30B8"/>
    <w:rsid w:val="003F34E6"/>
    <w:rsid w:val="003F38A5"/>
    <w:rsid w:val="003F4C45"/>
    <w:rsid w:val="003F5584"/>
    <w:rsid w:val="003F5F7B"/>
    <w:rsid w:val="003F756E"/>
    <w:rsid w:val="003F7D64"/>
    <w:rsid w:val="003F7F38"/>
    <w:rsid w:val="00400060"/>
    <w:rsid w:val="004007A0"/>
    <w:rsid w:val="00400899"/>
    <w:rsid w:val="004009F4"/>
    <w:rsid w:val="00400ACB"/>
    <w:rsid w:val="00401250"/>
    <w:rsid w:val="0040249A"/>
    <w:rsid w:val="00402803"/>
    <w:rsid w:val="004038A9"/>
    <w:rsid w:val="0040440B"/>
    <w:rsid w:val="00404CF1"/>
    <w:rsid w:val="00405702"/>
    <w:rsid w:val="00405992"/>
    <w:rsid w:val="00405AD8"/>
    <w:rsid w:val="00405DD8"/>
    <w:rsid w:val="004068BC"/>
    <w:rsid w:val="00406E17"/>
    <w:rsid w:val="00406F9C"/>
    <w:rsid w:val="004073BA"/>
    <w:rsid w:val="00407945"/>
    <w:rsid w:val="004103AC"/>
    <w:rsid w:val="0041040C"/>
    <w:rsid w:val="00410B87"/>
    <w:rsid w:val="00410C09"/>
    <w:rsid w:val="00411452"/>
    <w:rsid w:val="004119D2"/>
    <w:rsid w:val="00411C1E"/>
    <w:rsid w:val="00412947"/>
    <w:rsid w:val="004132B5"/>
    <w:rsid w:val="0041363C"/>
    <w:rsid w:val="004139B9"/>
    <w:rsid w:val="00414134"/>
    <w:rsid w:val="0041414C"/>
    <w:rsid w:val="00414300"/>
    <w:rsid w:val="00414E20"/>
    <w:rsid w:val="00415585"/>
    <w:rsid w:val="00415C89"/>
    <w:rsid w:val="00422419"/>
    <w:rsid w:val="00423A73"/>
    <w:rsid w:val="00423F77"/>
    <w:rsid w:val="0042414B"/>
    <w:rsid w:val="00424A79"/>
    <w:rsid w:val="00424AE7"/>
    <w:rsid w:val="00424E6B"/>
    <w:rsid w:val="00425682"/>
    <w:rsid w:val="00425C67"/>
    <w:rsid w:val="00427214"/>
    <w:rsid w:val="00427D79"/>
    <w:rsid w:val="00427E7A"/>
    <w:rsid w:val="00430A51"/>
    <w:rsid w:val="00431246"/>
    <w:rsid w:val="004314DE"/>
    <w:rsid w:val="004317CE"/>
    <w:rsid w:val="00431D36"/>
    <w:rsid w:val="00432234"/>
    <w:rsid w:val="004342A3"/>
    <w:rsid w:val="00435424"/>
    <w:rsid w:val="00435B40"/>
    <w:rsid w:val="00436307"/>
    <w:rsid w:val="00436C49"/>
    <w:rsid w:val="00437025"/>
    <w:rsid w:val="00440D8E"/>
    <w:rsid w:val="004412AA"/>
    <w:rsid w:val="00441518"/>
    <w:rsid w:val="00441A49"/>
    <w:rsid w:val="00441F1E"/>
    <w:rsid w:val="004444F1"/>
    <w:rsid w:val="00444E2E"/>
    <w:rsid w:val="00445366"/>
    <w:rsid w:val="004458F8"/>
    <w:rsid w:val="004465E3"/>
    <w:rsid w:val="00447F5B"/>
    <w:rsid w:val="0045021A"/>
    <w:rsid w:val="004504AF"/>
    <w:rsid w:val="00450695"/>
    <w:rsid w:val="004510BB"/>
    <w:rsid w:val="00451175"/>
    <w:rsid w:val="00451890"/>
    <w:rsid w:val="00454414"/>
    <w:rsid w:val="00454F34"/>
    <w:rsid w:val="004553E0"/>
    <w:rsid w:val="00455509"/>
    <w:rsid w:val="00455C36"/>
    <w:rsid w:val="0045639C"/>
    <w:rsid w:val="00457C9E"/>
    <w:rsid w:val="004618B7"/>
    <w:rsid w:val="00461DB0"/>
    <w:rsid w:val="004630A1"/>
    <w:rsid w:val="00463926"/>
    <w:rsid w:val="00463D61"/>
    <w:rsid w:val="004646E0"/>
    <w:rsid w:val="004648BC"/>
    <w:rsid w:val="00464C9A"/>
    <w:rsid w:val="00465078"/>
    <w:rsid w:val="004664C8"/>
    <w:rsid w:val="004665ED"/>
    <w:rsid w:val="00466926"/>
    <w:rsid w:val="00467355"/>
    <w:rsid w:val="00470764"/>
    <w:rsid w:val="004727E6"/>
    <w:rsid w:val="004731B4"/>
    <w:rsid w:val="004737C7"/>
    <w:rsid w:val="004738FF"/>
    <w:rsid w:val="004739AA"/>
    <w:rsid w:val="00474463"/>
    <w:rsid w:val="00474786"/>
    <w:rsid w:val="00474E0F"/>
    <w:rsid w:val="00474F3D"/>
    <w:rsid w:val="004752FF"/>
    <w:rsid w:val="00475962"/>
    <w:rsid w:val="00475A62"/>
    <w:rsid w:val="004763B4"/>
    <w:rsid w:val="00476FC1"/>
    <w:rsid w:val="004772D1"/>
    <w:rsid w:val="00477732"/>
    <w:rsid w:val="00477E3A"/>
    <w:rsid w:val="004808BA"/>
    <w:rsid w:val="004808BC"/>
    <w:rsid w:val="004809D6"/>
    <w:rsid w:val="00480DCE"/>
    <w:rsid w:val="00480E39"/>
    <w:rsid w:val="00480EE9"/>
    <w:rsid w:val="004815D2"/>
    <w:rsid w:val="00481A2C"/>
    <w:rsid w:val="00482D2C"/>
    <w:rsid w:val="00483E5F"/>
    <w:rsid w:val="0048454B"/>
    <w:rsid w:val="00485FF9"/>
    <w:rsid w:val="00486B9D"/>
    <w:rsid w:val="00487462"/>
    <w:rsid w:val="004877EF"/>
    <w:rsid w:val="004907F0"/>
    <w:rsid w:val="00490D15"/>
    <w:rsid w:val="00490FE9"/>
    <w:rsid w:val="00491077"/>
    <w:rsid w:val="0049140B"/>
    <w:rsid w:val="00491B64"/>
    <w:rsid w:val="004923A5"/>
    <w:rsid w:val="00492805"/>
    <w:rsid w:val="00492ADC"/>
    <w:rsid w:val="00493B83"/>
    <w:rsid w:val="00493E9C"/>
    <w:rsid w:val="004944D2"/>
    <w:rsid w:val="004948E4"/>
    <w:rsid w:val="0049491A"/>
    <w:rsid w:val="00495074"/>
    <w:rsid w:val="00495751"/>
    <w:rsid w:val="00495D00"/>
    <w:rsid w:val="00495DDC"/>
    <w:rsid w:val="004961B4"/>
    <w:rsid w:val="004967FD"/>
    <w:rsid w:val="00496BFB"/>
    <w:rsid w:val="004974A3"/>
    <w:rsid w:val="004975C6"/>
    <w:rsid w:val="004A0809"/>
    <w:rsid w:val="004A15C7"/>
    <w:rsid w:val="004A1786"/>
    <w:rsid w:val="004A2665"/>
    <w:rsid w:val="004A2E05"/>
    <w:rsid w:val="004A2EAB"/>
    <w:rsid w:val="004A3B06"/>
    <w:rsid w:val="004A46B2"/>
    <w:rsid w:val="004A4E88"/>
    <w:rsid w:val="004A5AAB"/>
    <w:rsid w:val="004A7DD3"/>
    <w:rsid w:val="004B013B"/>
    <w:rsid w:val="004B04BC"/>
    <w:rsid w:val="004B0EDC"/>
    <w:rsid w:val="004B112B"/>
    <w:rsid w:val="004B14B1"/>
    <w:rsid w:val="004B18E1"/>
    <w:rsid w:val="004B2B9F"/>
    <w:rsid w:val="004B481B"/>
    <w:rsid w:val="004B57BE"/>
    <w:rsid w:val="004B5BCC"/>
    <w:rsid w:val="004B6C76"/>
    <w:rsid w:val="004B7507"/>
    <w:rsid w:val="004B7EFA"/>
    <w:rsid w:val="004C01E4"/>
    <w:rsid w:val="004C086C"/>
    <w:rsid w:val="004C0A1F"/>
    <w:rsid w:val="004C0A62"/>
    <w:rsid w:val="004C1199"/>
    <w:rsid w:val="004C1345"/>
    <w:rsid w:val="004C13EE"/>
    <w:rsid w:val="004C149E"/>
    <w:rsid w:val="004C1D05"/>
    <w:rsid w:val="004C1F56"/>
    <w:rsid w:val="004C27BC"/>
    <w:rsid w:val="004C32AE"/>
    <w:rsid w:val="004C42E5"/>
    <w:rsid w:val="004C52FB"/>
    <w:rsid w:val="004C57DC"/>
    <w:rsid w:val="004C5855"/>
    <w:rsid w:val="004C5DD1"/>
    <w:rsid w:val="004C6B1C"/>
    <w:rsid w:val="004C71FB"/>
    <w:rsid w:val="004D0ECB"/>
    <w:rsid w:val="004D0F20"/>
    <w:rsid w:val="004D15F3"/>
    <w:rsid w:val="004D1D5E"/>
    <w:rsid w:val="004D26A2"/>
    <w:rsid w:val="004D315E"/>
    <w:rsid w:val="004D5311"/>
    <w:rsid w:val="004D5801"/>
    <w:rsid w:val="004D5DCC"/>
    <w:rsid w:val="004D61FB"/>
    <w:rsid w:val="004D6FDD"/>
    <w:rsid w:val="004E0316"/>
    <w:rsid w:val="004E0675"/>
    <w:rsid w:val="004E0AF8"/>
    <w:rsid w:val="004E14C4"/>
    <w:rsid w:val="004E17B4"/>
    <w:rsid w:val="004E1DFF"/>
    <w:rsid w:val="004E37C1"/>
    <w:rsid w:val="004E5D7A"/>
    <w:rsid w:val="004E6466"/>
    <w:rsid w:val="004F00B2"/>
    <w:rsid w:val="004F0EEB"/>
    <w:rsid w:val="004F10AF"/>
    <w:rsid w:val="004F11A4"/>
    <w:rsid w:val="004F1479"/>
    <w:rsid w:val="004F1ADD"/>
    <w:rsid w:val="004F22C9"/>
    <w:rsid w:val="004F2389"/>
    <w:rsid w:val="004F2C90"/>
    <w:rsid w:val="004F2F8C"/>
    <w:rsid w:val="004F304D"/>
    <w:rsid w:val="004F3EE1"/>
    <w:rsid w:val="004F4557"/>
    <w:rsid w:val="004F5A42"/>
    <w:rsid w:val="004F61BE"/>
    <w:rsid w:val="004F66B1"/>
    <w:rsid w:val="004F718D"/>
    <w:rsid w:val="004F71BF"/>
    <w:rsid w:val="004F7711"/>
    <w:rsid w:val="004F7B91"/>
    <w:rsid w:val="004F7CFE"/>
    <w:rsid w:val="004F7E82"/>
    <w:rsid w:val="00501149"/>
    <w:rsid w:val="00501253"/>
    <w:rsid w:val="00501B31"/>
    <w:rsid w:val="00502187"/>
    <w:rsid w:val="00502210"/>
    <w:rsid w:val="00502BBB"/>
    <w:rsid w:val="005030A3"/>
    <w:rsid w:val="00503385"/>
    <w:rsid w:val="005035F7"/>
    <w:rsid w:val="00504122"/>
    <w:rsid w:val="00504936"/>
    <w:rsid w:val="00504E92"/>
    <w:rsid w:val="0050520C"/>
    <w:rsid w:val="00505526"/>
    <w:rsid w:val="00505966"/>
    <w:rsid w:val="00505D9A"/>
    <w:rsid w:val="00506A52"/>
    <w:rsid w:val="00507816"/>
    <w:rsid w:val="00507B61"/>
    <w:rsid w:val="00510237"/>
    <w:rsid w:val="005109EE"/>
    <w:rsid w:val="00511C07"/>
    <w:rsid w:val="00515FFB"/>
    <w:rsid w:val="005161F4"/>
    <w:rsid w:val="00516B89"/>
    <w:rsid w:val="00517078"/>
    <w:rsid w:val="0051708B"/>
    <w:rsid w:val="005173A6"/>
    <w:rsid w:val="00520BAA"/>
    <w:rsid w:val="00520D38"/>
    <w:rsid w:val="00521637"/>
    <w:rsid w:val="00521A68"/>
    <w:rsid w:val="00522AF2"/>
    <w:rsid w:val="00522D97"/>
    <w:rsid w:val="0052319E"/>
    <w:rsid w:val="00523FF6"/>
    <w:rsid w:val="00524059"/>
    <w:rsid w:val="00525208"/>
    <w:rsid w:val="00525787"/>
    <w:rsid w:val="005257A5"/>
    <w:rsid w:val="00525BB7"/>
    <w:rsid w:val="005264C0"/>
    <w:rsid w:val="00526A8A"/>
    <w:rsid w:val="005279F5"/>
    <w:rsid w:val="00527E54"/>
    <w:rsid w:val="00530BCD"/>
    <w:rsid w:val="005317A3"/>
    <w:rsid w:val="00531DF2"/>
    <w:rsid w:val="005320F3"/>
    <w:rsid w:val="00532B7C"/>
    <w:rsid w:val="00533248"/>
    <w:rsid w:val="005333FC"/>
    <w:rsid w:val="00533E24"/>
    <w:rsid w:val="00534405"/>
    <w:rsid w:val="005356E1"/>
    <w:rsid w:val="00535895"/>
    <w:rsid w:val="00535D21"/>
    <w:rsid w:val="00536973"/>
    <w:rsid w:val="00536D2F"/>
    <w:rsid w:val="00536FA5"/>
    <w:rsid w:val="00537240"/>
    <w:rsid w:val="005400B3"/>
    <w:rsid w:val="0054043A"/>
    <w:rsid w:val="005408A2"/>
    <w:rsid w:val="00540AE9"/>
    <w:rsid w:val="00541521"/>
    <w:rsid w:val="0054157D"/>
    <w:rsid w:val="005418B9"/>
    <w:rsid w:val="00541FD2"/>
    <w:rsid w:val="0054216E"/>
    <w:rsid w:val="00543005"/>
    <w:rsid w:val="005438DF"/>
    <w:rsid w:val="005442EE"/>
    <w:rsid w:val="00545042"/>
    <w:rsid w:val="00545324"/>
    <w:rsid w:val="00546606"/>
    <w:rsid w:val="00546B8F"/>
    <w:rsid w:val="00547249"/>
    <w:rsid w:val="00547353"/>
    <w:rsid w:val="005474E7"/>
    <w:rsid w:val="005479B8"/>
    <w:rsid w:val="00547A8D"/>
    <w:rsid w:val="00547EA9"/>
    <w:rsid w:val="005509E0"/>
    <w:rsid w:val="005512A3"/>
    <w:rsid w:val="00551B25"/>
    <w:rsid w:val="005525CD"/>
    <w:rsid w:val="005528BE"/>
    <w:rsid w:val="0055427A"/>
    <w:rsid w:val="005561BC"/>
    <w:rsid w:val="005562C1"/>
    <w:rsid w:val="00556813"/>
    <w:rsid w:val="005578CE"/>
    <w:rsid w:val="00557A83"/>
    <w:rsid w:val="005608C8"/>
    <w:rsid w:val="00560EF4"/>
    <w:rsid w:val="00562781"/>
    <w:rsid w:val="00563E01"/>
    <w:rsid w:val="00563E83"/>
    <w:rsid w:val="00564BD4"/>
    <w:rsid w:val="00564D95"/>
    <w:rsid w:val="0056580D"/>
    <w:rsid w:val="00566513"/>
    <w:rsid w:val="00566746"/>
    <w:rsid w:val="005671C0"/>
    <w:rsid w:val="00567B5E"/>
    <w:rsid w:val="00570217"/>
    <w:rsid w:val="005717FC"/>
    <w:rsid w:val="00571931"/>
    <w:rsid w:val="005720F5"/>
    <w:rsid w:val="0057271C"/>
    <w:rsid w:val="00572845"/>
    <w:rsid w:val="0057337D"/>
    <w:rsid w:val="005734FF"/>
    <w:rsid w:val="005752C3"/>
    <w:rsid w:val="00575F1B"/>
    <w:rsid w:val="00575F80"/>
    <w:rsid w:val="00576B72"/>
    <w:rsid w:val="005808AD"/>
    <w:rsid w:val="00580F4E"/>
    <w:rsid w:val="00581515"/>
    <w:rsid w:val="005825C4"/>
    <w:rsid w:val="00582F5E"/>
    <w:rsid w:val="00583C01"/>
    <w:rsid w:val="00584175"/>
    <w:rsid w:val="005843F6"/>
    <w:rsid w:val="00584BF5"/>
    <w:rsid w:val="00585445"/>
    <w:rsid w:val="0058663F"/>
    <w:rsid w:val="00590CC3"/>
    <w:rsid w:val="0059109D"/>
    <w:rsid w:val="00591847"/>
    <w:rsid w:val="00592097"/>
    <w:rsid w:val="00592772"/>
    <w:rsid w:val="0059380A"/>
    <w:rsid w:val="005955D5"/>
    <w:rsid w:val="0059574A"/>
    <w:rsid w:val="00595800"/>
    <w:rsid w:val="005962D9"/>
    <w:rsid w:val="005970AB"/>
    <w:rsid w:val="0059717E"/>
    <w:rsid w:val="00597541"/>
    <w:rsid w:val="00597E1A"/>
    <w:rsid w:val="005A1436"/>
    <w:rsid w:val="005A16BF"/>
    <w:rsid w:val="005A1B9B"/>
    <w:rsid w:val="005A1D55"/>
    <w:rsid w:val="005A2040"/>
    <w:rsid w:val="005A28CC"/>
    <w:rsid w:val="005A34A4"/>
    <w:rsid w:val="005A5931"/>
    <w:rsid w:val="005A5C6C"/>
    <w:rsid w:val="005A60AD"/>
    <w:rsid w:val="005A6146"/>
    <w:rsid w:val="005A6751"/>
    <w:rsid w:val="005A6B47"/>
    <w:rsid w:val="005B092E"/>
    <w:rsid w:val="005B0DCE"/>
    <w:rsid w:val="005B0EA9"/>
    <w:rsid w:val="005B1374"/>
    <w:rsid w:val="005B152C"/>
    <w:rsid w:val="005B183A"/>
    <w:rsid w:val="005B1C53"/>
    <w:rsid w:val="005B1EE0"/>
    <w:rsid w:val="005B2B24"/>
    <w:rsid w:val="005B2C55"/>
    <w:rsid w:val="005B34A2"/>
    <w:rsid w:val="005B4425"/>
    <w:rsid w:val="005B49D3"/>
    <w:rsid w:val="005B4B94"/>
    <w:rsid w:val="005B4D80"/>
    <w:rsid w:val="005B5B25"/>
    <w:rsid w:val="005B6392"/>
    <w:rsid w:val="005B780B"/>
    <w:rsid w:val="005B7F4B"/>
    <w:rsid w:val="005C01BB"/>
    <w:rsid w:val="005C09A5"/>
    <w:rsid w:val="005C0F83"/>
    <w:rsid w:val="005C10DC"/>
    <w:rsid w:val="005C1CDD"/>
    <w:rsid w:val="005C2089"/>
    <w:rsid w:val="005C2208"/>
    <w:rsid w:val="005C2CDF"/>
    <w:rsid w:val="005C3518"/>
    <w:rsid w:val="005C3A86"/>
    <w:rsid w:val="005C3EE8"/>
    <w:rsid w:val="005C43FD"/>
    <w:rsid w:val="005C518D"/>
    <w:rsid w:val="005C5253"/>
    <w:rsid w:val="005C5479"/>
    <w:rsid w:val="005C6863"/>
    <w:rsid w:val="005C746A"/>
    <w:rsid w:val="005D026F"/>
    <w:rsid w:val="005D07C4"/>
    <w:rsid w:val="005D0D50"/>
    <w:rsid w:val="005D1448"/>
    <w:rsid w:val="005D152F"/>
    <w:rsid w:val="005D34F9"/>
    <w:rsid w:val="005D4190"/>
    <w:rsid w:val="005D46FB"/>
    <w:rsid w:val="005D4A34"/>
    <w:rsid w:val="005D515C"/>
    <w:rsid w:val="005D5BC1"/>
    <w:rsid w:val="005D5E28"/>
    <w:rsid w:val="005D67A3"/>
    <w:rsid w:val="005D6C5A"/>
    <w:rsid w:val="005D75DE"/>
    <w:rsid w:val="005D790B"/>
    <w:rsid w:val="005E0314"/>
    <w:rsid w:val="005E0D16"/>
    <w:rsid w:val="005E22D8"/>
    <w:rsid w:val="005E2988"/>
    <w:rsid w:val="005E2A43"/>
    <w:rsid w:val="005E3085"/>
    <w:rsid w:val="005E39FF"/>
    <w:rsid w:val="005E3FB0"/>
    <w:rsid w:val="005E45A9"/>
    <w:rsid w:val="005E49B5"/>
    <w:rsid w:val="005E5336"/>
    <w:rsid w:val="005E5E02"/>
    <w:rsid w:val="005E740C"/>
    <w:rsid w:val="005E74EF"/>
    <w:rsid w:val="005E7685"/>
    <w:rsid w:val="005E7A23"/>
    <w:rsid w:val="005E7B5D"/>
    <w:rsid w:val="005E7D0B"/>
    <w:rsid w:val="005F043D"/>
    <w:rsid w:val="005F0A33"/>
    <w:rsid w:val="005F17B8"/>
    <w:rsid w:val="005F2E6E"/>
    <w:rsid w:val="005F3A69"/>
    <w:rsid w:val="005F50E5"/>
    <w:rsid w:val="005F51E1"/>
    <w:rsid w:val="005F5D75"/>
    <w:rsid w:val="005F5F65"/>
    <w:rsid w:val="005F63AC"/>
    <w:rsid w:val="005F64BB"/>
    <w:rsid w:val="005F6CE0"/>
    <w:rsid w:val="005F71B8"/>
    <w:rsid w:val="00600241"/>
    <w:rsid w:val="00601ED8"/>
    <w:rsid w:val="0060258D"/>
    <w:rsid w:val="00602A06"/>
    <w:rsid w:val="00603435"/>
    <w:rsid w:val="00603C51"/>
    <w:rsid w:val="006052C9"/>
    <w:rsid w:val="0060677E"/>
    <w:rsid w:val="006067DA"/>
    <w:rsid w:val="0060708F"/>
    <w:rsid w:val="00607A9A"/>
    <w:rsid w:val="00610650"/>
    <w:rsid w:val="006107AD"/>
    <w:rsid w:val="006107F4"/>
    <w:rsid w:val="006111EC"/>
    <w:rsid w:val="0061126D"/>
    <w:rsid w:val="006115BA"/>
    <w:rsid w:val="00611B34"/>
    <w:rsid w:val="00611C80"/>
    <w:rsid w:val="00611F58"/>
    <w:rsid w:val="0061246F"/>
    <w:rsid w:val="006139E2"/>
    <w:rsid w:val="00614B12"/>
    <w:rsid w:val="00616558"/>
    <w:rsid w:val="0061702A"/>
    <w:rsid w:val="00617197"/>
    <w:rsid w:val="006179A0"/>
    <w:rsid w:val="00620692"/>
    <w:rsid w:val="0062077B"/>
    <w:rsid w:val="00620A47"/>
    <w:rsid w:val="00620CF2"/>
    <w:rsid w:val="00620D43"/>
    <w:rsid w:val="00620FAB"/>
    <w:rsid w:val="00621FEC"/>
    <w:rsid w:val="006221DF"/>
    <w:rsid w:val="0062343C"/>
    <w:rsid w:val="006234B5"/>
    <w:rsid w:val="00623722"/>
    <w:rsid w:val="006242CA"/>
    <w:rsid w:val="00624E18"/>
    <w:rsid w:val="00625B7C"/>
    <w:rsid w:val="00626F6D"/>
    <w:rsid w:val="0062721B"/>
    <w:rsid w:val="00627320"/>
    <w:rsid w:val="006273B9"/>
    <w:rsid w:val="00627507"/>
    <w:rsid w:val="00627C47"/>
    <w:rsid w:val="00627D9B"/>
    <w:rsid w:val="006303B6"/>
    <w:rsid w:val="00631FBD"/>
    <w:rsid w:val="00633717"/>
    <w:rsid w:val="006344E1"/>
    <w:rsid w:val="0063469A"/>
    <w:rsid w:val="00634D4A"/>
    <w:rsid w:val="00635EF8"/>
    <w:rsid w:val="00635F12"/>
    <w:rsid w:val="00636D2A"/>
    <w:rsid w:val="006377E4"/>
    <w:rsid w:val="0063784F"/>
    <w:rsid w:val="0063799B"/>
    <w:rsid w:val="00637AB9"/>
    <w:rsid w:val="00640254"/>
    <w:rsid w:val="00640487"/>
    <w:rsid w:val="00640DB3"/>
    <w:rsid w:val="0064264D"/>
    <w:rsid w:val="00644096"/>
    <w:rsid w:val="0064412A"/>
    <w:rsid w:val="00644788"/>
    <w:rsid w:val="00644AA3"/>
    <w:rsid w:val="00644D6C"/>
    <w:rsid w:val="00645CF6"/>
    <w:rsid w:val="0064738F"/>
    <w:rsid w:val="00650F08"/>
    <w:rsid w:val="0065178F"/>
    <w:rsid w:val="00652650"/>
    <w:rsid w:val="0065272C"/>
    <w:rsid w:val="00652965"/>
    <w:rsid w:val="00652FA3"/>
    <w:rsid w:val="006545C4"/>
    <w:rsid w:val="00654B5B"/>
    <w:rsid w:val="006562E5"/>
    <w:rsid w:val="00656A5D"/>
    <w:rsid w:val="00656DDE"/>
    <w:rsid w:val="0065774C"/>
    <w:rsid w:val="0066023C"/>
    <w:rsid w:val="00661639"/>
    <w:rsid w:val="00661971"/>
    <w:rsid w:val="00661CE8"/>
    <w:rsid w:val="00661F67"/>
    <w:rsid w:val="006623D9"/>
    <w:rsid w:val="00663743"/>
    <w:rsid w:val="006640D4"/>
    <w:rsid w:val="00664BF5"/>
    <w:rsid w:val="0066550C"/>
    <w:rsid w:val="00666141"/>
    <w:rsid w:val="00666B92"/>
    <w:rsid w:val="00667346"/>
    <w:rsid w:val="0066799A"/>
    <w:rsid w:val="00667E7C"/>
    <w:rsid w:val="0067058B"/>
    <w:rsid w:val="006716F2"/>
    <w:rsid w:val="00671894"/>
    <w:rsid w:val="00672E54"/>
    <w:rsid w:val="00673832"/>
    <w:rsid w:val="0067398E"/>
    <w:rsid w:val="00674425"/>
    <w:rsid w:val="00674B59"/>
    <w:rsid w:val="00675658"/>
    <w:rsid w:val="00676B93"/>
    <w:rsid w:val="00676DB1"/>
    <w:rsid w:val="00677775"/>
    <w:rsid w:val="00677E27"/>
    <w:rsid w:val="00682BF2"/>
    <w:rsid w:val="00683179"/>
    <w:rsid w:val="0068347F"/>
    <w:rsid w:val="00683A94"/>
    <w:rsid w:val="00683C8E"/>
    <w:rsid w:val="00684286"/>
    <w:rsid w:val="00684C6D"/>
    <w:rsid w:val="00684F4B"/>
    <w:rsid w:val="006856DF"/>
    <w:rsid w:val="006859CE"/>
    <w:rsid w:val="006867E4"/>
    <w:rsid w:val="00686A23"/>
    <w:rsid w:val="00686AA4"/>
    <w:rsid w:val="00690B1F"/>
    <w:rsid w:val="00690E72"/>
    <w:rsid w:val="00691270"/>
    <w:rsid w:val="006913B4"/>
    <w:rsid w:val="00691ECC"/>
    <w:rsid w:val="00692B4E"/>
    <w:rsid w:val="00693154"/>
    <w:rsid w:val="006931AC"/>
    <w:rsid w:val="0069362E"/>
    <w:rsid w:val="00694059"/>
    <w:rsid w:val="00694BA8"/>
    <w:rsid w:val="00695770"/>
    <w:rsid w:val="00695809"/>
    <w:rsid w:val="006959A6"/>
    <w:rsid w:val="006960C6"/>
    <w:rsid w:val="00696D93"/>
    <w:rsid w:val="00697410"/>
    <w:rsid w:val="00697548"/>
    <w:rsid w:val="006976AF"/>
    <w:rsid w:val="0069796B"/>
    <w:rsid w:val="006A0074"/>
    <w:rsid w:val="006A037C"/>
    <w:rsid w:val="006A12CA"/>
    <w:rsid w:val="006A1D4D"/>
    <w:rsid w:val="006A2CE6"/>
    <w:rsid w:val="006A36F4"/>
    <w:rsid w:val="006A3BD2"/>
    <w:rsid w:val="006A406F"/>
    <w:rsid w:val="006A4336"/>
    <w:rsid w:val="006A4343"/>
    <w:rsid w:val="006A581A"/>
    <w:rsid w:val="006A59BB"/>
    <w:rsid w:val="006A5D3A"/>
    <w:rsid w:val="006A630F"/>
    <w:rsid w:val="006A7189"/>
    <w:rsid w:val="006A7466"/>
    <w:rsid w:val="006A77E6"/>
    <w:rsid w:val="006B1770"/>
    <w:rsid w:val="006B2E30"/>
    <w:rsid w:val="006B30F4"/>
    <w:rsid w:val="006B4131"/>
    <w:rsid w:val="006B500B"/>
    <w:rsid w:val="006B55C0"/>
    <w:rsid w:val="006B6A58"/>
    <w:rsid w:val="006B7403"/>
    <w:rsid w:val="006B7A19"/>
    <w:rsid w:val="006C0B81"/>
    <w:rsid w:val="006C23D4"/>
    <w:rsid w:val="006C2B1C"/>
    <w:rsid w:val="006C3760"/>
    <w:rsid w:val="006C48A4"/>
    <w:rsid w:val="006C4A21"/>
    <w:rsid w:val="006C5562"/>
    <w:rsid w:val="006C7118"/>
    <w:rsid w:val="006C77DD"/>
    <w:rsid w:val="006C7A96"/>
    <w:rsid w:val="006C7B27"/>
    <w:rsid w:val="006C7BB0"/>
    <w:rsid w:val="006D05E9"/>
    <w:rsid w:val="006D0607"/>
    <w:rsid w:val="006D105F"/>
    <w:rsid w:val="006D1371"/>
    <w:rsid w:val="006D319C"/>
    <w:rsid w:val="006D3237"/>
    <w:rsid w:val="006D4AFD"/>
    <w:rsid w:val="006D5EBE"/>
    <w:rsid w:val="006D663F"/>
    <w:rsid w:val="006D77FB"/>
    <w:rsid w:val="006E02B4"/>
    <w:rsid w:val="006E06BF"/>
    <w:rsid w:val="006E0B79"/>
    <w:rsid w:val="006E1AC3"/>
    <w:rsid w:val="006E2D1B"/>
    <w:rsid w:val="006E2E37"/>
    <w:rsid w:val="006E3594"/>
    <w:rsid w:val="006E37A1"/>
    <w:rsid w:val="006E3CBA"/>
    <w:rsid w:val="006E3CF1"/>
    <w:rsid w:val="006E7185"/>
    <w:rsid w:val="006E7E80"/>
    <w:rsid w:val="006F0779"/>
    <w:rsid w:val="006F1DF9"/>
    <w:rsid w:val="006F24DB"/>
    <w:rsid w:val="006F2F27"/>
    <w:rsid w:val="006F475B"/>
    <w:rsid w:val="006F48CA"/>
    <w:rsid w:val="006F5769"/>
    <w:rsid w:val="006F5A8F"/>
    <w:rsid w:val="006F629B"/>
    <w:rsid w:val="006F64DD"/>
    <w:rsid w:val="006F6D51"/>
    <w:rsid w:val="006F752B"/>
    <w:rsid w:val="006F7917"/>
    <w:rsid w:val="006F7E25"/>
    <w:rsid w:val="00700147"/>
    <w:rsid w:val="00700660"/>
    <w:rsid w:val="00700A83"/>
    <w:rsid w:val="0070107E"/>
    <w:rsid w:val="007021B1"/>
    <w:rsid w:val="0070272A"/>
    <w:rsid w:val="00702FA7"/>
    <w:rsid w:val="00703603"/>
    <w:rsid w:val="00703866"/>
    <w:rsid w:val="00703B9C"/>
    <w:rsid w:val="00706340"/>
    <w:rsid w:val="00706674"/>
    <w:rsid w:val="007072C9"/>
    <w:rsid w:val="00707834"/>
    <w:rsid w:val="00707DCF"/>
    <w:rsid w:val="00710223"/>
    <w:rsid w:val="00710D52"/>
    <w:rsid w:val="00711112"/>
    <w:rsid w:val="00711157"/>
    <w:rsid w:val="00711784"/>
    <w:rsid w:val="00712361"/>
    <w:rsid w:val="00713767"/>
    <w:rsid w:val="007139F5"/>
    <w:rsid w:val="00714457"/>
    <w:rsid w:val="00715127"/>
    <w:rsid w:val="00715833"/>
    <w:rsid w:val="007158C5"/>
    <w:rsid w:val="00715E8E"/>
    <w:rsid w:val="007162CB"/>
    <w:rsid w:val="00716C42"/>
    <w:rsid w:val="007170B1"/>
    <w:rsid w:val="00717700"/>
    <w:rsid w:val="00720529"/>
    <w:rsid w:val="00721DBA"/>
    <w:rsid w:val="00721E43"/>
    <w:rsid w:val="0072249A"/>
    <w:rsid w:val="00722AAF"/>
    <w:rsid w:val="00723580"/>
    <w:rsid w:val="00723755"/>
    <w:rsid w:val="007244C2"/>
    <w:rsid w:val="00724CB0"/>
    <w:rsid w:val="00724FD8"/>
    <w:rsid w:val="007267B5"/>
    <w:rsid w:val="0073053B"/>
    <w:rsid w:val="0073136C"/>
    <w:rsid w:val="00731F0F"/>
    <w:rsid w:val="00731F69"/>
    <w:rsid w:val="00732196"/>
    <w:rsid w:val="0073258B"/>
    <w:rsid w:val="0073277B"/>
    <w:rsid w:val="00732EA4"/>
    <w:rsid w:val="007330A4"/>
    <w:rsid w:val="00733250"/>
    <w:rsid w:val="007335F6"/>
    <w:rsid w:val="00733A8B"/>
    <w:rsid w:val="00735AFB"/>
    <w:rsid w:val="00736920"/>
    <w:rsid w:val="0073755F"/>
    <w:rsid w:val="00737F28"/>
    <w:rsid w:val="00740ADD"/>
    <w:rsid w:val="00741404"/>
    <w:rsid w:val="00741A7C"/>
    <w:rsid w:val="00743D54"/>
    <w:rsid w:val="007449E5"/>
    <w:rsid w:val="00745804"/>
    <w:rsid w:val="007462EE"/>
    <w:rsid w:val="00746C1F"/>
    <w:rsid w:val="00746C5A"/>
    <w:rsid w:val="00746F0B"/>
    <w:rsid w:val="0074766A"/>
    <w:rsid w:val="00747EB3"/>
    <w:rsid w:val="00747FF0"/>
    <w:rsid w:val="00750B0F"/>
    <w:rsid w:val="007513A8"/>
    <w:rsid w:val="0075174F"/>
    <w:rsid w:val="007520B7"/>
    <w:rsid w:val="00752B48"/>
    <w:rsid w:val="00752FF6"/>
    <w:rsid w:val="0075530C"/>
    <w:rsid w:val="0075530E"/>
    <w:rsid w:val="00755FA9"/>
    <w:rsid w:val="007563BE"/>
    <w:rsid w:val="007607F5"/>
    <w:rsid w:val="0076192D"/>
    <w:rsid w:val="007625E7"/>
    <w:rsid w:val="00762855"/>
    <w:rsid w:val="00763308"/>
    <w:rsid w:val="007639E6"/>
    <w:rsid w:val="00763A96"/>
    <w:rsid w:val="00764009"/>
    <w:rsid w:val="00764B36"/>
    <w:rsid w:val="00764D4E"/>
    <w:rsid w:val="007653A8"/>
    <w:rsid w:val="00765A1F"/>
    <w:rsid w:val="00766354"/>
    <w:rsid w:val="007664F9"/>
    <w:rsid w:val="007667EC"/>
    <w:rsid w:val="00767565"/>
    <w:rsid w:val="007677F8"/>
    <w:rsid w:val="007701BA"/>
    <w:rsid w:val="007702E7"/>
    <w:rsid w:val="00771035"/>
    <w:rsid w:val="007710BE"/>
    <w:rsid w:val="00771833"/>
    <w:rsid w:val="00771B07"/>
    <w:rsid w:val="007727C0"/>
    <w:rsid w:val="007729B2"/>
    <w:rsid w:val="00773414"/>
    <w:rsid w:val="00773442"/>
    <w:rsid w:val="00775B6D"/>
    <w:rsid w:val="00775D09"/>
    <w:rsid w:val="0077618F"/>
    <w:rsid w:val="00776A8C"/>
    <w:rsid w:val="00776D68"/>
    <w:rsid w:val="00777475"/>
    <w:rsid w:val="0078056C"/>
    <w:rsid w:val="0078192E"/>
    <w:rsid w:val="00782053"/>
    <w:rsid w:val="00782722"/>
    <w:rsid w:val="00783AE2"/>
    <w:rsid w:val="007850EE"/>
    <w:rsid w:val="007856D5"/>
    <w:rsid w:val="00785B95"/>
    <w:rsid w:val="007862F8"/>
    <w:rsid w:val="007866E5"/>
    <w:rsid w:val="0078710C"/>
    <w:rsid w:val="0078773A"/>
    <w:rsid w:val="00787B58"/>
    <w:rsid w:val="00787D84"/>
    <w:rsid w:val="0079065D"/>
    <w:rsid w:val="00790E96"/>
    <w:rsid w:val="007912F3"/>
    <w:rsid w:val="00792042"/>
    <w:rsid w:val="00793366"/>
    <w:rsid w:val="007933B0"/>
    <w:rsid w:val="00793950"/>
    <w:rsid w:val="00794026"/>
    <w:rsid w:val="007942A5"/>
    <w:rsid w:val="0079440B"/>
    <w:rsid w:val="0079487D"/>
    <w:rsid w:val="007961F6"/>
    <w:rsid w:val="007963BF"/>
    <w:rsid w:val="007975F2"/>
    <w:rsid w:val="00797A8A"/>
    <w:rsid w:val="007A033F"/>
    <w:rsid w:val="007A068D"/>
    <w:rsid w:val="007A10C4"/>
    <w:rsid w:val="007A172A"/>
    <w:rsid w:val="007A1892"/>
    <w:rsid w:val="007A2371"/>
    <w:rsid w:val="007A30D0"/>
    <w:rsid w:val="007A57E0"/>
    <w:rsid w:val="007A5EBA"/>
    <w:rsid w:val="007A6FD2"/>
    <w:rsid w:val="007A716F"/>
    <w:rsid w:val="007A755B"/>
    <w:rsid w:val="007A7770"/>
    <w:rsid w:val="007B0786"/>
    <w:rsid w:val="007B1D6B"/>
    <w:rsid w:val="007B2272"/>
    <w:rsid w:val="007B270A"/>
    <w:rsid w:val="007B2E8D"/>
    <w:rsid w:val="007B337E"/>
    <w:rsid w:val="007B3A2C"/>
    <w:rsid w:val="007B4337"/>
    <w:rsid w:val="007B47A9"/>
    <w:rsid w:val="007B4AD5"/>
    <w:rsid w:val="007B6233"/>
    <w:rsid w:val="007B679A"/>
    <w:rsid w:val="007B740B"/>
    <w:rsid w:val="007C0695"/>
    <w:rsid w:val="007C1171"/>
    <w:rsid w:val="007C1E4A"/>
    <w:rsid w:val="007C30CE"/>
    <w:rsid w:val="007C3E96"/>
    <w:rsid w:val="007C419A"/>
    <w:rsid w:val="007C421E"/>
    <w:rsid w:val="007C4725"/>
    <w:rsid w:val="007C4CC8"/>
    <w:rsid w:val="007C4CD7"/>
    <w:rsid w:val="007C5426"/>
    <w:rsid w:val="007C5798"/>
    <w:rsid w:val="007C70B3"/>
    <w:rsid w:val="007C7193"/>
    <w:rsid w:val="007D0919"/>
    <w:rsid w:val="007D0E05"/>
    <w:rsid w:val="007D2037"/>
    <w:rsid w:val="007D32DA"/>
    <w:rsid w:val="007D3D6A"/>
    <w:rsid w:val="007D3F10"/>
    <w:rsid w:val="007D4657"/>
    <w:rsid w:val="007D4832"/>
    <w:rsid w:val="007D4C9E"/>
    <w:rsid w:val="007D5BE0"/>
    <w:rsid w:val="007D62D2"/>
    <w:rsid w:val="007D64AE"/>
    <w:rsid w:val="007D67D7"/>
    <w:rsid w:val="007D6F80"/>
    <w:rsid w:val="007D78DE"/>
    <w:rsid w:val="007D7B64"/>
    <w:rsid w:val="007E05EA"/>
    <w:rsid w:val="007E0E94"/>
    <w:rsid w:val="007E0EAD"/>
    <w:rsid w:val="007E1950"/>
    <w:rsid w:val="007E21B2"/>
    <w:rsid w:val="007E2214"/>
    <w:rsid w:val="007E2C4E"/>
    <w:rsid w:val="007E364F"/>
    <w:rsid w:val="007E4DCD"/>
    <w:rsid w:val="007E5CE0"/>
    <w:rsid w:val="007E5DA9"/>
    <w:rsid w:val="007E5E40"/>
    <w:rsid w:val="007E5F0C"/>
    <w:rsid w:val="007E6650"/>
    <w:rsid w:val="007E6D80"/>
    <w:rsid w:val="007E7862"/>
    <w:rsid w:val="007F1905"/>
    <w:rsid w:val="007F1A45"/>
    <w:rsid w:val="007F2438"/>
    <w:rsid w:val="007F367E"/>
    <w:rsid w:val="007F4C07"/>
    <w:rsid w:val="007F6244"/>
    <w:rsid w:val="007F665F"/>
    <w:rsid w:val="007F698F"/>
    <w:rsid w:val="007F7606"/>
    <w:rsid w:val="00801300"/>
    <w:rsid w:val="00801B46"/>
    <w:rsid w:val="00801E87"/>
    <w:rsid w:val="008024E0"/>
    <w:rsid w:val="00802C64"/>
    <w:rsid w:val="00803657"/>
    <w:rsid w:val="00804C8F"/>
    <w:rsid w:val="008055FF"/>
    <w:rsid w:val="00805E52"/>
    <w:rsid w:val="008061D0"/>
    <w:rsid w:val="00806516"/>
    <w:rsid w:val="00806F03"/>
    <w:rsid w:val="008106C6"/>
    <w:rsid w:val="00810B38"/>
    <w:rsid w:val="00810CE5"/>
    <w:rsid w:val="00811EFE"/>
    <w:rsid w:val="008121AE"/>
    <w:rsid w:val="00813C72"/>
    <w:rsid w:val="00813F9D"/>
    <w:rsid w:val="008153B9"/>
    <w:rsid w:val="00815AC4"/>
    <w:rsid w:val="008169E2"/>
    <w:rsid w:val="00816BA3"/>
    <w:rsid w:val="008170E7"/>
    <w:rsid w:val="008204C7"/>
    <w:rsid w:val="00820992"/>
    <w:rsid w:val="00820AEC"/>
    <w:rsid w:val="00820D06"/>
    <w:rsid w:val="00822A58"/>
    <w:rsid w:val="00823602"/>
    <w:rsid w:val="00823B36"/>
    <w:rsid w:val="00824FBC"/>
    <w:rsid w:val="00825221"/>
    <w:rsid w:val="008255F5"/>
    <w:rsid w:val="0082618F"/>
    <w:rsid w:val="008262D6"/>
    <w:rsid w:val="0083014E"/>
    <w:rsid w:val="00830C0B"/>
    <w:rsid w:val="00830F1D"/>
    <w:rsid w:val="008311EE"/>
    <w:rsid w:val="0083214A"/>
    <w:rsid w:val="00832AD0"/>
    <w:rsid w:val="00833F45"/>
    <w:rsid w:val="00834220"/>
    <w:rsid w:val="00834854"/>
    <w:rsid w:val="00834962"/>
    <w:rsid w:val="0083510A"/>
    <w:rsid w:val="00835F15"/>
    <w:rsid w:val="00836A90"/>
    <w:rsid w:val="00837AE0"/>
    <w:rsid w:val="00837AEB"/>
    <w:rsid w:val="008404C2"/>
    <w:rsid w:val="00841A43"/>
    <w:rsid w:val="008421DA"/>
    <w:rsid w:val="008422B0"/>
    <w:rsid w:val="00842578"/>
    <w:rsid w:val="008429E8"/>
    <w:rsid w:val="00843893"/>
    <w:rsid w:val="00843B76"/>
    <w:rsid w:val="0084408F"/>
    <w:rsid w:val="00844B5E"/>
    <w:rsid w:val="00845723"/>
    <w:rsid w:val="00846369"/>
    <w:rsid w:val="008463A3"/>
    <w:rsid w:val="008469FA"/>
    <w:rsid w:val="00847B2C"/>
    <w:rsid w:val="00851077"/>
    <w:rsid w:val="00851DCF"/>
    <w:rsid w:val="00851EF9"/>
    <w:rsid w:val="00853F36"/>
    <w:rsid w:val="00854EA5"/>
    <w:rsid w:val="008557B4"/>
    <w:rsid w:val="00855962"/>
    <w:rsid w:val="00855D15"/>
    <w:rsid w:val="00855FC2"/>
    <w:rsid w:val="00856C2C"/>
    <w:rsid w:val="008577FD"/>
    <w:rsid w:val="00860B03"/>
    <w:rsid w:val="00860B29"/>
    <w:rsid w:val="008611D8"/>
    <w:rsid w:val="0086237B"/>
    <w:rsid w:val="00862808"/>
    <w:rsid w:val="0086348C"/>
    <w:rsid w:val="00864563"/>
    <w:rsid w:val="0086497A"/>
    <w:rsid w:val="00865116"/>
    <w:rsid w:val="00865750"/>
    <w:rsid w:val="0086578C"/>
    <w:rsid w:val="00865A75"/>
    <w:rsid w:val="00865B27"/>
    <w:rsid w:val="00865CA1"/>
    <w:rsid w:val="008703F6"/>
    <w:rsid w:val="00870E8E"/>
    <w:rsid w:val="008713A1"/>
    <w:rsid w:val="0087290E"/>
    <w:rsid w:val="00873EBF"/>
    <w:rsid w:val="008750A8"/>
    <w:rsid w:val="008754AB"/>
    <w:rsid w:val="0088060C"/>
    <w:rsid w:val="00880AAE"/>
    <w:rsid w:val="00880AAF"/>
    <w:rsid w:val="008826EC"/>
    <w:rsid w:val="008836C3"/>
    <w:rsid w:val="00884980"/>
    <w:rsid w:val="00885142"/>
    <w:rsid w:val="00885C1B"/>
    <w:rsid w:val="00885D3C"/>
    <w:rsid w:val="00887C59"/>
    <w:rsid w:val="00890535"/>
    <w:rsid w:val="00890DB9"/>
    <w:rsid w:val="00891471"/>
    <w:rsid w:val="00892585"/>
    <w:rsid w:val="00892910"/>
    <w:rsid w:val="00892DC5"/>
    <w:rsid w:val="00893576"/>
    <w:rsid w:val="008939C0"/>
    <w:rsid w:val="00893E73"/>
    <w:rsid w:val="00895468"/>
    <w:rsid w:val="00895A00"/>
    <w:rsid w:val="0089736C"/>
    <w:rsid w:val="008A0BED"/>
    <w:rsid w:val="008A115B"/>
    <w:rsid w:val="008A2131"/>
    <w:rsid w:val="008A2F23"/>
    <w:rsid w:val="008A3344"/>
    <w:rsid w:val="008A43C4"/>
    <w:rsid w:val="008A48EB"/>
    <w:rsid w:val="008A4A1A"/>
    <w:rsid w:val="008A58D4"/>
    <w:rsid w:val="008A5BA5"/>
    <w:rsid w:val="008A6AB1"/>
    <w:rsid w:val="008A7144"/>
    <w:rsid w:val="008A731B"/>
    <w:rsid w:val="008A765B"/>
    <w:rsid w:val="008B02DC"/>
    <w:rsid w:val="008B05C7"/>
    <w:rsid w:val="008B085F"/>
    <w:rsid w:val="008B1329"/>
    <w:rsid w:val="008B1406"/>
    <w:rsid w:val="008B24C9"/>
    <w:rsid w:val="008B2FB1"/>
    <w:rsid w:val="008B335B"/>
    <w:rsid w:val="008B3791"/>
    <w:rsid w:val="008B3CCB"/>
    <w:rsid w:val="008B414F"/>
    <w:rsid w:val="008B463F"/>
    <w:rsid w:val="008B4C80"/>
    <w:rsid w:val="008B57CE"/>
    <w:rsid w:val="008B659F"/>
    <w:rsid w:val="008B790B"/>
    <w:rsid w:val="008C0061"/>
    <w:rsid w:val="008C03DD"/>
    <w:rsid w:val="008C0F65"/>
    <w:rsid w:val="008C100A"/>
    <w:rsid w:val="008C1396"/>
    <w:rsid w:val="008C26DE"/>
    <w:rsid w:val="008C303D"/>
    <w:rsid w:val="008C3BEE"/>
    <w:rsid w:val="008C4700"/>
    <w:rsid w:val="008C4A92"/>
    <w:rsid w:val="008C7D9A"/>
    <w:rsid w:val="008D12EB"/>
    <w:rsid w:val="008D2225"/>
    <w:rsid w:val="008D2FB0"/>
    <w:rsid w:val="008D43CD"/>
    <w:rsid w:val="008D4752"/>
    <w:rsid w:val="008D5194"/>
    <w:rsid w:val="008D606D"/>
    <w:rsid w:val="008D63AD"/>
    <w:rsid w:val="008D7758"/>
    <w:rsid w:val="008E0028"/>
    <w:rsid w:val="008E03E7"/>
    <w:rsid w:val="008E0BFF"/>
    <w:rsid w:val="008E0EB4"/>
    <w:rsid w:val="008E0FF1"/>
    <w:rsid w:val="008E1AD8"/>
    <w:rsid w:val="008E271C"/>
    <w:rsid w:val="008E2EB5"/>
    <w:rsid w:val="008E3E48"/>
    <w:rsid w:val="008E418E"/>
    <w:rsid w:val="008E4E5F"/>
    <w:rsid w:val="008E579A"/>
    <w:rsid w:val="008E5B44"/>
    <w:rsid w:val="008E5BC6"/>
    <w:rsid w:val="008E6846"/>
    <w:rsid w:val="008E6A25"/>
    <w:rsid w:val="008E73DD"/>
    <w:rsid w:val="008E7908"/>
    <w:rsid w:val="008E7C41"/>
    <w:rsid w:val="008F0830"/>
    <w:rsid w:val="008F0B63"/>
    <w:rsid w:val="008F2AC8"/>
    <w:rsid w:val="008F3102"/>
    <w:rsid w:val="008F3324"/>
    <w:rsid w:val="008F38FD"/>
    <w:rsid w:val="008F4305"/>
    <w:rsid w:val="008F4902"/>
    <w:rsid w:val="008F504A"/>
    <w:rsid w:val="008F5193"/>
    <w:rsid w:val="008F58AF"/>
    <w:rsid w:val="008F68C0"/>
    <w:rsid w:val="009013A7"/>
    <w:rsid w:val="009017FB"/>
    <w:rsid w:val="009017FC"/>
    <w:rsid w:val="00902DA4"/>
    <w:rsid w:val="00902E85"/>
    <w:rsid w:val="009038EE"/>
    <w:rsid w:val="00903B43"/>
    <w:rsid w:val="00903BB5"/>
    <w:rsid w:val="009043C7"/>
    <w:rsid w:val="009048AA"/>
    <w:rsid w:val="0090506B"/>
    <w:rsid w:val="009050C9"/>
    <w:rsid w:val="009066FC"/>
    <w:rsid w:val="00906CEB"/>
    <w:rsid w:val="009077B6"/>
    <w:rsid w:val="00911AB6"/>
    <w:rsid w:val="0091257E"/>
    <w:rsid w:val="009133DC"/>
    <w:rsid w:val="0091388F"/>
    <w:rsid w:val="00913B8D"/>
    <w:rsid w:val="009140A3"/>
    <w:rsid w:val="009144A2"/>
    <w:rsid w:val="00914F2A"/>
    <w:rsid w:val="0091510C"/>
    <w:rsid w:val="00915222"/>
    <w:rsid w:val="00915840"/>
    <w:rsid w:val="00915AB8"/>
    <w:rsid w:val="00915F97"/>
    <w:rsid w:val="00916948"/>
    <w:rsid w:val="00916AC6"/>
    <w:rsid w:val="00917D1A"/>
    <w:rsid w:val="009205FC"/>
    <w:rsid w:val="00922FD2"/>
    <w:rsid w:val="009247D0"/>
    <w:rsid w:val="00924C2E"/>
    <w:rsid w:val="00924CA5"/>
    <w:rsid w:val="009259AC"/>
    <w:rsid w:val="00925E6C"/>
    <w:rsid w:val="0092648D"/>
    <w:rsid w:val="00926B1E"/>
    <w:rsid w:val="00926B4F"/>
    <w:rsid w:val="00926F38"/>
    <w:rsid w:val="00927949"/>
    <w:rsid w:val="0093048F"/>
    <w:rsid w:val="009304E8"/>
    <w:rsid w:val="00930A04"/>
    <w:rsid w:val="00930B23"/>
    <w:rsid w:val="00930B77"/>
    <w:rsid w:val="009313E7"/>
    <w:rsid w:val="009317E3"/>
    <w:rsid w:val="00932F5E"/>
    <w:rsid w:val="00933EA4"/>
    <w:rsid w:val="00934301"/>
    <w:rsid w:val="00935AE6"/>
    <w:rsid w:val="00936CD1"/>
    <w:rsid w:val="009402D4"/>
    <w:rsid w:val="00941747"/>
    <w:rsid w:val="00941B70"/>
    <w:rsid w:val="00941EFB"/>
    <w:rsid w:val="00943BE1"/>
    <w:rsid w:val="009443A0"/>
    <w:rsid w:val="009456DB"/>
    <w:rsid w:val="009464F5"/>
    <w:rsid w:val="009470AF"/>
    <w:rsid w:val="009471D7"/>
    <w:rsid w:val="009475C0"/>
    <w:rsid w:val="00947AFB"/>
    <w:rsid w:val="00947CFC"/>
    <w:rsid w:val="00951D7D"/>
    <w:rsid w:val="00952C12"/>
    <w:rsid w:val="00954160"/>
    <w:rsid w:val="00955663"/>
    <w:rsid w:val="00955E14"/>
    <w:rsid w:val="009561B3"/>
    <w:rsid w:val="0095749D"/>
    <w:rsid w:val="00957BA5"/>
    <w:rsid w:val="00960854"/>
    <w:rsid w:val="00960FBA"/>
    <w:rsid w:val="00962AFA"/>
    <w:rsid w:val="009630C7"/>
    <w:rsid w:val="00964214"/>
    <w:rsid w:val="00964BFE"/>
    <w:rsid w:val="009659C6"/>
    <w:rsid w:val="00965A7B"/>
    <w:rsid w:val="00966DE3"/>
    <w:rsid w:val="00967613"/>
    <w:rsid w:val="0096773F"/>
    <w:rsid w:val="00967D20"/>
    <w:rsid w:val="00967F15"/>
    <w:rsid w:val="00971670"/>
    <w:rsid w:val="00971B38"/>
    <w:rsid w:val="00972264"/>
    <w:rsid w:val="00972B55"/>
    <w:rsid w:val="009732C6"/>
    <w:rsid w:val="009734BD"/>
    <w:rsid w:val="009738BD"/>
    <w:rsid w:val="00973F53"/>
    <w:rsid w:val="00974078"/>
    <w:rsid w:val="009743B7"/>
    <w:rsid w:val="00974F14"/>
    <w:rsid w:val="009754EB"/>
    <w:rsid w:val="009755B7"/>
    <w:rsid w:val="009764C4"/>
    <w:rsid w:val="00977825"/>
    <w:rsid w:val="00981384"/>
    <w:rsid w:val="009816A3"/>
    <w:rsid w:val="00981B93"/>
    <w:rsid w:val="00981D60"/>
    <w:rsid w:val="0098228B"/>
    <w:rsid w:val="009828DA"/>
    <w:rsid w:val="00983F12"/>
    <w:rsid w:val="00983F61"/>
    <w:rsid w:val="00984EC9"/>
    <w:rsid w:val="00985BAB"/>
    <w:rsid w:val="009867DE"/>
    <w:rsid w:val="00986D80"/>
    <w:rsid w:val="0099148A"/>
    <w:rsid w:val="00991E61"/>
    <w:rsid w:val="0099292C"/>
    <w:rsid w:val="00993B3A"/>
    <w:rsid w:val="00994558"/>
    <w:rsid w:val="00996148"/>
    <w:rsid w:val="0099668C"/>
    <w:rsid w:val="00996D2A"/>
    <w:rsid w:val="0099718E"/>
    <w:rsid w:val="00997828"/>
    <w:rsid w:val="00997A66"/>
    <w:rsid w:val="00997F03"/>
    <w:rsid w:val="009A0566"/>
    <w:rsid w:val="009A0880"/>
    <w:rsid w:val="009A17E2"/>
    <w:rsid w:val="009A2671"/>
    <w:rsid w:val="009A382B"/>
    <w:rsid w:val="009A424D"/>
    <w:rsid w:val="009A46DF"/>
    <w:rsid w:val="009A521E"/>
    <w:rsid w:val="009A532D"/>
    <w:rsid w:val="009A55F1"/>
    <w:rsid w:val="009A5639"/>
    <w:rsid w:val="009A56F7"/>
    <w:rsid w:val="009A5806"/>
    <w:rsid w:val="009A5871"/>
    <w:rsid w:val="009A5E6B"/>
    <w:rsid w:val="009A6D5C"/>
    <w:rsid w:val="009A79DD"/>
    <w:rsid w:val="009B0DBA"/>
    <w:rsid w:val="009B14DA"/>
    <w:rsid w:val="009B1B5F"/>
    <w:rsid w:val="009B1CB3"/>
    <w:rsid w:val="009B294F"/>
    <w:rsid w:val="009B2DA7"/>
    <w:rsid w:val="009B2EC2"/>
    <w:rsid w:val="009B3BAB"/>
    <w:rsid w:val="009B3BB6"/>
    <w:rsid w:val="009B448B"/>
    <w:rsid w:val="009B57D8"/>
    <w:rsid w:val="009B6143"/>
    <w:rsid w:val="009B6673"/>
    <w:rsid w:val="009B6F94"/>
    <w:rsid w:val="009B70E0"/>
    <w:rsid w:val="009B7B63"/>
    <w:rsid w:val="009C033C"/>
    <w:rsid w:val="009C191B"/>
    <w:rsid w:val="009C22B7"/>
    <w:rsid w:val="009C29D4"/>
    <w:rsid w:val="009C2BD6"/>
    <w:rsid w:val="009C3837"/>
    <w:rsid w:val="009C4B80"/>
    <w:rsid w:val="009C5445"/>
    <w:rsid w:val="009C5B5B"/>
    <w:rsid w:val="009C5C40"/>
    <w:rsid w:val="009C72AC"/>
    <w:rsid w:val="009C7F5F"/>
    <w:rsid w:val="009D02CB"/>
    <w:rsid w:val="009D0930"/>
    <w:rsid w:val="009D0987"/>
    <w:rsid w:val="009D22D8"/>
    <w:rsid w:val="009D36D7"/>
    <w:rsid w:val="009D4272"/>
    <w:rsid w:val="009D6B97"/>
    <w:rsid w:val="009D7653"/>
    <w:rsid w:val="009E00B5"/>
    <w:rsid w:val="009E1417"/>
    <w:rsid w:val="009E1856"/>
    <w:rsid w:val="009E1F32"/>
    <w:rsid w:val="009E21F1"/>
    <w:rsid w:val="009E3FBB"/>
    <w:rsid w:val="009E44DC"/>
    <w:rsid w:val="009E4D53"/>
    <w:rsid w:val="009E54BD"/>
    <w:rsid w:val="009E5829"/>
    <w:rsid w:val="009E5CC8"/>
    <w:rsid w:val="009E6949"/>
    <w:rsid w:val="009E6BF8"/>
    <w:rsid w:val="009E6E2D"/>
    <w:rsid w:val="009E776C"/>
    <w:rsid w:val="009F08BD"/>
    <w:rsid w:val="009F1135"/>
    <w:rsid w:val="009F1587"/>
    <w:rsid w:val="009F1B3B"/>
    <w:rsid w:val="009F28FA"/>
    <w:rsid w:val="009F4109"/>
    <w:rsid w:val="009F528A"/>
    <w:rsid w:val="009F5B3B"/>
    <w:rsid w:val="009F60AE"/>
    <w:rsid w:val="00A001EB"/>
    <w:rsid w:val="00A005DB"/>
    <w:rsid w:val="00A00D2D"/>
    <w:rsid w:val="00A00E0E"/>
    <w:rsid w:val="00A01076"/>
    <w:rsid w:val="00A01438"/>
    <w:rsid w:val="00A02982"/>
    <w:rsid w:val="00A029F8"/>
    <w:rsid w:val="00A02AFB"/>
    <w:rsid w:val="00A02C59"/>
    <w:rsid w:val="00A02F57"/>
    <w:rsid w:val="00A0337F"/>
    <w:rsid w:val="00A03DC1"/>
    <w:rsid w:val="00A0499D"/>
    <w:rsid w:val="00A04F83"/>
    <w:rsid w:val="00A06518"/>
    <w:rsid w:val="00A06A95"/>
    <w:rsid w:val="00A07316"/>
    <w:rsid w:val="00A106D2"/>
    <w:rsid w:val="00A10984"/>
    <w:rsid w:val="00A11DE7"/>
    <w:rsid w:val="00A127EE"/>
    <w:rsid w:val="00A12E26"/>
    <w:rsid w:val="00A12F3C"/>
    <w:rsid w:val="00A13468"/>
    <w:rsid w:val="00A13B1B"/>
    <w:rsid w:val="00A162BC"/>
    <w:rsid w:val="00A1668C"/>
    <w:rsid w:val="00A1726E"/>
    <w:rsid w:val="00A17615"/>
    <w:rsid w:val="00A17673"/>
    <w:rsid w:val="00A20108"/>
    <w:rsid w:val="00A203C4"/>
    <w:rsid w:val="00A204CF"/>
    <w:rsid w:val="00A21CD6"/>
    <w:rsid w:val="00A23C94"/>
    <w:rsid w:val="00A23D49"/>
    <w:rsid w:val="00A243ED"/>
    <w:rsid w:val="00A244FA"/>
    <w:rsid w:val="00A26213"/>
    <w:rsid w:val="00A27004"/>
    <w:rsid w:val="00A2717E"/>
    <w:rsid w:val="00A272EE"/>
    <w:rsid w:val="00A27A32"/>
    <w:rsid w:val="00A30333"/>
    <w:rsid w:val="00A30AD5"/>
    <w:rsid w:val="00A30C29"/>
    <w:rsid w:val="00A30E1F"/>
    <w:rsid w:val="00A311FD"/>
    <w:rsid w:val="00A32362"/>
    <w:rsid w:val="00A328E5"/>
    <w:rsid w:val="00A32DC1"/>
    <w:rsid w:val="00A33282"/>
    <w:rsid w:val="00A33F28"/>
    <w:rsid w:val="00A34B01"/>
    <w:rsid w:val="00A34DD6"/>
    <w:rsid w:val="00A3528B"/>
    <w:rsid w:val="00A35C48"/>
    <w:rsid w:val="00A36819"/>
    <w:rsid w:val="00A36989"/>
    <w:rsid w:val="00A37620"/>
    <w:rsid w:val="00A376F3"/>
    <w:rsid w:val="00A378BB"/>
    <w:rsid w:val="00A37A74"/>
    <w:rsid w:val="00A4087D"/>
    <w:rsid w:val="00A40D37"/>
    <w:rsid w:val="00A431CE"/>
    <w:rsid w:val="00A43628"/>
    <w:rsid w:val="00A4364D"/>
    <w:rsid w:val="00A43801"/>
    <w:rsid w:val="00A43F43"/>
    <w:rsid w:val="00A43F86"/>
    <w:rsid w:val="00A44675"/>
    <w:rsid w:val="00A45ADB"/>
    <w:rsid w:val="00A45C32"/>
    <w:rsid w:val="00A46264"/>
    <w:rsid w:val="00A468DD"/>
    <w:rsid w:val="00A4690A"/>
    <w:rsid w:val="00A47B5B"/>
    <w:rsid w:val="00A505E1"/>
    <w:rsid w:val="00A506B9"/>
    <w:rsid w:val="00A50749"/>
    <w:rsid w:val="00A50B57"/>
    <w:rsid w:val="00A5129A"/>
    <w:rsid w:val="00A5145E"/>
    <w:rsid w:val="00A51C82"/>
    <w:rsid w:val="00A5344E"/>
    <w:rsid w:val="00A53822"/>
    <w:rsid w:val="00A54184"/>
    <w:rsid w:val="00A54192"/>
    <w:rsid w:val="00A54329"/>
    <w:rsid w:val="00A54EDE"/>
    <w:rsid w:val="00A6035E"/>
    <w:rsid w:val="00A612D4"/>
    <w:rsid w:val="00A6144C"/>
    <w:rsid w:val="00A61610"/>
    <w:rsid w:val="00A61B19"/>
    <w:rsid w:val="00A622E4"/>
    <w:rsid w:val="00A638B1"/>
    <w:rsid w:val="00A640D2"/>
    <w:rsid w:val="00A65888"/>
    <w:rsid w:val="00A6660A"/>
    <w:rsid w:val="00A66617"/>
    <w:rsid w:val="00A666D0"/>
    <w:rsid w:val="00A671F8"/>
    <w:rsid w:val="00A673A4"/>
    <w:rsid w:val="00A67521"/>
    <w:rsid w:val="00A679D3"/>
    <w:rsid w:val="00A7085E"/>
    <w:rsid w:val="00A724AE"/>
    <w:rsid w:val="00A7290F"/>
    <w:rsid w:val="00A7299A"/>
    <w:rsid w:val="00A73329"/>
    <w:rsid w:val="00A74490"/>
    <w:rsid w:val="00A75090"/>
    <w:rsid w:val="00A75895"/>
    <w:rsid w:val="00A76C29"/>
    <w:rsid w:val="00A7776C"/>
    <w:rsid w:val="00A77948"/>
    <w:rsid w:val="00A808C5"/>
    <w:rsid w:val="00A81E31"/>
    <w:rsid w:val="00A82359"/>
    <w:rsid w:val="00A82E21"/>
    <w:rsid w:val="00A83B55"/>
    <w:rsid w:val="00A84833"/>
    <w:rsid w:val="00A84B56"/>
    <w:rsid w:val="00A84C75"/>
    <w:rsid w:val="00A85D35"/>
    <w:rsid w:val="00A865D2"/>
    <w:rsid w:val="00A869EA"/>
    <w:rsid w:val="00A875F3"/>
    <w:rsid w:val="00A9028C"/>
    <w:rsid w:val="00A91149"/>
    <w:rsid w:val="00A917AC"/>
    <w:rsid w:val="00A94305"/>
    <w:rsid w:val="00A94AE5"/>
    <w:rsid w:val="00A94C20"/>
    <w:rsid w:val="00A95524"/>
    <w:rsid w:val="00A956FC"/>
    <w:rsid w:val="00A95D5B"/>
    <w:rsid w:val="00A95E5C"/>
    <w:rsid w:val="00A95E5D"/>
    <w:rsid w:val="00A96ED6"/>
    <w:rsid w:val="00A977CC"/>
    <w:rsid w:val="00AA038C"/>
    <w:rsid w:val="00AA1315"/>
    <w:rsid w:val="00AA1B42"/>
    <w:rsid w:val="00AA227F"/>
    <w:rsid w:val="00AA2A00"/>
    <w:rsid w:val="00AA3110"/>
    <w:rsid w:val="00AA381E"/>
    <w:rsid w:val="00AA3BC7"/>
    <w:rsid w:val="00AA4470"/>
    <w:rsid w:val="00AA4805"/>
    <w:rsid w:val="00AA588F"/>
    <w:rsid w:val="00AA65D7"/>
    <w:rsid w:val="00AA661D"/>
    <w:rsid w:val="00AA6A5E"/>
    <w:rsid w:val="00AA754A"/>
    <w:rsid w:val="00AB099E"/>
    <w:rsid w:val="00AB275A"/>
    <w:rsid w:val="00AB2A0C"/>
    <w:rsid w:val="00AB4328"/>
    <w:rsid w:val="00AB4579"/>
    <w:rsid w:val="00AB480E"/>
    <w:rsid w:val="00AB560F"/>
    <w:rsid w:val="00AB5FA0"/>
    <w:rsid w:val="00AB6AE0"/>
    <w:rsid w:val="00AB71ED"/>
    <w:rsid w:val="00AB75CC"/>
    <w:rsid w:val="00AC1612"/>
    <w:rsid w:val="00AC2055"/>
    <w:rsid w:val="00AC21D0"/>
    <w:rsid w:val="00AC232D"/>
    <w:rsid w:val="00AC3157"/>
    <w:rsid w:val="00AC362E"/>
    <w:rsid w:val="00AC4021"/>
    <w:rsid w:val="00AC40E8"/>
    <w:rsid w:val="00AC4750"/>
    <w:rsid w:val="00AC4757"/>
    <w:rsid w:val="00AC48FB"/>
    <w:rsid w:val="00AC5EBC"/>
    <w:rsid w:val="00AC62D1"/>
    <w:rsid w:val="00AC6DF2"/>
    <w:rsid w:val="00AC7DEB"/>
    <w:rsid w:val="00AD170F"/>
    <w:rsid w:val="00AD1FE4"/>
    <w:rsid w:val="00AD38FE"/>
    <w:rsid w:val="00AD4010"/>
    <w:rsid w:val="00AD4C36"/>
    <w:rsid w:val="00AD5E22"/>
    <w:rsid w:val="00AD6104"/>
    <w:rsid w:val="00AD719A"/>
    <w:rsid w:val="00AE0A2E"/>
    <w:rsid w:val="00AE0B9E"/>
    <w:rsid w:val="00AE0D2C"/>
    <w:rsid w:val="00AE0D41"/>
    <w:rsid w:val="00AE2282"/>
    <w:rsid w:val="00AE231C"/>
    <w:rsid w:val="00AE354C"/>
    <w:rsid w:val="00AE3B71"/>
    <w:rsid w:val="00AE3BFE"/>
    <w:rsid w:val="00AE42DB"/>
    <w:rsid w:val="00AE480B"/>
    <w:rsid w:val="00AE4D63"/>
    <w:rsid w:val="00AE4E53"/>
    <w:rsid w:val="00AE5F62"/>
    <w:rsid w:val="00AE612C"/>
    <w:rsid w:val="00AE6FC7"/>
    <w:rsid w:val="00AE795E"/>
    <w:rsid w:val="00AE7BDD"/>
    <w:rsid w:val="00AF0326"/>
    <w:rsid w:val="00AF0957"/>
    <w:rsid w:val="00AF1321"/>
    <w:rsid w:val="00AF2366"/>
    <w:rsid w:val="00AF2601"/>
    <w:rsid w:val="00AF2E7D"/>
    <w:rsid w:val="00AF4B07"/>
    <w:rsid w:val="00AF504C"/>
    <w:rsid w:val="00AF5A7C"/>
    <w:rsid w:val="00AF6098"/>
    <w:rsid w:val="00AF6186"/>
    <w:rsid w:val="00AF64C2"/>
    <w:rsid w:val="00AF6BAA"/>
    <w:rsid w:val="00AF6F68"/>
    <w:rsid w:val="00AF7A3A"/>
    <w:rsid w:val="00AF7C58"/>
    <w:rsid w:val="00B00221"/>
    <w:rsid w:val="00B00E04"/>
    <w:rsid w:val="00B0190C"/>
    <w:rsid w:val="00B01E3B"/>
    <w:rsid w:val="00B01F2A"/>
    <w:rsid w:val="00B023E6"/>
    <w:rsid w:val="00B02DEA"/>
    <w:rsid w:val="00B03990"/>
    <w:rsid w:val="00B03CE8"/>
    <w:rsid w:val="00B0451E"/>
    <w:rsid w:val="00B04C97"/>
    <w:rsid w:val="00B050FC"/>
    <w:rsid w:val="00B05C2D"/>
    <w:rsid w:val="00B063D8"/>
    <w:rsid w:val="00B06A17"/>
    <w:rsid w:val="00B0776A"/>
    <w:rsid w:val="00B07B07"/>
    <w:rsid w:val="00B07F0D"/>
    <w:rsid w:val="00B10DEB"/>
    <w:rsid w:val="00B11276"/>
    <w:rsid w:val="00B11B4B"/>
    <w:rsid w:val="00B13CFC"/>
    <w:rsid w:val="00B15CD4"/>
    <w:rsid w:val="00B160DB"/>
    <w:rsid w:val="00B16D5A"/>
    <w:rsid w:val="00B17C37"/>
    <w:rsid w:val="00B202F1"/>
    <w:rsid w:val="00B20791"/>
    <w:rsid w:val="00B20836"/>
    <w:rsid w:val="00B21630"/>
    <w:rsid w:val="00B2186B"/>
    <w:rsid w:val="00B22BD0"/>
    <w:rsid w:val="00B22D9A"/>
    <w:rsid w:val="00B23155"/>
    <w:rsid w:val="00B2321E"/>
    <w:rsid w:val="00B235BB"/>
    <w:rsid w:val="00B237EA"/>
    <w:rsid w:val="00B23B7A"/>
    <w:rsid w:val="00B2477E"/>
    <w:rsid w:val="00B254ED"/>
    <w:rsid w:val="00B25554"/>
    <w:rsid w:val="00B256D0"/>
    <w:rsid w:val="00B271B3"/>
    <w:rsid w:val="00B27A44"/>
    <w:rsid w:val="00B27F9E"/>
    <w:rsid w:val="00B3042C"/>
    <w:rsid w:val="00B30BBF"/>
    <w:rsid w:val="00B32C2F"/>
    <w:rsid w:val="00B32CE1"/>
    <w:rsid w:val="00B32FAB"/>
    <w:rsid w:val="00B3309F"/>
    <w:rsid w:val="00B3377E"/>
    <w:rsid w:val="00B33C03"/>
    <w:rsid w:val="00B357B0"/>
    <w:rsid w:val="00B372C5"/>
    <w:rsid w:val="00B374AF"/>
    <w:rsid w:val="00B429C0"/>
    <w:rsid w:val="00B435B2"/>
    <w:rsid w:val="00B43679"/>
    <w:rsid w:val="00B43CB4"/>
    <w:rsid w:val="00B43DC0"/>
    <w:rsid w:val="00B443E9"/>
    <w:rsid w:val="00B4452B"/>
    <w:rsid w:val="00B44E56"/>
    <w:rsid w:val="00B45ECE"/>
    <w:rsid w:val="00B462B9"/>
    <w:rsid w:val="00B46543"/>
    <w:rsid w:val="00B46BF6"/>
    <w:rsid w:val="00B47D33"/>
    <w:rsid w:val="00B50471"/>
    <w:rsid w:val="00B50475"/>
    <w:rsid w:val="00B52058"/>
    <w:rsid w:val="00B527F2"/>
    <w:rsid w:val="00B52BE0"/>
    <w:rsid w:val="00B532EF"/>
    <w:rsid w:val="00B54133"/>
    <w:rsid w:val="00B54A3B"/>
    <w:rsid w:val="00B54DF4"/>
    <w:rsid w:val="00B55553"/>
    <w:rsid w:val="00B558DC"/>
    <w:rsid w:val="00B55AF2"/>
    <w:rsid w:val="00B571A8"/>
    <w:rsid w:val="00B57574"/>
    <w:rsid w:val="00B577FE"/>
    <w:rsid w:val="00B611F3"/>
    <w:rsid w:val="00B62451"/>
    <w:rsid w:val="00B6283D"/>
    <w:rsid w:val="00B632DC"/>
    <w:rsid w:val="00B637B9"/>
    <w:rsid w:val="00B643B8"/>
    <w:rsid w:val="00B656AE"/>
    <w:rsid w:val="00B65C2F"/>
    <w:rsid w:val="00B6784D"/>
    <w:rsid w:val="00B67DF9"/>
    <w:rsid w:val="00B701ED"/>
    <w:rsid w:val="00B70628"/>
    <w:rsid w:val="00B716F4"/>
    <w:rsid w:val="00B71890"/>
    <w:rsid w:val="00B71FB3"/>
    <w:rsid w:val="00B72ED0"/>
    <w:rsid w:val="00B76932"/>
    <w:rsid w:val="00B76A54"/>
    <w:rsid w:val="00B76B79"/>
    <w:rsid w:val="00B8086C"/>
    <w:rsid w:val="00B81818"/>
    <w:rsid w:val="00B82247"/>
    <w:rsid w:val="00B825BF"/>
    <w:rsid w:val="00B82810"/>
    <w:rsid w:val="00B82AC9"/>
    <w:rsid w:val="00B83392"/>
    <w:rsid w:val="00B83EA4"/>
    <w:rsid w:val="00B8564E"/>
    <w:rsid w:val="00B861B4"/>
    <w:rsid w:val="00B86CA3"/>
    <w:rsid w:val="00B86DFE"/>
    <w:rsid w:val="00B8745F"/>
    <w:rsid w:val="00B90990"/>
    <w:rsid w:val="00B91812"/>
    <w:rsid w:val="00B92214"/>
    <w:rsid w:val="00B92253"/>
    <w:rsid w:val="00B922FF"/>
    <w:rsid w:val="00B9281E"/>
    <w:rsid w:val="00B92C3C"/>
    <w:rsid w:val="00B92D67"/>
    <w:rsid w:val="00B93660"/>
    <w:rsid w:val="00B93925"/>
    <w:rsid w:val="00B93B9B"/>
    <w:rsid w:val="00B95187"/>
    <w:rsid w:val="00B97BA7"/>
    <w:rsid w:val="00BA005F"/>
    <w:rsid w:val="00BA02B7"/>
    <w:rsid w:val="00BA1567"/>
    <w:rsid w:val="00BA1FFC"/>
    <w:rsid w:val="00BA2860"/>
    <w:rsid w:val="00BA2D55"/>
    <w:rsid w:val="00BA2FD5"/>
    <w:rsid w:val="00BA345C"/>
    <w:rsid w:val="00BA360A"/>
    <w:rsid w:val="00BA3E91"/>
    <w:rsid w:val="00BA49CD"/>
    <w:rsid w:val="00BA576D"/>
    <w:rsid w:val="00BA5D43"/>
    <w:rsid w:val="00BA61B9"/>
    <w:rsid w:val="00BA6FD7"/>
    <w:rsid w:val="00BA71B1"/>
    <w:rsid w:val="00BB00B7"/>
    <w:rsid w:val="00BB0637"/>
    <w:rsid w:val="00BB0E2E"/>
    <w:rsid w:val="00BB200A"/>
    <w:rsid w:val="00BB2151"/>
    <w:rsid w:val="00BB292E"/>
    <w:rsid w:val="00BB3158"/>
    <w:rsid w:val="00BB33FE"/>
    <w:rsid w:val="00BB345F"/>
    <w:rsid w:val="00BB3609"/>
    <w:rsid w:val="00BB3D55"/>
    <w:rsid w:val="00BB42F3"/>
    <w:rsid w:val="00BB4F6D"/>
    <w:rsid w:val="00BB51EF"/>
    <w:rsid w:val="00BB5883"/>
    <w:rsid w:val="00BB5EA7"/>
    <w:rsid w:val="00BB63F3"/>
    <w:rsid w:val="00BB646B"/>
    <w:rsid w:val="00BB64D7"/>
    <w:rsid w:val="00BB6820"/>
    <w:rsid w:val="00BB68EA"/>
    <w:rsid w:val="00BB6A87"/>
    <w:rsid w:val="00BC075D"/>
    <w:rsid w:val="00BC08B2"/>
    <w:rsid w:val="00BC0921"/>
    <w:rsid w:val="00BC0FA3"/>
    <w:rsid w:val="00BC1011"/>
    <w:rsid w:val="00BC1C27"/>
    <w:rsid w:val="00BC1D8A"/>
    <w:rsid w:val="00BC1FBC"/>
    <w:rsid w:val="00BC2083"/>
    <w:rsid w:val="00BC2585"/>
    <w:rsid w:val="00BC2B3E"/>
    <w:rsid w:val="00BC3E93"/>
    <w:rsid w:val="00BC540C"/>
    <w:rsid w:val="00BC6883"/>
    <w:rsid w:val="00BC6BBF"/>
    <w:rsid w:val="00BC7933"/>
    <w:rsid w:val="00BD0D73"/>
    <w:rsid w:val="00BD1572"/>
    <w:rsid w:val="00BD1574"/>
    <w:rsid w:val="00BD1B0C"/>
    <w:rsid w:val="00BD2755"/>
    <w:rsid w:val="00BD3082"/>
    <w:rsid w:val="00BD3132"/>
    <w:rsid w:val="00BD3ABF"/>
    <w:rsid w:val="00BD466A"/>
    <w:rsid w:val="00BD4F7C"/>
    <w:rsid w:val="00BD6A3C"/>
    <w:rsid w:val="00BD785F"/>
    <w:rsid w:val="00BD7E42"/>
    <w:rsid w:val="00BE0133"/>
    <w:rsid w:val="00BE0470"/>
    <w:rsid w:val="00BE0A39"/>
    <w:rsid w:val="00BE0D61"/>
    <w:rsid w:val="00BE14E3"/>
    <w:rsid w:val="00BE20C3"/>
    <w:rsid w:val="00BE23C9"/>
    <w:rsid w:val="00BE3774"/>
    <w:rsid w:val="00BE3D1A"/>
    <w:rsid w:val="00BE41E5"/>
    <w:rsid w:val="00BE4309"/>
    <w:rsid w:val="00BE471F"/>
    <w:rsid w:val="00BE506A"/>
    <w:rsid w:val="00BE5E15"/>
    <w:rsid w:val="00BE70C5"/>
    <w:rsid w:val="00BF0BBB"/>
    <w:rsid w:val="00BF2F2D"/>
    <w:rsid w:val="00BF4109"/>
    <w:rsid w:val="00BF4C91"/>
    <w:rsid w:val="00BF4CC3"/>
    <w:rsid w:val="00BF78AF"/>
    <w:rsid w:val="00BF7DD3"/>
    <w:rsid w:val="00C012A6"/>
    <w:rsid w:val="00C01A5B"/>
    <w:rsid w:val="00C01A9C"/>
    <w:rsid w:val="00C0200C"/>
    <w:rsid w:val="00C0224A"/>
    <w:rsid w:val="00C0415F"/>
    <w:rsid w:val="00C04C8B"/>
    <w:rsid w:val="00C054C7"/>
    <w:rsid w:val="00C057B5"/>
    <w:rsid w:val="00C072D8"/>
    <w:rsid w:val="00C07D43"/>
    <w:rsid w:val="00C07DC4"/>
    <w:rsid w:val="00C10199"/>
    <w:rsid w:val="00C1087E"/>
    <w:rsid w:val="00C10A1E"/>
    <w:rsid w:val="00C116DE"/>
    <w:rsid w:val="00C116EA"/>
    <w:rsid w:val="00C1326D"/>
    <w:rsid w:val="00C13A4C"/>
    <w:rsid w:val="00C14283"/>
    <w:rsid w:val="00C152BB"/>
    <w:rsid w:val="00C153FB"/>
    <w:rsid w:val="00C1586C"/>
    <w:rsid w:val="00C16A63"/>
    <w:rsid w:val="00C16B21"/>
    <w:rsid w:val="00C16DFB"/>
    <w:rsid w:val="00C17941"/>
    <w:rsid w:val="00C2201A"/>
    <w:rsid w:val="00C22474"/>
    <w:rsid w:val="00C22687"/>
    <w:rsid w:val="00C22689"/>
    <w:rsid w:val="00C230E4"/>
    <w:rsid w:val="00C23C63"/>
    <w:rsid w:val="00C23ECE"/>
    <w:rsid w:val="00C240A9"/>
    <w:rsid w:val="00C2433F"/>
    <w:rsid w:val="00C25290"/>
    <w:rsid w:val="00C2777C"/>
    <w:rsid w:val="00C3108D"/>
    <w:rsid w:val="00C32224"/>
    <w:rsid w:val="00C32250"/>
    <w:rsid w:val="00C323E1"/>
    <w:rsid w:val="00C32434"/>
    <w:rsid w:val="00C32E4D"/>
    <w:rsid w:val="00C32F0A"/>
    <w:rsid w:val="00C333A0"/>
    <w:rsid w:val="00C33E45"/>
    <w:rsid w:val="00C34155"/>
    <w:rsid w:val="00C3457E"/>
    <w:rsid w:val="00C34A7B"/>
    <w:rsid w:val="00C34DDA"/>
    <w:rsid w:val="00C35FBF"/>
    <w:rsid w:val="00C3666E"/>
    <w:rsid w:val="00C366CE"/>
    <w:rsid w:val="00C36856"/>
    <w:rsid w:val="00C36A81"/>
    <w:rsid w:val="00C36AB4"/>
    <w:rsid w:val="00C40CC2"/>
    <w:rsid w:val="00C41944"/>
    <w:rsid w:val="00C41974"/>
    <w:rsid w:val="00C42D24"/>
    <w:rsid w:val="00C447AD"/>
    <w:rsid w:val="00C450FC"/>
    <w:rsid w:val="00C45446"/>
    <w:rsid w:val="00C457AF"/>
    <w:rsid w:val="00C45B62"/>
    <w:rsid w:val="00C4625A"/>
    <w:rsid w:val="00C463F8"/>
    <w:rsid w:val="00C50657"/>
    <w:rsid w:val="00C507FB"/>
    <w:rsid w:val="00C51193"/>
    <w:rsid w:val="00C517C9"/>
    <w:rsid w:val="00C51DFB"/>
    <w:rsid w:val="00C51EF9"/>
    <w:rsid w:val="00C51F77"/>
    <w:rsid w:val="00C52574"/>
    <w:rsid w:val="00C53210"/>
    <w:rsid w:val="00C53C72"/>
    <w:rsid w:val="00C53F4A"/>
    <w:rsid w:val="00C53FAE"/>
    <w:rsid w:val="00C54125"/>
    <w:rsid w:val="00C55B54"/>
    <w:rsid w:val="00C56184"/>
    <w:rsid w:val="00C56BD7"/>
    <w:rsid w:val="00C576CF"/>
    <w:rsid w:val="00C57C57"/>
    <w:rsid w:val="00C60331"/>
    <w:rsid w:val="00C6039C"/>
    <w:rsid w:val="00C6098E"/>
    <w:rsid w:val="00C60DB5"/>
    <w:rsid w:val="00C611B5"/>
    <w:rsid w:val="00C6152C"/>
    <w:rsid w:val="00C61EB2"/>
    <w:rsid w:val="00C621C2"/>
    <w:rsid w:val="00C62766"/>
    <w:rsid w:val="00C633DD"/>
    <w:rsid w:val="00C637BF"/>
    <w:rsid w:val="00C63B15"/>
    <w:rsid w:val="00C642E4"/>
    <w:rsid w:val="00C64C0F"/>
    <w:rsid w:val="00C6517B"/>
    <w:rsid w:val="00C66A73"/>
    <w:rsid w:val="00C66AF9"/>
    <w:rsid w:val="00C67278"/>
    <w:rsid w:val="00C6782E"/>
    <w:rsid w:val="00C67FDB"/>
    <w:rsid w:val="00C7171D"/>
    <w:rsid w:val="00C72A7A"/>
    <w:rsid w:val="00C733AB"/>
    <w:rsid w:val="00C73A62"/>
    <w:rsid w:val="00C74810"/>
    <w:rsid w:val="00C75B0C"/>
    <w:rsid w:val="00C75DDA"/>
    <w:rsid w:val="00C76E68"/>
    <w:rsid w:val="00C770C7"/>
    <w:rsid w:val="00C77F37"/>
    <w:rsid w:val="00C80A76"/>
    <w:rsid w:val="00C80D0A"/>
    <w:rsid w:val="00C81339"/>
    <w:rsid w:val="00C82138"/>
    <w:rsid w:val="00C825EA"/>
    <w:rsid w:val="00C841FF"/>
    <w:rsid w:val="00C84ED8"/>
    <w:rsid w:val="00C85159"/>
    <w:rsid w:val="00C85867"/>
    <w:rsid w:val="00C85DB4"/>
    <w:rsid w:val="00C8649E"/>
    <w:rsid w:val="00C8682C"/>
    <w:rsid w:val="00C86BF1"/>
    <w:rsid w:val="00C86CE8"/>
    <w:rsid w:val="00C86FAA"/>
    <w:rsid w:val="00C87CEB"/>
    <w:rsid w:val="00C87FAA"/>
    <w:rsid w:val="00C90D68"/>
    <w:rsid w:val="00C91F56"/>
    <w:rsid w:val="00C927FF"/>
    <w:rsid w:val="00C92CB8"/>
    <w:rsid w:val="00C93220"/>
    <w:rsid w:val="00C936A2"/>
    <w:rsid w:val="00C939FE"/>
    <w:rsid w:val="00C93B7A"/>
    <w:rsid w:val="00C95180"/>
    <w:rsid w:val="00C963CC"/>
    <w:rsid w:val="00C96E32"/>
    <w:rsid w:val="00CA189A"/>
    <w:rsid w:val="00CA213C"/>
    <w:rsid w:val="00CA316C"/>
    <w:rsid w:val="00CA3E4F"/>
    <w:rsid w:val="00CA3ECD"/>
    <w:rsid w:val="00CA437E"/>
    <w:rsid w:val="00CA4612"/>
    <w:rsid w:val="00CA4BDA"/>
    <w:rsid w:val="00CA7A99"/>
    <w:rsid w:val="00CB1F66"/>
    <w:rsid w:val="00CB2951"/>
    <w:rsid w:val="00CB2F53"/>
    <w:rsid w:val="00CB34AC"/>
    <w:rsid w:val="00CB37D6"/>
    <w:rsid w:val="00CB54DD"/>
    <w:rsid w:val="00CB5951"/>
    <w:rsid w:val="00CB5B3D"/>
    <w:rsid w:val="00CB5E2A"/>
    <w:rsid w:val="00CB6EB9"/>
    <w:rsid w:val="00CB7CEE"/>
    <w:rsid w:val="00CB7DD9"/>
    <w:rsid w:val="00CC05BB"/>
    <w:rsid w:val="00CC0CA4"/>
    <w:rsid w:val="00CC286E"/>
    <w:rsid w:val="00CC49B5"/>
    <w:rsid w:val="00CC7395"/>
    <w:rsid w:val="00CD0020"/>
    <w:rsid w:val="00CD0FA4"/>
    <w:rsid w:val="00CD1F2C"/>
    <w:rsid w:val="00CD282B"/>
    <w:rsid w:val="00CD36E5"/>
    <w:rsid w:val="00CD4059"/>
    <w:rsid w:val="00CD418A"/>
    <w:rsid w:val="00CD4C35"/>
    <w:rsid w:val="00CD5537"/>
    <w:rsid w:val="00CD5DE7"/>
    <w:rsid w:val="00CD600C"/>
    <w:rsid w:val="00CD66D3"/>
    <w:rsid w:val="00CD7369"/>
    <w:rsid w:val="00CD7410"/>
    <w:rsid w:val="00CD7780"/>
    <w:rsid w:val="00CD7EDD"/>
    <w:rsid w:val="00CD7F64"/>
    <w:rsid w:val="00CE0787"/>
    <w:rsid w:val="00CE0B0E"/>
    <w:rsid w:val="00CE0C64"/>
    <w:rsid w:val="00CE112D"/>
    <w:rsid w:val="00CE1B2F"/>
    <w:rsid w:val="00CE1ED0"/>
    <w:rsid w:val="00CE206F"/>
    <w:rsid w:val="00CE2ED0"/>
    <w:rsid w:val="00CE2FEC"/>
    <w:rsid w:val="00CE3831"/>
    <w:rsid w:val="00CE3FF7"/>
    <w:rsid w:val="00CE435D"/>
    <w:rsid w:val="00CE47C0"/>
    <w:rsid w:val="00CE48D1"/>
    <w:rsid w:val="00CE4DF6"/>
    <w:rsid w:val="00CE51B0"/>
    <w:rsid w:val="00CE62FB"/>
    <w:rsid w:val="00CE65FA"/>
    <w:rsid w:val="00CE7336"/>
    <w:rsid w:val="00CE746D"/>
    <w:rsid w:val="00CF0373"/>
    <w:rsid w:val="00CF0421"/>
    <w:rsid w:val="00CF0A51"/>
    <w:rsid w:val="00CF0CF7"/>
    <w:rsid w:val="00CF12A6"/>
    <w:rsid w:val="00CF214D"/>
    <w:rsid w:val="00CF2408"/>
    <w:rsid w:val="00CF323F"/>
    <w:rsid w:val="00CF3C6A"/>
    <w:rsid w:val="00CF4367"/>
    <w:rsid w:val="00CF52A4"/>
    <w:rsid w:val="00CF5410"/>
    <w:rsid w:val="00CF5B45"/>
    <w:rsid w:val="00CF5B67"/>
    <w:rsid w:val="00CF66DC"/>
    <w:rsid w:val="00CF764F"/>
    <w:rsid w:val="00CF7AF2"/>
    <w:rsid w:val="00CF7B9B"/>
    <w:rsid w:val="00D00ABB"/>
    <w:rsid w:val="00D015CA"/>
    <w:rsid w:val="00D020D8"/>
    <w:rsid w:val="00D02EEC"/>
    <w:rsid w:val="00D03164"/>
    <w:rsid w:val="00D03551"/>
    <w:rsid w:val="00D03980"/>
    <w:rsid w:val="00D03A35"/>
    <w:rsid w:val="00D041C5"/>
    <w:rsid w:val="00D04589"/>
    <w:rsid w:val="00D05EC0"/>
    <w:rsid w:val="00D06A63"/>
    <w:rsid w:val="00D06AC5"/>
    <w:rsid w:val="00D06B01"/>
    <w:rsid w:val="00D077EE"/>
    <w:rsid w:val="00D07E0E"/>
    <w:rsid w:val="00D10175"/>
    <w:rsid w:val="00D11478"/>
    <w:rsid w:val="00D11955"/>
    <w:rsid w:val="00D1196B"/>
    <w:rsid w:val="00D119E3"/>
    <w:rsid w:val="00D1209E"/>
    <w:rsid w:val="00D12597"/>
    <w:rsid w:val="00D13863"/>
    <w:rsid w:val="00D1436E"/>
    <w:rsid w:val="00D14BC8"/>
    <w:rsid w:val="00D14CF4"/>
    <w:rsid w:val="00D1528C"/>
    <w:rsid w:val="00D15778"/>
    <w:rsid w:val="00D15ED0"/>
    <w:rsid w:val="00D16A53"/>
    <w:rsid w:val="00D170EF"/>
    <w:rsid w:val="00D17C58"/>
    <w:rsid w:val="00D20293"/>
    <w:rsid w:val="00D203F6"/>
    <w:rsid w:val="00D20A3A"/>
    <w:rsid w:val="00D2155E"/>
    <w:rsid w:val="00D21562"/>
    <w:rsid w:val="00D21B3E"/>
    <w:rsid w:val="00D21FED"/>
    <w:rsid w:val="00D2270E"/>
    <w:rsid w:val="00D228DC"/>
    <w:rsid w:val="00D22E65"/>
    <w:rsid w:val="00D23FDA"/>
    <w:rsid w:val="00D24251"/>
    <w:rsid w:val="00D24A90"/>
    <w:rsid w:val="00D2550C"/>
    <w:rsid w:val="00D25E97"/>
    <w:rsid w:val="00D3168C"/>
    <w:rsid w:val="00D31B12"/>
    <w:rsid w:val="00D343E2"/>
    <w:rsid w:val="00D35010"/>
    <w:rsid w:val="00D35449"/>
    <w:rsid w:val="00D35DF1"/>
    <w:rsid w:val="00D3603E"/>
    <w:rsid w:val="00D361A2"/>
    <w:rsid w:val="00D364CC"/>
    <w:rsid w:val="00D3656C"/>
    <w:rsid w:val="00D36FC4"/>
    <w:rsid w:val="00D37288"/>
    <w:rsid w:val="00D40723"/>
    <w:rsid w:val="00D408BA"/>
    <w:rsid w:val="00D40E08"/>
    <w:rsid w:val="00D415A1"/>
    <w:rsid w:val="00D4191A"/>
    <w:rsid w:val="00D42773"/>
    <w:rsid w:val="00D4365A"/>
    <w:rsid w:val="00D43873"/>
    <w:rsid w:val="00D44B3F"/>
    <w:rsid w:val="00D44C2E"/>
    <w:rsid w:val="00D45414"/>
    <w:rsid w:val="00D46106"/>
    <w:rsid w:val="00D51230"/>
    <w:rsid w:val="00D512E8"/>
    <w:rsid w:val="00D523CE"/>
    <w:rsid w:val="00D52A6D"/>
    <w:rsid w:val="00D5332F"/>
    <w:rsid w:val="00D53ADF"/>
    <w:rsid w:val="00D53C0F"/>
    <w:rsid w:val="00D53D56"/>
    <w:rsid w:val="00D53EFE"/>
    <w:rsid w:val="00D548B3"/>
    <w:rsid w:val="00D565AB"/>
    <w:rsid w:val="00D566BD"/>
    <w:rsid w:val="00D570A2"/>
    <w:rsid w:val="00D57A4D"/>
    <w:rsid w:val="00D60093"/>
    <w:rsid w:val="00D60AA7"/>
    <w:rsid w:val="00D60D87"/>
    <w:rsid w:val="00D60F97"/>
    <w:rsid w:val="00D6192E"/>
    <w:rsid w:val="00D61FCC"/>
    <w:rsid w:val="00D6201A"/>
    <w:rsid w:val="00D6226D"/>
    <w:rsid w:val="00D63E13"/>
    <w:rsid w:val="00D6435F"/>
    <w:rsid w:val="00D645F5"/>
    <w:rsid w:val="00D65FF1"/>
    <w:rsid w:val="00D665BA"/>
    <w:rsid w:val="00D6677E"/>
    <w:rsid w:val="00D706BB"/>
    <w:rsid w:val="00D72FF0"/>
    <w:rsid w:val="00D732CC"/>
    <w:rsid w:val="00D7356F"/>
    <w:rsid w:val="00D74B4F"/>
    <w:rsid w:val="00D74F9A"/>
    <w:rsid w:val="00D75BAE"/>
    <w:rsid w:val="00D75D04"/>
    <w:rsid w:val="00D75E28"/>
    <w:rsid w:val="00D75E39"/>
    <w:rsid w:val="00D75FCA"/>
    <w:rsid w:val="00D762E6"/>
    <w:rsid w:val="00D77256"/>
    <w:rsid w:val="00D772C2"/>
    <w:rsid w:val="00D8008E"/>
    <w:rsid w:val="00D800ED"/>
    <w:rsid w:val="00D8144F"/>
    <w:rsid w:val="00D8170F"/>
    <w:rsid w:val="00D8172B"/>
    <w:rsid w:val="00D81AEF"/>
    <w:rsid w:val="00D82B80"/>
    <w:rsid w:val="00D82BB0"/>
    <w:rsid w:val="00D82C45"/>
    <w:rsid w:val="00D83CE6"/>
    <w:rsid w:val="00D87542"/>
    <w:rsid w:val="00D878C6"/>
    <w:rsid w:val="00D908A8"/>
    <w:rsid w:val="00D91DE7"/>
    <w:rsid w:val="00D93FDC"/>
    <w:rsid w:val="00D93FE7"/>
    <w:rsid w:val="00D9427A"/>
    <w:rsid w:val="00D94362"/>
    <w:rsid w:val="00D943AD"/>
    <w:rsid w:val="00D94D9B"/>
    <w:rsid w:val="00D95136"/>
    <w:rsid w:val="00D95572"/>
    <w:rsid w:val="00D95D81"/>
    <w:rsid w:val="00D9642E"/>
    <w:rsid w:val="00D966D2"/>
    <w:rsid w:val="00D977B6"/>
    <w:rsid w:val="00D97AE4"/>
    <w:rsid w:val="00D97E94"/>
    <w:rsid w:val="00DA2725"/>
    <w:rsid w:val="00DA28CB"/>
    <w:rsid w:val="00DA3E49"/>
    <w:rsid w:val="00DA4A31"/>
    <w:rsid w:val="00DA58FB"/>
    <w:rsid w:val="00DA6192"/>
    <w:rsid w:val="00DA6A6D"/>
    <w:rsid w:val="00DA7B04"/>
    <w:rsid w:val="00DA7C66"/>
    <w:rsid w:val="00DB12E2"/>
    <w:rsid w:val="00DB13C5"/>
    <w:rsid w:val="00DB24B1"/>
    <w:rsid w:val="00DB36C2"/>
    <w:rsid w:val="00DB4BC2"/>
    <w:rsid w:val="00DB5779"/>
    <w:rsid w:val="00DB64E5"/>
    <w:rsid w:val="00DB7196"/>
    <w:rsid w:val="00DB71F1"/>
    <w:rsid w:val="00DC169B"/>
    <w:rsid w:val="00DC17D9"/>
    <w:rsid w:val="00DC1917"/>
    <w:rsid w:val="00DC2672"/>
    <w:rsid w:val="00DC2AB9"/>
    <w:rsid w:val="00DC3613"/>
    <w:rsid w:val="00DC38DE"/>
    <w:rsid w:val="00DC3A1C"/>
    <w:rsid w:val="00DC3BB2"/>
    <w:rsid w:val="00DC4067"/>
    <w:rsid w:val="00DC4567"/>
    <w:rsid w:val="00DC5272"/>
    <w:rsid w:val="00DC63F0"/>
    <w:rsid w:val="00DC6406"/>
    <w:rsid w:val="00DC7E48"/>
    <w:rsid w:val="00DD09DF"/>
    <w:rsid w:val="00DD22F6"/>
    <w:rsid w:val="00DD27C1"/>
    <w:rsid w:val="00DD3E69"/>
    <w:rsid w:val="00DD4EFF"/>
    <w:rsid w:val="00DD68B3"/>
    <w:rsid w:val="00DD6EE5"/>
    <w:rsid w:val="00DD73D8"/>
    <w:rsid w:val="00DD77D0"/>
    <w:rsid w:val="00DE0885"/>
    <w:rsid w:val="00DE092E"/>
    <w:rsid w:val="00DE111C"/>
    <w:rsid w:val="00DE16B7"/>
    <w:rsid w:val="00DE209D"/>
    <w:rsid w:val="00DE26E0"/>
    <w:rsid w:val="00DE2BA7"/>
    <w:rsid w:val="00DE331F"/>
    <w:rsid w:val="00DE386C"/>
    <w:rsid w:val="00DE4D35"/>
    <w:rsid w:val="00DE624B"/>
    <w:rsid w:val="00DE65FC"/>
    <w:rsid w:val="00DE68AD"/>
    <w:rsid w:val="00DE6C67"/>
    <w:rsid w:val="00DE7E07"/>
    <w:rsid w:val="00DF0549"/>
    <w:rsid w:val="00DF098B"/>
    <w:rsid w:val="00DF0CF5"/>
    <w:rsid w:val="00DF0F1D"/>
    <w:rsid w:val="00DF0FCB"/>
    <w:rsid w:val="00DF11C4"/>
    <w:rsid w:val="00DF1680"/>
    <w:rsid w:val="00DF1960"/>
    <w:rsid w:val="00DF208F"/>
    <w:rsid w:val="00DF210C"/>
    <w:rsid w:val="00DF21AE"/>
    <w:rsid w:val="00DF247F"/>
    <w:rsid w:val="00DF27D9"/>
    <w:rsid w:val="00DF3E78"/>
    <w:rsid w:val="00DF42D3"/>
    <w:rsid w:val="00DF464A"/>
    <w:rsid w:val="00DF4B6A"/>
    <w:rsid w:val="00DF4E38"/>
    <w:rsid w:val="00DF52E3"/>
    <w:rsid w:val="00DF65DB"/>
    <w:rsid w:val="00DF6E12"/>
    <w:rsid w:val="00DF753A"/>
    <w:rsid w:val="00DF7888"/>
    <w:rsid w:val="00E008FF"/>
    <w:rsid w:val="00E00AF3"/>
    <w:rsid w:val="00E0111F"/>
    <w:rsid w:val="00E013A9"/>
    <w:rsid w:val="00E01672"/>
    <w:rsid w:val="00E02362"/>
    <w:rsid w:val="00E02C09"/>
    <w:rsid w:val="00E0378F"/>
    <w:rsid w:val="00E047EB"/>
    <w:rsid w:val="00E04D59"/>
    <w:rsid w:val="00E0590C"/>
    <w:rsid w:val="00E05BEB"/>
    <w:rsid w:val="00E06312"/>
    <w:rsid w:val="00E06408"/>
    <w:rsid w:val="00E06545"/>
    <w:rsid w:val="00E077F3"/>
    <w:rsid w:val="00E07DA1"/>
    <w:rsid w:val="00E10386"/>
    <w:rsid w:val="00E10901"/>
    <w:rsid w:val="00E1113C"/>
    <w:rsid w:val="00E1203E"/>
    <w:rsid w:val="00E123CB"/>
    <w:rsid w:val="00E1276B"/>
    <w:rsid w:val="00E128A9"/>
    <w:rsid w:val="00E1296E"/>
    <w:rsid w:val="00E12A0E"/>
    <w:rsid w:val="00E12C21"/>
    <w:rsid w:val="00E13370"/>
    <w:rsid w:val="00E138CD"/>
    <w:rsid w:val="00E13DBA"/>
    <w:rsid w:val="00E13FB2"/>
    <w:rsid w:val="00E1557C"/>
    <w:rsid w:val="00E15BD5"/>
    <w:rsid w:val="00E169E6"/>
    <w:rsid w:val="00E16E87"/>
    <w:rsid w:val="00E1707B"/>
    <w:rsid w:val="00E17338"/>
    <w:rsid w:val="00E17C5D"/>
    <w:rsid w:val="00E17C64"/>
    <w:rsid w:val="00E20B67"/>
    <w:rsid w:val="00E20E13"/>
    <w:rsid w:val="00E21DBC"/>
    <w:rsid w:val="00E224C0"/>
    <w:rsid w:val="00E22D9F"/>
    <w:rsid w:val="00E2422E"/>
    <w:rsid w:val="00E24548"/>
    <w:rsid w:val="00E25D46"/>
    <w:rsid w:val="00E27463"/>
    <w:rsid w:val="00E275D7"/>
    <w:rsid w:val="00E27DBE"/>
    <w:rsid w:val="00E32AB1"/>
    <w:rsid w:val="00E32AF7"/>
    <w:rsid w:val="00E32B5B"/>
    <w:rsid w:val="00E33481"/>
    <w:rsid w:val="00E33BBD"/>
    <w:rsid w:val="00E33C4E"/>
    <w:rsid w:val="00E34577"/>
    <w:rsid w:val="00E348EF"/>
    <w:rsid w:val="00E35E46"/>
    <w:rsid w:val="00E36A4E"/>
    <w:rsid w:val="00E36C71"/>
    <w:rsid w:val="00E40404"/>
    <w:rsid w:val="00E40954"/>
    <w:rsid w:val="00E40B6C"/>
    <w:rsid w:val="00E42618"/>
    <w:rsid w:val="00E42D60"/>
    <w:rsid w:val="00E437E9"/>
    <w:rsid w:val="00E447BF"/>
    <w:rsid w:val="00E455A7"/>
    <w:rsid w:val="00E4578C"/>
    <w:rsid w:val="00E459C6"/>
    <w:rsid w:val="00E459C7"/>
    <w:rsid w:val="00E47574"/>
    <w:rsid w:val="00E47589"/>
    <w:rsid w:val="00E513B3"/>
    <w:rsid w:val="00E515ED"/>
    <w:rsid w:val="00E51EEF"/>
    <w:rsid w:val="00E52A3C"/>
    <w:rsid w:val="00E52CA7"/>
    <w:rsid w:val="00E53554"/>
    <w:rsid w:val="00E54833"/>
    <w:rsid w:val="00E55AA7"/>
    <w:rsid w:val="00E56519"/>
    <w:rsid w:val="00E565BE"/>
    <w:rsid w:val="00E57150"/>
    <w:rsid w:val="00E574B2"/>
    <w:rsid w:val="00E57960"/>
    <w:rsid w:val="00E6088E"/>
    <w:rsid w:val="00E60BD6"/>
    <w:rsid w:val="00E63565"/>
    <w:rsid w:val="00E63773"/>
    <w:rsid w:val="00E63E16"/>
    <w:rsid w:val="00E64915"/>
    <w:rsid w:val="00E6575B"/>
    <w:rsid w:val="00E657C4"/>
    <w:rsid w:val="00E6593A"/>
    <w:rsid w:val="00E65AC6"/>
    <w:rsid w:val="00E661D4"/>
    <w:rsid w:val="00E6653F"/>
    <w:rsid w:val="00E70091"/>
    <w:rsid w:val="00E70302"/>
    <w:rsid w:val="00E716C6"/>
    <w:rsid w:val="00E71896"/>
    <w:rsid w:val="00E720F5"/>
    <w:rsid w:val="00E721B4"/>
    <w:rsid w:val="00E72B16"/>
    <w:rsid w:val="00E733FB"/>
    <w:rsid w:val="00E73E55"/>
    <w:rsid w:val="00E747FD"/>
    <w:rsid w:val="00E75126"/>
    <w:rsid w:val="00E7581F"/>
    <w:rsid w:val="00E75DD3"/>
    <w:rsid w:val="00E76B94"/>
    <w:rsid w:val="00E76D47"/>
    <w:rsid w:val="00E7768C"/>
    <w:rsid w:val="00E8033D"/>
    <w:rsid w:val="00E806C6"/>
    <w:rsid w:val="00E8093A"/>
    <w:rsid w:val="00E80DBC"/>
    <w:rsid w:val="00E814B4"/>
    <w:rsid w:val="00E82037"/>
    <w:rsid w:val="00E82A81"/>
    <w:rsid w:val="00E83A77"/>
    <w:rsid w:val="00E8414F"/>
    <w:rsid w:val="00E84420"/>
    <w:rsid w:val="00E849F7"/>
    <w:rsid w:val="00E84D41"/>
    <w:rsid w:val="00E8556A"/>
    <w:rsid w:val="00E85585"/>
    <w:rsid w:val="00E85783"/>
    <w:rsid w:val="00E87846"/>
    <w:rsid w:val="00E90208"/>
    <w:rsid w:val="00E90234"/>
    <w:rsid w:val="00E90302"/>
    <w:rsid w:val="00E915F0"/>
    <w:rsid w:val="00E91E3D"/>
    <w:rsid w:val="00E94C66"/>
    <w:rsid w:val="00E94FB2"/>
    <w:rsid w:val="00E95454"/>
    <w:rsid w:val="00E9597F"/>
    <w:rsid w:val="00E96438"/>
    <w:rsid w:val="00E97396"/>
    <w:rsid w:val="00E975AF"/>
    <w:rsid w:val="00E976FF"/>
    <w:rsid w:val="00E97C1F"/>
    <w:rsid w:val="00E97EBE"/>
    <w:rsid w:val="00EA01BE"/>
    <w:rsid w:val="00EA094A"/>
    <w:rsid w:val="00EA0CED"/>
    <w:rsid w:val="00EA185E"/>
    <w:rsid w:val="00EA2BF6"/>
    <w:rsid w:val="00EA32B2"/>
    <w:rsid w:val="00EA3840"/>
    <w:rsid w:val="00EA4135"/>
    <w:rsid w:val="00EA4446"/>
    <w:rsid w:val="00EA4A6C"/>
    <w:rsid w:val="00EA4F19"/>
    <w:rsid w:val="00EA592A"/>
    <w:rsid w:val="00EA6B55"/>
    <w:rsid w:val="00EA6BDE"/>
    <w:rsid w:val="00EA74CE"/>
    <w:rsid w:val="00EA7C3C"/>
    <w:rsid w:val="00EB0C64"/>
    <w:rsid w:val="00EB0E89"/>
    <w:rsid w:val="00EB14E4"/>
    <w:rsid w:val="00EB1E71"/>
    <w:rsid w:val="00EB1ED4"/>
    <w:rsid w:val="00EB24AD"/>
    <w:rsid w:val="00EB3293"/>
    <w:rsid w:val="00EB32A5"/>
    <w:rsid w:val="00EB34ED"/>
    <w:rsid w:val="00EB47BF"/>
    <w:rsid w:val="00EB65AA"/>
    <w:rsid w:val="00EB70B4"/>
    <w:rsid w:val="00EB7BE0"/>
    <w:rsid w:val="00EC03AA"/>
    <w:rsid w:val="00EC0ED6"/>
    <w:rsid w:val="00EC227C"/>
    <w:rsid w:val="00EC2CBA"/>
    <w:rsid w:val="00EC315E"/>
    <w:rsid w:val="00EC358D"/>
    <w:rsid w:val="00EC38E7"/>
    <w:rsid w:val="00EC3E3C"/>
    <w:rsid w:val="00EC42AF"/>
    <w:rsid w:val="00EC4854"/>
    <w:rsid w:val="00EC5E00"/>
    <w:rsid w:val="00EC66CE"/>
    <w:rsid w:val="00EC67C4"/>
    <w:rsid w:val="00EC7A97"/>
    <w:rsid w:val="00ED077C"/>
    <w:rsid w:val="00ED081F"/>
    <w:rsid w:val="00ED1190"/>
    <w:rsid w:val="00ED1626"/>
    <w:rsid w:val="00ED1882"/>
    <w:rsid w:val="00ED23CF"/>
    <w:rsid w:val="00ED31AC"/>
    <w:rsid w:val="00ED436F"/>
    <w:rsid w:val="00ED4CF4"/>
    <w:rsid w:val="00ED53B7"/>
    <w:rsid w:val="00ED5D80"/>
    <w:rsid w:val="00ED616B"/>
    <w:rsid w:val="00ED6544"/>
    <w:rsid w:val="00ED6690"/>
    <w:rsid w:val="00ED6CFB"/>
    <w:rsid w:val="00ED72CE"/>
    <w:rsid w:val="00ED7B70"/>
    <w:rsid w:val="00EE0277"/>
    <w:rsid w:val="00EE0BED"/>
    <w:rsid w:val="00EE0DE4"/>
    <w:rsid w:val="00EE116D"/>
    <w:rsid w:val="00EE1C9C"/>
    <w:rsid w:val="00EE1DA9"/>
    <w:rsid w:val="00EE23D4"/>
    <w:rsid w:val="00EE3006"/>
    <w:rsid w:val="00EE3E00"/>
    <w:rsid w:val="00EE52B3"/>
    <w:rsid w:val="00EE584A"/>
    <w:rsid w:val="00EE5DD2"/>
    <w:rsid w:val="00EE701A"/>
    <w:rsid w:val="00EE74FE"/>
    <w:rsid w:val="00EF00BF"/>
    <w:rsid w:val="00EF018F"/>
    <w:rsid w:val="00EF0277"/>
    <w:rsid w:val="00EF0908"/>
    <w:rsid w:val="00EF1E28"/>
    <w:rsid w:val="00EF2032"/>
    <w:rsid w:val="00EF22B4"/>
    <w:rsid w:val="00EF41F1"/>
    <w:rsid w:val="00EF4F08"/>
    <w:rsid w:val="00EF57D8"/>
    <w:rsid w:val="00EF5D89"/>
    <w:rsid w:val="00EF62F0"/>
    <w:rsid w:val="00EF74D7"/>
    <w:rsid w:val="00EF7AB8"/>
    <w:rsid w:val="00EF7BBF"/>
    <w:rsid w:val="00F00A79"/>
    <w:rsid w:val="00F00E86"/>
    <w:rsid w:val="00F01C8D"/>
    <w:rsid w:val="00F023B8"/>
    <w:rsid w:val="00F0294C"/>
    <w:rsid w:val="00F02953"/>
    <w:rsid w:val="00F03349"/>
    <w:rsid w:val="00F037B8"/>
    <w:rsid w:val="00F03AF1"/>
    <w:rsid w:val="00F03BFA"/>
    <w:rsid w:val="00F04AE1"/>
    <w:rsid w:val="00F04E4A"/>
    <w:rsid w:val="00F05385"/>
    <w:rsid w:val="00F05D26"/>
    <w:rsid w:val="00F066AB"/>
    <w:rsid w:val="00F07C1E"/>
    <w:rsid w:val="00F105DB"/>
    <w:rsid w:val="00F10B0F"/>
    <w:rsid w:val="00F10CC9"/>
    <w:rsid w:val="00F10D46"/>
    <w:rsid w:val="00F10E3D"/>
    <w:rsid w:val="00F110B0"/>
    <w:rsid w:val="00F12221"/>
    <w:rsid w:val="00F132BC"/>
    <w:rsid w:val="00F13D80"/>
    <w:rsid w:val="00F1478C"/>
    <w:rsid w:val="00F147F7"/>
    <w:rsid w:val="00F14A5F"/>
    <w:rsid w:val="00F15159"/>
    <w:rsid w:val="00F15503"/>
    <w:rsid w:val="00F15B26"/>
    <w:rsid w:val="00F15F58"/>
    <w:rsid w:val="00F16AAA"/>
    <w:rsid w:val="00F16D01"/>
    <w:rsid w:val="00F2089C"/>
    <w:rsid w:val="00F21161"/>
    <w:rsid w:val="00F21744"/>
    <w:rsid w:val="00F2175F"/>
    <w:rsid w:val="00F218EF"/>
    <w:rsid w:val="00F21A04"/>
    <w:rsid w:val="00F21BC7"/>
    <w:rsid w:val="00F234E2"/>
    <w:rsid w:val="00F23AFD"/>
    <w:rsid w:val="00F241FA"/>
    <w:rsid w:val="00F2477B"/>
    <w:rsid w:val="00F249FC"/>
    <w:rsid w:val="00F26402"/>
    <w:rsid w:val="00F266A2"/>
    <w:rsid w:val="00F276AC"/>
    <w:rsid w:val="00F27E0F"/>
    <w:rsid w:val="00F30FC3"/>
    <w:rsid w:val="00F31153"/>
    <w:rsid w:val="00F31CB0"/>
    <w:rsid w:val="00F32269"/>
    <w:rsid w:val="00F32661"/>
    <w:rsid w:val="00F32EBA"/>
    <w:rsid w:val="00F33393"/>
    <w:rsid w:val="00F342A9"/>
    <w:rsid w:val="00F342D7"/>
    <w:rsid w:val="00F35F2A"/>
    <w:rsid w:val="00F360CC"/>
    <w:rsid w:val="00F36313"/>
    <w:rsid w:val="00F36C71"/>
    <w:rsid w:val="00F40A51"/>
    <w:rsid w:val="00F417D5"/>
    <w:rsid w:val="00F41D23"/>
    <w:rsid w:val="00F42701"/>
    <w:rsid w:val="00F42F34"/>
    <w:rsid w:val="00F4370B"/>
    <w:rsid w:val="00F439F2"/>
    <w:rsid w:val="00F4457E"/>
    <w:rsid w:val="00F449B2"/>
    <w:rsid w:val="00F44B46"/>
    <w:rsid w:val="00F46762"/>
    <w:rsid w:val="00F47475"/>
    <w:rsid w:val="00F47D84"/>
    <w:rsid w:val="00F47DC1"/>
    <w:rsid w:val="00F47DEA"/>
    <w:rsid w:val="00F51790"/>
    <w:rsid w:val="00F53690"/>
    <w:rsid w:val="00F5421D"/>
    <w:rsid w:val="00F54DE3"/>
    <w:rsid w:val="00F54F26"/>
    <w:rsid w:val="00F56100"/>
    <w:rsid w:val="00F56A6F"/>
    <w:rsid w:val="00F5709C"/>
    <w:rsid w:val="00F613F5"/>
    <w:rsid w:val="00F644B2"/>
    <w:rsid w:val="00F645A2"/>
    <w:rsid w:val="00F64644"/>
    <w:rsid w:val="00F64B7C"/>
    <w:rsid w:val="00F64BC9"/>
    <w:rsid w:val="00F64EF1"/>
    <w:rsid w:val="00F653E3"/>
    <w:rsid w:val="00F65B10"/>
    <w:rsid w:val="00F65B18"/>
    <w:rsid w:val="00F6679F"/>
    <w:rsid w:val="00F678B8"/>
    <w:rsid w:val="00F71361"/>
    <w:rsid w:val="00F72B47"/>
    <w:rsid w:val="00F72F7B"/>
    <w:rsid w:val="00F72F83"/>
    <w:rsid w:val="00F74A48"/>
    <w:rsid w:val="00F74CA4"/>
    <w:rsid w:val="00F80AC2"/>
    <w:rsid w:val="00F80EC8"/>
    <w:rsid w:val="00F81EBD"/>
    <w:rsid w:val="00F83384"/>
    <w:rsid w:val="00F83B93"/>
    <w:rsid w:val="00F86F18"/>
    <w:rsid w:val="00F86F45"/>
    <w:rsid w:val="00F8765F"/>
    <w:rsid w:val="00F9013D"/>
    <w:rsid w:val="00F90767"/>
    <w:rsid w:val="00F91332"/>
    <w:rsid w:val="00F9244E"/>
    <w:rsid w:val="00F9253E"/>
    <w:rsid w:val="00F92ADC"/>
    <w:rsid w:val="00F92CAD"/>
    <w:rsid w:val="00F932AD"/>
    <w:rsid w:val="00F932B8"/>
    <w:rsid w:val="00F936BC"/>
    <w:rsid w:val="00F94A9F"/>
    <w:rsid w:val="00F94E60"/>
    <w:rsid w:val="00F95CEA"/>
    <w:rsid w:val="00F95CF1"/>
    <w:rsid w:val="00F95E36"/>
    <w:rsid w:val="00F960ED"/>
    <w:rsid w:val="00F97641"/>
    <w:rsid w:val="00FA0C30"/>
    <w:rsid w:val="00FA1927"/>
    <w:rsid w:val="00FA3210"/>
    <w:rsid w:val="00FA4050"/>
    <w:rsid w:val="00FA4E0A"/>
    <w:rsid w:val="00FA5B9C"/>
    <w:rsid w:val="00FA5C44"/>
    <w:rsid w:val="00FA6498"/>
    <w:rsid w:val="00FA685B"/>
    <w:rsid w:val="00FA6888"/>
    <w:rsid w:val="00FA7770"/>
    <w:rsid w:val="00FB0C01"/>
    <w:rsid w:val="00FB0F38"/>
    <w:rsid w:val="00FB1E0E"/>
    <w:rsid w:val="00FB26AA"/>
    <w:rsid w:val="00FB2B73"/>
    <w:rsid w:val="00FB3A27"/>
    <w:rsid w:val="00FB3F3A"/>
    <w:rsid w:val="00FB435A"/>
    <w:rsid w:val="00FB5166"/>
    <w:rsid w:val="00FB55DE"/>
    <w:rsid w:val="00FB6144"/>
    <w:rsid w:val="00FC05ED"/>
    <w:rsid w:val="00FC0BC4"/>
    <w:rsid w:val="00FC139A"/>
    <w:rsid w:val="00FC18F2"/>
    <w:rsid w:val="00FC1C9F"/>
    <w:rsid w:val="00FC39E5"/>
    <w:rsid w:val="00FC3A78"/>
    <w:rsid w:val="00FC4133"/>
    <w:rsid w:val="00FC43C5"/>
    <w:rsid w:val="00FC53C7"/>
    <w:rsid w:val="00FC5FFE"/>
    <w:rsid w:val="00FC7313"/>
    <w:rsid w:val="00FD0521"/>
    <w:rsid w:val="00FD0BFE"/>
    <w:rsid w:val="00FD0D9A"/>
    <w:rsid w:val="00FD0E0F"/>
    <w:rsid w:val="00FD1005"/>
    <w:rsid w:val="00FD109C"/>
    <w:rsid w:val="00FD2338"/>
    <w:rsid w:val="00FD2428"/>
    <w:rsid w:val="00FD2B45"/>
    <w:rsid w:val="00FD3180"/>
    <w:rsid w:val="00FD3899"/>
    <w:rsid w:val="00FD3FF1"/>
    <w:rsid w:val="00FD58AF"/>
    <w:rsid w:val="00FD5987"/>
    <w:rsid w:val="00FD6437"/>
    <w:rsid w:val="00FD6C75"/>
    <w:rsid w:val="00FD7208"/>
    <w:rsid w:val="00FD7D46"/>
    <w:rsid w:val="00FE0015"/>
    <w:rsid w:val="00FE1BB3"/>
    <w:rsid w:val="00FE25C7"/>
    <w:rsid w:val="00FE315E"/>
    <w:rsid w:val="00FE3E51"/>
    <w:rsid w:val="00FE4164"/>
    <w:rsid w:val="00FE71B3"/>
    <w:rsid w:val="00FE769D"/>
    <w:rsid w:val="00FF168F"/>
    <w:rsid w:val="00FF1917"/>
    <w:rsid w:val="00FF22D3"/>
    <w:rsid w:val="00FF2FDA"/>
    <w:rsid w:val="00FF36C8"/>
    <w:rsid w:val="00FF3B6F"/>
    <w:rsid w:val="00FF3EA1"/>
    <w:rsid w:val="00FF40F3"/>
    <w:rsid w:val="00FF42C5"/>
    <w:rsid w:val="00FF4AE4"/>
    <w:rsid w:val="00FF4D0F"/>
    <w:rsid w:val="00FF5356"/>
    <w:rsid w:val="00FF5BAA"/>
    <w:rsid w:val="00FF72C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annotation reference" w:uiPriority="0"/>
    <w:lsdException w:name="page number"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F83B93"/>
    <w:pPr>
      <w:jc w:val="both"/>
    </w:pPr>
    <w:rPr>
      <w:rFonts w:eastAsiaTheme="minorEastAsia"/>
      <w:sz w:val="24"/>
    </w:rPr>
  </w:style>
  <w:style w:type="paragraph" w:styleId="Heading1">
    <w:name w:val="heading 1"/>
    <w:basedOn w:val="Normal"/>
    <w:next w:val="Normal"/>
    <w:link w:val="Heading1Char"/>
    <w:uiPriority w:val="99"/>
    <w:semiHidden/>
    <w:rsid w:val="001724D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1724D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1724DF"/>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1724DF"/>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1724DF"/>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1724D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1724D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1724D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1724D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24DF"/>
    <w:rPr>
      <w:rFonts w:ascii="Tahoma" w:hAnsi="Tahoma" w:cs="Tahoma"/>
      <w:sz w:val="16"/>
      <w:szCs w:val="16"/>
    </w:rPr>
  </w:style>
  <w:style w:type="character" w:customStyle="1" w:styleId="BalloonTextChar">
    <w:name w:val="Balloon Text Char"/>
    <w:basedOn w:val="DefaultParagraphFont"/>
    <w:link w:val="BalloonText"/>
    <w:uiPriority w:val="99"/>
    <w:semiHidden/>
    <w:rsid w:val="001724DF"/>
    <w:rPr>
      <w:rFonts w:ascii="Tahoma" w:eastAsiaTheme="minorEastAsia" w:hAnsi="Tahoma" w:cs="Tahoma"/>
      <w:sz w:val="16"/>
      <w:szCs w:val="16"/>
    </w:rPr>
  </w:style>
  <w:style w:type="character" w:styleId="BookTitle">
    <w:name w:val="Book Title"/>
    <w:uiPriority w:val="99"/>
    <w:semiHidden/>
    <w:qFormat/>
    <w:rsid w:val="001724DF"/>
    <w:rPr>
      <w:i/>
      <w:iCs/>
      <w:smallCaps/>
      <w:spacing w:val="5"/>
    </w:rPr>
  </w:style>
  <w:style w:type="paragraph" w:customStyle="1" w:styleId="ECHRHeader">
    <w:name w:val="ECHR_Header"/>
    <w:aliases w:val="Ju_Header"/>
    <w:basedOn w:val="Header"/>
    <w:uiPriority w:val="4"/>
    <w:qFormat/>
    <w:rsid w:val="001724DF"/>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link w:val="ECHRFooterChar"/>
    <w:uiPriority w:val="57"/>
    <w:rsid w:val="001724DF"/>
    <w:pPr>
      <w:jc w:val="left"/>
    </w:pPr>
    <w:rPr>
      <w:sz w:val="8"/>
    </w:rPr>
  </w:style>
  <w:style w:type="character" w:styleId="Strong">
    <w:name w:val="Strong"/>
    <w:uiPriority w:val="99"/>
    <w:semiHidden/>
    <w:qFormat/>
    <w:rsid w:val="001724DF"/>
    <w:rPr>
      <w:b/>
      <w:bCs/>
    </w:rPr>
  </w:style>
  <w:style w:type="paragraph" w:styleId="NoSpacing">
    <w:name w:val="No Spacing"/>
    <w:basedOn w:val="Normal"/>
    <w:link w:val="NoSpacingChar"/>
    <w:semiHidden/>
    <w:qFormat/>
    <w:rsid w:val="001724DF"/>
  </w:style>
  <w:style w:type="character" w:customStyle="1" w:styleId="NoSpacingChar">
    <w:name w:val="No Spacing Char"/>
    <w:basedOn w:val="DefaultParagraphFont"/>
    <w:link w:val="NoSpacing"/>
    <w:semiHidden/>
    <w:rsid w:val="001724DF"/>
    <w:rPr>
      <w:rFonts w:eastAsiaTheme="minorEastAsia"/>
      <w:sz w:val="24"/>
    </w:rPr>
  </w:style>
  <w:style w:type="paragraph" w:customStyle="1" w:styleId="ECHRFooterLine">
    <w:name w:val="ECHR_Footer_Line"/>
    <w:aliases w:val="Footer_Line"/>
    <w:basedOn w:val="Normal"/>
    <w:next w:val="ECHRFooter"/>
    <w:uiPriority w:val="57"/>
    <w:semiHidden/>
    <w:rsid w:val="001724DF"/>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1724DF"/>
    <w:pPr>
      <w:numPr>
        <w:numId w:val="14"/>
      </w:numPr>
      <w:jc w:val="left"/>
    </w:pPr>
    <w:rPr>
      <w:b/>
    </w:rPr>
  </w:style>
  <w:style w:type="paragraph" w:customStyle="1" w:styleId="OpiPara">
    <w:name w:val="Opi_Para"/>
    <w:basedOn w:val="ECHRPara"/>
    <w:uiPriority w:val="46"/>
    <w:qFormat/>
    <w:rsid w:val="001724DF"/>
  </w:style>
  <w:style w:type="paragraph" w:customStyle="1" w:styleId="JuParaSub">
    <w:name w:val="Ju_Para_Sub"/>
    <w:basedOn w:val="ECHRPara"/>
    <w:uiPriority w:val="13"/>
    <w:qFormat/>
    <w:rsid w:val="001724DF"/>
    <w:pPr>
      <w:ind w:left="284"/>
    </w:pPr>
  </w:style>
  <w:style w:type="paragraph" w:customStyle="1" w:styleId="ECHRTitleCentre3">
    <w:name w:val="ECHR_Title_Centre_3"/>
    <w:aliases w:val="Ju_H_Article"/>
    <w:basedOn w:val="Normal"/>
    <w:next w:val="ECHRParaQuote"/>
    <w:uiPriority w:val="27"/>
    <w:qFormat/>
    <w:rsid w:val="001724DF"/>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1724DF"/>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1724DF"/>
  </w:style>
  <w:style w:type="paragraph" w:customStyle="1" w:styleId="OpiQuot">
    <w:name w:val="Opi_Quot"/>
    <w:basedOn w:val="ECHRParaQuote"/>
    <w:uiPriority w:val="48"/>
    <w:qFormat/>
    <w:rsid w:val="001724DF"/>
  </w:style>
  <w:style w:type="paragraph" w:customStyle="1" w:styleId="OpiQuotSub">
    <w:name w:val="Opi_Quot_Sub"/>
    <w:basedOn w:val="JuQuotSub"/>
    <w:uiPriority w:val="49"/>
    <w:semiHidden/>
    <w:qFormat/>
    <w:rsid w:val="001724DF"/>
  </w:style>
  <w:style w:type="paragraph" w:customStyle="1" w:styleId="ECHRTitleCentre2">
    <w:name w:val="ECHR_Title_Centre_2"/>
    <w:aliases w:val="Dec_H_Case"/>
    <w:basedOn w:val="Normal"/>
    <w:next w:val="ECHRPara"/>
    <w:uiPriority w:val="8"/>
    <w:qFormat/>
    <w:rsid w:val="001724DF"/>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1724DF"/>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1724D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1724DF"/>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ECHRPara"/>
    <w:uiPriority w:val="21"/>
    <w:qFormat/>
    <w:rsid w:val="001724DF"/>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1724D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1724D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1724D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1724DF"/>
    <w:pPr>
      <w:keepNext/>
      <w:keepLines/>
      <w:spacing w:before="240" w:after="120"/>
      <w:ind w:left="1236"/>
    </w:pPr>
    <w:rPr>
      <w:sz w:val="20"/>
    </w:rPr>
  </w:style>
  <w:style w:type="paragraph" w:customStyle="1" w:styleId="JuCase">
    <w:name w:val="Ju_Case"/>
    <w:basedOn w:val="Normal"/>
    <w:next w:val="ECHRPara"/>
    <w:uiPriority w:val="10"/>
    <w:rsid w:val="001724DF"/>
    <w:pPr>
      <w:ind w:firstLine="284"/>
    </w:pPr>
    <w:rPr>
      <w:b/>
    </w:rPr>
  </w:style>
  <w:style w:type="paragraph" w:customStyle="1" w:styleId="JuQuotSub">
    <w:name w:val="Ju_Quot_Sub"/>
    <w:basedOn w:val="ECHRParaQuote"/>
    <w:uiPriority w:val="15"/>
    <w:qFormat/>
    <w:rsid w:val="001724DF"/>
    <w:pPr>
      <w:ind w:left="567"/>
    </w:pPr>
  </w:style>
  <w:style w:type="paragraph" w:customStyle="1" w:styleId="JuInitialled">
    <w:name w:val="Ju_Initialled"/>
    <w:basedOn w:val="Normal"/>
    <w:uiPriority w:val="31"/>
    <w:qFormat/>
    <w:rsid w:val="001724DF"/>
    <w:pPr>
      <w:tabs>
        <w:tab w:val="center" w:pos="6407"/>
      </w:tabs>
      <w:spacing w:before="720"/>
      <w:jc w:val="right"/>
    </w:pPr>
  </w:style>
  <w:style w:type="paragraph" w:styleId="Header">
    <w:name w:val="header"/>
    <w:basedOn w:val="Normal"/>
    <w:link w:val="HeaderChar"/>
    <w:uiPriority w:val="57"/>
    <w:semiHidden/>
    <w:rsid w:val="001724DF"/>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1724DF"/>
    <w:rPr>
      <w:sz w:val="24"/>
    </w:rPr>
  </w:style>
  <w:style w:type="character" w:customStyle="1" w:styleId="Heading1Char">
    <w:name w:val="Heading 1 Char"/>
    <w:basedOn w:val="DefaultParagraphFont"/>
    <w:link w:val="Heading1"/>
    <w:uiPriority w:val="99"/>
    <w:semiHidden/>
    <w:rsid w:val="001724D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link w:val="JuHIRomanChar"/>
    <w:uiPriority w:val="19"/>
    <w:qFormat/>
    <w:rsid w:val="001724D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1724DF"/>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1724DF"/>
    <w:rPr>
      <w:rFonts w:asciiTheme="majorHAnsi" w:eastAsiaTheme="majorEastAsia" w:hAnsiTheme="majorHAnsi" w:cstheme="majorBidi"/>
      <w:b/>
      <w:bCs/>
      <w:color w:val="4D4D4D"/>
      <w:sz w:val="26"/>
      <w:szCs w:val="26"/>
    </w:rPr>
  </w:style>
  <w:style w:type="character" w:customStyle="1" w:styleId="JUNAMES">
    <w:name w:val="JU_NAMES"/>
    <w:uiPriority w:val="17"/>
    <w:qFormat/>
    <w:rsid w:val="001724DF"/>
    <w:rPr>
      <w:caps w:val="0"/>
      <w:smallCaps/>
    </w:rPr>
  </w:style>
  <w:style w:type="paragraph" w:customStyle="1" w:styleId="OpiHA">
    <w:name w:val="Opi_H_A"/>
    <w:basedOn w:val="ECHRHeading1"/>
    <w:next w:val="OpiPara"/>
    <w:uiPriority w:val="41"/>
    <w:qFormat/>
    <w:rsid w:val="001724DF"/>
    <w:pPr>
      <w:tabs>
        <w:tab w:val="clear" w:pos="357"/>
      </w:tabs>
      <w:outlineLvl w:val="1"/>
    </w:pPr>
    <w:rPr>
      <w:b/>
    </w:rPr>
  </w:style>
  <w:style w:type="character" w:customStyle="1" w:styleId="Heading3Char">
    <w:name w:val="Heading 3 Char"/>
    <w:basedOn w:val="DefaultParagraphFont"/>
    <w:link w:val="Heading3"/>
    <w:uiPriority w:val="99"/>
    <w:semiHidden/>
    <w:rsid w:val="001724DF"/>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1724DF"/>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1724DF"/>
    <w:rPr>
      <w:rFonts w:asciiTheme="majorHAnsi" w:eastAsiaTheme="majorEastAsia" w:hAnsiTheme="majorHAnsi" w:cstheme="majorBidi"/>
      <w:b/>
      <w:bCs/>
      <w:color w:val="808080"/>
      <w:sz w:val="24"/>
    </w:rPr>
  </w:style>
  <w:style w:type="character" w:styleId="SubtleEmphasis">
    <w:name w:val="Subtle Emphasis"/>
    <w:uiPriority w:val="99"/>
    <w:semiHidden/>
    <w:qFormat/>
    <w:rsid w:val="001724DF"/>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1724DF"/>
    <w:pPr>
      <w:keepNext/>
      <w:keepLines/>
      <w:spacing w:before="720" w:after="240"/>
      <w:outlineLvl w:val="0"/>
    </w:pPr>
    <w:rPr>
      <w:rFonts w:asciiTheme="majorHAnsi" w:hAnsiTheme="majorHAnsi"/>
      <w:sz w:val="28"/>
    </w:rPr>
  </w:style>
  <w:style w:type="character" w:styleId="Emphasis">
    <w:name w:val="Emphasis"/>
    <w:uiPriority w:val="99"/>
    <w:semiHidden/>
    <w:qFormat/>
    <w:rsid w:val="001724DF"/>
    <w:rPr>
      <w:b/>
      <w:bCs/>
      <w:i/>
      <w:iCs/>
      <w:spacing w:val="10"/>
      <w:bdr w:val="none" w:sz="0" w:space="0" w:color="auto"/>
      <w:shd w:val="clear" w:color="auto" w:fill="auto"/>
    </w:rPr>
  </w:style>
  <w:style w:type="paragraph" w:styleId="Footer">
    <w:name w:val="footer"/>
    <w:basedOn w:val="Normal"/>
    <w:link w:val="FooterChar"/>
    <w:uiPriority w:val="57"/>
    <w:semiHidden/>
    <w:rsid w:val="001724DF"/>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1724DF"/>
    <w:rPr>
      <w:sz w:val="24"/>
    </w:rPr>
  </w:style>
  <w:style w:type="character" w:styleId="FootnoteReference">
    <w:name w:val="footnote reference"/>
    <w:basedOn w:val="DefaultParagraphFont"/>
    <w:uiPriority w:val="99"/>
    <w:semiHidden/>
    <w:rsid w:val="001724DF"/>
    <w:rPr>
      <w:vertAlign w:val="superscript"/>
    </w:rPr>
  </w:style>
  <w:style w:type="paragraph" w:styleId="FootnoteText">
    <w:name w:val="footnote text"/>
    <w:basedOn w:val="Normal"/>
    <w:link w:val="FootnoteTextChar"/>
    <w:uiPriority w:val="99"/>
    <w:semiHidden/>
    <w:rsid w:val="001724DF"/>
    <w:rPr>
      <w:sz w:val="20"/>
      <w:szCs w:val="20"/>
    </w:rPr>
  </w:style>
  <w:style w:type="character" w:customStyle="1" w:styleId="FootnoteTextChar">
    <w:name w:val="Footnote Text Char"/>
    <w:basedOn w:val="DefaultParagraphFont"/>
    <w:link w:val="FootnoteText"/>
    <w:uiPriority w:val="99"/>
    <w:semiHidden/>
    <w:rsid w:val="001724DF"/>
    <w:rPr>
      <w:rFonts w:eastAsiaTheme="minorEastAsia"/>
      <w:sz w:val="20"/>
      <w:szCs w:val="20"/>
    </w:rPr>
  </w:style>
  <w:style w:type="character" w:customStyle="1" w:styleId="Heading6Char">
    <w:name w:val="Heading 6 Char"/>
    <w:basedOn w:val="DefaultParagraphFont"/>
    <w:link w:val="Heading6"/>
    <w:uiPriority w:val="99"/>
    <w:semiHidden/>
    <w:rsid w:val="001724DF"/>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1724DF"/>
    <w:rPr>
      <w:rFonts w:asciiTheme="majorHAnsi" w:eastAsiaTheme="majorEastAsia" w:hAnsiTheme="majorHAnsi" w:cstheme="majorBidi"/>
      <w:i/>
      <w:iCs/>
      <w:sz w:val="24"/>
      <w:lang w:bidi="lv-LV"/>
    </w:rPr>
  </w:style>
  <w:style w:type="character" w:customStyle="1" w:styleId="Heading8Char">
    <w:name w:val="Heading 8 Char"/>
    <w:basedOn w:val="DefaultParagraphFont"/>
    <w:link w:val="Heading8"/>
    <w:uiPriority w:val="99"/>
    <w:semiHidden/>
    <w:rsid w:val="001724DF"/>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1724DF"/>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1724DF"/>
    <w:rPr>
      <w:color w:val="0072BC" w:themeColor="hyperlink"/>
      <w:u w:val="single"/>
    </w:rPr>
  </w:style>
  <w:style w:type="character" w:styleId="IntenseEmphasis">
    <w:name w:val="Intense Emphasis"/>
    <w:uiPriority w:val="99"/>
    <w:semiHidden/>
    <w:qFormat/>
    <w:rsid w:val="001724DF"/>
    <w:rPr>
      <w:b/>
      <w:bCs/>
    </w:rPr>
  </w:style>
  <w:style w:type="paragraph" w:styleId="IntenseQuote">
    <w:name w:val="Intense Quote"/>
    <w:basedOn w:val="Normal"/>
    <w:next w:val="Normal"/>
    <w:link w:val="IntenseQuoteChar"/>
    <w:uiPriority w:val="99"/>
    <w:semiHidden/>
    <w:qFormat/>
    <w:rsid w:val="001724D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rsid w:val="001724DF"/>
    <w:rPr>
      <w:rFonts w:eastAsiaTheme="minorEastAsia"/>
      <w:b/>
      <w:bCs/>
      <w:i/>
      <w:iCs/>
      <w:sz w:val="24"/>
      <w:lang w:bidi="lv-LV"/>
    </w:rPr>
  </w:style>
  <w:style w:type="character" w:styleId="IntenseReference">
    <w:name w:val="Intense Reference"/>
    <w:uiPriority w:val="99"/>
    <w:semiHidden/>
    <w:qFormat/>
    <w:rsid w:val="001724DF"/>
    <w:rPr>
      <w:smallCaps/>
      <w:spacing w:val="5"/>
      <w:u w:val="single"/>
    </w:rPr>
  </w:style>
  <w:style w:type="paragraph" w:styleId="ListParagraph">
    <w:name w:val="List Paragraph"/>
    <w:basedOn w:val="Normal"/>
    <w:uiPriority w:val="99"/>
    <w:semiHidden/>
    <w:qFormat/>
    <w:rsid w:val="001724DF"/>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1724DF"/>
    <w:pPr>
      <w:spacing w:before="200"/>
      <w:ind w:left="360" w:right="360"/>
    </w:pPr>
    <w:rPr>
      <w:i/>
      <w:iCs/>
    </w:rPr>
  </w:style>
  <w:style w:type="character" w:customStyle="1" w:styleId="QuoteChar">
    <w:name w:val="Quote Char"/>
    <w:basedOn w:val="DefaultParagraphFont"/>
    <w:link w:val="Quote"/>
    <w:uiPriority w:val="99"/>
    <w:semiHidden/>
    <w:rsid w:val="001724DF"/>
    <w:rPr>
      <w:rFonts w:eastAsiaTheme="minorEastAsia"/>
      <w:i/>
      <w:iCs/>
      <w:sz w:val="24"/>
      <w:lang w:bidi="lv-LV"/>
    </w:rPr>
  </w:style>
  <w:style w:type="character" w:styleId="SubtleReference">
    <w:name w:val="Subtle Reference"/>
    <w:uiPriority w:val="99"/>
    <w:semiHidden/>
    <w:qFormat/>
    <w:rsid w:val="001724DF"/>
    <w:rPr>
      <w:smallCaps/>
    </w:rPr>
  </w:style>
  <w:style w:type="table" w:styleId="TableGrid">
    <w:name w:val="Table Grid"/>
    <w:basedOn w:val="TableNormal"/>
    <w:uiPriority w:val="59"/>
    <w:rsid w:val="001724D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724DF"/>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1724DF"/>
    <w:pPr>
      <w:spacing w:after="60"/>
      <w:ind w:left="680" w:right="340" w:hanging="340"/>
    </w:pPr>
  </w:style>
  <w:style w:type="paragraph" w:styleId="TOC3">
    <w:name w:val="toc 3"/>
    <w:basedOn w:val="Normal"/>
    <w:next w:val="Normal"/>
    <w:autoRedefine/>
    <w:uiPriority w:val="99"/>
    <w:semiHidden/>
    <w:rsid w:val="001724DF"/>
    <w:pPr>
      <w:spacing w:after="60"/>
      <w:ind w:left="1020" w:right="340" w:hanging="340"/>
    </w:pPr>
  </w:style>
  <w:style w:type="paragraph" w:styleId="TOC4">
    <w:name w:val="toc 4"/>
    <w:basedOn w:val="Normal"/>
    <w:next w:val="Normal"/>
    <w:autoRedefine/>
    <w:uiPriority w:val="99"/>
    <w:semiHidden/>
    <w:rsid w:val="001724DF"/>
    <w:pPr>
      <w:tabs>
        <w:tab w:val="right" w:leader="dot" w:pos="9017"/>
      </w:tabs>
      <w:spacing w:after="60"/>
      <w:ind w:left="1361" w:right="340" w:hanging="340"/>
    </w:pPr>
  </w:style>
  <w:style w:type="paragraph" w:styleId="TOC5">
    <w:name w:val="toc 5"/>
    <w:basedOn w:val="Normal"/>
    <w:next w:val="Normal"/>
    <w:autoRedefine/>
    <w:uiPriority w:val="99"/>
    <w:semiHidden/>
    <w:rsid w:val="001724DF"/>
    <w:pPr>
      <w:spacing w:after="60"/>
      <w:ind w:left="1701" w:right="340" w:hanging="340"/>
    </w:pPr>
  </w:style>
  <w:style w:type="paragraph" w:styleId="TOCHeading">
    <w:name w:val="TOC Heading"/>
    <w:basedOn w:val="Heading1"/>
    <w:next w:val="Normal"/>
    <w:uiPriority w:val="99"/>
    <w:semiHidden/>
    <w:qFormat/>
    <w:rsid w:val="001724DF"/>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1724DF"/>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link w:val="JuQuotChar"/>
    <w:uiPriority w:val="14"/>
    <w:qFormat/>
    <w:rsid w:val="001724DF"/>
    <w:pPr>
      <w:spacing w:before="120" w:after="120"/>
      <w:ind w:left="425" w:firstLine="142"/>
    </w:pPr>
    <w:rPr>
      <w:sz w:val="20"/>
    </w:rPr>
  </w:style>
  <w:style w:type="paragraph" w:customStyle="1" w:styleId="ECHRPara">
    <w:name w:val="ECHR_Para"/>
    <w:aliases w:val="Ju_Para"/>
    <w:basedOn w:val="Normal"/>
    <w:link w:val="ECHRParaChar"/>
    <w:uiPriority w:val="12"/>
    <w:qFormat/>
    <w:rsid w:val="001724DF"/>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724D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1724DF"/>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1724DF"/>
    <w:pPr>
      <w:ind w:left="340" w:hanging="340"/>
    </w:pPr>
  </w:style>
  <w:style w:type="paragraph" w:customStyle="1" w:styleId="JuSigned">
    <w:name w:val="Ju_Signed"/>
    <w:basedOn w:val="Normal"/>
    <w:next w:val="JuParaLast"/>
    <w:uiPriority w:val="32"/>
    <w:qFormat/>
    <w:rsid w:val="001724DF"/>
    <w:pPr>
      <w:tabs>
        <w:tab w:val="center" w:pos="851"/>
        <w:tab w:val="center" w:pos="6407"/>
      </w:tabs>
      <w:spacing w:before="720"/>
      <w:jc w:val="left"/>
    </w:pPr>
  </w:style>
  <w:style w:type="paragraph" w:customStyle="1" w:styleId="JuParaLast">
    <w:name w:val="Ju_Para_Last"/>
    <w:basedOn w:val="Normal"/>
    <w:next w:val="ECHRPara"/>
    <w:uiPriority w:val="30"/>
    <w:qFormat/>
    <w:rsid w:val="001724DF"/>
    <w:pPr>
      <w:keepNext/>
      <w:keepLines/>
      <w:spacing w:before="240"/>
      <w:ind w:firstLine="284"/>
    </w:pPr>
  </w:style>
  <w:style w:type="paragraph" w:customStyle="1" w:styleId="JuCourt">
    <w:name w:val="Ju_Court"/>
    <w:basedOn w:val="Normal"/>
    <w:next w:val="Normal"/>
    <w:uiPriority w:val="16"/>
    <w:qFormat/>
    <w:rsid w:val="001724DF"/>
    <w:pPr>
      <w:tabs>
        <w:tab w:val="left" w:pos="907"/>
        <w:tab w:val="left" w:pos="1701"/>
        <w:tab w:val="right" w:pos="7371"/>
      </w:tabs>
      <w:spacing w:before="240"/>
      <w:ind w:left="397" w:hanging="397"/>
      <w:jc w:val="left"/>
    </w:pPr>
  </w:style>
  <w:style w:type="character" w:styleId="PageNumber">
    <w:name w:val="page number"/>
    <w:semiHidden/>
    <w:rsid w:val="00014566"/>
    <w:rPr>
      <w:sz w:val="18"/>
    </w:rPr>
  </w:style>
  <w:style w:type="paragraph" w:customStyle="1" w:styleId="JuLista">
    <w:name w:val="Ju_List_a"/>
    <w:basedOn w:val="JuList"/>
    <w:uiPriority w:val="28"/>
    <w:qFormat/>
    <w:rsid w:val="001724DF"/>
    <w:pPr>
      <w:ind w:left="346" w:firstLine="0"/>
    </w:pPr>
  </w:style>
  <w:style w:type="character" w:customStyle="1" w:styleId="JuITMark">
    <w:name w:val="Ju_ITMark"/>
    <w:basedOn w:val="DefaultParagraphFont"/>
    <w:uiPriority w:val="38"/>
    <w:qFormat/>
    <w:rsid w:val="001724DF"/>
    <w:rPr>
      <w:vanish w:val="0"/>
      <w:color w:val="auto"/>
      <w:sz w:val="14"/>
    </w:rPr>
  </w:style>
  <w:style w:type="character" w:styleId="CommentReference">
    <w:name w:val="annotation reference"/>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qFormat/>
    <w:rsid w:val="001724DF"/>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qFormat/>
    <w:rsid w:val="001724DF"/>
  </w:style>
  <w:style w:type="paragraph" w:styleId="Subtitle">
    <w:name w:val="Subtitle"/>
    <w:basedOn w:val="Normal"/>
    <w:next w:val="Normal"/>
    <w:link w:val="SubtitleChar"/>
    <w:uiPriority w:val="99"/>
    <w:semiHidden/>
    <w:qFormat/>
    <w:rsid w:val="001724D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1724DF"/>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styleId="MediumGrid1">
    <w:name w:val="Medium Grid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DecList">
    <w:name w:val="Dec_List"/>
    <w:basedOn w:val="Normal"/>
    <w:uiPriority w:val="9"/>
    <w:qFormat/>
    <w:rsid w:val="001724DF"/>
    <w:pPr>
      <w:spacing w:before="240"/>
      <w:ind w:left="284"/>
    </w:pPr>
  </w:style>
  <w:style w:type="paragraph" w:customStyle="1" w:styleId="JuListi">
    <w:name w:val="Ju_List_i"/>
    <w:basedOn w:val="Normal"/>
    <w:next w:val="JuLista"/>
    <w:uiPriority w:val="28"/>
    <w:qFormat/>
    <w:rsid w:val="001724DF"/>
    <w:pPr>
      <w:ind w:left="794"/>
    </w:pPr>
  </w:style>
  <w:style w:type="paragraph" w:customStyle="1" w:styleId="OpiH1">
    <w:name w:val="Opi_H_1"/>
    <w:basedOn w:val="ECHRHeading2"/>
    <w:uiPriority w:val="42"/>
    <w:qFormat/>
    <w:rsid w:val="001724DF"/>
    <w:pPr>
      <w:ind w:left="635" w:hanging="357"/>
      <w:outlineLvl w:val="2"/>
    </w:pPr>
  </w:style>
  <w:style w:type="paragraph" w:customStyle="1" w:styleId="OpiHa0">
    <w:name w:val="Opi_H_a"/>
    <w:basedOn w:val="ECHRHeading3"/>
    <w:uiPriority w:val="43"/>
    <w:semiHidden/>
    <w:qFormat/>
    <w:rsid w:val="001724DF"/>
    <w:pPr>
      <w:ind w:left="833" w:hanging="357"/>
      <w:outlineLvl w:val="3"/>
    </w:pPr>
    <w:rPr>
      <w:b/>
      <w:i w:val="0"/>
      <w:sz w:val="20"/>
    </w:rPr>
  </w:style>
  <w:style w:type="paragraph" w:customStyle="1" w:styleId="OpiHi">
    <w:name w:val="Opi_H_i"/>
    <w:basedOn w:val="ECHRHeading4"/>
    <w:uiPriority w:val="44"/>
    <w:semiHidden/>
    <w:qFormat/>
    <w:rsid w:val="001724DF"/>
    <w:pPr>
      <w:ind w:left="1037" w:hanging="357"/>
      <w:outlineLvl w:val="4"/>
    </w:pPr>
    <w:rPr>
      <w:b w:val="0"/>
      <w:i/>
    </w:rPr>
  </w:style>
  <w:style w:type="paragraph" w:customStyle="1" w:styleId="DummyStyle">
    <w:name w:val="Dummy_Style"/>
    <w:basedOn w:val="Normal"/>
    <w:semiHidden/>
    <w:qFormat/>
    <w:rsid w:val="001724DF"/>
    <w:rPr>
      <w:color w:val="00B050"/>
    </w:rPr>
  </w:style>
  <w:style w:type="character" w:customStyle="1" w:styleId="ECHRParaChar">
    <w:name w:val="ECHR_Para Char"/>
    <w:aliases w:val="Ju_Para Char"/>
    <w:basedOn w:val="DefaultParagraphFont"/>
    <w:link w:val="ECHRPara"/>
    <w:uiPriority w:val="12"/>
    <w:rsid w:val="00626F6D"/>
    <w:rPr>
      <w:rFonts w:eastAsiaTheme="minorEastAsia"/>
      <w:sz w:val="24"/>
    </w:rPr>
  </w:style>
  <w:style w:type="character" w:customStyle="1" w:styleId="JuQuotChar">
    <w:name w:val="Ju_Quot Char"/>
    <w:basedOn w:val="DefaultParagraphFont"/>
    <w:link w:val="ECHRParaQuote"/>
    <w:uiPriority w:val="14"/>
    <w:rsid w:val="001A33E6"/>
    <w:rPr>
      <w:rFonts w:eastAsiaTheme="minorEastAsia"/>
      <w:sz w:val="20"/>
    </w:rPr>
  </w:style>
  <w:style w:type="character" w:customStyle="1" w:styleId="JuHIRomanChar">
    <w:name w:val="Ju_H_I_Roman Char"/>
    <w:basedOn w:val="DefaultParagraphFont"/>
    <w:link w:val="ECHRHeading1"/>
    <w:uiPriority w:val="19"/>
    <w:rsid w:val="00EA7C3C"/>
    <w:rPr>
      <w:rFonts w:asciiTheme="majorHAnsi" w:eastAsiaTheme="majorEastAsia" w:hAnsiTheme="majorHAnsi" w:cstheme="majorBidi"/>
      <w:bCs/>
      <w:sz w:val="24"/>
      <w:szCs w:val="28"/>
    </w:rPr>
  </w:style>
  <w:style w:type="paragraph" w:styleId="Revision">
    <w:name w:val="Revision"/>
    <w:hidden/>
    <w:uiPriority w:val="99"/>
    <w:semiHidden/>
    <w:rsid w:val="004F7B91"/>
    <w:rPr>
      <w:rFonts w:eastAsiaTheme="minorEastAsia"/>
      <w:sz w:val="24"/>
    </w:rPr>
  </w:style>
  <w:style w:type="character" w:customStyle="1" w:styleId="ECHRFooterChar">
    <w:name w:val="ECHR_Footer Char"/>
    <w:basedOn w:val="DefaultParagraphFont"/>
    <w:link w:val="ECHRFooter"/>
    <w:uiPriority w:val="57"/>
    <w:rsid w:val="00915222"/>
    <w:rPr>
      <w:sz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annotation reference" w:uiPriority="0"/>
    <w:lsdException w:name="page number" w:uiPriority="0"/>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F83B93"/>
    <w:pPr>
      <w:jc w:val="both"/>
    </w:pPr>
    <w:rPr>
      <w:rFonts w:eastAsiaTheme="minorEastAsia"/>
      <w:sz w:val="24"/>
    </w:rPr>
  </w:style>
  <w:style w:type="paragraph" w:styleId="Heading1">
    <w:name w:val="heading 1"/>
    <w:basedOn w:val="Normal"/>
    <w:next w:val="Normal"/>
    <w:link w:val="Heading1Char"/>
    <w:uiPriority w:val="99"/>
    <w:semiHidden/>
    <w:rsid w:val="001724D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1724D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1724DF"/>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1724DF"/>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1724DF"/>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1724D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1724D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1724D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1724D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24DF"/>
    <w:rPr>
      <w:rFonts w:ascii="Tahoma" w:hAnsi="Tahoma" w:cs="Tahoma"/>
      <w:sz w:val="16"/>
      <w:szCs w:val="16"/>
    </w:rPr>
  </w:style>
  <w:style w:type="character" w:customStyle="1" w:styleId="BalloonTextChar">
    <w:name w:val="Balloon Text Char"/>
    <w:basedOn w:val="DefaultParagraphFont"/>
    <w:link w:val="BalloonText"/>
    <w:uiPriority w:val="99"/>
    <w:semiHidden/>
    <w:rsid w:val="001724DF"/>
    <w:rPr>
      <w:rFonts w:ascii="Tahoma" w:eastAsiaTheme="minorEastAsia" w:hAnsi="Tahoma" w:cs="Tahoma"/>
      <w:sz w:val="16"/>
      <w:szCs w:val="16"/>
    </w:rPr>
  </w:style>
  <w:style w:type="character" w:styleId="BookTitle">
    <w:name w:val="Book Title"/>
    <w:uiPriority w:val="99"/>
    <w:semiHidden/>
    <w:qFormat/>
    <w:rsid w:val="001724DF"/>
    <w:rPr>
      <w:i/>
      <w:iCs/>
      <w:smallCaps/>
      <w:spacing w:val="5"/>
    </w:rPr>
  </w:style>
  <w:style w:type="paragraph" w:customStyle="1" w:styleId="ECHRHeader">
    <w:name w:val="ECHR_Header"/>
    <w:aliases w:val="Ju_Header"/>
    <w:basedOn w:val="Header"/>
    <w:uiPriority w:val="4"/>
    <w:qFormat/>
    <w:rsid w:val="001724DF"/>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link w:val="ECHRFooterChar"/>
    <w:uiPriority w:val="57"/>
    <w:rsid w:val="001724DF"/>
    <w:pPr>
      <w:jc w:val="left"/>
    </w:pPr>
    <w:rPr>
      <w:sz w:val="8"/>
    </w:rPr>
  </w:style>
  <w:style w:type="character" w:styleId="Strong">
    <w:name w:val="Strong"/>
    <w:uiPriority w:val="99"/>
    <w:semiHidden/>
    <w:qFormat/>
    <w:rsid w:val="001724DF"/>
    <w:rPr>
      <w:b/>
      <w:bCs/>
    </w:rPr>
  </w:style>
  <w:style w:type="paragraph" w:styleId="NoSpacing">
    <w:name w:val="No Spacing"/>
    <w:basedOn w:val="Normal"/>
    <w:link w:val="NoSpacingChar"/>
    <w:semiHidden/>
    <w:qFormat/>
    <w:rsid w:val="001724DF"/>
  </w:style>
  <w:style w:type="character" w:customStyle="1" w:styleId="NoSpacingChar">
    <w:name w:val="No Spacing Char"/>
    <w:basedOn w:val="DefaultParagraphFont"/>
    <w:link w:val="NoSpacing"/>
    <w:semiHidden/>
    <w:rsid w:val="001724DF"/>
    <w:rPr>
      <w:rFonts w:eastAsiaTheme="minorEastAsia"/>
      <w:sz w:val="24"/>
    </w:rPr>
  </w:style>
  <w:style w:type="paragraph" w:customStyle="1" w:styleId="ECHRFooterLine">
    <w:name w:val="ECHR_Footer_Line"/>
    <w:aliases w:val="Footer_Line"/>
    <w:basedOn w:val="Normal"/>
    <w:next w:val="ECHRFooter"/>
    <w:uiPriority w:val="57"/>
    <w:semiHidden/>
    <w:rsid w:val="001724DF"/>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1724DF"/>
    <w:pPr>
      <w:numPr>
        <w:numId w:val="14"/>
      </w:numPr>
      <w:jc w:val="left"/>
    </w:pPr>
    <w:rPr>
      <w:b/>
    </w:rPr>
  </w:style>
  <w:style w:type="paragraph" w:customStyle="1" w:styleId="OpiPara">
    <w:name w:val="Opi_Para"/>
    <w:basedOn w:val="ECHRPara"/>
    <w:uiPriority w:val="46"/>
    <w:qFormat/>
    <w:rsid w:val="001724DF"/>
  </w:style>
  <w:style w:type="paragraph" w:customStyle="1" w:styleId="JuParaSub">
    <w:name w:val="Ju_Para_Sub"/>
    <w:basedOn w:val="ECHRPara"/>
    <w:uiPriority w:val="13"/>
    <w:qFormat/>
    <w:rsid w:val="001724DF"/>
    <w:pPr>
      <w:ind w:left="284"/>
    </w:pPr>
  </w:style>
  <w:style w:type="paragraph" w:customStyle="1" w:styleId="ECHRTitleCentre3">
    <w:name w:val="ECHR_Title_Centre_3"/>
    <w:aliases w:val="Ju_H_Article"/>
    <w:basedOn w:val="Normal"/>
    <w:next w:val="ECHRParaQuote"/>
    <w:uiPriority w:val="27"/>
    <w:qFormat/>
    <w:rsid w:val="001724DF"/>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1724DF"/>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1724DF"/>
  </w:style>
  <w:style w:type="paragraph" w:customStyle="1" w:styleId="OpiQuot">
    <w:name w:val="Opi_Quot"/>
    <w:basedOn w:val="ECHRParaQuote"/>
    <w:uiPriority w:val="48"/>
    <w:qFormat/>
    <w:rsid w:val="001724DF"/>
  </w:style>
  <w:style w:type="paragraph" w:customStyle="1" w:styleId="OpiQuotSub">
    <w:name w:val="Opi_Quot_Sub"/>
    <w:basedOn w:val="JuQuotSub"/>
    <w:uiPriority w:val="49"/>
    <w:semiHidden/>
    <w:qFormat/>
    <w:rsid w:val="001724DF"/>
  </w:style>
  <w:style w:type="paragraph" w:customStyle="1" w:styleId="ECHRTitleCentre2">
    <w:name w:val="ECHR_Title_Centre_2"/>
    <w:aliases w:val="Dec_H_Case"/>
    <w:basedOn w:val="Normal"/>
    <w:next w:val="ECHRPara"/>
    <w:uiPriority w:val="8"/>
    <w:qFormat/>
    <w:rsid w:val="001724DF"/>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1724DF"/>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1724D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1724DF"/>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ECHRPara"/>
    <w:uiPriority w:val="21"/>
    <w:qFormat/>
    <w:rsid w:val="001724DF"/>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1724D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1724D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1724D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1724DF"/>
    <w:pPr>
      <w:keepNext/>
      <w:keepLines/>
      <w:spacing w:before="240" w:after="120"/>
      <w:ind w:left="1236"/>
    </w:pPr>
    <w:rPr>
      <w:sz w:val="20"/>
    </w:rPr>
  </w:style>
  <w:style w:type="paragraph" w:customStyle="1" w:styleId="JuCase">
    <w:name w:val="Ju_Case"/>
    <w:basedOn w:val="Normal"/>
    <w:next w:val="ECHRPara"/>
    <w:uiPriority w:val="10"/>
    <w:rsid w:val="001724DF"/>
    <w:pPr>
      <w:ind w:firstLine="284"/>
    </w:pPr>
    <w:rPr>
      <w:b/>
    </w:rPr>
  </w:style>
  <w:style w:type="paragraph" w:customStyle="1" w:styleId="JuQuotSub">
    <w:name w:val="Ju_Quot_Sub"/>
    <w:basedOn w:val="ECHRParaQuote"/>
    <w:uiPriority w:val="15"/>
    <w:qFormat/>
    <w:rsid w:val="001724DF"/>
    <w:pPr>
      <w:ind w:left="567"/>
    </w:pPr>
  </w:style>
  <w:style w:type="paragraph" w:customStyle="1" w:styleId="JuInitialled">
    <w:name w:val="Ju_Initialled"/>
    <w:basedOn w:val="Normal"/>
    <w:uiPriority w:val="31"/>
    <w:qFormat/>
    <w:rsid w:val="001724DF"/>
    <w:pPr>
      <w:tabs>
        <w:tab w:val="center" w:pos="6407"/>
      </w:tabs>
      <w:spacing w:before="720"/>
      <w:jc w:val="right"/>
    </w:pPr>
  </w:style>
  <w:style w:type="paragraph" w:styleId="Header">
    <w:name w:val="header"/>
    <w:basedOn w:val="Normal"/>
    <w:link w:val="HeaderChar"/>
    <w:uiPriority w:val="57"/>
    <w:semiHidden/>
    <w:rsid w:val="001724DF"/>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1724DF"/>
    <w:rPr>
      <w:sz w:val="24"/>
    </w:rPr>
  </w:style>
  <w:style w:type="character" w:customStyle="1" w:styleId="Heading1Char">
    <w:name w:val="Heading 1 Char"/>
    <w:basedOn w:val="DefaultParagraphFont"/>
    <w:link w:val="Heading1"/>
    <w:uiPriority w:val="99"/>
    <w:semiHidden/>
    <w:rsid w:val="001724D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link w:val="JuHIRomanChar"/>
    <w:uiPriority w:val="19"/>
    <w:qFormat/>
    <w:rsid w:val="001724D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1724DF"/>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1724DF"/>
    <w:rPr>
      <w:rFonts w:asciiTheme="majorHAnsi" w:eastAsiaTheme="majorEastAsia" w:hAnsiTheme="majorHAnsi" w:cstheme="majorBidi"/>
      <w:b/>
      <w:bCs/>
      <w:color w:val="4D4D4D"/>
      <w:sz w:val="26"/>
      <w:szCs w:val="26"/>
    </w:rPr>
  </w:style>
  <w:style w:type="character" w:customStyle="1" w:styleId="JUNAMES">
    <w:name w:val="JU_NAMES"/>
    <w:uiPriority w:val="17"/>
    <w:qFormat/>
    <w:rsid w:val="001724DF"/>
    <w:rPr>
      <w:caps w:val="0"/>
      <w:smallCaps/>
    </w:rPr>
  </w:style>
  <w:style w:type="paragraph" w:customStyle="1" w:styleId="OpiHA">
    <w:name w:val="Opi_H_A"/>
    <w:basedOn w:val="ECHRHeading1"/>
    <w:next w:val="OpiPara"/>
    <w:uiPriority w:val="41"/>
    <w:qFormat/>
    <w:rsid w:val="001724DF"/>
    <w:pPr>
      <w:tabs>
        <w:tab w:val="clear" w:pos="357"/>
      </w:tabs>
      <w:outlineLvl w:val="1"/>
    </w:pPr>
    <w:rPr>
      <w:b/>
    </w:rPr>
  </w:style>
  <w:style w:type="character" w:customStyle="1" w:styleId="Heading3Char">
    <w:name w:val="Heading 3 Char"/>
    <w:basedOn w:val="DefaultParagraphFont"/>
    <w:link w:val="Heading3"/>
    <w:uiPriority w:val="99"/>
    <w:semiHidden/>
    <w:rsid w:val="001724DF"/>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1724DF"/>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1724DF"/>
    <w:rPr>
      <w:rFonts w:asciiTheme="majorHAnsi" w:eastAsiaTheme="majorEastAsia" w:hAnsiTheme="majorHAnsi" w:cstheme="majorBidi"/>
      <w:b/>
      <w:bCs/>
      <w:color w:val="808080"/>
      <w:sz w:val="24"/>
    </w:rPr>
  </w:style>
  <w:style w:type="character" w:styleId="SubtleEmphasis">
    <w:name w:val="Subtle Emphasis"/>
    <w:uiPriority w:val="99"/>
    <w:semiHidden/>
    <w:qFormat/>
    <w:rsid w:val="001724DF"/>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1724DF"/>
    <w:pPr>
      <w:keepNext/>
      <w:keepLines/>
      <w:spacing w:before="720" w:after="240"/>
      <w:outlineLvl w:val="0"/>
    </w:pPr>
    <w:rPr>
      <w:rFonts w:asciiTheme="majorHAnsi" w:hAnsiTheme="majorHAnsi"/>
      <w:sz w:val="28"/>
    </w:rPr>
  </w:style>
  <w:style w:type="character" w:styleId="Emphasis">
    <w:name w:val="Emphasis"/>
    <w:uiPriority w:val="99"/>
    <w:semiHidden/>
    <w:qFormat/>
    <w:rsid w:val="001724DF"/>
    <w:rPr>
      <w:b/>
      <w:bCs/>
      <w:i/>
      <w:iCs/>
      <w:spacing w:val="10"/>
      <w:bdr w:val="none" w:sz="0" w:space="0" w:color="auto"/>
      <w:shd w:val="clear" w:color="auto" w:fill="auto"/>
    </w:rPr>
  </w:style>
  <w:style w:type="paragraph" w:styleId="Footer">
    <w:name w:val="footer"/>
    <w:basedOn w:val="Normal"/>
    <w:link w:val="FooterChar"/>
    <w:uiPriority w:val="57"/>
    <w:semiHidden/>
    <w:rsid w:val="001724DF"/>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1724DF"/>
    <w:rPr>
      <w:sz w:val="24"/>
    </w:rPr>
  </w:style>
  <w:style w:type="character" w:styleId="FootnoteReference">
    <w:name w:val="footnote reference"/>
    <w:basedOn w:val="DefaultParagraphFont"/>
    <w:uiPriority w:val="99"/>
    <w:semiHidden/>
    <w:rsid w:val="001724DF"/>
    <w:rPr>
      <w:vertAlign w:val="superscript"/>
    </w:rPr>
  </w:style>
  <w:style w:type="paragraph" w:styleId="FootnoteText">
    <w:name w:val="footnote text"/>
    <w:basedOn w:val="Normal"/>
    <w:link w:val="FootnoteTextChar"/>
    <w:uiPriority w:val="99"/>
    <w:semiHidden/>
    <w:rsid w:val="001724DF"/>
    <w:rPr>
      <w:sz w:val="20"/>
      <w:szCs w:val="20"/>
    </w:rPr>
  </w:style>
  <w:style w:type="character" w:customStyle="1" w:styleId="FootnoteTextChar">
    <w:name w:val="Footnote Text Char"/>
    <w:basedOn w:val="DefaultParagraphFont"/>
    <w:link w:val="FootnoteText"/>
    <w:uiPriority w:val="99"/>
    <w:semiHidden/>
    <w:rsid w:val="001724DF"/>
    <w:rPr>
      <w:rFonts w:eastAsiaTheme="minorEastAsia"/>
      <w:sz w:val="20"/>
      <w:szCs w:val="20"/>
    </w:rPr>
  </w:style>
  <w:style w:type="character" w:customStyle="1" w:styleId="Heading6Char">
    <w:name w:val="Heading 6 Char"/>
    <w:basedOn w:val="DefaultParagraphFont"/>
    <w:link w:val="Heading6"/>
    <w:uiPriority w:val="99"/>
    <w:semiHidden/>
    <w:rsid w:val="001724DF"/>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1724DF"/>
    <w:rPr>
      <w:rFonts w:asciiTheme="majorHAnsi" w:eastAsiaTheme="majorEastAsia" w:hAnsiTheme="majorHAnsi" w:cstheme="majorBidi"/>
      <w:i/>
      <w:iCs/>
      <w:sz w:val="24"/>
      <w:lang w:bidi="lv-LV"/>
    </w:rPr>
  </w:style>
  <w:style w:type="character" w:customStyle="1" w:styleId="Heading8Char">
    <w:name w:val="Heading 8 Char"/>
    <w:basedOn w:val="DefaultParagraphFont"/>
    <w:link w:val="Heading8"/>
    <w:uiPriority w:val="99"/>
    <w:semiHidden/>
    <w:rsid w:val="001724DF"/>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1724DF"/>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1724DF"/>
    <w:rPr>
      <w:color w:val="0072BC" w:themeColor="hyperlink"/>
      <w:u w:val="single"/>
    </w:rPr>
  </w:style>
  <w:style w:type="character" w:styleId="IntenseEmphasis">
    <w:name w:val="Intense Emphasis"/>
    <w:uiPriority w:val="99"/>
    <w:semiHidden/>
    <w:qFormat/>
    <w:rsid w:val="001724DF"/>
    <w:rPr>
      <w:b/>
      <w:bCs/>
    </w:rPr>
  </w:style>
  <w:style w:type="paragraph" w:styleId="IntenseQuote">
    <w:name w:val="Intense Quote"/>
    <w:basedOn w:val="Normal"/>
    <w:next w:val="Normal"/>
    <w:link w:val="IntenseQuoteChar"/>
    <w:uiPriority w:val="99"/>
    <w:semiHidden/>
    <w:qFormat/>
    <w:rsid w:val="001724D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rsid w:val="001724DF"/>
    <w:rPr>
      <w:rFonts w:eastAsiaTheme="minorEastAsia"/>
      <w:b/>
      <w:bCs/>
      <w:i/>
      <w:iCs/>
      <w:sz w:val="24"/>
      <w:lang w:bidi="lv-LV"/>
    </w:rPr>
  </w:style>
  <w:style w:type="character" w:styleId="IntenseReference">
    <w:name w:val="Intense Reference"/>
    <w:uiPriority w:val="99"/>
    <w:semiHidden/>
    <w:qFormat/>
    <w:rsid w:val="001724DF"/>
    <w:rPr>
      <w:smallCaps/>
      <w:spacing w:val="5"/>
      <w:u w:val="single"/>
    </w:rPr>
  </w:style>
  <w:style w:type="paragraph" w:styleId="ListParagraph">
    <w:name w:val="List Paragraph"/>
    <w:basedOn w:val="Normal"/>
    <w:uiPriority w:val="99"/>
    <w:semiHidden/>
    <w:qFormat/>
    <w:rsid w:val="001724DF"/>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1724DF"/>
    <w:pPr>
      <w:spacing w:before="200"/>
      <w:ind w:left="360" w:right="360"/>
    </w:pPr>
    <w:rPr>
      <w:i/>
      <w:iCs/>
    </w:rPr>
  </w:style>
  <w:style w:type="character" w:customStyle="1" w:styleId="QuoteChar">
    <w:name w:val="Quote Char"/>
    <w:basedOn w:val="DefaultParagraphFont"/>
    <w:link w:val="Quote"/>
    <w:uiPriority w:val="99"/>
    <w:semiHidden/>
    <w:rsid w:val="001724DF"/>
    <w:rPr>
      <w:rFonts w:eastAsiaTheme="minorEastAsia"/>
      <w:i/>
      <w:iCs/>
      <w:sz w:val="24"/>
      <w:lang w:bidi="lv-LV"/>
    </w:rPr>
  </w:style>
  <w:style w:type="character" w:styleId="SubtleReference">
    <w:name w:val="Subtle Reference"/>
    <w:uiPriority w:val="99"/>
    <w:semiHidden/>
    <w:qFormat/>
    <w:rsid w:val="001724DF"/>
    <w:rPr>
      <w:smallCaps/>
    </w:rPr>
  </w:style>
  <w:style w:type="table" w:styleId="TableGrid">
    <w:name w:val="Table Grid"/>
    <w:basedOn w:val="TableNormal"/>
    <w:uiPriority w:val="59"/>
    <w:rsid w:val="001724D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724DF"/>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1724DF"/>
    <w:pPr>
      <w:spacing w:after="60"/>
      <w:ind w:left="680" w:right="340" w:hanging="340"/>
    </w:pPr>
  </w:style>
  <w:style w:type="paragraph" w:styleId="TOC3">
    <w:name w:val="toc 3"/>
    <w:basedOn w:val="Normal"/>
    <w:next w:val="Normal"/>
    <w:autoRedefine/>
    <w:uiPriority w:val="99"/>
    <w:semiHidden/>
    <w:rsid w:val="001724DF"/>
    <w:pPr>
      <w:spacing w:after="60"/>
      <w:ind w:left="1020" w:right="340" w:hanging="340"/>
    </w:pPr>
  </w:style>
  <w:style w:type="paragraph" w:styleId="TOC4">
    <w:name w:val="toc 4"/>
    <w:basedOn w:val="Normal"/>
    <w:next w:val="Normal"/>
    <w:autoRedefine/>
    <w:uiPriority w:val="99"/>
    <w:semiHidden/>
    <w:rsid w:val="001724DF"/>
    <w:pPr>
      <w:tabs>
        <w:tab w:val="right" w:leader="dot" w:pos="9017"/>
      </w:tabs>
      <w:spacing w:after="60"/>
      <w:ind w:left="1361" w:right="340" w:hanging="340"/>
    </w:pPr>
  </w:style>
  <w:style w:type="paragraph" w:styleId="TOC5">
    <w:name w:val="toc 5"/>
    <w:basedOn w:val="Normal"/>
    <w:next w:val="Normal"/>
    <w:autoRedefine/>
    <w:uiPriority w:val="99"/>
    <w:semiHidden/>
    <w:rsid w:val="001724DF"/>
    <w:pPr>
      <w:spacing w:after="60"/>
      <w:ind w:left="1701" w:right="340" w:hanging="340"/>
    </w:pPr>
  </w:style>
  <w:style w:type="paragraph" w:styleId="TOCHeading">
    <w:name w:val="TOC Heading"/>
    <w:basedOn w:val="Heading1"/>
    <w:next w:val="Normal"/>
    <w:uiPriority w:val="99"/>
    <w:semiHidden/>
    <w:qFormat/>
    <w:rsid w:val="001724DF"/>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1724DF"/>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link w:val="JuQuotChar"/>
    <w:uiPriority w:val="14"/>
    <w:qFormat/>
    <w:rsid w:val="001724DF"/>
    <w:pPr>
      <w:spacing w:before="120" w:after="120"/>
      <w:ind w:left="425" w:firstLine="142"/>
    </w:pPr>
    <w:rPr>
      <w:sz w:val="20"/>
    </w:rPr>
  </w:style>
  <w:style w:type="paragraph" w:customStyle="1" w:styleId="ECHRPara">
    <w:name w:val="ECHR_Para"/>
    <w:aliases w:val="Ju_Para"/>
    <w:basedOn w:val="Normal"/>
    <w:link w:val="ECHRParaChar"/>
    <w:uiPriority w:val="12"/>
    <w:qFormat/>
    <w:rsid w:val="001724DF"/>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724D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1724DF"/>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1724DF"/>
    <w:pPr>
      <w:ind w:left="340" w:hanging="340"/>
    </w:pPr>
  </w:style>
  <w:style w:type="paragraph" w:customStyle="1" w:styleId="JuSigned">
    <w:name w:val="Ju_Signed"/>
    <w:basedOn w:val="Normal"/>
    <w:next w:val="JuParaLast"/>
    <w:uiPriority w:val="32"/>
    <w:qFormat/>
    <w:rsid w:val="001724DF"/>
    <w:pPr>
      <w:tabs>
        <w:tab w:val="center" w:pos="851"/>
        <w:tab w:val="center" w:pos="6407"/>
      </w:tabs>
      <w:spacing w:before="720"/>
      <w:jc w:val="left"/>
    </w:pPr>
  </w:style>
  <w:style w:type="paragraph" w:customStyle="1" w:styleId="JuParaLast">
    <w:name w:val="Ju_Para_Last"/>
    <w:basedOn w:val="Normal"/>
    <w:next w:val="ECHRPara"/>
    <w:uiPriority w:val="30"/>
    <w:qFormat/>
    <w:rsid w:val="001724DF"/>
    <w:pPr>
      <w:keepNext/>
      <w:keepLines/>
      <w:spacing w:before="240"/>
      <w:ind w:firstLine="284"/>
    </w:pPr>
  </w:style>
  <w:style w:type="paragraph" w:customStyle="1" w:styleId="JuCourt">
    <w:name w:val="Ju_Court"/>
    <w:basedOn w:val="Normal"/>
    <w:next w:val="Normal"/>
    <w:uiPriority w:val="16"/>
    <w:qFormat/>
    <w:rsid w:val="001724DF"/>
    <w:pPr>
      <w:tabs>
        <w:tab w:val="left" w:pos="907"/>
        <w:tab w:val="left" w:pos="1701"/>
        <w:tab w:val="right" w:pos="7371"/>
      </w:tabs>
      <w:spacing w:before="240"/>
      <w:ind w:left="397" w:hanging="397"/>
      <w:jc w:val="left"/>
    </w:pPr>
  </w:style>
  <w:style w:type="character" w:styleId="PageNumber">
    <w:name w:val="page number"/>
    <w:semiHidden/>
    <w:rsid w:val="00014566"/>
    <w:rPr>
      <w:sz w:val="18"/>
    </w:rPr>
  </w:style>
  <w:style w:type="paragraph" w:customStyle="1" w:styleId="JuLista">
    <w:name w:val="Ju_List_a"/>
    <w:basedOn w:val="JuList"/>
    <w:uiPriority w:val="28"/>
    <w:qFormat/>
    <w:rsid w:val="001724DF"/>
    <w:pPr>
      <w:ind w:left="346" w:firstLine="0"/>
    </w:pPr>
  </w:style>
  <w:style w:type="character" w:customStyle="1" w:styleId="JuITMark">
    <w:name w:val="Ju_ITMark"/>
    <w:basedOn w:val="DefaultParagraphFont"/>
    <w:uiPriority w:val="38"/>
    <w:qFormat/>
    <w:rsid w:val="001724DF"/>
    <w:rPr>
      <w:vanish w:val="0"/>
      <w:color w:val="auto"/>
      <w:sz w:val="14"/>
    </w:rPr>
  </w:style>
  <w:style w:type="character" w:styleId="CommentReference">
    <w:name w:val="annotation reference"/>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qFormat/>
    <w:rsid w:val="001724DF"/>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qFormat/>
    <w:rsid w:val="001724DF"/>
  </w:style>
  <w:style w:type="paragraph" w:styleId="Subtitle">
    <w:name w:val="Subtitle"/>
    <w:basedOn w:val="Normal"/>
    <w:next w:val="Normal"/>
    <w:link w:val="SubtitleChar"/>
    <w:uiPriority w:val="99"/>
    <w:semiHidden/>
    <w:qFormat/>
    <w:rsid w:val="001724D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1724DF"/>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styleId="MediumGrid1">
    <w:name w:val="Medium Grid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DecList">
    <w:name w:val="Dec_List"/>
    <w:basedOn w:val="Normal"/>
    <w:uiPriority w:val="9"/>
    <w:qFormat/>
    <w:rsid w:val="001724DF"/>
    <w:pPr>
      <w:spacing w:before="240"/>
      <w:ind w:left="284"/>
    </w:pPr>
  </w:style>
  <w:style w:type="paragraph" w:customStyle="1" w:styleId="JuListi">
    <w:name w:val="Ju_List_i"/>
    <w:basedOn w:val="Normal"/>
    <w:next w:val="JuLista"/>
    <w:uiPriority w:val="28"/>
    <w:qFormat/>
    <w:rsid w:val="001724DF"/>
    <w:pPr>
      <w:ind w:left="794"/>
    </w:pPr>
  </w:style>
  <w:style w:type="paragraph" w:customStyle="1" w:styleId="OpiH1">
    <w:name w:val="Opi_H_1"/>
    <w:basedOn w:val="ECHRHeading2"/>
    <w:uiPriority w:val="42"/>
    <w:qFormat/>
    <w:rsid w:val="001724DF"/>
    <w:pPr>
      <w:ind w:left="635" w:hanging="357"/>
      <w:outlineLvl w:val="2"/>
    </w:pPr>
  </w:style>
  <w:style w:type="paragraph" w:customStyle="1" w:styleId="OpiHa0">
    <w:name w:val="Opi_H_a"/>
    <w:basedOn w:val="ECHRHeading3"/>
    <w:uiPriority w:val="43"/>
    <w:semiHidden/>
    <w:qFormat/>
    <w:rsid w:val="001724DF"/>
    <w:pPr>
      <w:ind w:left="833" w:hanging="357"/>
      <w:outlineLvl w:val="3"/>
    </w:pPr>
    <w:rPr>
      <w:b/>
      <w:i w:val="0"/>
      <w:sz w:val="20"/>
    </w:rPr>
  </w:style>
  <w:style w:type="paragraph" w:customStyle="1" w:styleId="OpiHi">
    <w:name w:val="Opi_H_i"/>
    <w:basedOn w:val="ECHRHeading4"/>
    <w:uiPriority w:val="44"/>
    <w:semiHidden/>
    <w:qFormat/>
    <w:rsid w:val="001724DF"/>
    <w:pPr>
      <w:ind w:left="1037" w:hanging="357"/>
      <w:outlineLvl w:val="4"/>
    </w:pPr>
    <w:rPr>
      <w:b w:val="0"/>
      <w:i/>
    </w:rPr>
  </w:style>
  <w:style w:type="paragraph" w:customStyle="1" w:styleId="DummyStyle">
    <w:name w:val="Dummy_Style"/>
    <w:basedOn w:val="Normal"/>
    <w:semiHidden/>
    <w:qFormat/>
    <w:rsid w:val="001724DF"/>
    <w:rPr>
      <w:color w:val="00B050"/>
    </w:rPr>
  </w:style>
  <w:style w:type="character" w:customStyle="1" w:styleId="ECHRParaChar">
    <w:name w:val="ECHR_Para Char"/>
    <w:aliases w:val="Ju_Para Char"/>
    <w:basedOn w:val="DefaultParagraphFont"/>
    <w:link w:val="ECHRPara"/>
    <w:uiPriority w:val="12"/>
    <w:rsid w:val="00626F6D"/>
    <w:rPr>
      <w:rFonts w:eastAsiaTheme="minorEastAsia"/>
      <w:sz w:val="24"/>
    </w:rPr>
  </w:style>
  <w:style w:type="character" w:customStyle="1" w:styleId="JuQuotChar">
    <w:name w:val="Ju_Quot Char"/>
    <w:basedOn w:val="DefaultParagraphFont"/>
    <w:link w:val="ECHRParaQuote"/>
    <w:uiPriority w:val="14"/>
    <w:rsid w:val="001A33E6"/>
    <w:rPr>
      <w:rFonts w:eastAsiaTheme="minorEastAsia"/>
      <w:sz w:val="20"/>
    </w:rPr>
  </w:style>
  <w:style w:type="character" w:customStyle="1" w:styleId="JuHIRomanChar">
    <w:name w:val="Ju_H_I_Roman Char"/>
    <w:basedOn w:val="DefaultParagraphFont"/>
    <w:link w:val="ECHRHeading1"/>
    <w:uiPriority w:val="19"/>
    <w:rsid w:val="00EA7C3C"/>
    <w:rPr>
      <w:rFonts w:asciiTheme="majorHAnsi" w:eastAsiaTheme="majorEastAsia" w:hAnsiTheme="majorHAnsi" w:cstheme="majorBidi"/>
      <w:bCs/>
      <w:sz w:val="24"/>
      <w:szCs w:val="28"/>
    </w:rPr>
  </w:style>
  <w:style w:type="paragraph" w:styleId="Revision">
    <w:name w:val="Revision"/>
    <w:hidden/>
    <w:uiPriority w:val="99"/>
    <w:semiHidden/>
    <w:rsid w:val="004F7B91"/>
    <w:rPr>
      <w:rFonts w:eastAsiaTheme="minorEastAsia"/>
      <w:sz w:val="24"/>
    </w:rPr>
  </w:style>
  <w:style w:type="character" w:customStyle="1" w:styleId="ECHRFooterChar">
    <w:name w:val="ECHR_Footer Char"/>
    <w:basedOn w:val="DefaultParagraphFont"/>
    <w:link w:val="ECHRFooter"/>
    <w:uiPriority w:val="57"/>
    <w:rsid w:val="00915222"/>
    <w:rPr>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57106930">
      <w:bodyDiv w:val="1"/>
      <w:marLeft w:val="0"/>
      <w:marRight w:val="0"/>
      <w:marTop w:val="0"/>
      <w:marBottom w:val="0"/>
      <w:divBdr>
        <w:top w:val="none" w:sz="0" w:space="0" w:color="auto"/>
        <w:left w:val="none" w:sz="0" w:space="0" w:color="auto"/>
        <w:bottom w:val="none" w:sz="0" w:space="0" w:color="auto"/>
        <w:right w:val="none" w:sz="0" w:space="0" w:color="auto"/>
      </w:divBdr>
    </w:div>
    <w:div w:id="196596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99E5-D28E-408E-BFFC-95DE209E64FB}">
  <ds:schemaRefs>
    <ds:schemaRef ds:uri="http://schemas.microsoft.com/sharepoint/v3/contenttype/forms"/>
  </ds:schemaRefs>
</ds:datastoreItem>
</file>

<file path=customXml/itemProps2.xml><?xml version="1.0" encoding="utf-8"?>
<ds:datastoreItem xmlns:ds="http://schemas.openxmlformats.org/officeDocument/2006/customXml" ds:itemID="{EEE973D7-1070-41E9-88D9-CFA41E26B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15BA8A-CECC-4845-8A39-9BDFBE7468AC}">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618DE5FB-E242-4FD7-B614-9C6CDD86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78430</Words>
  <Characters>44706</Characters>
  <Application>Microsoft Office Word</Application>
  <DocSecurity>0</DocSecurity>
  <Lines>372</Lines>
  <Paragraphs>245</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122891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2015-12-03T16:18:00Z</cp:lastPrinted>
  <dcterms:created xsi:type="dcterms:W3CDTF">2017-01-31T08:55:00Z</dcterms:created>
  <dcterms:modified xsi:type="dcterms:W3CDTF">2017-01-31T08:55:00Z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y fmtid="{D5CDD505-2E9C-101B-9397-08002B2CF9AE}" pid="3" name="_NewReviewCycle">
    <vt:lpwstr/>
  </property>
</Properties>
</file>