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9C" w:rsidRDefault="007E4C9C" w:rsidP="00042867">
      <w:pPr>
        <w:jc w:val="center"/>
      </w:pPr>
    </w:p>
    <w:p w:rsidR="00F71A6A" w:rsidRPr="00302008" w:rsidRDefault="00F71A6A" w:rsidP="00042867">
      <w:pPr>
        <w:jc w:val="center"/>
      </w:pPr>
    </w:p>
    <w:p w:rsidR="00F71A6A" w:rsidRPr="00302008" w:rsidRDefault="0014295B" w:rsidP="00042867">
      <w:pPr>
        <w:jc w:val="center"/>
      </w:pPr>
      <w:r>
        <w:t>THIRD SECTION</w:t>
      </w:r>
    </w:p>
    <w:p w:rsidR="007E4C9C" w:rsidRDefault="007E4C9C" w:rsidP="00042867">
      <w:pPr>
        <w:jc w:val="center"/>
      </w:pPr>
    </w:p>
    <w:p w:rsidR="007E4C9C" w:rsidRDefault="007E4C9C" w:rsidP="00042867">
      <w:pPr>
        <w:jc w:val="center"/>
      </w:pPr>
    </w:p>
    <w:p w:rsidR="007E4C9C" w:rsidRDefault="007E4C9C" w:rsidP="00042867">
      <w:pPr>
        <w:jc w:val="center"/>
      </w:pPr>
    </w:p>
    <w:p w:rsidR="007E4C9C" w:rsidRDefault="007E4C9C" w:rsidP="00042867">
      <w:pPr>
        <w:jc w:val="center"/>
      </w:pPr>
    </w:p>
    <w:p w:rsidR="00F71A6A" w:rsidRPr="00302008" w:rsidRDefault="00F71A6A" w:rsidP="00042867">
      <w:pPr>
        <w:jc w:val="center"/>
      </w:pPr>
    </w:p>
    <w:p w:rsidR="00F71A6A" w:rsidRPr="00302008" w:rsidRDefault="00F71A6A" w:rsidP="00042867">
      <w:pPr>
        <w:jc w:val="center"/>
        <w:rPr>
          <w:b/>
        </w:rPr>
      </w:pPr>
      <w:bookmarkStart w:id="0" w:name="To"/>
      <w:r w:rsidRPr="00302008">
        <w:rPr>
          <w:b/>
        </w:rPr>
        <w:t xml:space="preserve">CASE OF </w:t>
      </w:r>
      <w:bookmarkEnd w:id="0"/>
      <w:r w:rsidR="0014295B">
        <w:rPr>
          <w:b/>
        </w:rPr>
        <w:t xml:space="preserve">MELNĪTIS v. </w:t>
      </w:r>
      <w:smartTag w:uri="urn:schemas-microsoft-com:office:smarttags" w:element="place">
        <w:smartTag w:uri="urn:schemas-microsoft-com:office:smarttags" w:element="country-region">
          <w:r w:rsidR="0014295B">
            <w:rPr>
              <w:b/>
            </w:rPr>
            <w:t>LATVIA</w:t>
          </w:r>
        </w:smartTag>
      </w:smartTag>
    </w:p>
    <w:p w:rsidR="00F71A6A" w:rsidRPr="00302008" w:rsidRDefault="00F71A6A" w:rsidP="00042867">
      <w:pPr>
        <w:jc w:val="center"/>
      </w:pPr>
    </w:p>
    <w:p w:rsidR="00F71A6A" w:rsidRPr="00302008" w:rsidRDefault="00F71A6A" w:rsidP="00042867">
      <w:pPr>
        <w:jc w:val="center"/>
        <w:rPr>
          <w:i/>
        </w:rPr>
      </w:pPr>
      <w:r w:rsidRPr="00302008">
        <w:rPr>
          <w:i/>
        </w:rPr>
        <w:t>(</w:t>
      </w:r>
      <w:r w:rsidR="0014295B" w:rsidRPr="00302008">
        <w:rPr>
          <w:i/>
          <w:noProof/>
        </w:rPr>
        <w:t xml:space="preserve">Application no. </w:t>
      </w:r>
      <w:r w:rsidR="0014295B">
        <w:rPr>
          <w:i/>
          <w:noProof/>
        </w:rPr>
        <w:t>30779/05</w:t>
      </w:r>
      <w:r w:rsidRPr="00302008">
        <w:rPr>
          <w:i/>
        </w:rPr>
        <w:t>)</w:t>
      </w:r>
    </w:p>
    <w:p w:rsidR="00F71A6A" w:rsidRPr="00302008" w:rsidRDefault="00F71A6A" w:rsidP="00042867">
      <w:pPr>
        <w:jc w:val="center"/>
      </w:pPr>
    </w:p>
    <w:p w:rsidR="00F71A6A" w:rsidRPr="00302008" w:rsidRDefault="00F71A6A" w:rsidP="00042867">
      <w:pPr>
        <w:jc w:val="center"/>
      </w:pPr>
    </w:p>
    <w:p w:rsidR="00F71A6A" w:rsidRPr="00302008" w:rsidRDefault="00F71A6A" w:rsidP="00042867">
      <w:pPr>
        <w:jc w:val="center"/>
      </w:pPr>
    </w:p>
    <w:p w:rsidR="00F71A6A" w:rsidRPr="00302008" w:rsidRDefault="00F71A6A" w:rsidP="00042867">
      <w:pPr>
        <w:jc w:val="center"/>
      </w:pPr>
    </w:p>
    <w:p w:rsidR="00F71A6A" w:rsidRDefault="00F71A6A" w:rsidP="00042867">
      <w:pPr>
        <w:jc w:val="center"/>
      </w:pPr>
    </w:p>
    <w:p w:rsidR="007E4C9C" w:rsidRPr="00302008" w:rsidRDefault="007E4C9C" w:rsidP="00042867">
      <w:pPr>
        <w:jc w:val="center"/>
      </w:pPr>
    </w:p>
    <w:p w:rsidR="006C1517" w:rsidRPr="007E4C9C" w:rsidRDefault="007E4C9C" w:rsidP="007E4C9C">
      <w:pPr>
        <w:jc w:val="center"/>
        <w:rPr>
          <w:sz w:val="22"/>
          <w:szCs w:val="22"/>
        </w:rPr>
      </w:pPr>
      <w:r w:rsidRPr="007E4C9C">
        <w:rPr>
          <w:sz w:val="22"/>
          <w:szCs w:val="22"/>
        </w:rPr>
        <w:t>JUDGMENT</w:t>
      </w:r>
    </w:p>
    <w:p w:rsidR="00E02D7C" w:rsidRDefault="00E02D7C" w:rsidP="00787402">
      <w:pPr>
        <w:jc w:val="both"/>
        <w:rPr>
          <w:b/>
          <w:sz w:val="22"/>
          <w:szCs w:val="22"/>
        </w:rPr>
      </w:pPr>
    </w:p>
    <w:p w:rsidR="007E4C9C" w:rsidRDefault="007E4C9C" w:rsidP="007E4C9C">
      <w:pPr>
        <w:pStyle w:val="JuCase"/>
        <w:ind w:firstLine="0"/>
        <w:jc w:val="center"/>
        <w:rPr>
          <w:b w:val="0"/>
        </w:rPr>
      </w:pPr>
    </w:p>
    <w:p w:rsidR="007E4C9C" w:rsidRDefault="007E4C9C" w:rsidP="007E4C9C">
      <w:pPr>
        <w:pStyle w:val="JuCase"/>
        <w:ind w:firstLine="0"/>
        <w:jc w:val="center"/>
        <w:rPr>
          <w:b w:val="0"/>
        </w:rPr>
      </w:pPr>
    </w:p>
    <w:p w:rsidR="007E4C9C" w:rsidRDefault="007E4C9C" w:rsidP="007E4C9C">
      <w:pPr>
        <w:pStyle w:val="JuCase"/>
        <w:ind w:firstLine="0"/>
        <w:jc w:val="center"/>
        <w:rPr>
          <w:b w:val="0"/>
        </w:rPr>
      </w:pPr>
      <w:smartTag w:uri="urn:schemas-microsoft-com:office:smarttags" w:element="place">
        <w:smartTag w:uri="urn:schemas-microsoft-com:office:smarttags" w:element="City">
          <w:r>
            <w:rPr>
              <w:b w:val="0"/>
            </w:rPr>
            <w:t>STRASBOURG</w:t>
          </w:r>
        </w:smartTag>
      </w:smartTag>
    </w:p>
    <w:p w:rsidR="007E4C9C" w:rsidRDefault="007E4C9C" w:rsidP="007E4C9C">
      <w:pPr>
        <w:pStyle w:val="JuCase"/>
        <w:ind w:firstLine="0"/>
        <w:jc w:val="center"/>
        <w:rPr>
          <w:b w:val="0"/>
        </w:rPr>
      </w:pPr>
    </w:p>
    <w:p w:rsidR="007E4C9C" w:rsidRDefault="007E4C9C" w:rsidP="007E4C9C">
      <w:pPr>
        <w:pStyle w:val="JuCase"/>
        <w:ind w:firstLine="0"/>
        <w:jc w:val="center"/>
        <w:rPr>
          <w:b w:val="0"/>
        </w:rPr>
      </w:pPr>
      <w:r>
        <w:rPr>
          <w:b w:val="0"/>
        </w:rPr>
        <w:t>28 February 2012</w:t>
      </w:r>
    </w:p>
    <w:p w:rsidR="007E4C9C" w:rsidRDefault="007E4C9C" w:rsidP="007E4C9C">
      <w:pPr>
        <w:pStyle w:val="JuCase"/>
        <w:ind w:firstLine="0"/>
        <w:jc w:val="center"/>
        <w:rPr>
          <w:b w:val="0"/>
        </w:rPr>
      </w:pPr>
    </w:p>
    <w:p w:rsidR="007E4C9C" w:rsidRDefault="007E4C9C" w:rsidP="007E4C9C">
      <w:pPr>
        <w:pStyle w:val="JuCase"/>
        <w:ind w:firstLine="0"/>
        <w:jc w:val="center"/>
        <w:rPr>
          <w:b w:val="0"/>
        </w:rPr>
      </w:pPr>
    </w:p>
    <w:p w:rsidR="00FD5467" w:rsidRPr="002926E2" w:rsidRDefault="00FD5467" w:rsidP="00FD5467">
      <w:pPr>
        <w:jc w:val="center"/>
        <w:rPr>
          <w:b/>
          <w:color w:val="FF0000"/>
          <w:sz w:val="28"/>
          <w:szCs w:val="28"/>
          <w:u w:val="single"/>
        </w:rPr>
      </w:pPr>
      <w:bookmarkStart w:id="1" w:name="OLE_LINK37"/>
      <w:r w:rsidRPr="002926E2">
        <w:rPr>
          <w:b/>
          <w:color w:val="FF0000"/>
          <w:sz w:val="28"/>
          <w:szCs w:val="28"/>
          <w:u w:val="single"/>
        </w:rPr>
        <w:t>FINAL</w:t>
      </w:r>
    </w:p>
    <w:p w:rsidR="00FD5467" w:rsidRPr="00F441F5" w:rsidRDefault="00FD5467" w:rsidP="00FD5467">
      <w:pPr>
        <w:jc w:val="center"/>
        <w:rPr>
          <w:b/>
          <w:color w:val="FF0000"/>
          <w:szCs w:val="24"/>
          <w:u w:val="single"/>
        </w:rPr>
      </w:pPr>
    </w:p>
    <w:p w:rsidR="00FD5467" w:rsidRPr="002926E2" w:rsidRDefault="00FD5467" w:rsidP="00FD5467">
      <w:pPr>
        <w:jc w:val="center"/>
        <w:rPr>
          <w:i/>
          <w:color w:val="FF0000"/>
          <w:sz w:val="28"/>
          <w:szCs w:val="28"/>
        </w:rPr>
      </w:pPr>
      <w:r>
        <w:rPr>
          <w:i/>
          <w:color w:val="FF0000"/>
          <w:sz w:val="28"/>
          <w:szCs w:val="28"/>
        </w:rPr>
        <w:t>09/07/2012</w:t>
      </w:r>
    </w:p>
    <w:p w:rsidR="00FD5467" w:rsidRPr="00E76205" w:rsidRDefault="00FD5467" w:rsidP="00FD5467">
      <w:pPr>
        <w:jc w:val="center"/>
        <w:rPr>
          <w:i/>
          <w:szCs w:val="24"/>
        </w:rPr>
      </w:pPr>
    </w:p>
    <w:p w:rsidR="00FD5467" w:rsidRPr="00E76205" w:rsidRDefault="00FD5467" w:rsidP="00FD5467">
      <w:pPr>
        <w:jc w:val="center"/>
        <w:rPr>
          <w:i/>
          <w:szCs w:val="24"/>
        </w:rPr>
      </w:pPr>
    </w:p>
    <w:p w:rsidR="00FD5467" w:rsidRPr="006540F9" w:rsidRDefault="00FD5467" w:rsidP="00FD5467">
      <w:pPr>
        <w:rPr>
          <w:i/>
          <w:color w:val="000000"/>
          <w:szCs w:val="24"/>
        </w:rPr>
      </w:pPr>
      <w:r w:rsidRPr="006540F9">
        <w:rPr>
          <w:i/>
          <w:color w:val="000000"/>
          <w:szCs w:val="24"/>
        </w:rPr>
        <w:t xml:space="preserve">This judgment </w:t>
      </w:r>
      <w:r>
        <w:rPr>
          <w:i/>
          <w:color w:val="000000"/>
          <w:szCs w:val="24"/>
        </w:rPr>
        <w:t>has become</w:t>
      </w:r>
      <w:r w:rsidRPr="006540F9">
        <w:rPr>
          <w:i/>
          <w:color w:val="000000"/>
          <w:szCs w:val="24"/>
        </w:rPr>
        <w:t xml:space="preserve"> final </w:t>
      </w:r>
      <w:r>
        <w:rPr>
          <w:i/>
          <w:color w:val="000000"/>
          <w:szCs w:val="24"/>
        </w:rPr>
        <w:t>under</w:t>
      </w:r>
      <w:r w:rsidRPr="006540F9">
        <w:rPr>
          <w:i/>
          <w:color w:val="000000"/>
          <w:szCs w:val="24"/>
        </w:rPr>
        <w:t xml:space="preserve"> Article 44 § 2 </w:t>
      </w:r>
      <w:r>
        <w:rPr>
          <w:i/>
          <w:color w:val="000000"/>
          <w:szCs w:val="24"/>
        </w:rPr>
        <w:t xml:space="preserve">(c) </w:t>
      </w:r>
      <w:r w:rsidRPr="006540F9">
        <w:rPr>
          <w:i/>
          <w:color w:val="000000"/>
          <w:szCs w:val="24"/>
        </w:rPr>
        <w:t>of the Convention. It may be subject to editorial revision.</w:t>
      </w:r>
    </w:p>
    <w:bookmarkEnd w:id="1"/>
    <w:p w:rsidR="007E4C9C" w:rsidRPr="007E4C9C" w:rsidRDefault="007E4C9C" w:rsidP="007E4C9C">
      <w:pPr>
        <w:pStyle w:val="JuPara"/>
        <w:sectPr w:rsidR="007E4C9C" w:rsidRPr="007E4C9C" w:rsidSect="007E4C9C">
          <w:head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titlePg/>
          <w:docGrid w:linePitch="326"/>
        </w:sectPr>
      </w:pPr>
    </w:p>
    <w:p w:rsidR="00F71A6A" w:rsidRPr="00302008" w:rsidRDefault="00F71A6A" w:rsidP="008824B9">
      <w:pPr>
        <w:pStyle w:val="JuCase"/>
      </w:pPr>
      <w:r w:rsidRPr="00302008">
        <w:t xml:space="preserve">In the case of </w:t>
      </w:r>
      <w:smartTag w:uri="urn:schemas-microsoft-com:office:smarttags" w:element="PersonName">
        <w:r w:rsidR="0014295B">
          <w:rPr>
            <w:rStyle w:val="JuCaseChar"/>
          </w:rPr>
          <w:t>Me</w:t>
        </w:r>
      </w:smartTag>
      <w:r w:rsidR="0014295B">
        <w:rPr>
          <w:rStyle w:val="JuCaseChar"/>
        </w:rPr>
        <w:t xml:space="preserve">lnītis v. </w:t>
      </w:r>
      <w:smartTag w:uri="urn:schemas-microsoft-com:office:smarttags" w:element="place">
        <w:smartTag w:uri="urn:schemas-microsoft-com:office:smarttags" w:element="country-region">
          <w:r w:rsidR="0014295B">
            <w:rPr>
              <w:rStyle w:val="JuCaseChar"/>
            </w:rPr>
            <w:t>Latvia</w:t>
          </w:r>
        </w:smartTag>
      </w:smartTag>
      <w:r w:rsidRPr="00302008">
        <w:t>,</w:t>
      </w:r>
    </w:p>
    <w:p w:rsidR="00730433" w:rsidRPr="00302008" w:rsidRDefault="00F71A6A" w:rsidP="002F4BCF">
      <w:pPr>
        <w:pStyle w:val="JuPara"/>
      </w:pPr>
      <w:r w:rsidRPr="00302008">
        <w:t>The European Court of Human Rights (</w:t>
      </w:r>
      <w:r w:rsidR="0014295B">
        <w:t>Third Section</w:t>
      </w:r>
      <w:r w:rsidRPr="00302008">
        <w:t xml:space="preserve">), sitting as a </w:t>
      </w:r>
      <w:r w:rsidR="0014295B">
        <w:rPr>
          <w:noProof/>
        </w:rPr>
        <w:t>Chamber</w:t>
      </w:r>
      <w:r w:rsidR="00730433" w:rsidRPr="00302008">
        <w:t xml:space="preserve"> composed of:</w:t>
      </w:r>
    </w:p>
    <w:p w:rsidR="00F71A6A" w:rsidRPr="00302008" w:rsidRDefault="007E4C9C" w:rsidP="008824B9">
      <w:pPr>
        <w:pStyle w:val="JuJudges"/>
      </w:pPr>
      <w:r w:rsidRPr="007E4C9C">
        <w:tab/>
        <w:t>Josep</w:t>
      </w:r>
      <w:r>
        <w:t xml:space="preserve"> </w:t>
      </w:r>
      <w:r w:rsidRPr="007E4C9C">
        <w:t>Casadevall</w:t>
      </w:r>
      <w:r>
        <w:t>,</w:t>
      </w:r>
      <w:r w:rsidRPr="007E4C9C">
        <w:rPr>
          <w:i/>
        </w:rPr>
        <w:t xml:space="preserve"> President,</w:t>
      </w:r>
      <w:r>
        <w:rPr>
          <w:i/>
        </w:rPr>
        <w:br/>
      </w:r>
      <w:r w:rsidRPr="007E4C9C">
        <w:tab/>
        <w:t>Corneliu</w:t>
      </w:r>
      <w:r>
        <w:t xml:space="preserve"> </w:t>
      </w:r>
      <w:r w:rsidRPr="007E4C9C">
        <w:t>Bîrsan</w:t>
      </w:r>
      <w:r>
        <w:t>,</w:t>
      </w:r>
      <w:r>
        <w:rPr>
          <w:i/>
        </w:rPr>
        <w:br/>
      </w:r>
      <w:r w:rsidRPr="007E4C9C">
        <w:tab/>
        <w:t>Egbert</w:t>
      </w:r>
      <w:r>
        <w:t xml:space="preserve"> </w:t>
      </w:r>
      <w:r w:rsidRPr="007E4C9C">
        <w:t>Myjer</w:t>
      </w:r>
      <w:r>
        <w:t>,</w:t>
      </w:r>
      <w:r>
        <w:rPr>
          <w:i/>
        </w:rPr>
        <w:br/>
      </w:r>
      <w:r w:rsidRPr="007E4C9C">
        <w:tab/>
        <w:t>Ján</w:t>
      </w:r>
      <w:r>
        <w:t xml:space="preserve"> </w:t>
      </w:r>
      <w:r w:rsidRPr="007E4C9C">
        <w:t>Šikuta</w:t>
      </w:r>
      <w:r>
        <w:t>,</w:t>
      </w:r>
      <w:r>
        <w:rPr>
          <w:i/>
        </w:rPr>
        <w:br/>
      </w:r>
      <w:r w:rsidRPr="007E4C9C">
        <w:tab/>
        <w:t>Ineta</w:t>
      </w:r>
      <w:r>
        <w:t xml:space="preserve"> </w:t>
      </w:r>
      <w:r w:rsidRPr="007E4C9C">
        <w:t>Ziemele</w:t>
      </w:r>
      <w:r>
        <w:t>,</w:t>
      </w:r>
      <w:r>
        <w:rPr>
          <w:i/>
        </w:rPr>
        <w:br/>
      </w:r>
      <w:r w:rsidRPr="007E4C9C">
        <w:tab/>
        <w:t>Nona</w:t>
      </w:r>
      <w:r>
        <w:t xml:space="preserve"> </w:t>
      </w:r>
      <w:r w:rsidRPr="007E4C9C">
        <w:t>Tsotsoria</w:t>
      </w:r>
      <w:r>
        <w:t>,</w:t>
      </w:r>
      <w:r>
        <w:rPr>
          <w:i/>
        </w:rPr>
        <w:br/>
      </w:r>
      <w:r w:rsidRPr="007E4C9C">
        <w:tab/>
        <w:t>Kristina</w:t>
      </w:r>
      <w:r>
        <w:t xml:space="preserve"> </w:t>
      </w:r>
      <w:r w:rsidRPr="007E4C9C">
        <w:t>Pardalos</w:t>
      </w:r>
      <w:r>
        <w:t>,</w:t>
      </w:r>
      <w:r w:rsidRPr="007E4C9C">
        <w:rPr>
          <w:i/>
        </w:rPr>
        <w:t xml:space="preserve"> judges,</w:t>
      </w:r>
      <w:r w:rsidR="00337600" w:rsidRPr="00302008">
        <w:br/>
      </w:r>
      <w:r w:rsidR="00F71A6A" w:rsidRPr="00302008">
        <w:t>and</w:t>
      </w:r>
      <w:r w:rsidR="000726F6" w:rsidRPr="00302008">
        <w:t xml:space="preserve"> </w:t>
      </w:r>
      <w:r w:rsidR="008326CB">
        <w:rPr>
          <w:noProof/>
        </w:rPr>
        <w:t>Marialena Tsirli</w:t>
      </w:r>
      <w:r w:rsidR="009D4B87" w:rsidRPr="00302008">
        <w:rPr>
          <w:rStyle w:val="JuJudgesChar"/>
        </w:rPr>
        <w:t xml:space="preserve">, </w:t>
      </w:r>
      <w:r w:rsidR="008326CB" w:rsidRPr="008326CB">
        <w:rPr>
          <w:rStyle w:val="JuJudgesChar"/>
          <w:i/>
        </w:rPr>
        <w:t>Deputy</w:t>
      </w:r>
      <w:r w:rsidR="008326CB">
        <w:rPr>
          <w:rStyle w:val="JuJudgesChar"/>
        </w:rPr>
        <w:t xml:space="preserve"> </w:t>
      </w:r>
      <w:r w:rsidR="0014295B" w:rsidRPr="00302008">
        <w:rPr>
          <w:i/>
          <w:noProof/>
        </w:rPr>
        <w:t xml:space="preserve">Section </w:t>
      </w:r>
      <w:r w:rsidR="0014295B" w:rsidRPr="00302008">
        <w:rPr>
          <w:i/>
          <w:iCs/>
          <w:noProof/>
        </w:rPr>
        <w:t>Registrar</w:t>
      </w:r>
      <w:r w:rsidR="00F71A6A" w:rsidRPr="00297F8B">
        <w:t>,</w:t>
      </w:r>
    </w:p>
    <w:p w:rsidR="00F71A6A" w:rsidRPr="00302008" w:rsidRDefault="00F71A6A" w:rsidP="002F4BCF">
      <w:pPr>
        <w:pStyle w:val="JuPara"/>
      </w:pPr>
      <w:r w:rsidRPr="00302008">
        <w:t xml:space="preserve">Having deliberated in private on </w:t>
      </w:r>
      <w:r w:rsidR="007E4C9C">
        <w:t>7 February 2012</w:t>
      </w:r>
      <w:r w:rsidRPr="00302008">
        <w:t>,</w:t>
      </w:r>
    </w:p>
    <w:p w:rsidR="00F71A6A" w:rsidRPr="00302008" w:rsidRDefault="00F71A6A" w:rsidP="002F4BCF">
      <w:pPr>
        <w:pStyle w:val="JuPara"/>
      </w:pPr>
      <w:r w:rsidRPr="00302008">
        <w:t>Delivers the following judgment, which was adopted on that date:</w:t>
      </w:r>
    </w:p>
    <w:p w:rsidR="00F71A6A" w:rsidRPr="00302008" w:rsidRDefault="00F71A6A" w:rsidP="008824B9">
      <w:pPr>
        <w:pStyle w:val="JuHHead"/>
      </w:pPr>
      <w:r w:rsidRPr="00302008">
        <w:t>PROCEDURE</w:t>
      </w:r>
    </w:p>
    <w:p w:rsidR="009B13DA" w:rsidRDefault="0014295B" w:rsidP="002F4BCF">
      <w:pPr>
        <w:pStyle w:val="JuPara"/>
        <w:rPr>
          <w:lang w:val="pt-PT"/>
        </w:rPr>
      </w:pPr>
      <w:r>
        <w:fldChar w:fldCharType="begin"/>
      </w:r>
      <w:r>
        <w:instrText xml:space="preserve"> SEQ level0 \*arabic </w:instrText>
      </w:r>
      <w:r>
        <w:fldChar w:fldCharType="separate"/>
      </w:r>
      <w:r w:rsidR="008806B0">
        <w:rPr>
          <w:noProof/>
        </w:rPr>
        <w:t>1</w:t>
      </w:r>
      <w:r>
        <w:fldChar w:fldCharType="end"/>
      </w:r>
      <w:r w:rsidR="00F71A6A" w:rsidRPr="00302008">
        <w:t xml:space="preserve">.  The case originated in </w:t>
      </w:r>
      <w:r w:rsidRPr="00302008">
        <w:rPr>
          <w:noProof/>
        </w:rPr>
        <w:t xml:space="preserve">an application (no. </w:t>
      </w:r>
      <w:r>
        <w:rPr>
          <w:noProof/>
        </w:rPr>
        <w:t>30779/05</w:t>
      </w:r>
      <w:r w:rsidRPr="00302008">
        <w:rPr>
          <w:noProof/>
        </w:rPr>
        <w:t>)</w:t>
      </w:r>
      <w:r w:rsidR="00F71A6A" w:rsidRPr="00302008">
        <w:t xml:space="preserve"> against </w:t>
      </w:r>
      <w:r>
        <w:t xml:space="preserve">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r w:rsidR="00F71A6A" w:rsidRPr="00302008">
        <w:t xml:space="preserve"> lodged with the </w:t>
      </w:r>
      <w:r w:rsidRPr="00302008">
        <w:rPr>
          <w:noProof/>
        </w:rPr>
        <w:t>Court under Article 34</w:t>
      </w:r>
      <w:r w:rsidR="004920B1" w:rsidRPr="00302008">
        <w:t xml:space="preserve"> of the Convention for the Protection of Human Rights and Fundamental Freedoms (“the Convention”)</w:t>
      </w:r>
      <w:r w:rsidR="00F71A6A" w:rsidRPr="00302008">
        <w:t xml:space="preserve"> by </w:t>
      </w:r>
      <w:r w:rsidRPr="00302008">
        <w:rPr>
          <w:noProof/>
        </w:rPr>
        <w:t xml:space="preserve">an </w:t>
      </w:r>
      <w:r>
        <w:rPr>
          <w:noProof/>
        </w:rPr>
        <w:t>Latvian</w:t>
      </w:r>
      <w:r w:rsidRPr="00302008">
        <w:rPr>
          <w:noProof/>
        </w:rPr>
        <w:t xml:space="preserve"> national, </w:t>
      </w:r>
      <w:r>
        <w:rPr>
          <w:noProof/>
        </w:rPr>
        <w:t>Mr</w:t>
      </w:r>
      <w:r w:rsidRPr="00302008">
        <w:rPr>
          <w:noProof/>
        </w:rPr>
        <w:t xml:space="preserve"> </w:t>
      </w:r>
      <w:r>
        <w:rPr>
          <w:noProof/>
        </w:rPr>
        <w:t>Aigars</w:t>
      </w:r>
      <w:r w:rsidRPr="00302008">
        <w:rPr>
          <w:noProof/>
        </w:rPr>
        <w:t xml:space="preserve"> </w:t>
      </w:r>
      <w:smartTag w:uri="urn:schemas-microsoft-com:office:smarttags" w:element="PersonName">
        <w:r>
          <w:rPr>
            <w:noProof/>
          </w:rPr>
          <w:t>Me</w:t>
        </w:r>
      </w:smartTag>
      <w:r>
        <w:rPr>
          <w:noProof/>
        </w:rPr>
        <w:t>lnītis</w:t>
      </w:r>
      <w:r w:rsidRPr="00302008">
        <w:rPr>
          <w:noProof/>
        </w:rPr>
        <w:t xml:space="preserve"> (“the applicant”), on </w:t>
      </w:r>
      <w:r>
        <w:rPr>
          <w:noProof/>
        </w:rPr>
        <w:t>15 August 2005</w:t>
      </w:r>
      <w:r w:rsidR="00F71A6A" w:rsidRPr="005F4753">
        <w:rPr>
          <w:lang w:val="pt-PT"/>
        </w:rPr>
        <w:t>.</w:t>
      </w:r>
    </w:p>
    <w:p w:rsidR="0014295B" w:rsidRPr="005E3DA2" w:rsidRDefault="0014295B" w:rsidP="002F4BCF">
      <w:pPr>
        <w:pStyle w:val="JuPara"/>
      </w:pPr>
      <w:r>
        <w:rPr>
          <w:lang w:val="pt-PT"/>
        </w:rPr>
        <w:fldChar w:fldCharType="begin"/>
      </w:r>
      <w:r>
        <w:rPr>
          <w:lang w:val="pt-PT"/>
        </w:rPr>
        <w:instrText xml:space="preserve"> SEQ level0 \*arabic </w:instrText>
      </w:r>
      <w:r>
        <w:rPr>
          <w:lang w:val="pt-PT"/>
        </w:rPr>
        <w:fldChar w:fldCharType="separate"/>
      </w:r>
      <w:r w:rsidR="008806B0">
        <w:rPr>
          <w:noProof/>
          <w:lang w:val="pt-PT"/>
        </w:rPr>
        <w:t>2</w:t>
      </w:r>
      <w:r>
        <w:rPr>
          <w:lang w:val="pt-PT"/>
        </w:rPr>
        <w:fldChar w:fldCharType="end"/>
      </w:r>
      <w:r w:rsidR="00F71A6A" w:rsidRPr="005F4753">
        <w:rPr>
          <w:lang w:val="pt-PT"/>
        </w:rPr>
        <w:t>.  </w:t>
      </w:r>
      <w:r w:rsidRPr="005F4753">
        <w:rPr>
          <w:noProof/>
          <w:lang w:val="pt-PT"/>
        </w:rPr>
        <w:t xml:space="preserve">The applicant, who had been granted legal aid, was represented by </w:t>
      </w:r>
      <w:r w:rsidRPr="005E3DA2">
        <w:t xml:space="preserve">Ms I. Betkere, a lawyer practising in </w:t>
      </w:r>
      <w:smartTag w:uri="urn:schemas-microsoft-com:office:smarttags" w:element="place">
        <w:smartTag w:uri="urn:schemas-microsoft-com:office:smarttags" w:element="City">
          <w:r w:rsidRPr="005E3DA2">
            <w:t>Rīga</w:t>
          </w:r>
        </w:smartTag>
      </w:smartTag>
      <w:r w:rsidRPr="005E3DA2">
        <w:t xml:space="preserve">. </w:t>
      </w:r>
      <w:r w:rsidR="00F71A6A" w:rsidRPr="005E3DA2">
        <w:t xml:space="preserve">The </w:t>
      </w:r>
      <w:r w:rsidRPr="005E3DA2">
        <w:t>Latvian</w:t>
      </w:r>
      <w:r w:rsidR="00F71A6A" w:rsidRPr="005E3DA2">
        <w:t xml:space="preserve"> Government (“the Government”) were represented by their Agent, Mrs </w:t>
      </w:r>
      <w:r w:rsidRPr="005E3DA2">
        <w:t>I. Reine</w:t>
      </w:r>
      <w:r w:rsidR="00F71A6A" w:rsidRPr="005E3DA2">
        <w:t>.</w:t>
      </w:r>
    </w:p>
    <w:p w:rsidR="00F71A6A" w:rsidRPr="00302008" w:rsidRDefault="0014295B" w:rsidP="002F4BCF">
      <w:pPr>
        <w:pStyle w:val="JuPara"/>
      </w:pPr>
      <w:r>
        <w:rPr>
          <w:noProof/>
        </w:rPr>
        <w:fldChar w:fldCharType="begin"/>
      </w:r>
      <w:r>
        <w:rPr>
          <w:noProof/>
        </w:rPr>
        <w:instrText xml:space="preserve"> SEQ level0 \*arabic </w:instrText>
      </w:r>
      <w:r>
        <w:rPr>
          <w:noProof/>
        </w:rPr>
        <w:fldChar w:fldCharType="separate"/>
      </w:r>
      <w:r w:rsidR="008806B0">
        <w:rPr>
          <w:noProof/>
        </w:rPr>
        <w:t>3</w:t>
      </w:r>
      <w:r>
        <w:rPr>
          <w:noProof/>
        </w:rPr>
        <w:fldChar w:fldCharType="end"/>
      </w:r>
      <w:r w:rsidRPr="00302008">
        <w:rPr>
          <w:noProof/>
        </w:rPr>
        <w:t xml:space="preserve">.  The </w:t>
      </w:r>
      <w:r w:rsidRPr="00D301C7">
        <w:rPr>
          <w:noProof/>
        </w:rPr>
        <w:t>applicant</w:t>
      </w:r>
      <w:r w:rsidRPr="00302008">
        <w:rPr>
          <w:noProof/>
        </w:rPr>
        <w:t xml:space="preserve"> alleged, in particular, </w:t>
      </w:r>
      <w:r>
        <w:rPr>
          <w:noProof/>
        </w:rPr>
        <w:t xml:space="preserve">that </w:t>
      </w:r>
      <w:r w:rsidR="005E3DA2">
        <w:t xml:space="preserve">the conditions of his </w:t>
      </w:r>
      <w:r w:rsidR="002D195D">
        <w:t xml:space="preserve">pre-trial </w:t>
      </w:r>
      <w:r w:rsidR="007D5923">
        <w:t xml:space="preserve">detention in </w:t>
      </w:r>
      <w:r w:rsidR="005E3DA2">
        <w:t xml:space="preserve">Valmiera </w:t>
      </w:r>
      <w:r w:rsidR="00827D32">
        <w:t xml:space="preserve">Prison </w:t>
      </w:r>
      <w:r w:rsidR="005E3DA2">
        <w:t>had amounted to inhuman and degrading treatment</w:t>
      </w:r>
      <w:r w:rsidRPr="00302008">
        <w:rPr>
          <w:noProof/>
        </w:rPr>
        <w:t>.</w:t>
      </w:r>
    </w:p>
    <w:p w:rsidR="00F71A6A" w:rsidRPr="00302008" w:rsidRDefault="0014295B" w:rsidP="002F4BCF">
      <w:pPr>
        <w:pStyle w:val="JuPara"/>
      </w:pPr>
      <w:r>
        <w:fldChar w:fldCharType="begin"/>
      </w:r>
      <w:r>
        <w:instrText xml:space="preserve"> SEQ level0 \*arabic </w:instrText>
      </w:r>
      <w:r>
        <w:fldChar w:fldCharType="separate"/>
      </w:r>
      <w:r w:rsidR="008806B0">
        <w:rPr>
          <w:noProof/>
        </w:rPr>
        <w:t>4</w:t>
      </w:r>
      <w:r>
        <w:fldChar w:fldCharType="end"/>
      </w:r>
      <w:r w:rsidR="00F71A6A" w:rsidRPr="002B18B7">
        <w:t xml:space="preserve">.  On </w:t>
      </w:r>
      <w:r>
        <w:rPr>
          <w:noProof/>
          <w:szCs w:val="24"/>
        </w:rPr>
        <w:t>16 May 2007</w:t>
      </w:r>
      <w:r w:rsidR="00F71A6A" w:rsidRPr="002B18B7">
        <w:t xml:space="preserve"> </w:t>
      </w:r>
      <w:r w:rsidR="0009409F" w:rsidRPr="002B18B7">
        <w:t xml:space="preserve">the </w:t>
      </w:r>
      <w:r w:rsidRPr="002B18B7">
        <w:rPr>
          <w:noProof/>
        </w:rPr>
        <w:t>application was</w:t>
      </w:r>
      <w:r w:rsidR="0009409F" w:rsidRPr="002B18B7">
        <w:t xml:space="preserve"> communicated </w:t>
      </w:r>
      <w:r w:rsidR="00F71A6A" w:rsidRPr="002B18B7">
        <w:t>to the Gove</w:t>
      </w:r>
      <w:r w:rsidR="00485A6F" w:rsidRPr="002B18B7">
        <w:t>rnment.</w:t>
      </w:r>
      <w:r w:rsidRPr="002B18B7">
        <w:rPr>
          <w:noProof/>
        </w:rPr>
        <w:t xml:space="preserve"> It was also decided to rule on the admissibility and merits of the application at the same time (Article 29 § 1).</w:t>
      </w:r>
    </w:p>
    <w:p w:rsidR="00F71A6A" w:rsidRPr="00302008" w:rsidRDefault="00F71A6A" w:rsidP="008824B9">
      <w:pPr>
        <w:pStyle w:val="JuHHead"/>
      </w:pPr>
      <w:r w:rsidRPr="00302008">
        <w:t>THE FACTS</w:t>
      </w:r>
    </w:p>
    <w:p w:rsidR="0014295B" w:rsidRPr="0034580F" w:rsidRDefault="0014295B" w:rsidP="0014295B">
      <w:pPr>
        <w:pStyle w:val="JuHIRoman"/>
        <w:outlineLvl w:val="0"/>
      </w:pPr>
      <w:r w:rsidRPr="0034580F">
        <w:t>I.  THE CIRCUMSTANCES OF THE CASE</w:t>
      </w:r>
    </w:p>
    <w:p w:rsidR="00F71A6A" w:rsidRDefault="0014295B" w:rsidP="002F4BCF">
      <w:pPr>
        <w:pStyle w:val="JuPara"/>
      </w:pPr>
      <w:r>
        <w:fldChar w:fldCharType="begin"/>
      </w:r>
      <w:r>
        <w:instrText xml:space="preserve"> SEQ level0 \*arabic </w:instrText>
      </w:r>
      <w:r>
        <w:fldChar w:fldCharType="separate"/>
      </w:r>
      <w:r w:rsidR="008806B0">
        <w:rPr>
          <w:noProof/>
        </w:rPr>
        <w:t>5</w:t>
      </w:r>
      <w:r>
        <w:fldChar w:fldCharType="end"/>
      </w:r>
      <w:r w:rsidR="00F71A6A" w:rsidRPr="00302008">
        <w:t xml:space="preserve">.  The </w:t>
      </w:r>
      <w:r w:rsidRPr="00302008">
        <w:rPr>
          <w:noProof/>
        </w:rPr>
        <w:t xml:space="preserve">applicant was born in </w:t>
      </w:r>
      <w:r>
        <w:rPr>
          <w:noProof/>
        </w:rPr>
        <w:t>1969</w:t>
      </w:r>
      <w:r w:rsidRPr="00302008">
        <w:rPr>
          <w:noProof/>
        </w:rPr>
        <w:t xml:space="preserve"> and lives</w:t>
      </w:r>
      <w:r w:rsidR="00F71A6A" w:rsidRPr="00302008">
        <w:t xml:space="preserve"> in </w:t>
      </w:r>
      <w:r w:rsidR="005E3DA2">
        <w:rPr>
          <w:noProof/>
        </w:rPr>
        <w:t xml:space="preserve">Rencēni parish in </w:t>
      </w:r>
      <w:smartTag w:uri="urn:schemas-microsoft-com:office:smarttags" w:element="place">
        <w:smartTag w:uri="urn:schemas-microsoft-com:office:smarttags" w:element="country-region">
          <w:r w:rsidR="005E3DA2">
            <w:rPr>
              <w:noProof/>
            </w:rPr>
            <w:t>Latvia</w:t>
          </w:r>
        </w:smartTag>
      </w:smartTag>
      <w:r w:rsidR="00F71A6A" w:rsidRPr="00302008">
        <w:t>.</w:t>
      </w:r>
    </w:p>
    <w:p w:rsidR="009B13DA" w:rsidRDefault="00A66394" w:rsidP="00CE778E">
      <w:pPr>
        <w:pStyle w:val="JuHA"/>
        <w:outlineLvl w:val="1"/>
      </w:pPr>
      <w:r>
        <w:t>A</w:t>
      </w:r>
      <w:r w:rsidR="0014295B" w:rsidRPr="001670B9">
        <w:t>.</w:t>
      </w:r>
      <w:r w:rsidR="0014295B">
        <w:t>  The applicant</w:t>
      </w:r>
      <w:r w:rsidR="00FD5467">
        <w:t>’</w:t>
      </w:r>
      <w:r w:rsidR="0014295B">
        <w:t xml:space="preserve">s </w:t>
      </w:r>
      <w:r w:rsidR="00F06808">
        <w:t>pre-trial detention</w:t>
      </w:r>
      <w:r w:rsidR="002D195D">
        <w:t xml:space="preserve"> and conviction</w:t>
      </w:r>
    </w:p>
    <w:p w:rsidR="00BD1CCE" w:rsidRDefault="0014295B" w:rsidP="002F4BCF">
      <w:pPr>
        <w:pStyle w:val="JuPara"/>
      </w:pPr>
      <w:r>
        <w:fldChar w:fldCharType="begin"/>
      </w:r>
      <w:r>
        <w:instrText xml:space="preserve"> SEQ level0 \*arabic </w:instrText>
      </w:r>
      <w:r>
        <w:fldChar w:fldCharType="separate"/>
      </w:r>
      <w:r w:rsidR="008806B0">
        <w:rPr>
          <w:noProof/>
        </w:rPr>
        <w:t>6</w:t>
      </w:r>
      <w:r>
        <w:fldChar w:fldCharType="end"/>
      </w:r>
      <w:r w:rsidR="00F71A6A" w:rsidRPr="00302008">
        <w:t>.  </w:t>
      </w:r>
      <w:r w:rsidR="005C5497">
        <w:t xml:space="preserve">On </w:t>
      </w:r>
      <w:r w:rsidR="00E14B3B">
        <w:t>19 May 2005</w:t>
      </w:r>
      <w:r w:rsidR="005C5497">
        <w:t xml:space="preserve"> the applicant was </w:t>
      </w:r>
      <w:r w:rsidR="00E14B3B">
        <w:t xml:space="preserve">placed </w:t>
      </w:r>
      <w:r w:rsidR="00BD35AC">
        <w:t xml:space="preserve">in cell no. 26 </w:t>
      </w:r>
      <w:r w:rsidR="00E14B3B">
        <w:t xml:space="preserve">in a remand </w:t>
      </w:r>
      <w:r w:rsidR="00E05A3F">
        <w:t xml:space="preserve">wing of </w:t>
      </w:r>
      <w:r w:rsidR="00E14B3B">
        <w:t>Valmiera</w:t>
      </w:r>
      <w:r w:rsidR="00E05A3F">
        <w:t xml:space="preserve"> Prison</w:t>
      </w:r>
      <w:r w:rsidR="00215B32">
        <w:t>.</w:t>
      </w:r>
    </w:p>
    <w:p w:rsidR="00D23816" w:rsidRDefault="005C5497" w:rsidP="002F4BCF">
      <w:pPr>
        <w:pStyle w:val="JuPara"/>
      </w:pPr>
      <w:r>
        <w:fldChar w:fldCharType="begin"/>
      </w:r>
      <w:r>
        <w:instrText xml:space="preserve"> SEQ level0 \*arabic </w:instrText>
      </w:r>
      <w:r>
        <w:fldChar w:fldCharType="separate"/>
      </w:r>
      <w:r w:rsidR="008806B0">
        <w:rPr>
          <w:noProof/>
        </w:rPr>
        <w:t>7</w:t>
      </w:r>
      <w:r>
        <w:fldChar w:fldCharType="end"/>
      </w:r>
      <w:r>
        <w:t>.  </w:t>
      </w:r>
      <w:r w:rsidR="00013299">
        <w:t>On 14 October 2005 the Valmiera District Court (</w:t>
      </w:r>
      <w:r w:rsidR="00013299">
        <w:rPr>
          <w:i/>
        </w:rPr>
        <w:t>Valmieras rajona tiesa</w:t>
      </w:r>
      <w:r w:rsidR="00013299">
        <w:t>)</w:t>
      </w:r>
      <w:r w:rsidR="00313F01">
        <w:t xml:space="preserve"> </w:t>
      </w:r>
      <w:r w:rsidR="00013299">
        <w:t xml:space="preserve">convicted the applicant of resistance to a </w:t>
      </w:r>
      <w:r w:rsidR="00E4742A">
        <w:t xml:space="preserve">public </w:t>
      </w:r>
      <w:r w:rsidR="00013299">
        <w:t xml:space="preserve">official and </w:t>
      </w:r>
      <w:r w:rsidR="00D23816">
        <w:t>sentenced him to three years</w:t>
      </w:r>
      <w:r w:rsidR="00FD5467">
        <w:t>’</w:t>
      </w:r>
      <w:r w:rsidR="00D23816">
        <w:t xml:space="preserve"> imprisonment</w:t>
      </w:r>
      <w:r w:rsidR="003A2979">
        <w:t xml:space="preserve"> but </w:t>
      </w:r>
      <w:r w:rsidR="00D23816">
        <w:t>suspended</w:t>
      </w:r>
      <w:r w:rsidR="003A2979">
        <w:t xml:space="preserve"> the sentence</w:t>
      </w:r>
      <w:r w:rsidR="00D23816">
        <w:t>.</w:t>
      </w:r>
      <w:r w:rsidR="00512AAD">
        <w:t xml:space="preserve"> It appears </w:t>
      </w:r>
      <w:r w:rsidR="00C04324">
        <w:t>that no appeal was lodged against this judgment.</w:t>
      </w:r>
    </w:p>
    <w:p w:rsidR="005C5497" w:rsidRDefault="00D23816" w:rsidP="002F4BCF">
      <w:pPr>
        <w:pStyle w:val="JuPara"/>
      </w:pPr>
      <w:r>
        <w:fldChar w:fldCharType="begin"/>
      </w:r>
      <w:r>
        <w:instrText xml:space="preserve"> SEQ level0 \*arabic </w:instrText>
      </w:r>
      <w:r>
        <w:fldChar w:fldCharType="separate"/>
      </w:r>
      <w:r w:rsidR="008806B0">
        <w:rPr>
          <w:noProof/>
        </w:rPr>
        <w:t>8</w:t>
      </w:r>
      <w:r>
        <w:fldChar w:fldCharType="end"/>
      </w:r>
      <w:r>
        <w:t xml:space="preserve">.  On the same date, the </w:t>
      </w:r>
      <w:r w:rsidR="00EE37BA">
        <w:t xml:space="preserve">court ordered the </w:t>
      </w:r>
      <w:r>
        <w:t>applicant</w:t>
      </w:r>
      <w:r w:rsidR="00FD5467">
        <w:t>’</w:t>
      </w:r>
      <w:r w:rsidR="00EE37BA">
        <w:t>s release</w:t>
      </w:r>
      <w:r>
        <w:t>.</w:t>
      </w:r>
    </w:p>
    <w:p w:rsidR="00A721E4" w:rsidRPr="00CE778E" w:rsidRDefault="00CE778E" w:rsidP="00CE778E">
      <w:pPr>
        <w:pStyle w:val="JuHA"/>
        <w:outlineLvl w:val="1"/>
      </w:pPr>
      <w:r>
        <w:t>B</w:t>
      </w:r>
      <w:r w:rsidR="00A721E4" w:rsidRPr="00CE778E">
        <w:t xml:space="preserve">.  Conditions of detention </w:t>
      </w:r>
      <w:r w:rsidR="004E53E6" w:rsidRPr="00CE778E">
        <w:t xml:space="preserve">in Valmiera </w:t>
      </w:r>
      <w:r w:rsidR="00720918">
        <w:t>P</w:t>
      </w:r>
      <w:r w:rsidR="00720918" w:rsidRPr="00CE778E">
        <w:t>rison</w:t>
      </w:r>
    </w:p>
    <w:p w:rsidR="00C04324" w:rsidRPr="00430BBE" w:rsidRDefault="00A721E4" w:rsidP="002F4BCF">
      <w:pPr>
        <w:pStyle w:val="JuPara"/>
      </w:pPr>
      <w:r>
        <w:fldChar w:fldCharType="begin"/>
      </w:r>
      <w:r>
        <w:instrText xml:space="preserve"> SEQ level0 \*arabic </w:instrText>
      </w:r>
      <w:r>
        <w:fldChar w:fldCharType="separate"/>
      </w:r>
      <w:r w:rsidR="008806B0">
        <w:rPr>
          <w:noProof/>
        </w:rPr>
        <w:t>9</w:t>
      </w:r>
      <w:r>
        <w:fldChar w:fldCharType="end"/>
      </w:r>
      <w:r>
        <w:t>.  </w:t>
      </w:r>
      <w:r w:rsidR="00B66813">
        <w:t xml:space="preserve">According to the applicant, the cell where he was placed together with </w:t>
      </w:r>
      <w:r w:rsidR="00B66813" w:rsidRPr="00430BBE">
        <w:t xml:space="preserve">other detainees </w:t>
      </w:r>
      <w:r w:rsidR="00720918">
        <w:t>had been</w:t>
      </w:r>
      <w:r w:rsidR="00720918" w:rsidRPr="00430BBE">
        <w:t xml:space="preserve"> </w:t>
      </w:r>
      <w:r w:rsidR="00E40660" w:rsidRPr="00430BBE">
        <w:t xml:space="preserve">very </w:t>
      </w:r>
      <w:r w:rsidR="00B66813" w:rsidRPr="00430BBE">
        <w:t xml:space="preserve">poorly lit and poorly ventilated. </w:t>
      </w:r>
      <w:r w:rsidR="000932D7" w:rsidRPr="00430BBE">
        <w:t>T</w:t>
      </w:r>
      <w:r w:rsidR="00720918">
        <w:t>he t</w:t>
      </w:r>
      <w:r w:rsidR="000932D7" w:rsidRPr="00430BBE">
        <w:t xml:space="preserve">oilets </w:t>
      </w:r>
      <w:r w:rsidR="00720918">
        <w:t>had</w:t>
      </w:r>
      <w:r w:rsidR="00720918" w:rsidRPr="00430BBE">
        <w:t xml:space="preserve"> </w:t>
      </w:r>
      <w:r w:rsidR="000932D7" w:rsidRPr="00430BBE">
        <w:t xml:space="preserve">not </w:t>
      </w:r>
      <w:r w:rsidR="00720918">
        <w:t xml:space="preserve">been </w:t>
      </w:r>
      <w:r w:rsidR="000932D7" w:rsidRPr="00430BBE">
        <w:t>separated</w:t>
      </w:r>
      <w:r w:rsidR="00720918">
        <w:t xml:space="preserve"> from the living area</w:t>
      </w:r>
      <w:r w:rsidR="00165DB0">
        <w:t xml:space="preserve"> and</w:t>
      </w:r>
      <w:r w:rsidR="00165DB0" w:rsidRPr="00430BBE">
        <w:t xml:space="preserve"> </w:t>
      </w:r>
      <w:r w:rsidR="00720918">
        <w:t xml:space="preserve">had </w:t>
      </w:r>
      <w:r w:rsidR="00165DB0">
        <w:t>emitted a foul</w:t>
      </w:r>
      <w:r w:rsidR="00E40660" w:rsidRPr="00430BBE">
        <w:t xml:space="preserve"> smell </w:t>
      </w:r>
      <w:r w:rsidR="00165DB0">
        <w:t>that had lingered in</w:t>
      </w:r>
      <w:r w:rsidR="00165DB0" w:rsidRPr="00430BBE">
        <w:t xml:space="preserve"> </w:t>
      </w:r>
      <w:r w:rsidR="00E40660" w:rsidRPr="00430BBE">
        <w:t>the air</w:t>
      </w:r>
      <w:r w:rsidR="00E147C0" w:rsidRPr="00430BBE">
        <w:t>.</w:t>
      </w:r>
      <w:r w:rsidR="008A4DC2" w:rsidRPr="00430BBE">
        <w:t xml:space="preserve"> Detainees </w:t>
      </w:r>
      <w:r w:rsidR="00720918">
        <w:t>had</w:t>
      </w:r>
      <w:r w:rsidR="00720918" w:rsidRPr="00430BBE">
        <w:t xml:space="preserve"> </w:t>
      </w:r>
      <w:r w:rsidR="008A4DC2" w:rsidRPr="00430BBE">
        <w:t xml:space="preserve">thus </w:t>
      </w:r>
      <w:r w:rsidR="00720918">
        <w:t xml:space="preserve">been </w:t>
      </w:r>
      <w:r w:rsidR="008A4DC2" w:rsidRPr="00430BBE">
        <w:t xml:space="preserve">forced to </w:t>
      </w:r>
      <w:r w:rsidR="00720918">
        <w:t>eat</w:t>
      </w:r>
      <w:r w:rsidR="00720918" w:rsidRPr="00430BBE">
        <w:t xml:space="preserve"> </w:t>
      </w:r>
      <w:r w:rsidR="008A4DC2" w:rsidRPr="00430BBE">
        <w:t xml:space="preserve">their meals in </w:t>
      </w:r>
      <w:r w:rsidR="00841988">
        <w:t>close proximity to the toilets</w:t>
      </w:r>
      <w:r w:rsidR="008A4DC2" w:rsidRPr="00430BBE">
        <w:t xml:space="preserve">. The applicant also alleged that the cell </w:t>
      </w:r>
      <w:r w:rsidR="00720918">
        <w:t>had been</w:t>
      </w:r>
      <w:r w:rsidR="00720918" w:rsidRPr="00430BBE">
        <w:t xml:space="preserve"> </w:t>
      </w:r>
      <w:r w:rsidR="008A4DC2" w:rsidRPr="00430BBE">
        <w:t xml:space="preserve">overpopulated, each detainee having </w:t>
      </w:r>
      <w:r w:rsidR="00720918">
        <w:t xml:space="preserve">had </w:t>
      </w:r>
      <w:r w:rsidR="008A4DC2" w:rsidRPr="00430BBE">
        <w:t xml:space="preserve">less than the domestic </w:t>
      </w:r>
      <w:r w:rsidR="00F404F9" w:rsidRPr="00430BBE">
        <w:t>standard</w:t>
      </w:r>
      <w:r w:rsidR="008A4DC2" w:rsidRPr="00430BBE">
        <w:t xml:space="preserve"> of </w:t>
      </w:r>
      <w:r w:rsidR="008A4DC2" w:rsidRPr="00430BBE">
        <w:rPr>
          <w:color w:val="000000"/>
        </w:rPr>
        <w:t xml:space="preserve">2.5 sq. m </w:t>
      </w:r>
      <w:r w:rsidR="00F404F9" w:rsidRPr="00430BBE">
        <w:rPr>
          <w:color w:val="000000"/>
        </w:rPr>
        <w:t xml:space="preserve">of living space </w:t>
      </w:r>
      <w:r w:rsidR="00720918">
        <w:rPr>
          <w:color w:val="000000"/>
        </w:rPr>
        <w:t>per</w:t>
      </w:r>
      <w:r w:rsidR="00720918" w:rsidRPr="00430BBE">
        <w:rPr>
          <w:color w:val="000000"/>
        </w:rPr>
        <w:t xml:space="preserve"> </w:t>
      </w:r>
      <w:r w:rsidR="008A4DC2" w:rsidRPr="00430BBE">
        <w:rPr>
          <w:color w:val="000000"/>
        </w:rPr>
        <w:t xml:space="preserve">male adult </w:t>
      </w:r>
      <w:r w:rsidR="00624837" w:rsidRPr="00430BBE">
        <w:rPr>
          <w:color w:val="000000"/>
        </w:rPr>
        <w:t>detainee</w:t>
      </w:r>
      <w:r w:rsidR="008A4DC2" w:rsidRPr="00430BBE">
        <w:t>.</w:t>
      </w:r>
    </w:p>
    <w:bookmarkStart w:id="2" w:name="facts_Gov_submissions"/>
    <w:p w:rsidR="00CE184B" w:rsidRDefault="00CE184B" w:rsidP="002F4BCF">
      <w:pPr>
        <w:pStyle w:val="JuPara"/>
      </w:pPr>
      <w:r>
        <w:fldChar w:fldCharType="begin"/>
      </w:r>
      <w:r>
        <w:instrText xml:space="preserve"> SEQ level0 \*arabic </w:instrText>
      </w:r>
      <w:r>
        <w:fldChar w:fldCharType="separate"/>
      </w:r>
      <w:r w:rsidR="008806B0">
        <w:rPr>
          <w:noProof/>
        </w:rPr>
        <w:t>10</w:t>
      </w:r>
      <w:r>
        <w:fldChar w:fldCharType="end"/>
      </w:r>
      <w:bookmarkEnd w:id="2"/>
      <w:r>
        <w:t>.  The Government disagreed with the applicant</w:t>
      </w:r>
      <w:r w:rsidR="00FD5467">
        <w:t>’</w:t>
      </w:r>
      <w:r>
        <w:t xml:space="preserve">s </w:t>
      </w:r>
      <w:r w:rsidR="000B50AE">
        <w:t xml:space="preserve">version of </w:t>
      </w:r>
      <w:r w:rsidR="00FA6FA2">
        <w:t>facts</w:t>
      </w:r>
      <w:r>
        <w:t xml:space="preserve">. They noted that cell no. 26 had </w:t>
      </w:r>
      <w:r w:rsidR="006E6BC1">
        <w:t xml:space="preserve">had </w:t>
      </w:r>
      <w:r>
        <w:t>artificial and natural light</w:t>
      </w:r>
      <w:r w:rsidR="00CB6268">
        <w:t xml:space="preserve"> and </w:t>
      </w:r>
      <w:r w:rsidR="006E6BC1">
        <w:t xml:space="preserve">a </w:t>
      </w:r>
      <w:r w:rsidR="007738E4">
        <w:t>ventilation system</w:t>
      </w:r>
      <w:r>
        <w:t xml:space="preserve"> and </w:t>
      </w:r>
      <w:r w:rsidR="00BA1D1D">
        <w:t xml:space="preserve">they submitted </w:t>
      </w:r>
      <w:r>
        <w:t xml:space="preserve">that </w:t>
      </w:r>
      <w:r w:rsidR="00BA1D1D">
        <w:t xml:space="preserve">the </w:t>
      </w:r>
      <w:r>
        <w:t>toilet</w:t>
      </w:r>
      <w:r w:rsidR="00BA1D1D">
        <w:t xml:space="preserve"> area</w:t>
      </w:r>
      <w:r>
        <w:t xml:space="preserve"> in the cell </w:t>
      </w:r>
      <w:r w:rsidR="00C12FD3">
        <w:t>had been</w:t>
      </w:r>
      <w:r>
        <w:t xml:space="preserve"> separated </w:t>
      </w:r>
      <w:r w:rsidR="006E6BC1">
        <w:t xml:space="preserve">off </w:t>
      </w:r>
      <w:r>
        <w:t>with a screen. The</w:t>
      </w:r>
      <w:r w:rsidR="000B6839">
        <w:t xml:space="preserve"> Government</w:t>
      </w:r>
      <w:r>
        <w:t xml:space="preserve"> submitted that cell no. 26 </w:t>
      </w:r>
      <w:r w:rsidR="006E6BC1">
        <w:t xml:space="preserve">had </w:t>
      </w:r>
      <w:r w:rsidR="00904B06">
        <w:t>measured</w:t>
      </w:r>
      <w:r>
        <w:t xml:space="preserve"> 23.6 sq.</w:t>
      </w:r>
      <w:r w:rsidR="006E6BC1">
        <w:t xml:space="preserve"> </w:t>
      </w:r>
      <w:r>
        <w:t xml:space="preserve">m. and </w:t>
      </w:r>
      <w:r w:rsidR="006E6BC1">
        <w:t xml:space="preserve">had </w:t>
      </w:r>
      <w:r>
        <w:t>accommodated no more than eight detainees</w:t>
      </w:r>
      <w:r w:rsidR="009B7F4A">
        <w:t xml:space="preserve"> at a time</w:t>
      </w:r>
      <w:r>
        <w:t>, including the applicant.</w:t>
      </w:r>
    </w:p>
    <w:p w:rsidR="00F404F9" w:rsidRDefault="00F404F9" w:rsidP="002F4BCF">
      <w:pPr>
        <w:pStyle w:val="JuPara"/>
      </w:pPr>
      <w:r>
        <w:fldChar w:fldCharType="begin"/>
      </w:r>
      <w:r>
        <w:instrText xml:space="preserve"> SEQ level0 \*arabic </w:instrText>
      </w:r>
      <w:r>
        <w:fldChar w:fldCharType="separate"/>
      </w:r>
      <w:r w:rsidR="008806B0">
        <w:rPr>
          <w:noProof/>
        </w:rPr>
        <w:t>11</w:t>
      </w:r>
      <w:r>
        <w:fldChar w:fldCharType="end"/>
      </w:r>
      <w:r>
        <w:t>.  </w:t>
      </w:r>
      <w:r w:rsidR="008B394A">
        <w:t>In addition</w:t>
      </w:r>
      <w:r>
        <w:t xml:space="preserve">, the applicant </w:t>
      </w:r>
      <w:r w:rsidR="00564C4C">
        <w:t xml:space="preserve">contended that he </w:t>
      </w:r>
      <w:r w:rsidR="006E6BC1">
        <w:t xml:space="preserve">had </w:t>
      </w:r>
      <w:r w:rsidR="00564C4C">
        <w:t>not receive</w:t>
      </w:r>
      <w:r w:rsidR="006E6BC1">
        <w:t>d</w:t>
      </w:r>
      <w:r w:rsidR="00564C4C">
        <w:t xml:space="preserve"> any personal hygiene </w:t>
      </w:r>
      <w:r w:rsidR="00356E55">
        <w:t>products</w:t>
      </w:r>
      <w:r w:rsidR="006E6BC1">
        <w:t>,</w:t>
      </w:r>
      <w:r w:rsidR="00564C4C">
        <w:t xml:space="preserve"> save for a </w:t>
      </w:r>
      <w:r w:rsidR="002B0C87">
        <w:t xml:space="preserve">quarter of a bar of </w:t>
      </w:r>
      <w:r w:rsidR="00154AA3">
        <w:t>laundry</w:t>
      </w:r>
      <w:r w:rsidR="007C3ACA">
        <w:t xml:space="preserve"> </w:t>
      </w:r>
      <w:r w:rsidR="002B0C87">
        <w:t>soap</w:t>
      </w:r>
      <w:r w:rsidR="007C3ACA">
        <w:t>.</w:t>
      </w:r>
      <w:r w:rsidR="003714CC">
        <w:t xml:space="preserve"> </w:t>
      </w:r>
      <w:r w:rsidR="008B394A">
        <w:t xml:space="preserve">He had not been provided with toilet </w:t>
      </w:r>
      <w:r w:rsidR="003714CC">
        <w:t xml:space="preserve">soap, </w:t>
      </w:r>
      <w:r w:rsidR="00420B99">
        <w:t xml:space="preserve">a </w:t>
      </w:r>
      <w:r w:rsidR="003714CC">
        <w:t>toothbrush, toothpaste and toilet paper</w:t>
      </w:r>
      <w:r w:rsidR="002C7411">
        <w:t xml:space="preserve">, in violation of </w:t>
      </w:r>
      <w:r w:rsidR="006A4112">
        <w:t xml:space="preserve">domestic law </w:t>
      </w:r>
      <w:r w:rsidR="009056FB" w:rsidRPr="007A5183">
        <w:t xml:space="preserve">(see paragraph </w:t>
      </w:r>
      <w:r w:rsidR="007A5183" w:rsidRPr="007A5183">
        <w:fldChar w:fldCharType="begin"/>
      </w:r>
      <w:r w:rsidR="007A5183" w:rsidRPr="007A5183">
        <w:instrText xml:space="preserve"> REF domlaw_reg_339_2002 \h </w:instrText>
      </w:r>
      <w:r w:rsidR="007A5183">
        <w:instrText xml:space="preserve"> \* MERGEFORMAT </w:instrText>
      </w:r>
      <w:r w:rsidR="007A5183" w:rsidRPr="007A5183">
        <w:fldChar w:fldCharType="separate"/>
      </w:r>
      <w:r w:rsidR="008806B0">
        <w:rPr>
          <w:noProof/>
        </w:rPr>
        <w:t>21</w:t>
      </w:r>
      <w:r w:rsidR="007A5183" w:rsidRPr="007A5183">
        <w:fldChar w:fldCharType="end"/>
      </w:r>
      <w:r w:rsidR="009056FB" w:rsidRPr="007A5183">
        <w:t xml:space="preserve"> below)</w:t>
      </w:r>
      <w:r w:rsidR="00383D31" w:rsidRPr="007A5183">
        <w:t>.</w:t>
      </w:r>
    </w:p>
    <w:p w:rsidR="000C7F58" w:rsidRDefault="00BD35AC" w:rsidP="002F4BCF">
      <w:pPr>
        <w:pStyle w:val="JuPara"/>
      </w:pPr>
      <w:r>
        <w:fldChar w:fldCharType="begin"/>
      </w:r>
      <w:r>
        <w:instrText xml:space="preserve"> SEQ level0 \*arabic </w:instrText>
      </w:r>
      <w:r>
        <w:fldChar w:fldCharType="separate"/>
      </w:r>
      <w:r w:rsidR="008806B0">
        <w:rPr>
          <w:noProof/>
        </w:rPr>
        <w:t>12</w:t>
      </w:r>
      <w:r>
        <w:fldChar w:fldCharType="end"/>
      </w:r>
      <w:r>
        <w:t xml:space="preserve">.  The Government </w:t>
      </w:r>
      <w:r w:rsidR="00C535BF">
        <w:t xml:space="preserve">did not deny that the applicant </w:t>
      </w:r>
      <w:r w:rsidR="006E6BC1">
        <w:t xml:space="preserve">had </w:t>
      </w:r>
      <w:r w:rsidR="00154AA3">
        <w:t xml:space="preserve">not </w:t>
      </w:r>
      <w:r w:rsidR="006E6BC1">
        <w:t xml:space="preserve">been </w:t>
      </w:r>
      <w:r w:rsidR="00154AA3">
        <w:t xml:space="preserve">provided with these </w:t>
      </w:r>
      <w:r w:rsidR="00356E55">
        <w:t>products</w:t>
      </w:r>
      <w:r w:rsidR="00E34F29">
        <w:t>.</w:t>
      </w:r>
    </w:p>
    <w:p w:rsidR="00311851" w:rsidRDefault="000C7F58" w:rsidP="002F4BCF">
      <w:pPr>
        <w:pStyle w:val="JuPara"/>
      </w:pPr>
      <w:r>
        <w:fldChar w:fldCharType="begin"/>
      </w:r>
      <w:r>
        <w:instrText xml:space="preserve"> SEQ level0 \*arabic </w:instrText>
      </w:r>
      <w:r>
        <w:fldChar w:fldCharType="separate"/>
      </w:r>
      <w:r w:rsidR="008806B0">
        <w:rPr>
          <w:noProof/>
        </w:rPr>
        <w:t>13</w:t>
      </w:r>
      <w:r>
        <w:fldChar w:fldCharType="end"/>
      </w:r>
      <w:r>
        <w:t>.  O</w:t>
      </w:r>
      <w:r w:rsidR="00157294">
        <w:t xml:space="preserve">n an unspecified date in October 2005 </w:t>
      </w:r>
      <w:r w:rsidR="00803A6A">
        <w:t xml:space="preserve">the applicant </w:t>
      </w:r>
      <w:r w:rsidR="00157294">
        <w:t xml:space="preserve">had </w:t>
      </w:r>
      <w:r w:rsidR="00803A6A">
        <w:t xml:space="preserve">received </w:t>
      </w:r>
      <w:r w:rsidR="005108AF">
        <w:t xml:space="preserve">200 g of laundry soap, </w:t>
      </w:r>
      <w:r w:rsidR="00803A6A">
        <w:t>one toothbrush, 50 g of toothpaste</w:t>
      </w:r>
      <w:r w:rsidR="005108AF">
        <w:t xml:space="preserve"> and </w:t>
      </w:r>
      <w:r w:rsidR="00FF04C0">
        <w:t xml:space="preserve">one 30 m </w:t>
      </w:r>
      <w:r w:rsidR="00803A6A">
        <w:t>roll of toilet paper</w:t>
      </w:r>
      <w:r w:rsidR="00C31E51">
        <w:t>.</w:t>
      </w:r>
    </w:p>
    <w:p w:rsidR="00582974" w:rsidRPr="00CE778E" w:rsidRDefault="00CE778E" w:rsidP="00CE778E">
      <w:pPr>
        <w:pStyle w:val="JuHA"/>
        <w:outlineLvl w:val="1"/>
      </w:pPr>
      <w:r>
        <w:t>C</w:t>
      </w:r>
      <w:r w:rsidR="00582974" w:rsidRPr="00CE778E">
        <w:t>.  Review of the applicant</w:t>
      </w:r>
      <w:r w:rsidR="00FD5467">
        <w:t>’</w:t>
      </w:r>
      <w:r w:rsidR="00582974" w:rsidRPr="00CE778E">
        <w:t>s complaints</w:t>
      </w:r>
    </w:p>
    <w:p w:rsidR="00BD35AC" w:rsidRDefault="00311851" w:rsidP="002F4BCF">
      <w:pPr>
        <w:pStyle w:val="JuPara"/>
      </w:pPr>
      <w:r>
        <w:fldChar w:fldCharType="begin"/>
      </w:r>
      <w:r>
        <w:instrText xml:space="preserve"> SEQ level0 \*arabic </w:instrText>
      </w:r>
      <w:r>
        <w:fldChar w:fldCharType="separate"/>
      </w:r>
      <w:r w:rsidR="008806B0">
        <w:rPr>
          <w:noProof/>
        </w:rPr>
        <w:t>14</w:t>
      </w:r>
      <w:r>
        <w:fldChar w:fldCharType="end"/>
      </w:r>
      <w:r>
        <w:t>.  </w:t>
      </w:r>
      <w:r w:rsidR="00D16FB4">
        <w:t>On 13 July 2005, upon the applicant</w:t>
      </w:r>
      <w:r w:rsidR="00FD5467">
        <w:t>’</w:t>
      </w:r>
      <w:r w:rsidR="00D16FB4">
        <w:t>s complaint</w:t>
      </w:r>
      <w:r w:rsidR="000408C4">
        <w:t xml:space="preserve"> addressed to the prosecutor</w:t>
      </w:r>
      <w:r w:rsidR="00FD5467">
        <w:t>’</w:t>
      </w:r>
      <w:r w:rsidR="000408C4">
        <w:t>s office</w:t>
      </w:r>
      <w:r w:rsidR="00D16FB4">
        <w:t>, the Prison</w:t>
      </w:r>
      <w:r w:rsidR="00F26EAF">
        <w:t>s</w:t>
      </w:r>
      <w:r w:rsidR="00D16FB4">
        <w:t xml:space="preserve"> Administration (</w:t>
      </w:r>
      <w:r w:rsidR="00D16FB4">
        <w:rPr>
          <w:i/>
        </w:rPr>
        <w:t>Ieslodzījuma vietu pārvalde</w:t>
      </w:r>
      <w:r w:rsidR="00D16FB4">
        <w:t xml:space="preserve">) </w:t>
      </w:r>
      <w:r w:rsidR="00156D2D">
        <w:t xml:space="preserve">informed him that the prison lacked </w:t>
      </w:r>
      <w:r w:rsidR="005314EB">
        <w:t xml:space="preserve">the </w:t>
      </w:r>
      <w:r w:rsidR="00802073">
        <w:t xml:space="preserve">financial </w:t>
      </w:r>
      <w:r w:rsidR="00156D2D">
        <w:t xml:space="preserve">resources to provide him </w:t>
      </w:r>
      <w:r w:rsidR="005314EB">
        <w:t xml:space="preserve">with </w:t>
      </w:r>
      <w:r w:rsidR="00156D2D">
        <w:t xml:space="preserve">the </w:t>
      </w:r>
      <w:r w:rsidR="00880078">
        <w:t xml:space="preserve">personal </w:t>
      </w:r>
      <w:r w:rsidR="00156D2D">
        <w:t xml:space="preserve">hygiene </w:t>
      </w:r>
      <w:r w:rsidR="00356E55">
        <w:t>products</w:t>
      </w:r>
      <w:r w:rsidR="00156D2D">
        <w:t xml:space="preserve"> as laid down in </w:t>
      </w:r>
      <w:r w:rsidR="00621912">
        <w:t xml:space="preserve">Cabinet </w:t>
      </w:r>
      <w:r w:rsidR="005314EB">
        <w:t xml:space="preserve">Regulation </w:t>
      </w:r>
      <w:r w:rsidR="00156D2D">
        <w:t xml:space="preserve">no. </w:t>
      </w:r>
      <w:r w:rsidR="007E5DA9">
        <w:t>339 (2002).</w:t>
      </w:r>
    </w:p>
    <w:p w:rsidR="00156D2D" w:rsidRDefault="00156D2D" w:rsidP="002F4BCF">
      <w:pPr>
        <w:pStyle w:val="JuPara"/>
      </w:pPr>
      <w:r>
        <w:fldChar w:fldCharType="begin"/>
      </w:r>
      <w:r>
        <w:instrText xml:space="preserve"> SEQ level0 \*arabic </w:instrText>
      </w:r>
      <w:r>
        <w:fldChar w:fldCharType="separate"/>
      </w:r>
      <w:r w:rsidR="008806B0">
        <w:rPr>
          <w:noProof/>
        </w:rPr>
        <w:t>15</w:t>
      </w:r>
      <w:r>
        <w:fldChar w:fldCharType="end"/>
      </w:r>
      <w:r>
        <w:t>.  </w:t>
      </w:r>
      <w:r w:rsidR="00DC7AFB">
        <w:t xml:space="preserve">On </w:t>
      </w:r>
      <w:r w:rsidR="00935EC4">
        <w:t>8 August 2005</w:t>
      </w:r>
      <w:r w:rsidR="00DC7AFB">
        <w:t xml:space="preserve"> </w:t>
      </w:r>
      <w:r w:rsidR="00935EC4">
        <w:t xml:space="preserve">the </w:t>
      </w:r>
      <w:r w:rsidR="00DC7AFB">
        <w:t xml:space="preserve">Valmiera </w:t>
      </w:r>
      <w:r w:rsidR="00B801BD">
        <w:t xml:space="preserve">Prison administration </w:t>
      </w:r>
      <w:r w:rsidR="00DC7AFB">
        <w:t xml:space="preserve">confirmed that there were no financial resources to provide the </w:t>
      </w:r>
      <w:r w:rsidR="00B801BD">
        <w:t xml:space="preserve">relevant </w:t>
      </w:r>
      <w:r w:rsidR="00975CA9">
        <w:t xml:space="preserve">personal </w:t>
      </w:r>
      <w:r w:rsidR="00DC7AFB">
        <w:t xml:space="preserve">hygiene </w:t>
      </w:r>
      <w:r w:rsidR="00356E55">
        <w:t>products</w:t>
      </w:r>
      <w:r w:rsidR="00B801BD">
        <w:t>,</w:t>
      </w:r>
      <w:r w:rsidR="00DC7AFB">
        <w:t xml:space="preserve"> save for one </w:t>
      </w:r>
      <w:r w:rsidR="00FF04C0">
        <w:t xml:space="preserve">200 g </w:t>
      </w:r>
      <w:r w:rsidR="00DC7AFB">
        <w:t>bar of laundry soap per month.</w:t>
      </w:r>
    </w:p>
    <w:bookmarkStart w:id="3" w:name="facts_VCB"/>
    <w:p w:rsidR="00AF61FD" w:rsidRDefault="00AF61FD" w:rsidP="002F4BCF">
      <w:pPr>
        <w:pStyle w:val="JuPara"/>
      </w:pPr>
      <w:r>
        <w:fldChar w:fldCharType="begin"/>
      </w:r>
      <w:r>
        <w:instrText xml:space="preserve"> SEQ level0 \*arabic </w:instrText>
      </w:r>
      <w:r>
        <w:fldChar w:fldCharType="separate"/>
      </w:r>
      <w:r w:rsidR="008806B0">
        <w:rPr>
          <w:noProof/>
        </w:rPr>
        <w:t>16</w:t>
      </w:r>
      <w:r>
        <w:fldChar w:fldCharType="end"/>
      </w:r>
      <w:bookmarkEnd w:id="3"/>
      <w:r>
        <w:t>.  On 22 July 2005 the</w:t>
      </w:r>
      <w:r w:rsidR="008E0DD8">
        <w:t xml:space="preserve"> </w:t>
      </w:r>
      <w:r w:rsidR="00CA29BA">
        <w:t>National</w:t>
      </w:r>
      <w:r>
        <w:t xml:space="preserve"> Human Rights </w:t>
      </w:r>
      <w:r w:rsidR="00CA29BA">
        <w:t>Office</w:t>
      </w:r>
      <w:r>
        <w:t xml:space="preserve"> </w:t>
      </w:r>
      <w:r w:rsidR="000408C4">
        <w:t xml:space="preserve">replied to </w:t>
      </w:r>
      <w:r w:rsidR="00D638D2">
        <w:t xml:space="preserve">the applicant in general terms that </w:t>
      </w:r>
      <w:r w:rsidR="00A978E1">
        <w:t>they had found during</w:t>
      </w:r>
      <w:r w:rsidR="00D638D2">
        <w:t xml:space="preserve"> their </w:t>
      </w:r>
      <w:r w:rsidR="00B801BD">
        <w:t>on</w:t>
      </w:r>
      <w:r w:rsidR="00CC3213">
        <w:t xml:space="preserve">site </w:t>
      </w:r>
      <w:r w:rsidR="00D638D2">
        <w:t xml:space="preserve">visits that </w:t>
      </w:r>
      <w:r w:rsidR="00B801BD">
        <w:t xml:space="preserve">penal </w:t>
      </w:r>
      <w:r w:rsidR="00D638D2">
        <w:t>institutions did not com</w:t>
      </w:r>
      <w:r w:rsidR="00F352F5">
        <w:t>ply with many legal requirements.</w:t>
      </w:r>
      <w:r w:rsidR="00EF1E00">
        <w:t xml:space="preserve"> They noted, among other things, that they had drawn the attention of the relevant domestic authorities in March 2005 </w:t>
      </w:r>
      <w:r w:rsidR="00CE6559">
        <w:t xml:space="preserve">to </w:t>
      </w:r>
      <w:r w:rsidR="00EF1E00">
        <w:t xml:space="preserve">insufficient financial resources </w:t>
      </w:r>
      <w:r w:rsidR="00CE6559">
        <w:t xml:space="preserve">having been </w:t>
      </w:r>
      <w:r w:rsidR="001D1265">
        <w:t xml:space="preserve">allocated </w:t>
      </w:r>
      <w:r w:rsidR="00FF04C0">
        <w:t xml:space="preserve">to </w:t>
      </w:r>
      <w:r w:rsidR="001D1265">
        <w:t xml:space="preserve">the </w:t>
      </w:r>
      <w:r w:rsidR="00CE6559">
        <w:t xml:space="preserve">purchase of </w:t>
      </w:r>
      <w:r w:rsidR="00CC3213">
        <w:t xml:space="preserve">personal </w:t>
      </w:r>
      <w:r w:rsidR="00EF1E00">
        <w:t xml:space="preserve">hygiene </w:t>
      </w:r>
      <w:r w:rsidR="00356E55">
        <w:t>products</w:t>
      </w:r>
      <w:r w:rsidR="00EF1E00">
        <w:t>.</w:t>
      </w:r>
      <w:r w:rsidR="00D60D76">
        <w:t xml:space="preserve"> </w:t>
      </w:r>
      <w:r w:rsidR="00CB4CE0">
        <w:t>Finally, t</w:t>
      </w:r>
      <w:r w:rsidR="003D153A">
        <w:t>he applicant was informed of his right to submit an individual petition to the Court.</w:t>
      </w:r>
    </w:p>
    <w:p w:rsidR="009B13DA" w:rsidRDefault="0014295B" w:rsidP="0014295B">
      <w:pPr>
        <w:pStyle w:val="JuHIRoman"/>
        <w:outlineLvl w:val="0"/>
      </w:pPr>
      <w:r w:rsidRPr="0034580F">
        <w:t xml:space="preserve">II.  RELEVANT </w:t>
      </w:r>
      <w:r>
        <w:t xml:space="preserve">INTERNATIONAL LEGAL MATERIAL AND </w:t>
      </w:r>
      <w:r w:rsidRPr="0034580F">
        <w:t>DOMESTIC LAW</w:t>
      </w:r>
    </w:p>
    <w:p w:rsidR="0014295B" w:rsidRDefault="0014295B" w:rsidP="0014295B">
      <w:pPr>
        <w:pStyle w:val="JuHA"/>
        <w:outlineLvl w:val="1"/>
      </w:pPr>
      <w:bookmarkStart w:id="4" w:name="_Toc259712880"/>
      <w:r>
        <w:t>A.  The European Committee for the Prevention of Torture and Inhuman or Degrading Treatment or Punishment</w:t>
      </w:r>
      <w:bookmarkEnd w:id="4"/>
    </w:p>
    <w:p w:rsidR="007352DD" w:rsidRDefault="0014295B" w:rsidP="002F4BCF">
      <w:pPr>
        <w:pStyle w:val="JuPara"/>
      </w:pPr>
      <w:r>
        <w:fldChar w:fldCharType="begin"/>
      </w:r>
      <w:r>
        <w:instrText xml:space="preserve"> SEQ level0 \*arabic </w:instrText>
      </w:r>
      <w:r>
        <w:fldChar w:fldCharType="separate"/>
      </w:r>
      <w:r w:rsidR="008806B0">
        <w:rPr>
          <w:noProof/>
        </w:rPr>
        <w:t>17</w:t>
      </w:r>
      <w:r>
        <w:fldChar w:fldCharType="end"/>
      </w:r>
      <w:r w:rsidR="007352DD" w:rsidRPr="00302008">
        <w:t>.  </w:t>
      </w:r>
      <w:r w:rsidR="00F45D60">
        <w:t xml:space="preserve">Prior to 2011, the </w:t>
      </w:r>
      <w:r w:rsidR="008467F3">
        <w:t>European Committee for the Prevention of Torture and Inhuman or Degrading Treatment or Punishment (</w:t>
      </w:r>
      <w:r w:rsidR="00F45D60">
        <w:t>“</w:t>
      </w:r>
      <w:r w:rsidR="008467F3">
        <w:t>the CPT</w:t>
      </w:r>
      <w:r w:rsidR="00F45D60">
        <w:t>”</w:t>
      </w:r>
      <w:r w:rsidR="008467F3">
        <w:t xml:space="preserve">) </w:t>
      </w:r>
      <w:r w:rsidR="00F45D60">
        <w:t xml:space="preserve">had </w:t>
      </w:r>
      <w:r w:rsidR="008467F3">
        <w:t>not visited Valmiera</w:t>
      </w:r>
      <w:r w:rsidR="00F45D60">
        <w:t xml:space="preserve"> Prison</w:t>
      </w:r>
      <w:r w:rsidR="008467F3">
        <w:t>, where the applicant was placed during his pre-trial detention.</w:t>
      </w:r>
    </w:p>
    <w:bookmarkStart w:id="5" w:name="CPT_conclusions"/>
    <w:p w:rsidR="008467F3" w:rsidRPr="00B545BD" w:rsidRDefault="008467F3" w:rsidP="002F4BCF">
      <w:pPr>
        <w:pStyle w:val="JuPara"/>
      </w:pPr>
      <w:r>
        <w:fldChar w:fldCharType="begin"/>
      </w:r>
      <w:r>
        <w:instrText xml:space="preserve"> SEQ level0 \*arabic </w:instrText>
      </w:r>
      <w:r>
        <w:fldChar w:fldCharType="separate"/>
      </w:r>
      <w:r w:rsidR="008806B0">
        <w:rPr>
          <w:noProof/>
        </w:rPr>
        <w:t>18</w:t>
      </w:r>
      <w:r>
        <w:fldChar w:fldCharType="end"/>
      </w:r>
      <w:bookmarkEnd w:id="5"/>
      <w:r>
        <w:t>.  </w:t>
      </w:r>
      <w:r w:rsidRPr="008467F3">
        <w:t xml:space="preserve">However, during its </w:t>
      </w:r>
      <w:r w:rsidRPr="008467F3">
        <w:rPr>
          <w:i/>
        </w:rPr>
        <w:t xml:space="preserve">ad hoc </w:t>
      </w:r>
      <w:r w:rsidRPr="008467F3">
        <w:t xml:space="preserve">visit from 5 to 12 May 2004 </w:t>
      </w:r>
      <w:r w:rsidR="00F45D60">
        <w:t>to</w:t>
      </w:r>
      <w:r w:rsidR="00F45D60" w:rsidRPr="008467F3">
        <w:t xml:space="preserve"> </w:t>
      </w:r>
      <w:r w:rsidR="00151CAD">
        <w:t xml:space="preserve">several police headquarters (in Daugavpils, Liepāja and Ventspils) and </w:t>
      </w:r>
      <w:r w:rsidRPr="008467F3">
        <w:t xml:space="preserve">prisons </w:t>
      </w:r>
      <w:r w:rsidR="00151CAD">
        <w:t>(</w:t>
      </w:r>
      <w:r w:rsidRPr="008467F3">
        <w:t xml:space="preserve">in Rīga </w:t>
      </w:r>
      <w:r>
        <w:t>and Daugavpils</w:t>
      </w:r>
      <w:r w:rsidR="00151CAD">
        <w:t>)</w:t>
      </w:r>
      <w:r>
        <w:t xml:space="preserve"> it noted that </w:t>
      </w:r>
      <w:r w:rsidR="00151CAD">
        <w:t xml:space="preserve">detainees and </w:t>
      </w:r>
      <w:r w:rsidR="007235FC" w:rsidRPr="000062AE">
        <w:t>prisoners</w:t>
      </w:r>
      <w:r w:rsidR="00552C58" w:rsidRPr="00552C58">
        <w:t xml:space="preserve"> were not provided with basic personal hygiene </w:t>
      </w:r>
      <w:r w:rsidR="00356E55">
        <w:t>products</w:t>
      </w:r>
      <w:r w:rsidR="00683507">
        <w:t xml:space="preserve"> </w:t>
      </w:r>
      <w:r w:rsidR="00274CCB">
        <w:t xml:space="preserve">and recommended that immediate steps be taken to ensure </w:t>
      </w:r>
      <w:r w:rsidR="00BE3539">
        <w:t xml:space="preserve">that </w:t>
      </w:r>
      <w:r w:rsidR="00274CCB" w:rsidRPr="00274CCB">
        <w:t xml:space="preserve">all </w:t>
      </w:r>
      <w:r w:rsidR="00151CAD">
        <w:t xml:space="preserve">detainees and </w:t>
      </w:r>
      <w:r w:rsidR="00274CCB" w:rsidRPr="000062AE">
        <w:t>prisoners</w:t>
      </w:r>
      <w:r w:rsidR="00274CCB" w:rsidRPr="00274CCB">
        <w:t xml:space="preserve"> </w:t>
      </w:r>
      <w:r w:rsidR="0055536C">
        <w:t>be provided with</w:t>
      </w:r>
      <w:r w:rsidR="0055536C" w:rsidRPr="00274CCB">
        <w:t xml:space="preserve"> </w:t>
      </w:r>
      <w:r w:rsidR="00274CCB" w:rsidRPr="00274CCB">
        <w:t xml:space="preserve">adequate quantities of essential personal hygiene </w:t>
      </w:r>
      <w:r w:rsidR="00356E55">
        <w:t>products</w:t>
      </w:r>
      <w:r w:rsidR="00274CCB" w:rsidRPr="00274CCB">
        <w:t xml:space="preserve"> </w:t>
      </w:r>
      <w:r w:rsidR="00552C58">
        <w:t>(see paragraph</w:t>
      </w:r>
      <w:r w:rsidR="00151CAD">
        <w:t>s 20 and</w:t>
      </w:r>
      <w:r w:rsidR="00552C58">
        <w:t xml:space="preserve"> 60 </w:t>
      </w:r>
      <w:r w:rsidR="00F45D60">
        <w:t xml:space="preserve">of </w:t>
      </w:r>
      <w:r w:rsidR="00552C58">
        <w:t>the relevant report</w:t>
      </w:r>
      <w:r w:rsidR="00F45D60">
        <w:t>:</w:t>
      </w:r>
      <w:r w:rsidR="00552C58">
        <w:t xml:space="preserve"> </w:t>
      </w:r>
      <w:r w:rsidR="00552C58">
        <w:rPr>
          <w:lang w:val="de-DE"/>
        </w:rPr>
        <w:t>CPT/Inf</w:t>
      </w:r>
      <w:r w:rsidR="00BE67DC">
        <w:rPr>
          <w:lang w:val="de-DE"/>
        </w:rPr>
        <w:t> </w:t>
      </w:r>
      <w:r w:rsidR="00552C58">
        <w:rPr>
          <w:lang w:val="de-DE"/>
        </w:rPr>
        <w:t>(2008)</w:t>
      </w:r>
      <w:r w:rsidR="00766027">
        <w:rPr>
          <w:lang w:val="de-DE"/>
        </w:rPr>
        <w:t> </w:t>
      </w:r>
      <w:r w:rsidR="00552C58">
        <w:rPr>
          <w:lang w:val="de-DE"/>
        </w:rPr>
        <w:t>15).</w:t>
      </w:r>
      <w:r w:rsidR="00B545BD">
        <w:rPr>
          <w:lang w:val="de-DE"/>
        </w:rPr>
        <w:t xml:space="preserve"> </w:t>
      </w:r>
      <w:r w:rsidR="00B545BD" w:rsidRPr="00B545BD">
        <w:t xml:space="preserve">The CPT also found that toilets were not </w:t>
      </w:r>
      <w:r w:rsidR="00576E98">
        <w:t xml:space="preserve">adequately </w:t>
      </w:r>
      <w:r w:rsidR="00B545BD">
        <w:t>p</w:t>
      </w:r>
      <w:r w:rsidR="000578E2">
        <w:t>a</w:t>
      </w:r>
      <w:r w:rsidR="00B545BD">
        <w:t>rti</w:t>
      </w:r>
      <w:r w:rsidR="00BE4BB9">
        <w:t>tio</w:t>
      </w:r>
      <w:r w:rsidR="00B545BD">
        <w:t xml:space="preserve">ned </w:t>
      </w:r>
      <w:r w:rsidR="0055536C">
        <w:t xml:space="preserve">off </w:t>
      </w:r>
      <w:r w:rsidR="00B545BD">
        <w:t>in a number of cells</w:t>
      </w:r>
      <w:r w:rsidR="00B545BD" w:rsidRPr="00B545BD">
        <w:t>.</w:t>
      </w:r>
    </w:p>
    <w:p w:rsidR="00552C58" w:rsidRDefault="00552C58" w:rsidP="002F4BCF">
      <w:pPr>
        <w:pStyle w:val="JuPara"/>
      </w:pPr>
      <w:r w:rsidRPr="00552C58">
        <w:fldChar w:fldCharType="begin"/>
      </w:r>
      <w:r w:rsidRPr="00552C58">
        <w:instrText xml:space="preserve"> SEQ level0 \*arabic </w:instrText>
      </w:r>
      <w:r w:rsidRPr="00552C58">
        <w:fldChar w:fldCharType="separate"/>
      </w:r>
      <w:r w:rsidR="008806B0">
        <w:rPr>
          <w:noProof/>
        </w:rPr>
        <w:t>19</w:t>
      </w:r>
      <w:r w:rsidRPr="00552C58">
        <w:fldChar w:fldCharType="end"/>
      </w:r>
      <w:r w:rsidRPr="00552C58">
        <w:t>.  </w:t>
      </w:r>
      <w:r w:rsidR="00F45D60">
        <w:t>I</w:t>
      </w:r>
      <w:r w:rsidR="00F45D60" w:rsidRPr="00552C58">
        <w:t>n its response</w:t>
      </w:r>
      <w:r w:rsidR="00F45D60">
        <w:t>,</w:t>
      </w:r>
      <w:r w:rsidR="00F45D60" w:rsidRPr="00552C58">
        <w:t xml:space="preserve"> </w:t>
      </w:r>
      <w:r w:rsidR="00F45D60">
        <w:t>t</w:t>
      </w:r>
      <w:r w:rsidRPr="00552C58">
        <w:t>he Latvian Government (see the relevant document</w:t>
      </w:r>
      <w:r w:rsidR="00F45D60">
        <w:t>:</w:t>
      </w:r>
      <w:r w:rsidRPr="00552C58">
        <w:t xml:space="preserve"> CPT/Inf (2008) 16)</w:t>
      </w:r>
      <w:r>
        <w:t xml:space="preserve"> noted </w:t>
      </w:r>
      <w:r w:rsidR="00BE3539">
        <w:t xml:space="preserve">that due to </w:t>
      </w:r>
      <w:r w:rsidR="00F45D60">
        <w:t xml:space="preserve">a </w:t>
      </w:r>
      <w:r w:rsidR="00BE3539">
        <w:t xml:space="preserve">lack of funding it was not possible to </w:t>
      </w:r>
      <w:r w:rsidR="00BE3539" w:rsidRPr="00107EEA">
        <w:t>fully comply with the CPT</w:t>
      </w:r>
      <w:r w:rsidR="00FD5467">
        <w:t>’</w:t>
      </w:r>
      <w:r w:rsidR="00BE3539" w:rsidRPr="00107EEA">
        <w:t xml:space="preserve">s recommendations. The Government noted that prisoners could purchase the necessary </w:t>
      </w:r>
      <w:r w:rsidR="00356E55">
        <w:t>products</w:t>
      </w:r>
      <w:r w:rsidR="00BE3539" w:rsidRPr="00107EEA">
        <w:t xml:space="preserve"> in a prison shop. At the same time, they noted that prison </w:t>
      </w:r>
      <w:r w:rsidR="0098210A">
        <w:t>authorities</w:t>
      </w:r>
      <w:r w:rsidR="00BE3539" w:rsidRPr="00107EEA">
        <w:t xml:space="preserve"> </w:t>
      </w:r>
      <w:r w:rsidR="002235BD" w:rsidRPr="00107EEA">
        <w:t xml:space="preserve">used humanitarian aid to help </w:t>
      </w:r>
      <w:r w:rsidR="00BE3539" w:rsidRPr="00107EEA">
        <w:t>prisoners</w:t>
      </w:r>
      <w:r w:rsidR="002235BD" w:rsidRPr="00107EEA">
        <w:t xml:space="preserve"> who did not have sufficient</w:t>
      </w:r>
      <w:r w:rsidR="004A11ED" w:rsidRPr="00107EEA">
        <w:t xml:space="preserve"> financial</w:t>
      </w:r>
      <w:r w:rsidR="002235BD" w:rsidRPr="00107EEA">
        <w:t xml:space="preserve"> means</w:t>
      </w:r>
      <w:r w:rsidR="00BE3539" w:rsidRPr="00107EEA">
        <w:t>.</w:t>
      </w:r>
    </w:p>
    <w:p w:rsidR="00BD1CCE" w:rsidRDefault="002276B1" w:rsidP="002276B1">
      <w:pPr>
        <w:pStyle w:val="JuHA"/>
        <w:outlineLvl w:val="1"/>
      </w:pPr>
      <w:r>
        <w:t>B.  </w:t>
      </w:r>
      <w:r w:rsidR="00FC2296">
        <w:t xml:space="preserve"> </w:t>
      </w:r>
      <w:r w:rsidR="00A842BA">
        <w:t>European Prison Rules</w:t>
      </w:r>
    </w:p>
    <w:bookmarkStart w:id="6" w:name="European_prison_rules"/>
    <w:p w:rsidR="002276B1" w:rsidRDefault="002276B1" w:rsidP="002F4BCF">
      <w:pPr>
        <w:pStyle w:val="JuPara"/>
      </w:pPr>
      <w:r>
        <w:fldChar w:fldCharType="begin"/>
      </w:r>
      <w:r>
        <w:instrText xml:space="preserve"> SEQ level0 \*arabic </w:instrText>
      </w:r>
      <w:r>
        <w:fldChar w:fldCharType="separate"/>
      </w:r>
      <w:r w:rsidR="008806B0">
        <w:rPr>
          <w:noProof/>
        </w:rPr>
        <w:t>20</w:t>
      </w:r>
      <w:r>
        <w:fldChar w:fldCharType="end"/>
      </w:r>
      <w:bookmarkEnd w:id="6"/>
      <w:r>
        <w:t>.  </w:t>
      </w:r>
      <w:r w:rsidR="00A842BA" w:rsidRPr="00A842BA">
        <w:t>The European Prison Rules</w:t>
      </w:r>
      <w:r w:rsidR="00442EEF">
        <w:t>, adopted on 11 January 2006,</w:t>
      </w:r>
      <w:r w:rsidR="00FC2296">
        <w:t xml:space="preserve"> </w:t>
      </w:r>
      <w:r w:rsidR="00A842BA" w:rsidRPr="00A842BA">
        <w:t>are recommendations of the Committee of Ministers to member States of the Council of Europe as to the minimum standards to be applied in prisons</w:t>
      </w:r>
      <w:r w:rsidR="00442EEF">
        <w:t>.</w:t>
      </w:r>
      <w:r w:rsidR="00A842BA" w:rsidRPr="00A842BA">
        <w:t xml:space="preserve"> States are encouraged to be guided in legislation and policies by those rules and to ensure wide dissemination of the Rules to their judicial authorities as well as to prison staff and inmates.</w:t>
      </w:r>
      <w:r w:rsidR="0081781D">
        <w:t xml:space="preserve"> </w:t>
      </w:r>
      <w:r w:rsidR="00A214BA">
        <w:t>The relevant parts read as follows:</w:t>
      </w:r>
    </w:p>
    <w:p w:rsidR="00BD1CCE" w:rsidRDefault="003A082F" w:rsidP="00F95F74">
      <w:pPr>
        <w:pStyle w:val="JuQuot"/>
      </w:pPr>
      <w:r>
        <w:t>“</w:t>
      </w:r>
      <w:r w:rsidR="00F95F74">
        <w:t>18.1 The accommodation provided for prisoners, and in particular all sleeping accommodation, shall respect human dignity and, as far as possible, privacy, and meet the requirements of health and hygiene, due regard being paid to climatic conditions and especially to floor space, cubic content of air, lighting, heating and ventilation.</w:t>
      </w:r>
    </w:p>
    <w:p w:rsidR="00BD1CCE" w:rsidRDefault="00F95F74" w:rsidP="00F95F74">
      <w:pPr>
        <w:pStyle w:val="JuQuot"/>
      </w:pPr>
      <w:r>
        <w:t>18.2 In all buildings where prisoners are required to live, work or congregate:</w:t>
      </w:r>
    </w:p>
    <w:p w:rsidR="00BD1CCE" w:rsidRDefault="00F95F74" w:rsidP="00F95F74">
      <w:pPr>
        <w:pStyle w:val="JuQuot"/>
      </w:pPr>
      <w:r>
        <w:t>a. the windows shall be large enough to enable the prisoners to read or work by natural light in normal conditions and shall allow the entrance of fresh air except where there is an adequate air conditioning system;</w:t>
      </w:r>
    </w:p>
    <w:p w:rsidR="00F95F74" w:rsidRDefault="00F95F74" w:rsidP="00F95F74">
      <w:pPr>
        <w:pStyle w:val="JuQuot"/>
      </w:pPr>
      <w:r>
        <w:t>b. artificial light shall satisfy recognised technical standards; and</w:t>
      </w:r>
    </w:p>
    <w:p w:rsidR="00BD1CCE" w:rsidRDefault="00F95F74" w:rsidP="00F95F74">
      <w:pPr>
        <w:pStyle w:val="JuQuot"/>
      </w:pPr>
      <w:r>
        <w:t>c. there shall be an alarm system that enables prisoners to contact the staff without delay.</w:t>
      </w:r>
    </w:p>
    <w:p w:rsidR="00BD1CCE" w:rsidRDefault="00F95F74" w:rsidP="00F95F74">
      <w:pPr>
        <w:pStyle w:val="JuQuot"/>
      </w:pPr>
      <w:r>
        <w:t>18.3 Specific minimum requirements in respect of the matters referred to in paragraphs 1 and 2 shall be set in national law.</w:t>
      </w:r>
    </w:p>
    <w:p w:rsidR="00A214BA" w:rsidRDefault="007E4C9C" w:rsidP="00F95F74">
      <w:pPr>
        <w:pStyle w:val="JuQuot"/>
      </w:pPr>
      <w:r>
        <w:t>...</w:t>
      </w:r>
    </w:p>
    <w:p w:rsidR="00BD1CCE" w:rsidRDefault="00F95F74" w:rsidP="00F95F74">
      <w:pPr>
        <w:pStyle w:val="JuQuot"/>
      </w:pPr>
      <w:r>
        <w:t>19.5 Prisoners shall keep their persons, clothing and sleeping accommodation clean and tidy.</w:t>
      </w:r>
    </w:p>
    <w:p w:rsidR="00F95F74" w:rsidRDefault="00F95F74" w:rsidP="00F95F74">
      <w:pPr>
        <w:pStyle w:val="JuQuot"/>
      </w:pPr>
      <w:r>
        <w:t>19.6 The prison authorities shall provide them with the means for doing so including toiletries and general cleaning implements and materials.</w:t>
      </w:r>
      <w:r w:rsidR="00683B12">
        <w:t>”</w:t>
      </w:r>
    </w:p>
    <w:p w:rsidR="005E3DA2" w:rsidRDefault="002276B1" w:rsidP="005E3DA2">
      <w:pPr>
        <w:pStyle w:val="JuHA"/>
        <w:outlineLvl w:val="1"/>
      </w:pPr>
      <w:bookmarkStart w:id="7" w:name="_Toc259712881"/>
      <w:r>
        <w:t>C</w:t>
      </w:r>
      <w:r w:rsidR="005E3DA2">
        <w:t>.  Relevant domestic law</w:t>
      </w:r>
      <w:bookmarkEnd w:id="7"/>
      <w:r w:rsidR="009837C2">
        <w:t xml:space="preserve"> and practice</w:t>
      </w:r>
    </w:p>
    <w:p w:rsidR="00BD1CCE" w:rsidRDefault="007B5A88" w:rsidP="00FF5AB8">
      <w:pPr>
        <w:pStyle w:val="JuH1"/>
        <w:outlineLvl w:val="2"/>
      </w:pPr>
      <w:r>
        <w:t xml:space="preserve">1.  Standards </w:t>
      </w:r>
      <w:r w:rsidR="00CE39DB">
        <w:t xml:space="preserve">concerning </w:t>
      </w:r>
      <w:r>
        <w:t xml:space="preserve">personal hygiene </w:t>
      </w:r>
      <w:r w:rsidR="00356E55">
        <w:t>products</w:t>
      </w:r>
    </w:p>
    <w:bookmarkStart w:id="8" w:name="domlaw_reg_339_2002"/>
    <w:p w:rsidR="005F368F" w:rsidRDefault="005F368F" w:rsidP="005F368F">
      <w:pPr>
        <w:pStyle w:val="JuPara"/>
      </w:pPr>
      <w:r>
        <w:fldChar w:fldCharType="begin"/>
      </w:r>
      <w:r>
        <w:instrText xml:space="preserve"> SEQ level0 \*arabic </w:instrText>
      </w:r>
      <w:r>
        <w:fldChar w:fldCharType="separate"/>
      </w:r>
      <w:r w:rsidR="008806B0">
        <w:rPr>
          <w:noProof/>
        </w:rPr>
        <w:t>21</w:t>
      </w:r>
      <w:r>
        <w:fldChar w:fldCharType="end"/>
      </w:r>
      <w:bookmarkEnd w:id="8"/>
      <w:r>
        <w:t>.  </w:t>
      </w:r>
      <w:r w:rsidR="007E5473">
        <w:t xml:space="preserve">Cabinet </w:t>
      </w:r>
      <w:bookmarkStart w:id="9" w:name="HIT24"/>
      <w:bookmarkStart w:id="10" w:name="HIT25"/>
      <w:bookmarkEnd w:id="9"/>
      <w:bookmarkEnd w:id="10"/>
      <w:r w:rsidR="00CE39DB">
        <w:rPr>
          <w:bCs/>
        </w:rPr>
        <w:t>Regulation</w:t>
      </w:r>
      <w:r w:rsidR="00CE39DB" w:rsidRPr="007E5473">
        <w:t xml:space="preserve"> </w:t>
      </w:r>
      <w:r w:rsidR="007E5473" w:rsidRPr="007E5473">
        <w:rPr>
          <w:bCs/>
        </w:rPr>
        <w:t>no</w:t>
      </w:r>
      <w:r w:rsidR="007E5473" w:rsidRPr="007E5473">
        <w:t xml:space="preserve">. </w:t>
      </w:r>
      <w:bookmarkStart w:id="11" w:name="HIT26"/>
      <w:bookmarkEnd w:id="11"/>
      <w:r w:rsidR="007E5473" w:rsidRPr="007E5473">
        <w:rPr>
          <w:bCs/>
        </w:rPr>
        <w:t>339</w:t>
      </w:r>
      <w:r w:rsidR="007E5473">
        <w:t xml:space="preserve"> (2002), in force at the material time and effective until 20 June 2008, la</w:t>
      </w:r>
      <w:r w:rsidR="007A5183">
        <w:t>id</w:t>
      </w:r>
      <w:r w:rsidR="007E5473">
        <w:t xml:space="preserve"> down </w:t>
      </w:r>
      <w:r w:rsidR="00636F70">
        <w:t xml:space="preserve">the standards </w:t>
      </w:r>
      <w:r w:rsidR="006651D6">
        <w:t xml:space="preserve">governing the </w:t>
      </w:r>
      <w:r w:rsidR="00636F70">
        <w:t xml:space="preserve">basic personal hygiene </w:t>
      </w:r>
      <w:r w:rsidR="00356E55">
        <w:t>products</w:t>
      </w:r>
      <w:r w:rsidR="00636F70">
        <w:t xml:space="preserve"> to be</w:t>
      </w:r>
      <w:r w:rsidR="00AC5A97">
        <w:t xml:space="preserve"> provided</w:t>
      </w:r>
      <w:r w:rsidR="00636F70">
        <w:t xml:space="preserve"> </w:t>
      </w:r>
      <w:r w:rsidR="006651D6">
        <w:t xml:space="preserve">to </w:t>
      </w:r>
      <w:r w:rsidR="00636F70">
        <w:t>detainees</w:t>
      </w:r>
      <w:r w:rsidR="00AC5A97">
        <w:t xml:space="preserve">. </w:t>
      </w:r>
      <w:r w:rsidR="00B626B1">
        <w:t xml:space="preserve">A healthy </w:t>
      </w:r>
      <w:r w:rsidR="0051673E">
        <w:t xml:space="preserve">adult </w:t>
      </w:r>
      <w:r w:rsidR="00B626B1">
        <w:t xml:space="preserve">male </w:t>
      </w:r>
      <w:r w:rsidR="0051673E">
        <w:t>detainee</w:t>
      </w:r>
      <w:r w:rsidR="00B626B1">
        <w:t xml:space="preserve"> </w:t>
      </w:r>
      <w:r w:rsidR="0051673E">
        <w:t>was</w:t>
      </w:r>
      <w:r w:rsidR="00B626B1">
        <w:t xml:space="preserve"> to receive </w:t>
      </w:r>
      <w:r w:rsidR="00420B99">
        <w:t xml:space="preserve">200 g of laundry soap, 50 g of toothpaste and one </w:t>
      </w:r>
      <w:r w:rsidR="00DE258D">
        <w:t>30 </w:t>
      </w:r>
      <w:r w:rsidR="007B1D0D">
        <w:t xml:space="preserve">m </w:t>
      </w:r>
      <w:r w:rsidR="00420B99">
        <w:t>roll of toilet paper</w:t>
      </w:r>
      <w:r w:rsidR="00B626B1">
        <w:t xml:space="preserve"> </w:t>
      </w:r>
      <w:r w:rsidR="0051673E">
        <w:t>every</w:t>
      </w:r>
      <w:r w:rsidR="00B626B1">
        <w:t xml:space="preserve"> month and one </w:t>
      </w:r>
      <w:r w:rsidR="00420B99">
        <w:t>toothbrush every six months.</w:t>
      </w:r>
      <w:r w:rsidR="0051673E">
        <w:t xml:space="preserve"> No toilet soap was to be provided.</w:t>
      </w:r>
    </w:p>
    <w:p w:rsidR="00BD1CCE" w:rsidRDefault="00BF1F32" w:rsidP="00BF1F32">
      <w:pPr>
        <w:pStyle w:val="JuH1"/>
        <w:outlineLvl w:val="2"/>
      </w:pPr>
      <w:r>
        <w:t xml:space="preserve">2.  Standards </w:t>
      </w:r>
      <w:r w:rsidR="004A51AD">
        <w:t xml:space="preserve">concerning </w:t>
      </w:r>
      <w:r>
        <w:t>detention conditions</w:t>
      </w:r>
    </w:p>
    <w:bookmarkStart w:id="12" w:name="domlaw_regulations_211"/>
    <w:p w:rsidR="00667A3C" w:rsidRDefault="00BF1F32" w:rsidP="00BF1F32">
      <w:pPr>
        <w:pStyle w:val="JuPara"/>
      </w:pPr>
      <w:r>
        <w:rPr>
          <w:szCs w:val="24"/>
        </w:rPr>
        <w:fldChar w:fldCharType="begin"/>
      </w:r>
      <w:r>
        <w:rPr>
          <w:szCs w:val="24"/>
        </w:rPr>
        <w:instrText xml:space="preserve"> SEQ level0 \*arabic </w:instrText>
      </w:r>
      <w:r>
        <w:rPr>
          <w:szCs w:val="24"/>
        </w:rPr>
        <w:fldChar w:fldCharType="separate"/>
      </w:r>
      <w:r w:rsidR="008806B0">
        <w:rPr>
          <w:noProof/>
          <w:szCs w:val="24"/>
        </w:rPr>
        <w:t>22</w:t>
      </w:r>
      <w:r>
        <w:rPr>
          <w:szCs w:val="24"/>
        </w:rPr>
        <w:fldChar w:fldCharType="end"/>
      </w:r>
      <w:bookmarkEnd w:id="12"/>
      <w:r>
        <w:rPr>
          <w:szCs w:val="24"/>
        </w:rPr>
        <w:t xml:space="preserve">.  Cabinet </w:t>
      </w:r>
      <w:r w:rsidR="00CE39DB">
        <w:rPr>
          <w:szCs w:val="24"/>
        </w:rPr>
        <w:t xml:space="preserve">Regulation </w:t>
      </w:r>
      <w:r>
        <w:rPr>
          <w:szCs w:val="24"/>
        </w:rPr>
        <w:t>no. 211 (2003)</w:t>
      </w:r>
      <w:r>
        <w:t xml:space="preserve">, in force at the material time and effective until 1 April 2006, laid down the standards </w:t>
      </w:r>
      <w:r w:rsidR="006651D6">
        <w:t xml:space="preserve">governing </w:t>
      </w:r>
      <w:r>
        <w:t xml:space="preserve">detention conditions in </w:t>
      </w:r>
      <w:r w:rsidR="00047C2F">
        <w:t>remand</w:t>
      </w:r>
      <w:r w:rsidR="0020380B">
        <w:t xml:space="preserve"> wings of</w:t>
      </w:r>
      <w:r w:rsidR="00A53DBE">
        <w:t xml:space="preserve"> prisons</w:t>
      </w:r>
      <w:r>
        <w:t xml:space="preserve">. </w:t>
      </w:r>
      <w:r w:rsidR="004A51AD">
        <w:t xml:space="preserve">It </w:t>
      </w:r>
      <w:r>
        <w:t xml:space="preserve">contained no provision on </w:t>
      </w:r>
      <w:r w:rsidR="00CE39DB">
        <w:t xml:space="preserve">the </w:t>
      </w:r>
      <w:r w:rsidR="00955973">
        <w:t>partitioning</w:t>
      </w:r>
      <w:r w:rsidR="0020380B">
        <w:t xml:space="preserve"> off</w:t>
      </w:r>
      <w:r w:rsidR="00955973">
        <w:t xml:space="preserve"> of</w:t>
      </w:r>
      <w:r>
        <w:t xml:space="preserve"> toilets</w:t>
      </w:r>
      <w:r w:rsidR="0020380B">
        <w:t xml:space="preserve"> in cells</w:t>
      </w:r>
      <w:r>
        <w:t>.</w:t>
      </w:r>
    </w:p>
    <w:bookmarkStart w:id="13" w:name="domlaw_partitioning"/>
    <w:p w:rsidR="00BD1CCE" w:rsidRDefault="00667A3C" w:rsidP="00BF1F32">
      <w:pPr>
        <w:pStyle w:val="JuPara"/>
      </w:pPr>
      <w:r>
        <w:fldChar w:fldCharType="begin"/>
      </w:r>
      <w:r>
        <w:instrText xml:space="preserve"> SEQ level0 \*arabic </w:instrText>
      </w:r>
      <w:r>
        <w:fldChar w:fldCharType="separate"/>
      </w:r>
      <w:r w:rsidR="008806B0">
        <w:rPr>
          <w:noProof/>
        </w:rPr>
        <w:t>23</w:t>
      </w:r>
      <w:r>
        <w:fldChar w:fldCharType="end"/>
      </w:r>
      <w:bookmarkEnd w:id="13"/>
      <w:r>
        <w:t xml:space="preserve">.  Subsequently, the requirement to separate </w:t>
      </w:r>
      <w:r w:rsidR="00AA593B">
        <w:t xml:space="preserve">the </w:t>
      </w:r>
      <w:r>
        <w:t>toilet from the rest of the cell was laid down</w:t>
      </w:r>
      <w:r w:rsidR="00467C14">
        <w:t>,</w:t>
      </w:r>
      <w:r>
        <w:t xml:space="preserve"> initially</w:t>
      </w:r>
      <w:r w:rsidR="00467C14">
        <w:t>,</w:t>
      </w:r>
      <w:r>
        <w:t xml:space="preserve"> in cabinet regulation</w:t>
      </w:r>
      <w:r w:rsidR="00526BCF">
        <w:t>s</w:t>
      </w:r>
      <w:r>
        <w:t xml:space="preserve"> and</w:t>
      </w:r>
      <w:r w:rsidR="00467C14">
        <w:t>,</w:t>
      </w:r>
      <w:r>
        <w:t xml:space="preserve"> later</w:t>
      </w:r>
      <w:r w:rsidR="00467C14">
        <w:t>,</w:t>
      </w:r>
      <w:r>
        <w:t xml:space="preserve"> in law.</w:t>
      </w:r>
    </w:p>
    <w:p w:rsidR="00BD1CCE" w:rsidRDefault="00BF1F32" w:rsidP="00FF5AB8">
      <w:pPr>
        <w:pStyle w:val="JuH1"/>
        <w:outlineLvl w:val="2"/>
      </w:pPr>
      <w:r>
        <w:t>3</w:t>
      </w:r>
      <w:r w:rsidR="009837C2">
        <w:t>.  </w:t>
      </w:r>
      <w:r w:rsidR="00F25CA6">
        <w:t>Administrative proceedings</w:t>
      </w:r>
    </w:p>
    <w:bookmarkStart w:id="14" w:name="01000007"/>
    <w:bookmarkEnd w:id="14"/>
    <w:p w:rsidR="00C24A61" w:rsidRDefault="00F25CA6" w:rsidP="009837C2">
      <w:pPr>
        <w:pStyle w:val="JuPara"/>
      </w:pPr>
      <w:r>
        <w:fldChar w:fldCharType="begin"/>
      </w:r>
      <w:r>
        <w:instrText xml:space="preserve"> SEQ level0 \*arabic </w:instrText>
      </w:r>
      <w:r>
        <w:fldChar w:fldCharType="separate"/>
      </w:r>
      <w:r w:rsidR="008806B0">
        <w:rPr>
          <w:noProof/>
        </w:rPr>
        <w:t>24</w:t>
      </w:r>
      <w:r>
        <w:fldChar w:fldCharType="end"/>
      </w:r>
      <w:r>
        <w:t>.  </w:t>
      </w:r>
      <w:r w:rsidR="00C24A61">
        <w:t xml:space="preserve">The Law of Administrative Procedure </w:t>
      </w:r>
      <w:r w:rsidR="00A007E5">
        <w:t>(</w:t>
      </w:r>
      <w:r w:rsidR="00A007E5" w:rsidRPr="003F1138">
        <w:rPr>
          <w:rStyle w:val="ju-005fpara-002cleft-002cfirst-0020line-003a-0020-00200-0020cm--char"/>
          <w:i/>
          <w:iCs/>
          <w:lang w:val="lv-LV"/>
        </w:rPr>
        <w:t>Administratīvā procesa likums</w:t>
      </w:r>
      <w:r w:rsidR="00A007E5">
        <w:t xml:space="preserve">) </w:t>
      </w:r>
      <w:r w:rsidR="00CF5782">
        <w:t>took</w:t>
      </w:r>
      <w:r w:rsidR="00EF78F0">
        <w:t xml:space="preserve"> </w:t>
      </w:r>
      <w:r w:rsidR="00CF5782">
        <w:t>effect</w:t>
      </w:r>
      <w:r w:rsidR="00EF78F0">
        <w:t xml:space="preserve"> on 1 February 2004</w:t>
      </w:r>
      <w:r w:rsidR="00CF5782">
        <w:t>.</w:t>
      </w:r>
      <w:r w:rsidR="00EF78F0">
        <w:t xml:space="preserve"> </w:t>
      </w:r>
      <w:r w:rsidR="00CF5782">
        <w:t>I</w:t>
      </w:r>
      <w:r w:rsidR="00EF78F0">
        <w:t xml:space="preserve">t provides for </w:t>
      </w:r>
      <w:r w:rsidR="00285D42">
        <w:t xml:space="preserve">the </w:t>
      </w:r>
      <w:r w:rsidR="00EF78F0">
        <w:t>right to challenge administrative act</w:t>
      </w:r>
      <w:r w:rsidR="00997DB2">
        <w:t>s</w:t>
      </w:r>
      <w:r w:rsidR="00EF78F0">
        <w:t xml:space="preserve"> </w:t>
      </w:r>
      <w:r w:rsidR="00750361">
        <w:t>(</w:t>
      </w:r>
      <w:r w:rsidR="00750361" w:rsidRPr="00750361">
        <w:rPr>
          <w:i/>
          <w:lang w:val="lv-LV"/>
        </w:rPr>
        <w:t>administrat</w:t>
      </w:r>
      <w:r w:rsidR="00750361">
        <w:rPr>
          <w:i/>
          <w:lang w:val="lv-LV"/>
        </w:rPr>
        <w:t>īvais akts</w:t>
      </w:r>
      <w:r w:rsidR="00750361">
        <w:t xml:space="preserve">) </w:t>
      </w:r>
      <w:r w:rsidR="00EF78F0">
        <w:t>and action</w:t>
      </w:r>
      <w:r w:rsidR="00997DB2">
        <w:t>s</w:t>
      </w:r>
      <w:r w:rsidR="00EF78F0">
        <w:t xml:space="preserve"> of a public authority </w:t>
      </w:r>
      <w:r w:rsidR="00C82795">
        <w:t>(</w:t>
      </w:r>
      <w:r w:rsidR="00C82795">
        <w:rPr>
          <w:i/>
        </w:rPr>
        <w:t>faktiskā rīcība</w:t>
      </w:r>
      <w:r w:rsidR="00C82795">
        <w:t xml:space="preserve">) </w:t>
      </w:r>
      <w:r w:rsidR="00EF78F0">
        <w:t xml:space="preserve">before </w:t>
      </w:r>
      <w:r w:rsidR="003907C9">
        <w:t xml:space="preserve">the </w:t>
      </w:r>
      <w:r w:rsidR="00EF78F0">
        <w:t>administrative courts.</w:t>
      </w:r>
    </w:p>
    <w:bookmarkStart w:id="15" w:name="domlaw_faktiska_riciba_def"/>
    <w:p w:rsidR="00BD1CCE" w:rsidRDefault="00EF78F0" w:rsidP="009837C2">
      <w:pPr>
        <w:pStyle w:val="JuPara"/>
      </w:pPr>
      <w:r>
        <w:fldChar w:fldCharType="begin"/>
      </w:r>
      <w:r>
        <w:instrText xml:space="preserve"> SEQ level0 \*arabic </w:instrText>
      </w:r>
      <w:r>
        <w:fldChar w:fldCharType="separate"/>
      </w:r>
      <w:r w:rsidR="008806B0">
        <w:rPr>
          <w:noProof/>
        </w:rPr>
        <w:t>25</w:t>
      </w:r>
      <w:r>
        <w:fldChar w:fldCharType="end"/>
      </w:r>
      <w:bookmarkEnd w:id="15"/>
      <w:r>
        <w:t>.  </w:t>
      </w:r>
      <w:r w:rsidR="002825D2">
        <w:t>At the material time, s</w:t>
      </w:r>
      <w:r w:rsidR="002825D2" w:rsidRPr="00EA09C5">
        <w:t xml:space="preserve">ection </w:t>
      </w:r>
      <w:r w:rsidR="00EA09C5" w:rsidRPr="00EA09C5">
        <w:t>89 of the Law of Administrative Procedure</w:t>
      </w:r>
      <w:r w:rsidR="00EA09C5">
        <w:t xml:space="preserve"> </w:t>
      </w:r>
      <w:r w:rsidR="00EA09C5" w:rsidRPr="00EA09C5">
        <w:t>define</w:t>
      </w:r>
      <w:r w:rsidR="00EA09C5">
        <w:t>d</w:t>
      </w:r>
      <w:r w:rsidR="00EA09C5" w:rsidRPr="00EA09C5">
        <w:t xml:space="preserve"> an action of a public authority as “an action within the sphere of public law which is not aimed at issuing an administrative act, provided that its results have or might infringe the rights or legal interests of an individual concerned”. An action of a public authority </w:t>
      </w:r>
      <w:r w:rsidR="00AA593B">
        <w:t xml:space="preserve">also </w:t>
      </w:r>
      <w:r w:rsidR="00EA09C5" w:rsidRPr="00EA09C5">
        <w:t>include</w:t>
      </w:r>
      <w:r w:rsidR="00EA09C5">
        <w:t>d</w:t>
      </w:r>
      <w:r w:rsidR="00EA09C5" w:rsidRPr="00EA09C5">
        <w:t xml:space="preserve"> “an omission on the part of a public authority provided that such authority has an obligation under the law to </w:t>
      </w:r>
      <w:r w:rsidR="00090508">
        <w:t>take a specific</w:t>
      </w:r>
      <w:r w:rsidR="00EA09C5" w:rsidRPr="00EA09C5">
        <w:t xml:space="preserve"> action”.</w:t>
      </w:r>
      <w:r w:rsidR="00997DB2">
        <w:t xml:space="preserve"> </w:t>
      </w:r>
      <w:r w:rsidR="0095422C">
        <w:t>T</w:t>
      </w:r>
      <w:r w:rsidR="00997DB2">
        <w:t>he 2006 amendments</w:t>
      </w:r>
      <w:r w:rsidR="0095422C">
        <w:t xml:space="preserve"> to the Law, which took effect on 1 December 2006,</w:t>
      </w:r>
      <w:r w:rsidR="00997DB2">
        <w:t xml:space="preserve"> </w:t>
      </w:r>
      <w:r w:rsidR="0095422C">
        <w:t>further clarified this definition.</w:t>
      </w:r>
    </w:p>
    <w:bookmarkStart w:id="16" w:name="domlaw_compensation"/>
    <w:p w:rsidR="00BD1CCE" w:rsidRDefault="00A007E5" w:rsidP="009837C2">
      <w:pPr>
        <w:pStyle w:val="JuPara"/>
      </w:pPr>
      <w:r>
        <w:fldChar w:fldCharType="begin"/>
      </w:r>
      <w:r>
        <w:instrText xml:space="preserve"> SEQ level0 \*arabic </w:instrText>
      </w:r>
      <w:r>
        <w:fldChar w:fldCharType="separate"/>
      </w:r>
      <w:r w:rsidR="008806B0">
        <w:rPr>
          <w:noProof/>
        </w:rPr>
        <w:t>26</w:t>
      </w:r>
      <w:r>
        <w:fldChar w:fldCharType="end"/>
      </w:r>
      <w:bookmarkEnd w:id="16"/>
      <w:r>
        <w:t>.  </w:t>
      </w:r>
      <w:r w:rsidR="007B5A88">
        <w:t>Under section 92 of the Law of Administrative Procedure</w:t>
      </w:r>
      <w:r>
        <w:t xml:space="preserve"> </w:t>
      </w:r>
      <w:r w:rsidR="007B5A88">
        <w:t xml:space="preserve">everyone has the right to receive </w:t>
      </w:r>
      <w:r w:rsidR="00AF5EAE">
        <w:t xml:space="preserve">appropriate </w:t>
      </w:r>
      <w:r w:rsidR="007B5A88">
        <w:t>compensation for pecuniary and non-</w:t>
      </w:r>
      <w:r w:rsidR="007B5A88" w:rsidRPr="00A007E5">
        <w:rPr>
          <w:szCs w:val="24"/>
        </w:rPr>
        <w:t>pecuniary damage caused by an administrative act or action of a public authority.</w:t>
      </w:r>
      <w:r w:rsidRPr="00A007E5">
        <w:rPr>
          <w:szCs w:val="24"/>
        </w:rPr>
        <w:t xml:space="preserve"> </w:t>
      </w:r>
      <w:r w:rsidR="007B5A88" w:rsidRPr="00A007E5">
        <w:rPr>
          <w:szCs w:val="24"/>
        </w:rPr>
        <w:t xml:space="preserve">Under section 93 of the same Law, a claim for compensation can be submitted either together with an application to the administrative courts to </w:t>
      </w:r>
      <w:r w:rsidR="00285D42">
        <w:rPr>
          <w:szCs w:val="24"/>
        </w:rPr>
        <w:t>have</w:t>
      </w:r>
      <w:r w:rsidR="00285D42" w:rsidRPr="00A007E5">
        <w:rPr>
          <w:szCs w:val="24"/>
        </w:rPr>
        <w:t xml:space="preserve"> </w:t>
      </w:r>
      <w:r w:rsidR="007B5A88" w:rsidRPr="00A007E5">
        <w:rPr>
          <w:szCs w:val="24"/>
        </w:rPr>
        <w:t xml:space="preserve">an administrative act or action of a public authority </w:t>
      </w:r>
      <w:r w:rsidR="00285D42">
        <w:rPr>
          <w:szCs w:val="24"/>
        </w:rPr>
        <w:t xml:space="preserve">declared </w:t>
      </w:r>
      <w:r w:rsidR="007B5A88" w:rsidRPr="00A007E5">
        <w:rPr>
          <w:szCs w:val="24"/>
        </w:rPr>
        <w:t>unlawful or to the public authority concerned following a judgment adopted in such proceedings.</w:t>
      </w:r>
    </w:p>
    <w:p w:rsidR="00E2461F" w:rsidRDefault="00E2461F" w:rsidP="00E2461F">
      <w:pPr>
        <w:pStyle w:val="JuH1"/>
        <w:outlineLvl w:val="2"/>
      </w:pPr>
      <w:r>
        <w:t>4.  </w:t>
      </w:r>
      <w:r w:rsidR="004F182D">
        <w:t>Domestic reports</w:t>
      </w:r>
      <w:r w:rsidR="0067230A">
        <w:t xml:space="preserve"> on practice and case-law</w:t>
      </w:r>
    </w:p>
    <w:bookmarkStart w:id="17" w:name="domlaw_VCB_visit"/>
    <w:p w:rsidR="00314815" w:rsidRDefault="0028648D" w:rsidP="009837C2">
      <w:pPr>
        <w:pStyle w:val="JuPara"/>
      </w:pPr>
      <w:r>
        <w:fldChar w:fldCharType="begin"/>
      </w:r>
      <w:r>
        <w:instrText xml:space="preserve"> SEQ level0 \*arabic </w:instrText>
      </w:r>
      <w:r>
        <w:fldChar w:fldCharType="separate"/>
      </w:r>
      <w:r w:rsidR="008806B0">
        <w:rPr>
          <w:noProof/>
        </w:rPr>
        <w:t>27</w:t>
      </w:r>
      <w:r>
        <w:fldChar w:fldCharType="end"/>
      </w:r>
      <w:bookmarkEnd w:id="17"/>
      <w:r>
        <w:t>.  </w:t>
      </w:r>
      <w:r w:rsidR="007C11AC">
        <w:t xml:space="preserve">In its </w:t>
      </w:r>
      <w:r w:rsidR="00473A9A">
        <w:t>annual</w:t>
      </w:r>
      <w:r w:rsidR="007C11AC">
        <w:t xml:space="preserve"> report dedicated to human rights issues in Latvia for </w:t>
      </w:r>
      <w:r w:rsidR="0006216E">
        <w:t xml:space="preserve">the </w:t>
      </w:r>
      <w:r w:rsidR="007C11AC">
        <w:t>year 2005</w:t>
      </w:r>
      <w:r w:rsidR="00AC58DC">
        <w:rPr>
          <w:rStyle w:val="FootnoteReference"/>
        </w:rPr>
        <w:footnoteReference w:id="1"/>
      </w:r>
      <w:r w:rsidR="007C11AC">
        <w:t xml:space="preserve">, the </w:t>
      </w:r>
      <w:r w:rsidR="00C94EE6" w:rsidRPr="00D335CD">
        <w:t>National</w:t>
      </w:r>
      <w:r w:rsidR="005E5056" w:rsidRPr="00D335CD">
        <w:t xml:space="preserve"> Human Rights </w:t>
      </w:r>
      <w:r w:rsidR="00CA29BA">
        <w:t>Office</w:t>
      </w:r>
      <w:r w:rsidR="007C11AC">
        <w:t xml:space="preserve"> (</w:t>
      </w:r>
      <w:r w:rsidR="005E5056">
        <w:t>VCB</w:t>
      </w:r>
      <w:r w:rsidR="007C11AC">
        <w:t>)</w:t>
      </w:r>
      <w:r w:rsidR="00EE64CF">
        <w:t xml:space="preserve">, </w:t>
      </w:r>
      <w:r w:rsidR="007C11AC">
        <w:t xml:space="preserve">noted that </w:t>
      </w:r>
      <w:r w:rsidR="00AC58DC">
        <w:t xml:space="preserve">prisoners most commonly complained about </w:t>
      </w:r>
      <w:r w:rsidR="0006216E">
        <w:t xml:space="preserve">the </w:t>
      </w:r>
      <w:r w:rsidR="00AC58DC">
        <w:t xml:space="preserve">conditions of </w:t>
      </w:r>
      <w:r w:rsidR="0006216E">
        <w:t xml:space="preserve">their </w:t>
      </w:r>
      <w:r w:rsidR="00AC58DC">
        <w:t xml:space="preserve">detention and, in particular, about </w:t>
      </w:r>
      <w:r w:rsidR="00862595">
        <w:t xml:space="preserve">the lack of </w:t>
      </w:r>
      <w:r w:rsidR="00AC58DC">
        <w:t>separation of toilets</w:t>
      </w:r>
      <w:r w:rsidR="00862595">
        <w:t xml:space="preserve"> from other cell areas</w:t>
      </w:r>
      <w:r w:rsidR="00AC58DC">
        <w:t xml:space="preserve">. </w:t>
      </w:r>
      <w:r w:rsidR="0006216E">
        <w:t xml:space="preserve">Although they </w:t>
      </w:r>
      <w:r w:rsidR="00EE64CF">
        <w:t>had</w:t>
      </w:r>
      <w:r w:rsidR="00473A9A">
        <w:t xml:space="preserve"> paid a visit to Valmiera </w:t>
      </w:r>
      <w:r w:rsidR="0006216E">
        <w:t>Prison</w:t>
      </w:r>
      <w:r w:rsidR="00473A9A">
        <w:t xml:space="preserve">, the report did not </w:t>
      </w:r>
      <w:r w:rsidR="00530D5F">
        <w:t xml:space="preserve">describe </w:t>
      </w:r>
      <w:r w:rsidR="0006216E">
        <w:t xml:space="preserve">the </w:t>
      </w:r>
      <w:r w:rsidR="00473A9A">
        <w:t>results of that visit</w:t>
      </w:r>
      <w:r w:rsidR="0006216E">
        <w:t xml:space="preserve"> in full</w:t>
      </w:r>
      <w:r w:rsidR="00473A9A">
        <w:t>. It was merely stated that</w:t>
      </w:r>
      <w:r w:rsidR="00314815">
        <w:t>:</w:t>
      </w:r>
    </w:p>
    <w:p w:rsidR="00530D5F" w:rsidRDefault="003272D5" w:rsidP="003272D5">
      <w:pPr>
        <w:pStyle w:val="JuQuot"/>
      </w:pPr>
      <w:r>
        <w:t>“</w:t>
      </w:r>
      <w:r w:rsidR="00F56216">
        <w:t xml:space="preserve">The </w:t>
      </w:r>
      <w:r w:rsidR="00EE64CF">
        <w:t>VCB</w:t>
      </w:r>
      <w:r>
        <w:t xml:space="preserve"> has concluded that improvement </w:t>
      </w:r>
      <w:r w:rsidR="0006216E">
        <w:t xml:space="preserve">in </w:t>
      </w:r>
      <w:r>
        <w:t xml:space="preserve">conditions of detention is connected to the lack of funding and that in many prisons, for example in </w:t>
      </w:r>
      <w:r w:rsidR="007E4C9C">
        <w:t>...</w:t>
      </w:r>
      <w:r>
        <w:t xml:space="preserve"> Valmiera </w:t>
      </w:r>
      <w:r w:rsidR="0006216E">
        <w:t>Prison</w:t>
      </w:r>
      <w:r>
        <w:t xml:space="preserve">, it </w:t>
      </w:r>
      <w:r w:rsidR="0006216E">
        <w:t xml:space="preserve">will be </w:t>
      </w:r>
      <w:r>
        <w:t>impossible to ensure normal conditions of detention without construction works</w:t>
      </w:r>
      <w:r w:rsidR="00530D5F">
        <w:t>.</w:t>
      </w:r>
    </w:p>
    <w:p w:rsidR="00F56216" w:rsidRDefault="00530D5F" w:rsidP="003272D5">
      <w:pPr>
        <w:pStyle w:val="JuQuot"/>
      </w:pPr>
      <w:r>
        <w:t>Therefore, in spring 2005 the VCB sent a letter to the Prime Minister</w:t>
      </w:r>
      <w:r w:rsidR="0006216E">
        <w:t>,</w:t>
      </w:r>
      <w:r>
        <w:t xml:space="preserve"> pointing out the possible problems</w:t>
      </w:r>
      <w:r w:rsidR="0006216E">
        <w:t xml:space="preserve"> [that might occur] </w:t>
      </w:r>
      <w:r>
        <w:t xml:space="preserve">if detainees were to lodge applications </w:t>
      </w:r>
      <w:r w:rsidR="0006216E">
        <w:t xml:space="preserve">under </w:t>
      </w:r>
      <w:r>
        <w:t xml:space="preserve">Article 3 of the Convention with the Court. Regrettably, the competent authorities did not always </w:t>
      </w:r>
      <w:r w:rsidR="007607D1">
        <w:t>follow</w:t>
      </w:r>
      <w:r>
        <w:t xml:space="preserve"> the VCB</w:t>
      </w:r>
      <w:r w:rsidR="00FD5467">
        <w:t>’</w:t>
      </w:r>
      <w:r>
        <w:t xml:space="preserve">s recommendations and the VCB </w:t>
      </w:r>
      <w:r w:rsidR="007607D1">
        <w:t xml:space="preserve">[was left with no other possibility </w:t>
      </w:r>
      <w:r w:rsidR="0006216E">
        <w:t>than to</w:t>
      </w:r>
      <w:r w:rsidR="007607D1">
        <w:t xml:space="preserve">] </w:t>
      </w:r>
      <w:r>
        <w:t xml:space="preserve">advise </w:t>
      </w:r>
      <w:r w:rsidR="007607D1">
        <w:t>detainees</w:t>
      </w:r>
      <w:r>
        <w:t xml:space="preserve"> to lod</w:t>
      </w:r>
      <w:r w:rsidR="00AA482C">
        <w:t xml:space="preserve">ge applications with the Court. </w:t>
      </w:r>
      <w:r w:rsidR="0006216E">
        <w:t>[If]</w:t>
      </w:r>
      <w:r w:rsidR="00E04068">
        <w:t xml:space="preserve"> </w:t>
      </w:r>
      <w:r w:rsidR="0006216E">
        <w:t xml:space="preserve">any </w:t>
      </w:r>
      <w:r w:rsidR="00AA482C">
        <w:t xml:space="preserve">improvements </w:t>
      </w:r>
      <w:r w:rsidR="0006216E">
        <w:t xml:space="preserve">had been </w:t>
      </w:r>
      <w:r w:rsidR="00E04068">
        <w:t>made</w:t>
      </w:r>
      <w:r w:rsidR="00AA482C">
        <w:t>, t</w:t>
      </w:r>
      <w:r>
        <w:t xml:space="preserve">he VCB had not been informed </w:t>
      </w:r>
      <w:r w:rsidR="00AA482C">
        <w:t xml:space="preserve">of </w:t>
      </w:r>
      <w:r w:rsidR="0006216E">
        <w:t>them</w:t>
      </w:r>
      <w:r w:rsidR="00F56216">
        <w:t>”.</w:t>
      </w:r>
    </w:p>
    <w:bookmarkStart w:id="18" w:name="domlaw_compilation"/>
    <w:p w:rsidR="00BD1CCE" w:rsidRDefault="004D22F9" w:rsidP="0067230A">
      <w:pPr>
        <w:pStyle w:val="JuPara"/>
      </w:pPr>
      <w:r>
        <w:fldChar w:fldCharType="begin"/>
      </w:r>
      <w:r>
        <w:instrText xml:space="preserve"> SEQ level0 \*arabic </w:instrText>
      </w:r>
      <w:r>
        <w:fldChar w:fldCharType="separate"/>
      </w:r>
      <w:r w:rsidR="008806B0">
        <w:rPr>
          <w:noProof/>
        </w:rPr>
        <w:t>28</w:t>
      </w:r>
      <w:r>
        <w:fldChar w:fldCharType="end"/>
      </w:r>
      <w:bookmarkEnd w:id="18"/>
      <w:r>
        <w:t>.  </w:t>
      </w:r>
      <w:r w:rsidR="0067230A">
        <w:t xml:space="preserve">On 1 December 2006 the Supreme Court issued a compilation </w:t>
      </w:r>
      <w:r w:rsidR="00D6308A">
        <w:t xml:space="preserve">and analysis </w:t>
      </w:r>
      <w:r w:rsidR="0067230A">
        <w:t xml:space="preserve">of the domestic case-law on definition and interpretation of </w:t>
      </w:r>
      <w:r w:rsidR="00E44C55">
        <w:t xml:space="preserve">the administrative law concept of an </w:t>
      </w:r>
      <w:r w:rsidR="0067230A">
        <w:t>action of a public authority (</w:t>
      </w:r>
      <w:r w:rsidR="0067230A" w:rsidRPr="0067230A">
        <w:rPr>
          <w:i/>
          <w:lang w:val="lv-LV"/>
        </w:rPr>
        <w:t>Tiesu prakses apkopojums par faktiskās rīcības jēdzienu un interpretāciju</w:t>
      </w:r>
      <w:r w:rsidR="0067230A">
        <w:t xml:space="preserve">). It was noted that only </w:t>
      </w:r>
      <w:r w:rsidR="00B05A8D">
        <w:t xml:space="preserve">some </w:t>
      </w:r>
      <w:r w:rsidR="0067230A">
        <w:t xml:space="preserve">10% of cases before the administrative courts </w:t>
      </w:r>
      <w:r w:rsidR="00691652">
        <w:t xml:space="preserve">had </w:t>
      </w:r>
      <w:r w:rsidR="0067230A">
        <w:t>concerned actions of a public authority.</w:t>
      </w:r>
    </w:p>
    <w:p w:rsidR="005E3DA2" w:rsidRPr="0034580F" w:rsidRDefault="005E3DA2" w:rsidP="005E3DA2">
      <w:pPr>
        <w:pStyle w:val="JuHHead"/>
      </w:pPr>
      <w:bookmarkStart w:id="19" w:name="01000008"/>
      <w:bookmarkEnd w:id="19"/>
      <w:r w:rsidRPr="0034580F">
        <w:t>THE LAW</w:t>
      </w:r>
    </w:p>
    <w:p w:rsidR="005E3DA2" w:rsidRPr="0034580F" w:rsidRDefault="005E3DA2" w:rsidP="005E3DA2">
      <w:pPr>
        <w:pStyle w:val="JuHIRoman"/>
        <w:outlineLvl w:val="0"/>
      </w:pPr>
      <w:smartTag w:uri="urn:schemas-microsoft-com:office:smarttags" w:element="place">
        <w:r w:rsidRPr="0034580F">
          <w:t>I.</w:t>
        </w:r>
      </w:smartTag>
      <w:r w:rsidRPr="0034580F">
        <w:t xml:space="preserve">  ALLEGED VIOLATION OF ARTICLE </w:t>
      </w:r>
      <w:r>
        <w:t>3</w:t>
      </w:r>
      <w:r w:rsidRPr="0034580F">
        <w:t xml:space="preserve"> OF THE CONVENTION</w:t>
      </w:r>
      <w:r>
        <w:t xml:space="preserve"> ON ACCOUNT OF CONDITIONS OF DETENTION</w:t>
      </w:r>
    </w:p>
    <w:p w:rsidR="00AC4938" w:rsidRDefault="0014295B" w:rsidP="002F4BCF">
      <w:pPr>
        <w:pStyle w:val="JuPara"/>
      </w:pPr>
      <w:r>
        <w:fldChar w:fldCharType="begin"/>
      </w:r>
      <w:r>
        <w:instrText xml:space="preserve"> SEQ level0 \*arabic </w:instrText>
      </w:r>
      <w:r>
        <w:fldChar w:fldCharType="separate"/>
      </w:r>
      <w:r w:rsidR="008806B0">
        <w:rPr>
          <w:noProof/>
        </w:rPr>
        <w:t>29</w:t>
      </w:r>
      <w:r>
        <w:fldChar w:fldCharType="end"/>
      </w:r>
      <w:r w:rsidR="00F71A6A" w:rsidRPr="00302008">
        <w:t xml:space="preserve">.  The </w:t>
      </w:r>
      <w:r w:rsidR="005F4753" w:rsidRPr="00D301C7">
        <w:t>applicant</w:t>
      </w:r>
      <w:r w:rsidR="00F71A6A" w:rsidRPr="00302008">
        <w:t xml:space="preserve"> complained that </w:t>
      </w:r>
      <w:r w:rsidR="00820083">
        <w:t xml:space="preserve">the </w:t>
      </w:r>
      <w:r w:rsidR="00797137">
        <w:t xml:space="preserve">conditions of his detention in Valmiera </w:t>
      </w:r>
      <w:r w:rsidR="006D3809">
        <w:t xml:space="preserve">Prison had been </w:t>
      </w:r>
      <w:r w:rsidR="00797137">
        <w:t>inhuman and degrading,</w:t>
      </w:r>
      <w:r w:rsidR="00F71A6A" w:rsidRPr="00302008">
        <w:t xml:space="preserve"> </w:t>
      </w:r>
      <w:r w:rsidR="00797137">
        <w:t>in breach of</w:t>
      </w:r>
      <w:r w:rsidR="00F71A6A" w:rsidRPr="00302008">
        <w:t xml:space="preserve"> Article </w:t>
      </w:r>
      <w:r w:rsidR="00797137">
        <w:t>3</w:t>
      </w:r>
      <w:r w:rsidR="00F71A6A" w:rsidRPr="00302008">
        <w:t xml:space="preserve"> of the Convention</w:t>
      </w:r>
      <w:r w:rsidR="00797137">
        <w:t xml:space="preserve">. </w:t>
      </w:r>
      <w:r w:rsidR="002D7CBB">
        <w:t>In particular, h</w:t>
      </w:r>
      <w:r w:rsidR="00797137">
        <w:t xml:space="preserve">e </w:t>
      </w:r>
      <w:r w:rsidR="00EA17E4">
        <w:t>submitted</w:t>
      </w:r>
      <w:r w:rsidR="00797137">
        <w:t xml:space="preserve"> that as a result of the prison </w:t>
      </w:r>
      <w:r w:rsidR="006D3809">
        <w:t>administration</w:t>
      </w:r>
      <w:r w:rsidR="00FD5467">
        <w:t>’</w:t>
      </w:r>
      <w:r w:rsidR="006D3809">
        <w:t xml:space="preserve">s refusal </w:t>
      </w:r>
      <w:r w:rsidR="006B4F4C">
        <w:t xml:space="preserve">to provide him </w:t>
      </w:r>
      <w:r w:rsidR="006D3809">
        <w:t xml:space="preserve">with </w:t>
      </w:r>
      <w:r w:rsidR="006B4F4C">
        <w:t xml:space="preserve">personal hygiene </w:t>
      </w:r>
      <w:r w:rsidR="00356E55">
        <w:t>products</w:t>
      </w:r>
      <w:r w:rsidR="006B4F4C">
        <w:t xml:space="preserve"> such as toilet soap, a toothbrush, toothpaste and toilet paper he </w:t>
      </w:r>
      <w:r w:rsidR="001117DD">
        <w:t xml:space="preserve">had </w:t>
      </w:r>
      <w:r w:rsidR="006B4F4C">
        <w:t>constantly felt dirty and humiliated.</w:t>
      </w:r>
      <w:r w:rsidR="00FA6FA2">
        <w:t xml:space="preserve"> He also alleged that the toilets were not separated from the rest of the cell</w:t>
      </w:r>
      <w:r w:rsidR="008210EF">
        <w:t>.</w:t>
      </w:r>
    </w:p>
    <w:p w:rsidR="00F71A6A" w:rsidRPr="00302008" w:rsidRDefault="00AC4938" w:rsidP="002F4BCF">
      <w:pPr>
        <w:pStyle w:val="JuPara"/>
      </w:pPr>
      <w:r>
        <w:fldChar w:fldCharType="begin"/>
      </w:r>
      <w:r>
        <w:instrText xml:space="preserve"> SEQ level0 \*arabic </w:instrText>
      </w:r>
      <w:r>
        <w:fldChar w:fldCharType="separate"/>
      </w:r>
      <w:r w:rsidR="008806B0">
        <w:rPr>
          <w:noProof/>
        </w:rPr>
        <w:t>30</w:t>
      </w:r>
      <w:r>
        <w:fldChar w:fldCharType="end"/>
      </w:r>
      <w:r>
        <w:t>.  </w:t>
      </w:r>
      <w:r w:rsidR="006B4F4C">
        <w:t>Article 3 of the Convention reads as follows:</w:t>
      </w:r>
    </w:p>
    <w:p w:rsidR="005B16A8" w:rsidRPr="00302008" w:rsidRDefault="00915A03">
      <w:pPr>
        <w:pStyle w:val="JuQuot"/>
      </w:pPr>
      <w:r>
        <w:t>“No one shall be subjected to torture or to inhuman or degrading treatment or punishment.”</w:t>
      </w:r>
    </w:p>
    <w:p w:rsidR="00BD1CCE" w:rsidRDefault="005E3DA2" w:rsidP="005E3DA2">
      <w:pPr>
        <w:pStyle w:val="JuHA"/>
        <w:outlineLvl w:val="1"/>
      </w:pPr>
      <w:r w:rsidRPr="0034580F">
        <w:t>A.  </w:t>
      </w:r>
      <w:r w:rsidR="009710C7">
        <w:t>Application of Article 37 § 1 (b) of the Convention</w:t>
      </w:r>
    </w:p>
    <w:p w:rsidR="0069368A" w:rsidRDefault="0069368A" w:rsidP="009251DB">
      <w:pPr>
        <w:pStyle w:val="JuH1"/>
        <w:outlineLvl w:val="2"/>
      </w:pPr>
      <w:r>
        <w:t>1.  </w:t>
      </w:r>
      <w:r w:rsidR="005A356C">
        <w:t>The p</w:t>
      </w:r>
      <w:r>
        <w:t>arties</w:t>
      </w:r>
      <w:r w:rsidR="00FD5467">
        <w:t>’</w:t>
      </w:r>
      <w:r>
        <w:t xml:space="preserve"> submissions</w:t>
      </w:r>
    </w:p>
    <w:p w:rsidR="002905D7" w:rsidRDefault="002905D7" w:rsidP="002905D7">
      <w:pPr>
        <w:pStyle w:val="JuPara"/>
      </w:pPr>
      <w:r>
        <w:fldChar w:fldCharType="begin"/>
      </w:r>
      <w:r>
        <w:instrText xml:space="preserve"> SEQ level0 \*arabic </w:instrText>
      </w:r>
      <w:r>
        <w:fldChar w:fldCharType="separate"/>
      </w:r>
      <w:r w:rsidR="008806B0">
        <w:rPr>
          <w:noProof/>
        </w:rPr>
        <w:t>31</w:t>
      </w:r>
      <w:r>
        <w:fldChar w:fldCharType="end"/>
      </w:r>
      <w:r>
        <w:t xml:space="preserve">.  The Government </w:t>
      </w:r>
      <w:r w:rsidR="003434B0">
        <w:t>invited the Court to strike the case out of its list of cases</w:t>
      </w:r>
      <w:r w:rsidR="0085445A">
        <w:t>,</w:t>
      </w:r>
      <w:r>
        <w:t xml:space="preserve"> in accordance with Article 37 § 1 (b) of the Convention. The Government relied in this connection on the fact that in October 2005 the applicant had </w:t>
      </w:r>
      <w:r w:rsidR="0085445A">
        <w:t xml:space="preserve">been provided with </w:t>
      </w:r>
      <w:r>
        <w:t xml:space="preserve">personal hygiene </w:t>
      </w:r>
      <w:r w:rsidR="00356E55">
        <w:t>products</w:t>
      </w:r>
      <w:r>
        <w:t>. They took the view that the situation complained of by the applicant had thus ceased to exist and that the matter giving rise to the applicant</w:t>
      </w:r>
      <w:r w:rsidR="00FD5467">
        <w:t>’</w:t>
      </w:r>
      <w:r>
        <w:t xml:space="preserve">s Article 3 complaint </w:t>
      </w:r>
      <w:r w:rsidR="00377091">
        <w:t xml:space="preserve">had </w:t>
      </w:r>
      <w:r>
        <w:t>thereby</w:t>
      </w:r>
      <w:r w:rsidR="00377091">
        <w:t xml:space="preserve"> been</w:t>
      </w:r>
      <w:r>
        <w:t xml:space="preserve"> resolved. </w:t>
      </w:r>
      <w:r w:rsidR="00726062">
        <w:t>I</w:t>
      </w:r>
      <w:r>
        <w:t>n the Government</w:t>
      </w:r>
      <w:r w:rsidR="00FD5467">
        <w:t>’</w:t>
      </w:r>
      <w:r>
        <w:t>s submission</w:t>
      </w:r>
      <w:r w:rsidR="00377091">
        <w:t>,</w:t>
      </w:r>
      <w:r>
        <w:t xml:space="preserve"> there was no particular reason relating to respect for human rights as defined in the Convention which would require the Court to continue its examination of the application.</w:t>
      </w:r>
    </w:p>
    <w:p w:rsidR="002905D7" w:rsidRDefault="002905D7" w:rsidP="002905D7">
      <w:pPr>
        <w:pStyle w:val="JuPara"/>
      </w:pPr>
      <w:r>
        <w:fldChar w:fldCharType="begin"/>
      </w:r>
      <w:r>
        <w:instrText xml:space="preserve"> SEQ level0 \*arabic </w:instrText>
      </w:r>
      <w:r>
        <w:fldChar w:fldCharType="separate"/>
      </w:r>
      <w:r w:rsidR="008806B0">
        <w:rPr>
          <w:noProof/>
        </w:rPr>
        <w:t>32</w:t>
      </w:r>
      <w:r>
        <w:fldChar w:fldCharType="end"/>
      </w:r>
      <w:r>
        <w:t>.  The applicant</w:t>
      </w:r>
      <w:r w:rsidR="00AF0CFF">
        <w:t xml:space="preserve"> </w:t>
      </w:r>
      <w:r w:rsidR="00B06473">
        <w:t>objected to the Government</w:t>
      </w:r>
      <w:r w:rsidR="00FD5467">
        <w:t>’</w:t>
      </w:r>
      <w:r w:rsidR="00B06473">
        <w:t>s request to strike out the application and invited the Court to proceed with its examination of the case</w:t>
      </w:r>
      <w:r>
        <w:t>.</w:t>
      </w:r>
      <w:r w:rsidR="00AF0CFF">
        <w:t xml:space="preserve"> He </w:t>
      </w:r>
      <w:r w:rsidR="00B06473">
        <w:t>submitted</w:t>
      </w:r>
      <w:r w:rsidR="00AF0CFF">
        <w:t xml:space="preserve"> that even though </w:t>
      </w:r>
      <w:r w:rsidR="00CE5731">
        <w:t xml:space="preserve">he had received </w:t>
      </w:r>
      <w:r w:rsidR="00AF0CFF">
        <w:t xml:space="preserve">personal hygiene </w:t>
      </w:r>
      <w:r w:rsidR="00356E55">
        <w:t>products</w:t>
      </w:r>
      <w:r w:rsidR="00736BB1" w:rsidRPr="00736BB1">
        <w:t xml:space="preserve"> </w:t>
      </w:r>
      <w:r w:rsidR="00736BB1">
        <w:t>in October 2005</w:t>
      </w:r>
      <w:r w:rsidR="00AF0CFF">
        <w:t xml:space="preserve">, this </w:t>
      </w:r>
      <w:r w:rsidR="00736BB1">
        <w:t xml:space="preserve">had </w:t>
      </w:r>
      <w:r w:rsidR="00AF0CFF">
        <w:t xml:space="preserve">not </w:t>
      </w:r>
      <w:r w:rsidR="00774C96">
        <w:t>sufficiently</w:t>
      </w:r>
      <w:r w:rsidR="00AF0CFF">
        <w:t xml:space="preserve"> redress</w:t>
      </w:r>
      <w:r w:rsidR="00736BB1">
        <w:t>ed</w:t>
      </w:r>
      <w:r w:rsidR="00AF0CFF">
        <w:t xml:space="preserve"> the lack of those </w:t>
      </w:r>
      <w:r w:rsidR="00356E55">
        <w:t>products</w:t>
      </w:r>
      <w:r w:rsidR="00AF0CFF">
        <w:t xml:space="preserve"> </w:t>
      </w:r>
      <w:r w:rsidR="00F16439">
        <w:t>in past</w:t>
      </w:r>
      <w:r w:rsidR="00AF0CFF">
        <w:t>.</w:t>
      </w:r>
    </w:p>
    <w:p w:rsidR="009E2101" w:rsidRDefault="009E2101" w:rsidP="00EA1653">
      <w:pPr>
        <w:pStyle w:val="JuH1"/>
        <w:outlineLvl w:val="2"/>
      </w:pPr>
      <w:r>
        <w:t>2.  The Court</w:t>
      </w:r>
      <w:r w:rsidR="00FD5467">
        <w:t>’</w:t>
      </w:r>
      <w:r>
        <w:t>s assessment</w:t>
      </w:r>
    </w:p>
    <w:p w:rsidR="00584631" w:rsidRDefault="002905D7" w:rsidP="002905D7">
      <w:pPr>
        <w:pStyle w:val="JuPara"/>
        <w:rPr>
          <w:lang w:eastAsia="en-US"/>
        </w:rPr>
      </w:pPr>
      <w:r>
        <w:fldChar w:fldCharType="begin"/>
      </w:r>
      <w:r>
        <w:instrText xml:space="preserve"> SEQ level0 \*arabic </w:instrText>
      </w:r>
      <w:r>
        <w:fldChar w:fldCharType="separate"/>
      </w:r>
      <w:r w:rsidR="008806B0">
        <w:rPr>
          <w:noProof/>
        </w:rPr>
        <w:t>33</w:t>
      </w:r>
      <w:r>
        <w:fldChar w:fldCharType="end"/>
      </w:r>
      <w:r>
        <w:t xml:space="preserve">.  In order to ascertain whether Article 37 § 1 (b) applies to the present case, the Court must answer two questions in turn: firstly, whether the circumstances complained of directly by the applicant still </w:t>
      </w:r>
      <w:r w:rsidR="00501AD7">
        <w:t xml:space="preserve">pertain </w:t>
      </w:r>
      <w:r>
        <w:t xml:space="preserve">and, secondly, whether the effects of a possible violation of the Convention on account of those circumstances have been redressed (see </w:t>
      </w:r>
      <w:r w:rsidR="00440769" w:rsidRPr="00440769">
        <w:rPr>
          <w:i/>
          <w:szCs w:val="24"/>
          <w:lang w:eastAsia="en-US"/>
        </w:rPr>
        <w:t xml:space="preserve">Sisojeva and Others v. </w:t>
      </w:r>
      <w:smartTag w:uri="urn:schemas-microsoft-com:office:smarttags" w:element="place">
        <w:smartTag w:uri="urn:schemas-microsoft-com:office:smarttags" w:element="country-region">
          <w:r w:rsidR="00440769" w:rsidRPr="00440769">
            <w:rPr>
              <w:i/>
              <w:szCs w:val="24"/>
              <w:lang w:eastAsia="en-US"/>
            </w:rPr>
            <w:t>Latvia</w:t>
          </w:r>
        </w:smartTag>
      </w:smartTag>
      <w:r w:rsidR="00440769" w:rsidRPr="00440769">
        <w:rPr>
          <w:i/>
          <w:szCs w:val="24"/>
          <w:lang w:eastAsia="en-US"/>
        </w:rPr>
        <w:t xml:space="preserve"> </w:t>
      </w:r>
      <w:r w:rsidR="00440769" w:rsidRPr="00440769">
        <w:rPr>
          <w:szCs w:val="24"/>
          <w:lang w:eastAsia="en-US"/>
        </w:rPr>
        <w:t>(striking out) [GC],</w:t>
      </w:r>
      <w:r w:rsidR="00440769" w:rsidRPr="00440769">
        <w:rPr>
          <w:i/>
          <w:szCs w:val="24"/>
          <w:lang w:eastAsia="en-US"/>
        </w:rPr>
        <w:t xml:space="preserve"> </w:t>
      </w:r>
      <w:r w:rsidR="00440769" w:rsidRPr="00440769">
        <w:rPr>
          <w:szCs w:val="24"/>
          <w:lang w:eastAsia="en-US"/>
        </w:rPr>
        <w:t xml:space="preserve">no. 60654/00, § </w:t>
      </w:r>
      <w:r w:rsidR="00440769">
        <w:rPr>
          <w:szCs w:val="24"/>
          <w:lang w:eastAsia="en-US"/>
        </w:rPr>
        <w:t>97</w:t>
      </w:r>
      <w:r w:rsidR="00440769" w:rsidRPr="00440769">
        <w:rPr>
          <w:szCs w:val="24"/>
          <w:lang w:eastAsia="en-US"/>
        </w:rPr>
        <w:t>,</w:t>
      </w:r>
      <w:r w:rsidR="00440769" w:rsidRPr="00440769">
        <w:rPr>
          <w:lang w:eastAsia="en-US"/>
        </w:rPr>
        <w:t xml:space="preserve"> ECHR 2007</w:t>
      </w:r>
      <w:r w:rsidR="00440769" w:rsidRPr="00440769">
        <w:rPr>
          <w:lang w:eastAsia="en-US"/>
        </w:rPr>
        <w:noBreakHyphen/>
        <w:t>I</w:t>
      </w:r>
      <w:r w:rsidR="00A305F2">
        <w:t>).</w:t>
      </w:r>
      <w:r>
        <w:t xml:space="preserve"> </w:t>
      </w:r>
      <w:r w:rsidR="00584631">
        <w:t>This approach reflects the structure of the Convention</w:t>
      </w:r>
      <w:r w:rsidR="00FD5467">
        <w:t>’</w:t>
      </w:r>
      <w:r w:rsidR="00584631">
        <w:t xml:space="preserve">s supervisory machinery, which provides both for a reasoned decision or judgment as to whether the facts in issue are compatible with the requirements of the Convention (Article 45), and, if they are not, for an award of just satisfaction if necessary (Article 41) (see </w:t>
      </w:r>
      <w:r w:rsidR="00D47240" w:rsidRPr="00D47240">
        <w:rPr>
          <w:i/>
          <w:lang w:eastAsia="en-US"/>
        </w:rPr>
        <w:t xml:space="preserve">Pisano v. Italy </w:t>
      </w:r>
      <w:r w:rsidR="00D47240" w:rsidRPr="00D47240">
        <w:rPr>
          <w:lang w:eastAsia="en-US"/>
        </w:rPr>
        <w:t xml:space="preserve">[GC] (striking out), no. 36732/97, § </w:t>
      </w:r>
      <w:r w:rsidR="00D47240">
        <w:rPr>
          <w:lang w:eastAsia="en-US"/>
        </w:rPr>
        <w:t>42</w:t>
      </w:r>
      <w:r w:rsidR="00D47240" w:rsidRPr="00D47240">
        <w:rPr>
          <w:lang w:eastAsia="en-US"/>
        </w:rPr>
        <w:t>, 24 October 2002</w:t>
      </w:r>
      <w:r w:rsidR="00584631">
        <w:t>).</w:t>
      </w:r>
    </w:p>
    <w:p w:rsidR="002905D7" w:rsidRDefault="00D47240" w:rsidP="002905D7">
      <w:pPr>
        <w:pStyle w:val="JuPara"/>
      </w:pPr>
      <w:r>
        <w:fldChar w:fldCharType="begin"/>
      </w:r>
      <w:r>
        <w:instrText xml:space="preserve"> SEQ level0 \*arabic </w:instrText>
      </w:r>
      <w:r>
        <w:fldChar w:fldCharType="separate"/>
      </w:r>
      <w:r w:rsidR="008806B0">
        <w:rPr>
          <w:noProof/>
        </w:rPr>
        <w:t>34</w:t>
      </w:r>
      <w:r>
        <w:fldChar w:fldCharType="end"/>
      </w:r>
      <w:r>
        <w:t>.  </w:t>
      </w:r>
      <w:r w:rsidR="002905D7">
        <w:t>In the present case, that entails first of all establishing whether the conditions of the applicant</w:t>
      </w:r>
      <w:r w:rsidR="00FD5467">
        <w:t>’</w:t>
      </w:r>
      <w:r w:rsidR="002905D7">
        <w:t>s detention persist</w:t>
      </w:r>
      <w:r w:rsidR="00501AD7">
        <w:t xml:space="preserve">. After </w:t>
      </w:r>
      <w:r w:rsidR="002905D7">
        <w:t>that, the Court must consider whether the measures taken by the authorities constitute redress for the applicant</w:t>
      </w:r>
      <w:r w:rsidR="00FD5467">
        <w:t>’</w:t>
      </w:r>
      <w:r w:rsidR="002905D7">
        <w:t>s complaint.</w:t>
      </w:r>
    </w:p>
    <w:p w:rsidR="002905D7" w:rsidRDefault="002905D7" w:rsidP="002905D7">
      <w:pPr>
        <w:pStyle w:val="JuPara"/>
      </w:pPr>
      <w:r>
        <w:fldChar w:fldCharType="begin"/>
      </w:r>
      <w:r>
        <w:instrText xml:space="preserve"> SEQ level0 \*arabic </w:instrText>
      </w:r>
      <w:r>
        <w:fldChar w:fldCharType="separate"/>
      </w:r>
      <w:r w:rsidR="008806B0">
        <w:rPr>
          <w:noProof/>
        </w:rPr>
        <w:t>35</w:t>
      </w:r>
      <w:r>
        <w:fldChar w:fldCharType="end"/>
      </w:r>
      <w:r>
        <w:t xml:space="preserve">.  As to the first </w:t>
      </w:r>
      <w:r w:rsidR="00C427D0">
        <w:t>of these</w:t>
      </w:r>
      <w:r>
        <w:t xml:space="preserve">, </w:t>
      </w:r>
      <w:r w:rsidR="00D73204">
        <w:t xml:space="preserve">it is clear that </w:t>
      </w:r>
      <w:r w:rsidR="00501AD7">
        <w:t xml:space="preserve">the </w:t>
      </w:r>
      <w:r w:rsidR="00773AD2">
        <w:t xml:space="preserve">situation complained of no longer </w:t>
      </w:r>
      <w:r w:rsidR="00501AD7">
        <w:t xml:space="preserve">pertains, </w:t>
      </w:r>
      <w:r w:rsidR="00773AD2">
        <w:t xml:space="preserve">since the applicant received personal hygiene </w:t>
      </w:r>
      <w:r w:rsidR="00356E55">
        <w:t>products</w:t>
      </w:r>
      <w:r w:rsidR="00773AD2">
        <w:t xml:space="preserve"> in </w:t>
      </w:r>
      <w:r>
        <w:t>October 2005</w:t>
      </w:r>
      <w:r w:rsidR="00773AD2">
        <w:t xml:space="preserve">. </w:t>
      </w:r>
      <w:r w:rsidR="00820502">
        <w:t>Subsequently</w:t>
      </w:r>
      <w:r w:rsidR="00773AD2">
        <w:t>, on 14 October 2005 he was</w:t>
      </w:r>
      <w:r>
        <w:t xml:space="preserve"> released </w:t>
      </w:r>
      <w:r w:rsidR="000E0B5D">
        <w:t xml:space="preserve">from </w:t>
      </w:r>
      <w:r w:rsidR="00064BB7">
        <w:t xml:space="preserve">Valmiera </w:t>
      </w:r>
      <w:r w:rsidR="00501AD7">
        <w:t>Prison</w:t>
      </w:r>
      <w:r>
        <w:t>.</w:t>
      </w:r>
    </w:p>
    <w:p w:rsidR="00BD1CCE" w:rsidRDefault="002905D7" w:rsidP="00DE1D18">
      <w:pPr>
        <w:pStyle w:val="JuPara"/>
      </w:pPr>
      <w:r>
        <w:fldChar w:fldCharType="begin"/>
      </w:r>
      <w:r>
        <w:instrText xml:space="preserve"> SEQ level0 \*arabic </w:instrText>
      </w:r>
      <w:r>
        <w:fldChar w:fldCharType="separate"/>
      </w:r>
      <w:r w:rsidR="008806B0">
        <w:rPr>
          <w:noProof/>
        </w:rPr>
        <w:t>36</w:t>
      </w:r>
      <w:r>
        <w:fldChar w:fldCharType="end"/>
      </w:r>
      <w:r>
        <w:t xml:space="preserve">.  As regards the second question, </w:t>
      </w:r>
      <w:r w:rsidR="00325E8A">
        <w:t xml:space="preserve">the Court has to determine if </w:t>
      </w:r>
      <w:r w:rsidR="008668AE">
        <w:t xml:space="preserve">the domestic authorities have </w:t>
      </w:r>
      <w:r w:rsidR="007C77EA">
        <w:t xml:space="preserve">adequately and sufficiently </w:t>
      </w:r>
      <w:r w:rsidR="008668AE">
        <w:t xml:space="preserve">redressed the </w:t>
      </w:r>
      <w:r w:rsidR="007C77EA">
        <w:t>situation complained of</w:t>
      </w:r>
      <w:r w:rsidR="0020221B">
        <w:t xml:space="preserve"> </w:t>
      </w:r>
      <w:r w:rsidR="0008446B">
        <w:t xml:space="preserve">(see </w:t>
      </w:r>
      <w:r w:rsidR="00C76DAC">
        <w:rPr>
          <w:i/>
        </w:rPr>
        <w:t>Sisojeva and Others</w:t>
      </w:r>
      <w:r w:rsidR="00C76DAC">
        <w:t xml:space="preserve">, </w:t>
      </w:r>
      <w:r w:rsidR="00683507">
        <w:t xml:space="preserve">cited above, </w:t>
      </w:r>
      <w:r w:rsidR="002577BD">
        <w:t>§ 102</w:t>
      </w:r>
      <w:r w:rsidR="009442C2">
        <w:t>,</w:t>
      </w:r>
      <w:r w:rsidR="009A4001">
        <w:t xml:space="preserve"> </w:t>
      </w:r>
      <w:r w:rsidR="00DB49C6">
        <w:t xml:space="preserve">and </w:t>
      </w:r>
      <w:r w:rsidR="007F7831" w:rsidRPr="00C96576">
        <w:rPr>
          <w:i/>
          <w:lang w:eastAsia="en-US"/>
        </w:rPr>
        <w:t>El</w:t>
      </w:r>
      <w:r w:rsidR="00683507">
        <w:rPr>
          <w:i/>
          <w:lang w:eastAsia="en-US"/>
        </w:rPr>
        <w:t> </w:t>
      </w:r>
      <w:r w:rsidR="007F7831" w:rsidRPr="00C96576">
        <w:rPr>
          <w:i/>
          <w:lang w:eastAsia="en-US"/>
        </w:rPr>
        <w:t xml:space="preserve">Majjaoui and Stichting Touba Moskee v. the </w:t>
      </w:r>
      <w:smartTag w:uri="urn:schemas-microsoft-com:office:smarttags" w:element="place">
        <w:smartTag w:uri="urn:schemas-microsoft-com:office:smarttags" w:element="country-region">
          <w:r w:rsidR="007F7831" w:rsidRPr="00C96576">
            <w:rPr>
              <w:i/>
              <w:lang w:eastAsia="en-US"/>
            </w:rPr>
            <w:t>Netherlands</w:t>
          </w:r>
        </w:smartTag>
      </w:smartTag>
      <w:r w:rsidR="007F7831" w:rsidRPr="00C96576">
        <w:rPr>
          <w:i/>
          <w:lang w:eastAsia="en-US"/>
        </w:rPr>
        <w:t xml:space="preserve"> </w:t>
      </w:r>
      <w:r w:rsidR="007F7831" w:rsidRPr="00C96576">
        <w:rPr>
          <w:lang w:eastAsia="en-US"/>
        </w:rPr>
        <w:t>(striking out) [GC], no.</w:t>
      </w:r>
      <w:r w:rsidR="009C5181">
        <w:rPr>
          <w:lang w:eastAsia="en-US"/>
        </w:rPr>
        <w:t> </w:t>
      </w:r>
      <w:r w:rsidR="007F7831" w:rsidRPr="00C96576">
        <w:rPr>
          <w:lang w:eastAsia="en-US"/>
        </w:rPr>
        <w:t xml:space="preserve">25525/03, § </w:t>
      </w:r>
      <w:r w:rsidR="007F7831">
        <w:rPr>
          <w:lang w:eastAsia="en-US"/>
        </w:rPr>
        <w:t>33</w:t>
      </w:r>
      <w:r w:rsidR="007F7831" w:rsidRPr="00C96576">
        <w:rPr>
          <w:lang w:eastAsia="en-US"/>
        </w:rPr>
        <w:t>, 20</w:t>
      </w:r>
      <w:r w:rsidR="007F7831">
        <w:rPr>
          <w:lang w:eastAsia="en-US"/>
        </w:rPr>
        <w:t> </w:t>
      </w:r>
      <w:r w:rsidR="007F7831" w:rsidRPr="00C96576">
        <w:rPr>
          <w:lang w:eastAsia="en-US"/>
        </w:rPr>
        <w:t>December 2007</w:t>
      </w:r>
      <w:r w:rsidR="002577BD">
        <w:t>)</w:t>
      </w:r>
      <w:r w:rsidR="00DE1D18">
        <w:t>.</w:t>
      </w:r>
    </w:p>
    <w:p w:rsidR="00AD48E6" w:rsidRDefault="008668AE" w:rsidP="008668AE">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8806B0">
        <w:rPr>
          <w:noProof/>
          <w:lang w:eastAsia="en-US"/>
        </w:rPr>
        <w:t>37</w:t>
      </w:r>
      <w:r>
        <w:rPr>
          <w:lang w:eastAsia="en-US"/>
        </w:rPr>
        <w:fldChar w:fldCharType="end"/>
      </w:r>
      <w:r>
        <w:rPr>
          <w:lang w:eastAsia="en-US"/>
        </w:rPr>
        <w:t>.</w:t>
      </w:r>
      <w:r w:rsidR="0062214C">
        <w:rPr>
          <w:lang w:eastAsia="en-US"/>
        </w:rPr>
        <w:t>  </w:t>
      </w:r>
      <w:r w:rsidR="003930BB">
        <w:rPr>
          <w:lang w:eastAsia="en-US"/>
        </w:rPr>
        <w:t>T</w:t>
      </w:r>
      <w:r w:rsidR="005E12BC">
        <w:t xml:space="preserve">he Court </w:t>
      </w:r>
      <w:r w:rsidR="00A66394">
        <w:t>notes that</w:t>
      </w:r>
      <w:r w:rsidR="00773AD2">
        <w:t xml:space="preserve"> the situation complained of </w:t>
      </w:r>
      <w:r w:rsidR="00EE703A">
        <w:t xml:space="preserve">concerns the conditions of </w:t>
      </w:r>
      <w:r w:rsidR="00852DAB">
        <w:t xml:space="preserve">detention </w:t>
      </w:r>
      <w:r w:rsidR="00773AD2">
        <w:t xml:space="preserve">in </w:t>
      </w:r>
      <w:r w:rsidR="00132B18">
        <w:t>Valmiera</w:t>
      </w:r>
      <w:r w:rsidR="00773AD2">
        <w:t xml:space="preserve"> </w:t>
      </w:r>
      <w:r w:rsidR="00EE703A">
        <w:t>P</w:t>
      </w:r>
      <w:r w:rsidR="00773AD2">
        <w:t>rison</w:t>
      </w:r>
      <w:r w:rsidR="008210EF">
        <w:t xml:space="preserve">, including the allegation that the toilets were not separated from the rest of the </w:t>
      </w:r>
      <w:r w:rsidR="00144C5F">
        <w:t>cell</w:t>
      </w:r>
      <w:r w:rsidR="008210EF">
        <w:t xml:space="preserve"> </w:t>
      </w:r>
      <w:r w:rsidR="00EE703A">
        <w:t xml:space="preserve">and </w:t>
      </w:r>
      <w:r w:rsidR="00820083">
        <w:t xml:space="preserve">a </w:t>
      </w:r>
      <w:r w:rsidR="00EE703A">
        <w:t>complete lack of personal hygiene products</w:t>
      </w:r>
      <w:r w:rsidR="007C77EA">
        <w:t xml:space="preserve"> for nearly five months</w:t>
      </w:r>
      <w:r w:rsidR="00773AD2">
        <w:t xml:space="preserve">. </w:t>
      </w:r>
      <w:r w:rsidR="007C77EA">
        <w:t>The applicant</w:t>
      </w:r>
      <w:r w:rsidR="00FD5467">
        <w:t>’</w:t>
      </w:r>
      <w:r w:rsidR="007C77EA">
        <w:t xml:space="preserve">s complaint </w:t>
      </w:r>
      <w:r w:rsidR="00EE703A">
        <w:t xml:space="preserve">therefore </w:t>
      </w:r>
      <w:r w:rsidR="00855E8A">
        <w:t>relates to</w:t>
      </w:r>
      <w:r w:rsidR="007C77EA">
        <w:t xml:space="preserve"> </w:t>
      </w:r>
      <w:r w:rsidR="00EE703A">
        <w:t xml:space="preserve">the </w:t>
      </w:r>
      <w:r w:rsidR="007C77EA">
        <w:t>suffering he had to endure in that period. In the Court</w:t>
      </w:r>
      <w:r w:rsidR="00FD5467">
        <w:t>’</w:t>
      </w:r>
      <w:r w:rsidR="007C77EA">
        <w:t xml:space="preserve">s </w:t>
      </w:r>
      <w:r w:rsidR="003930BB">
        <w:t>view</w:t>
      </w:r>
      <w:r w:rsidR="007C77EA">
        <w:t xml:space="preserve">, </w:t>
      </w:r>
      <w:r w:rsidR="003930BB">
        <w:t xml:space="preserve">the fact that he later received </w:t>
      </w:r>
      <w:r w:rsidR="00EE703A">
        <w:t xml:space="preserve">such </w:t>
      </w:r>
      <w:r w:rsidR="00356E55">
        <w:t>products</w:t>
      </w:r>
      <w:r w:rsidR="003930BB">
        <w:t xml:space="preserve"> </w:t>
      </w:r>
      <w:r w:rsidR="00852DAB">
        <w:t xml:space="preserve">or that he was subsequently released </w:t>
      </w:r>
      <w:r w:rsidR="003930BB">
        <w:t>merely denotes the end</w:t>
      </w:r>
      <w:r w:rsidR="00F50DC1">
        <w:t xml:space="preserve"> of the situation complained </w:t>
      </w:r>
      <w:r w:rsidR="00D40121">
        <w:t xml:space="preserve">of </w:t>
      </w:r>
      <w:r w:rsidR="00F50DC1">
        <w:t xml:space="preserve">and, </w:t>
      </w:r>
      <w:r w:rsidR="004D22F9">
        <w:t xml:space="preserve">opposite </w:t>
      </w:r>
      <w:r w:rsidR="00F50DC1">
        <w:t xml:space="preserve">to what has been suggested by the Government, </w:t>
      </w:r>
      <w:r w:rsidR="00DE1B92">
        <w:t>it d</w:t>
      </w:r>
      <w:r w:rsidR="009F7E6A">
        <w:t>oes</w:t>
      </w:r>
      <w:r w:rsidR="00DE1B92">
        <w:t xml:space="preserve"> </w:t>
      </w:r>
      <w:r w:rsidR="00F50DC1">
        <w:t>not provide any redress</w:t>
      </w:r>
      <w:r w:rsidR="00D40121">
        <w:t xml:space="preserve"> to the applicant</w:t>
      </w:r>
      <w:r w:rsidR="00F50DC1">
        <w:t>.</w:t>
      </w:r>
      <w:r w:rsidR="005E12BC">
        <w:t xml:space="preserve"> </w:t>
      </w:r>
      <w:r w:rsidR="00DE1B92">
        <w:t xml:space="preserve">To hold </w:t>
      </w:r>
      <w:r w:rsidR="00EE51AD">
        <w:t xml:space="preserve">the contrary </w:t>
      </w:r>
      <w:r w:rsidR="00DE1B92">
        <w:t>would render the protection of human rights under the Convention</w:t>
      </w:r>
      <w:r w:rsidR="00EE703A">
        <w:t xml:space="preserve"> – </w:t>
      </w:r>
      <w:r w:rsidR="00DE1B92">
        <w:t xml:space="preserve">in particular, as regards </w:t>
      </w:r>
      <w:r w:rsidR="00543177">
        <w:t xml:space="preserve">possible violations </w:t>
      </w:r>
      <w:r w:rsidR="00E170F7">
        <w:t>emanating from State agent</w:t>
      </w:r>
      <w:r w:rsidR="00820083">
        <w:t>s</w:t>
      </w:r>
      <w:r w:rsidR="00FD5467">
        <w:t>’</w:t>
      </w:r>
      <w:r w:rsidR="00E170F7">
        <w:t xml:space="preserve"> omissions</w:t>
      </w:r>
      <w:r w:rsidR="00EE703A">
        <w:t xml:space="preserve"> – </w:t>
      </w:r>
      <w:r w:rsidR="00EE51AD">
        <w:t xml:space="preserve">theoretical and </w:t>
      </w:r>
      <w:r w:rsidR="00DE1B92">
        <w:t>illusory.</w:t>
      </w:r>
    </w:p>
    <w:p w:rsidR="00676452" w:rsidRDefault="00676452" w:rsidP="002905D7">
      <w:pPr>
        <w:pStyle w:val="JuPara"/>
      </w:pPr>
      <w:r>
        <w:fldChar w:fldCharType="begin"/>
      </w:r>
      <w:r>
        <w:instrText xml:space="preserve"> SEQ level0 \*arabic </w:instrText>
      </w:r>
      <w:r>
        <w:fldChar w:fldCharType="separate"/>
      </w:r>
      <w:r w:rsidR="008806B0">
        <w:rPr>
          <w:noProof/>
        </w:rPr>
        <w:t>38</w:t>
      </w:r>
      <w:r>
        <w:fldChar w:fldCharType="end"/>
      </w:r>
      <w:r>
        <w:t>.  In conclusion, as the aforementioned conditions have not been met, there can be no question of striking the application out of the list in application of Article 37 § 1 (b)</w:t>
      </w:r>
      <w:r w:rsidR="00F00683">
        <w:t xml:space="preserve"> of the Convention</w:t>
      </w:r>
      <w:r>
        <w:t>.</w:t>
      </w:r>
    </w:p>
    <w:p w:rsidR="005E3DA2" w:rsidRPr="0034580F" w:rsidRDefault="009710C7" w:rsidP="005E3DA2">
      <w:pPr>
        <w:pStyle w:val="JuHA"/>
        <w:outlineLvl w:val="1"/>
      </w:pPr>
      <w:r>
        <w:t>B.  </w:t>
      </w:r>
      <w:r w:rsidR="005E3DA2" w:rsidRPr="0034580F">
        <w:t>Admissibility</w:t>
      </w:r>
    </w:p>
    <w:p w:rsidR="002D7CBB" w:rsidRDefault="002D7CBB" w:rsidP="002D7CBB">
      <w:pPr>
        <w:pStyle w:val="JuH1"/>
        <w:outlineLvl w:val="2"/>
      </w:pPr>
      <w:r>
        <w:t>1.  </w:t>
      </w:r>
      <w:r w:rsidR="00473571">
        <w:t>Non-exhaustion of the domestic remedies</w:t>
      </w:r>
    </w:p>
    <w:p w:rsidR="00824C4D" w:rsidRDefault="00824C4D" w:rsidP="00824C4D">
      <w:pPr>
        <w:pStyle w:val="JuHa0"/>
        <w:outlineLvl w:val="3"/>
      </w:pPr>
      <w:r>
        <w:t>(a)  The parties</w:t>
      </w:r>
      <w:r w:rsidR="00FD5467">
        <w:t>’</w:t>
      </w:r>
      <w:r>
        <w:t xml:space="preserve"> submissions</w:t>
      </w:r>
    </w:p>
    <w:p w:rsidR="00BD1CCE" w:rsidRDefault="00311091" w:rsidP="00F1225C">
      <w:pPr>
        <w:pStyle w:val="JuPara"/>
      </w:pPr>
      <w:r>
        <w:fldChar w:fldCharType="begin"/>
      </w:r>
      <w:r>
        <w:instrText xml:space="preserve"> SEQ level0 \*arabic </w:instrText>
      </w:r>
      <w:r>
        <w:fldChar w:fldCharType="separate"/>
      </w:r>
      <w:r w:rsidR="008806B0">
        <w:rPr>
          <w:noProof/>
        </w:rPr>
        <w:t>39</w:t>
      </w:r>
      <w:r>
        <w:fldChar w:fldCharType="end"/>
      </w:r>
      <w:r>
        <w:t>.  </w:t>
      </w:r>
      <w:r w:rsidR="00931C07">
        <w:t xml:space="preserve">The </w:t>
      </w:r>
      <w:r w:rsidR="007B5A88">
        <w:t xml:space="preserve">Government </w:t>
      </w:r>
      <w:r w:rsidR="00E54D5E">
        <w:t>argued</w:t>
      </w:r>
      <w:r w:rsidR="001021D2">
        <w:t xml:space="preserve"> that the applicant </w:t>
      </w:r>
      <w:r w:rsidR="003E5C7D">
        <w:t xml:space="preserve">had </w:t>
      </w:r>
      <w:r w:rsidR="001021D2">
        <w:t xml:space="preserve">failed to use the remedies established by the </w:t>
      </w:r>
      <w:r w:rsidR="00D46F8C">
        <w:t xml:space="preserve">Law of Administrative Procedure. They </w:t>
      </w:r>
      <w:r w:rsidR="00CE4BCE">
        <w:t>asserted</w:t>
      </w:r>
      <w:r w:rsidR="00D46F8C">
        <w:t xml:space="preserve"> that the remedies provided therein were effective, accessible and offered reasonable prospects of success. </w:t>
      </w:r>
      <w:r w:rsidR="00CB7F94">
        <w:t xml:space="preserve">In this connection they referred to </w:t>
      </w:r>
      <w:r w:rsidR="00302CFC">
        <w:t xml:space="preserve">the </w:t>
      </w:r>
      <w:r w:rsidR="00F67F11">
        <w:t xml:space="preserve">ruling of </w:t>
      </w:r>
      <w:r w:rsidR="0092238A">
        <w:t xml:space="preserve">the </w:t>
      </w:r>
      <w:r w:rsidR="00550C97">
        <w:t xml:space="preserve">Administrative Department of the </w:t>
      </w:r>
      <w:r w:rsidR="0092238A">
        <w:t>Supreme Court</w:t>
      </w:r>
      <w:r w:rsidR="009655C4">
        <w:t xml:space="preserve"> in the case of </w:t>
      </w:r>
      <w:r w:rsidR="009655C4">
        <w:rPr>
          <w:i/>
        </w:rPr>
        <w:t>St</w:t>
      </w:r>
      <w:r w:rsidR="009655C4">
        <w:rPr>
          <w:i/>
          <w:lang w:val="lv-LV"/>
        </w:rPr>
        <w:t>āmers</w:t>
      </w:r>
      <w:r w:rsidR="0092238A">
        <w:t xml:space="preserve">, </w:t>
      </w:r>
      <w:r w:rsidR="00550C97">
        <w:t xml:space="preserve">adopted on </w:t>
      </w:r>
      <w:r w:rsidR="008B5FAC">
        <w:t>15</w:t>
      </w:r>
      <w:r w:rsidR="003E5FD3">
        <w:t> </w:t>
      </w:r>
      <w:r w:rsidR="00550C97">
        <w:t xml:space="preserve">June </w:t>
      </w:r>
      <w:r w:rsidR="008B5FAC">
        <w:t xml:space="preserve">2006, </w:t>
      </w:r>
      <w:r w:rsidR="0092238A">
        <w:t xml:space="preserve">whereby it </w:t>
      </w:r>
      <w:r w:rsidR="00FB070A">
        <w:t xml:space="preserve">had </w:t>
      </w:r>
      <w:r w:rsidR="0092238A">
        <w:t>established that</w:t>
      </w:r>
      <w:r w:rsidR="00F1225C">
        <w:t xml:space="preserve"> “</w:t>
      </w:r>
      <w:r w:rsidR="0092238A">
        <w:t xml:space="preserve">in order to admit for examination within administrative </w:t>
      </w:r>
      <w:r w:rsidR="0078250F">
        <w:t>proceedings</w:t>
      </w:r>
      <w:r w:rsidR="0092238A">
        <w:t xml:space="preserve"> an</w:t>
      </w:r>
      <w:r w:rsidR="00F1225C">
        <w:t xml:space="preserve"> </w:t>
      </w:r>
      <w:r w:rsidR="0092238A">
        <w:t xml:space="preserve">act or </w:t>
      </w:r>
      <w:r w:rsidR="00F1225C">
        <w:t xml:space="preserve">an </w:t>
      </w:r>
      <w:r w:rsidR="0092238A">
        <w:t xml:space="preserve">action of a public authority </w:t>
      </w:r>
      <w:r w:rsidR="0092238A" w:rsidRPr="00F1225C">
        <w:rPr>
          <w:i/>
        </w:rPr>
        <w:t>vis-à-vis</w:t>
      </w:r>
      <w:r w:rsidR="00302CFC">
        <w:t>,</w:t>
      </w:r>
      <w:r w:rsidR="0092238A">
        <w:t xml:space="preserve"> </w:t>
      </w:r>
      <w:r w:rsidR="0092238A" w:rsidRPr="00F1225C">
        <w:rPr>
          <w:i/>
        </w:rPr>
        <w:t>inter alia</w:t>
      </w:r>
      <w:r w:rsidR="00302CFC">
        <w:t>,</w:t>
      </w:r>
      <w:r w:rsidR="0092238A">
        <w:t xml:space="preserve"> persons deprived of their liberty</w:t>
      </w:r>
      <w:r w:rsidR="00F1225C">
        <w:t>, i</w:t>
      </w:r>
      <w:r w:rsidR="0092238A">
        <w:t>t is necessary to establish whether the act or action concerned has significantly interfered with human rights</w:t>
      </w:r>
      <w:r w:rsidR="00F1225C">
        <w:t>”</w:t>
      </w:r>
      <w:r w:rsidR="009655C4">
        <w:t>.</w:t>
      </w:r>
      <w:r w:rsidR="008864EC">
        <w:t xml:space="preserve"> The Government submitted that the Supreme Court had set aside the conclusion</w:t>
      </w:r>
      <w:r w:rsidR="001A5D76">
        <w:t>s</w:t>
      </w:r>
      <w:r w:rsidR="008864EC">
        <w:t xml:space="preserve"> of </w:t>
      </w:r>
      <w:r w:rsidR="001A5D76">
        <w:t xml:space="preserve">two </w:t>
      </w:r>
      <w:r w:rsidR="008864EC">
        <w:t xml:space="preserve">lower </w:t>
      </w:r>
      <w:r w:rsidR="003937A9">
        <w:t xml:space="preserve">administrative </w:t>
      </w:r>
      <w:r w:rsidR="008864EC">
        <w:t>court</w:t>
      </w:r>
      <w:r w:rsidR="001A5D76">
        <w:t>s</w:t>
      </w:r>
      <w:r w:rsidR="008864EC">
        <w:t xml:space="preserve"> that all complaints arising out of </w:t>
      </w:r>
      <w:r w:rsidR="00302CFC">
        <w:t>a public authority</w:t>
      </w:r>
      <w:r w:rsidR="00FD5467">
        <w:t>’</w:t>
      </w:r>
      <w:r w:rsidR="00302CFC">
        <w:t>s</w:t>
      </w:r>
      <w:r w:rsidR="008864EC">
        <w:t xml:space="preserve"> action should be examined </w:t>
      </w:r>
      <w:r w:rsidR="00335F05">
        <w:t xml:space="preserve">following a </w:t>
      </w:r>
      <w:r w:rsidR="008864EC">
        <w:t>“subordination procedure”, that is</w:t>
      </w:r>
      <w:r w:rsidR="00302CFC">
        <w:t xml:space="preserve"> to say</w:t>
      </w:r>
      <w:r w:rsidR="008864EC">
        <w:t xml:space="preserve">, by lodging a complaint with a hierarchically higher institution and not </w:t>
      </w:r>
      <w:r w:rsidR="00FB070A">
        <w:t>through</w:t>
      </w:r>
      <w:r w:rsidR="008864EC">
        <w:t xml:space="preserve"> administrative proceedings</w:t>
      </w:r>
      <w:r w:rsidR="006E654B">
        <w:t xml:space="preserve"> in court</w:t>
      </w:r>
      <w:r w:rsidR="008864EC">
        <w:t>.</w:t>
      </w:r>
    </w:p>
    <w:p w:rsidR="00D46F8C" w:rsidRDefault="00D46F8C" w:rsidP="00311091">
      <w:pPr>
        <w:pStyle w:val="JuPara"/>
      </w:pPr>
      <w:r>
        <w:fldChar w:fldCharType="begin"/>
      </w:r>
      <w:r>
        <w:instrText xml:space="preserve"> SEQ level0 \*arabic </w:instrText>
      </w:r>
      <w:r>
        <w:fldChar w:fldCharType="separate"/>
      </w:r>
      <w:r w:rsidR="008806B0">
        <w:rPr>
          <w:noProof/>
        </w:rPr>
        <w:t>40</w:t>
      </w:r>
      <w:r>
        <w:fldChar w:fldCharType="end"/>
      </w:r>
      <w:r>
        <w:t>.  </w:t>
      </w:r>
      <w:r w:rsidR="00A848CE">
        <w:t xml:space="preserve">The Government </w:t>
      </w:r>
      <w:r w:rsidR="009655C4">
        <w:t>asserted</w:t>
      </w:r>
      <w:r w:rsidR="00A848CE">
        <w:t xml:space="preserve"> that the</w:t>
      </w:r>
      <w:r w:rsidR="00EB36A3">
        <w:t xml:space="preserve"> </w:t>
      </w:r>
      <w:r w:rsidR="00EF31F2" w:rsidRPr="00EF31F2">
        <w:rPr>
          <w:i/>
        </w:rPr>
        <w:t>Stāmers</w:t>
      </w:r>
      <w:r w:rsidR="00A848CE">
        <w:rPr>
          <w:i/>
        </w:rPr>
        <w:t xml:space="preserve"> </w:t>
      </w:r>
      <w:r w:rsidR="00A848CE">
        <w:t xml:space="preserve">case </w:t>
      </w:r>
      <w:r w:rsidR="00BE7D56">
        <w:t xml:space="preserve">had been </w:t>
      </w:r>
      <w:r w:rsidR="00A848CE">
        <w:t xml:space="preserve">examined at the domestic level around the time </w:t>
      </w:r>
      <w:r w:rsidR="004B0B03">
        <w:t xml:space="preserve">when </w:t>
      </w:r>
      <w:r w:rsidR="00A848CE">
        <w:t>the events of which the applicant complained in the present case</w:t>
      </w:r>
      <w:r w:rsidR="00C72639">
        <w:t xml:space="preserve"> </w:t>
      </w:r>
      <w:r w:rsidR="00BE7D56">
        <w:t xml:space="preserve">had taken </w:t>
      </w:r>
      <w:r w:rsidR="00C72639">
        <w:t>place</w:t>
      </w:r>
      <w:r w:rsidR="00A848CE">
        <w:t>.</w:t>
      </w:r>
      <w:r w:rsidR="00EB36A3">
        <w:t xml:space="preserve"> However, the Government did not furnish the Court with a copy of the ruling of 15 June 2006. Nor did they inform the Court </w:t>
      </w:r>
      <w:r w:rsidR="0028632B">
        <w:t>about</w:t>
      </w:r>
      <w:r w:rsidR="00EB36A3">
        <w:t xml:space="preserve"> the outcome of th</w:t>
      </w:r>
      <w:r w:rsidR="007E4408">
        <w:t>o</w:t>
      </w:r>
      <w:r w:rsidR="0028632B">
        <w:t>se</w:t>
      </w:r>
      <w:r w:rsidR="00EB36A3">
        <w:t xml:space="preserve"> proceedings.</w:t>
      </w:r>
      <w:r w:rsidR="0028632B">
        <w:t xml:space="preserve"> They merely stated that the Supreme Court </w:t>
      </w:r>
      <w:r w:rsidR="003F1331">
        <w:t xml:space="preserve">had </w:t>
      </w:r>
      <w:r w:rsidR="0028632B">
        <w:t xml:space="preserve">set aside the decision of a lower court and </w:t>
      </w:r>
      <w:r w:rsidR="003F1331">
        <w:t xml:space="preserve">had </w:t>
      </w:r>
      <w:r w:rsidR="0028632B">
        <w:t>sent the case back for fresh examination.</w:t>
      </w:r>
    </w:p>
    <w:p w:rsidR="00BD1CCE" w:rsidRDefault="00A848CE" w:rsidP="00311091">
      <w:pPr>
        <w:pStyle w:val="JuPara"/>
      </w:pPr>
      <w:r>
        <w:fldChar w:fldCharType="begin"/>
      </w:r>
      <w:r>
        <w:instrText xml:space="preserve"> SEQ level0 \*arabic </w:instrText>
      </w:r>
      <w:r>
        <w:fldChar w:fldCharType="separate"/>
      </w:r>
      <w:r w:rsidR="008806B0">
        <w:rPr>
          <w:noProof/>
        </w:rPr>
        <w:t>41</w:t>
      </w:r>
      <w:r>
        <w:fldChar w:fldCharType="end"/>
      </w:r>
      <w:r>
        <w:t>.  The applicant disagreed.</w:t>
      </w:r>
      <w:r w:rsidR="007C3D1D">
        <w:t xml:space="preserve"> He submitted that </w:t>
      </w:r>
      <w:r w:rsidR="009555CC">
        <w:t xml:space="preserve">the </w:t>
      </w:r>
      <w:r w:rsidR="00D5117B">
        <w:t>ruling of 15</w:t>
      </w:r>
      <w:r w:rsidR="004D4DEF">
        <w:t> </w:t>
      </w:r>
      <w:r w:rsidR="00DE258D">
        <w:t>June </w:t>
      </w:r>
      <w:r w:rsidR="00D5117B">
        <w:t xml:space="preserve">2006 </w:t>
      </w:r>
      <w:r w:rsidR="00EC28A6">
        <w:t xml:space="preserve">had been </w:t>
      </w:r>
      <w:r w:rsidR="003639C7">
        <w:t xml:space="preserve">the first decision whereby the Supreme Court </w:t>
      </w:r>
      <w:r w:rsidR="00C427D0">
        <w:t xml:space="preserve">had </w:t>
      </w:r>
      <w:r w:rsidR="003639C7">
        <w:t xml:space="preserve">acknowledged that a </w:t>
      </w:r>
      <w:r w:rsidR="00304DB2">
        <w:t>detainee</w:t>
      </w:r>
      <w:r w:rsidR="00FD5467">
        <w:t>’</w:t>
      </w:r>
      <w:r w:rsidR="003639C7">
        <w:t xml:space="preserve">s complaint about conditions of detention </w:t>
      </w:r>
      <w:r w:rsidR="007A2D5A">
        <w:t>could</w:t>
      </w:r>
      <w:r w:rsidR="003639C7">
        <w:t xml:space="preserve"> be examined </w:t>
      </w:r>
      <w:r w:rsidR="00AC313C">
        <w:t>by</w:t>
      </w:r>
      <w:r w:rsidR="00D1524F">
        <w:t xml:space="preserve"> the administrative courts</w:t>
      </w:r>
      <w:r w:rsidR="003639C7">
        <w:t xml:space="preserve">. The applicant contended that </w:t>
      </w:r>
      <w:r w:rsidR="007A2D5A">
        <w:t>before that date</w:t>
      </w:r>
      <w:r w:rsidR="003639C7">
        <w:t xml:space="preserve"> </w:t>
      </w:r>
      <w:r w:rsidR="00D1524F">
        <w:t>the administrative courts had refus</w:t>
      </w:r>
      <w:r w:rsidR="00E302ED">
        <w:t>ed</w:t>
      </w:r>
      <w:r w:rsidR="00D1524F">
        <w:t xml:space="preserve"> to examine </w:t>
      </w:r>
      <w:r w:rsidR="00304DB2">
        <w:t>detainee</w:t>
      </w:r>
      <w:r w:rsidR="007A2D5A">
        <w:t>s</w:t>
      </w:r>
      <w:r w:rsidR="00FD5467">
        <w:t>’</w:t>
      </w:r>
      <w:r w:rsidR="007A2D5A">
        <w:t xml:space="preserve"> </w:t>
      </w:r>
      <w:r w:rsidR="00D1524F">
        <w:t>complaints about conditions of detention</w:t>
      </w:r>
      <w:r w:rsidR="00B82E39">
        <w:t xml:space="preserve"> </w:t>
      </w:r>
      <w:r w:rsidR="00D06862">
        <w:t>for more than two years. T</w:t>
      </w:r>
      <w:r w:rsidR="008466A9">
        <w:t>he prevailing view</w:t>
      </w:r>
      <w:r w:rsidR="00A872BD">
        <w:t xml:space="preserve">, as evidenced by two rulings of the lower courts in the </w:t>
      </w:r>
      <w:r w:rsidR="00A872BD">
        <w:rPr>
          <w:i/>
        </w:rPr>
        <w:t xml:space="preserve">Stāmers </w:t>
      </w:r>
      <w:r w:rsidR="00A872BD">
        <w:t xml:space="preserve">case, </w:t>
      </w:r>
      <w:r w:rsidR="00D06862">
        <w:t>had been</w:t>
      </w:r>
      <w:r w:rsidR="008466A9">
        <w:t xml:space="preserve"> that such complaints were to be </w:t>
      </w:r>
      <w:r w:rsidR="00B82E39">
        <w:t xml:space="preserve">examined </w:t>
      </w:r>
      <w:r w:rsidR="009C5A48">
        <w:t>following a</w:t>
      </w:r>
      <w:r w:rsidR="00B82E39">
        <w:t xml:space="preserve"> “subordination procedure”, </w:t>
      </w:r>
      <w:r w:rsidR="00EC28A6">
        <w:t>in other words</w:t>
      </w:r>
      <w:r w:rsidR="00B82E39">
        <w:t>, by a hierarchically higher institution</w:t>
      </w:r>
      <w:r w:rsidR="00846EF4">
        <w:t xml:space="preserve"> and not by the administrative courts.</w:t>
      </w:r>
    </w:p>
    <w:p w:rsidR="009655C4" w:rsidRDefault="009655C4" w:rsidP="00311091">
      <w:pPr>
        <w:pStyle w:val="JuPara"/>
      </w:pPr>
      <w:r>
        <w:fldChar w:fldCharType="begin"/>
      </w:r>
      <w:r>
        <w:instrText xml:space="preserve"> SEQ level0 \*arabic </w:instrText>
      </w:r>
      <w:r>
        <w:fldChar w:fldCharType="separate"/>
      </w:r>
      <w:r w:rsidR="008806B0">
        <w:rPr>
          <w:noProof/>
        </w:rPr>
        <w:t>42</w:t>
      </w:r>
      <w:r>
        <w:fldChar w:fldCharType="end"/>
      </w:r>
      <w:r>
        <w:t>.  The applicant contested the Government</w:t>
      </w:r>
      <w:r w:rsidR="00FD5467">
        <w:t>’</w:t>
      </w:r>
      <w:r>
        <w:t xml:space="preserve">s assertion that </w:t>
      </w:r>
      <w:r w:rsidR="00866754">
        <w:t xml:space="preserve">the case of </w:t>
      </w:r>
      <w:r w:rsidR="00866754">
        <w:rPr>
          <w:i/>
        </w:rPr>
        <w:t>Stāmers</w:t>
      </w:r>
      <w:r w:rsidR="00866754">
        <w:t xml:space="preserve"> </w:t>
      </w:r>
      <w:r w:rsidR="00EC28A6">
        <w:t xml:space="preserve">had been </w:t>
      </w:r>
      <w:r w:rsidR="00F63085">
        <w:t xml:space="preserve">examined at the same time as </w:t>
      </w:r>
      <w:r w:rsidR="00866754">
        <w:t xml:space="preserve">the </w:t>
      </w:r>
      <w:r w:rsidR="00F63085">
        <w:t xml:space="preserve">events </w:t>
      </w:r>
      <w:r w:rsidR="0034279F">
        <w:t xml:space="preserve">complained </w:t>
      </w:r>
      <w:r w:rsidR="00F63085">
        <w:t xml:space="preserve">of </w:t>
      </w:r>
      <w:r w:rsidR="0034279F">
        <w:t xml:space="preserve">in </w:t>
      </w:r>
      <w:r w:rsidR="00F63085">
        <w:t xml:space="preserve">the </w:t>
      </w:r>
      <w:r w:rsidR="00866754">
        <w:t xml:space="preserve">present case </w:t>
      </w:r>
      <w:r w:rsidR="00EC28A6">
        <w:t xml:space="preserve">had taken </w:t>
      </w:r>
      <w:r w:rsidR="0034279F">
        <w:t>place</w:t>
      </w:r>
      <w:r w:rsidR="00F63085">
        <w:t>.</w:t>
      </w:r>
      <w:r w:rsidR="00AF2C07">
        <w:t xml:space="preserve"> According to the applicant, the </w:t>
      </w:r>
      <w:r w:rsidR="00AF2C07">
        <w:rPr>
          <w:i/>
        </w:rPr>
        <w:t>Stāmers</w:t>
      </w:r>
      <w:r w:rsidR="00AF2C07">
        <w:t xml:space="preserve"> case </w:t>
      </w:r>
      <w:r w:rsidR="00EC28A6">
        <w:t xml:space="preserve">had been </w:t>
      </w:r>
      <w:r w:rsidR="00AF2C07">
        <w:t xml:space="preserve">lodged with the administrative courts on </w:t>
      </w:r>
      <w:r w:rsidR="00E059AD">
        <w:t xml:space="preserve">24 February 2006 and the above-mentioned ruling of the Supreme Court </w:t>
      </w:r>
      <w:r w:rsidR="00EC28A6">
        <w:t xml:space="preserve">had been </w:t>
      </w:r>
      <w:r w:rsidR="00E059AD">
        <w:t xml:space="preserve">adopted </w:t>
      </w:r>
      <w:r w:rsidR="004E10DE">
        <w:t xml:space="preserve">almost </w:t>
      </w:r>
      <w:r w:rsidR="00E059AD">
        <w:t>four months later.</w:t>
      </w:r>
      <w:r w:rsidR="001D78D4">
        <w:t xml:space="preserve"> The applicant, however, </w:t>
      </w:r>
      <w:r w:rsidR="007221FD">
        <w:t xml:space="preserve">had </w:t>
      </w:r>
      <w:r w:rsidR="001D78D4">
        <w:t xml:space="preserve">complained of events that </w:t>
      </w:r>
      <w:r w:rsidR="00EC28A6">
        <w:t xml:space="preserve">had taken </w:t>
      </w:r>
      <w:r w:rsidR="001D78D4">
        <w:t xml:space="preserve">place </w:t>
      </w:r>
      <w:r w:rsidR="004E10DE">
        <w:t xml:space="preserve">one year earlier, as </w:t>
      </w:r>
      <w:r w:rsidR="001D78D4">
        <w:t xml:space="preserve">the date of introduction of </w:t>
      </w:r>
      <w:r w:rsidR="004E10DE">
        <w:t>the applicant</w:t>
      </w:r>
      <w:r w:rsidR="00FD5467">
        <w:t>’</w:t>
      </w:r>
      <w:r w:rsidR="004E10DE">
        <w:t>s</w:t>
      </w:r>
      <w:r w:rsidR="001D78D4">
        <w:t xml:space="preserve"> complaint to the Court</w:t>
      </w:r>
      <w:r w:rsidR="004E10DE">
        <w:t xml:space="preserve"> </w:t>
      </w:r>
      <w:r w:rsidR="00CA3E40">
        <w:t xml:space="preserve">dated back to </w:t>
      </w:r>
      <w:r w:rsidR="004E10DE">
        <w:t>15 August 2005</w:t>
      </w:r>
      <w:r w:rsidR="001D78D4">
        <w:t>.</w:t>
      </w:r>
      <w:r w:rsidR="00E059AD">
        <w:t xml:space="preserve"> </w:t>
      </w:r>
      <w:r w:rsidR="004E10DE">
        <w:t>The applicant</w:t>
      </w:r>
      <w:r w:rsidR="00FD5467">
        <w:t>’</w:t>
      </w:r>
      <w:r w:rsidR="004E10DE">
        <w:t xml:space="preserve">s argument was that in </w:t>
      </w:r>
      <w:r w:rsidR="00DD0077">
        <w:t>a new</w:t>
      </w:r>
      <w:r w:rsidR="00780B1C">
        <w:t>,</w:t>
      </w:r>
      <w:r w:rsidR="004E10DE">
        <w:t xml:space="preserve"> </w:t>
      </w:r>
      <w:r w:rsidR="001066CA">
        <w:t>post-communist legal system</w:t>
      </w:r>
      <w:r w:rsidR="00DD0077">
        <w:t>,</w:t>
      </w:r>
      <w:r w:rsidR="004E10DE">
        <w:t xml:space="preserve"> such as th</w:t>
      </w:r>
      <w:r w:rsidR="004D6C40">
        <w:t>e</w:t>
      </w:r>
      <w:r w:rsidR="004E10DE">
        <w:t xml:space="preserve"> </w:t>
      </w:r>
      <w:r w:rsidR="004D6C40">
        <w:t xml:space="preserve">one </w:t>
      </w:r>
      <w:r w:rsidR="008C1D6B">
        <w:t xml:space="preserve">established </w:t>
      </w:r>
      <w:r w:rsidR="00E52016">
        <w:t xml:space="preserve">following the restoration of the independence of the Republic of </w:t>
      </w:r>
      <w:r w:rsidR="00E52016" w:rsidRPr="00395627">
        <w:rPr>
          <w:bCs/>
        </w:rPr>
        <w:t>Latvia</w:t>
      </w:r>
      <w:r w:rsidR="004E10DE">
        <w:t xml:space="preserve">, </w:t>
      </w:r>
      <w:r w:rsidR="00312BA3">
        <w:t xml:space="preserve">one year is a long period </w:t>
      </w:r>
      <w:r w:rsidR="00EC28A6">
        <w:t xml:space="preserve">viewed in terms of the </w:t>
      </w:r>
      <w:r w:rsidR="00312BA3">
        <w:t xml:space="preserve">evolution of </w:t>
      </w:r>
      <w:r w:rsidR="00EC28A6">
        <w:t xml:space="preserve">the </w:t>
      </w:r>
      <w:r w:rsidR="00312BA3">
        <w:t>interpretation of domestic law</w:t>
      </w:r>
      <w:r w:rsidR="00EC28A6">
        <w:t xml:space="preserve"> – e</w:t>
      </w:r>
      <w:r w:rsidR="004D6C40">
        <w:t xml:space="preserve">ven more so </w:t>
      </w:r>
      <w:r w:rsidR="00EC28A6">
        <w:t>given that</w:t>
      </w:r>
      <w:r w:rsidR="004D6C40">
        <w:t xml:space="preserve"> the Law of Administrative Procedure</w:t>
      </w:r>
      <w:r w:rsidR="00720744">
        <w:t>, effective since 1</w:t>
      </w:r>
      <w:r w:rsidR="00DE21AA">
        <w:t> </w:t>
      </w:r>
      <w:r w:rsidR="00720744">
        <w:t xml:space="preserve">February 2004, </w:t>
      </w:r>
      <w:r w:rsidR="00DD0077">
        <w:t xml:space="preserve">had </w:t>
      </w:r>
      <w:r w:rsidR="00876050">
        <w:t xml:space="preserve">also </w:t>
      </w:r>
      <w:r w:rsidR="00BE3EF8">
        <w:t xml:space="preserve">established </w:t>
      </w:r>
      <w:r w:rsidR="000E684C">
        <w:t xml:space="preserve">new </w:t>
      </w:r>
      <w:r w:rsidR="002F660A">
        <w:t>remed</w:t>
      </w:r>
      <w:r w:rsidR="003543D8">
        <w:t>ies</w:t>
      </w:r>
      <w:r w:rsidR="000E684C">
        <w:t>.</w:t>
      </w:r>
    </w:p>
    <w:p w:rsidR="00991B98" w:rsidRDefault="00991B98" w:rsidP="00311091">
      <w:pPr>
        <w:pStyle w:val="JuPara"/>
      </w:pPr>
      <w:r>
        <w:fldChar w:fldCharType="begin"/>
      </w:r>
      <w:r>
        <w:instrText xml:space="preserve"> SEQ level0 \*arabic </w:instrText>
      </w:r>
      <w:r>
        <w:fldChar w:fldCharType="separate"/>
      </w:r>
      <w:r w:rsidR="008806B0">
        <w:rPr>
          <w:noProof/>
        </w:rPr>
        <w:t>43</w:t>
      </w:r>
      <w:r>
        <w:fldChar w:fldCharType="end"/>
      </w:r>
      <w:r>
        <w:t>.  In their additional observations</w:t>
      </w:r>
      <w:r w:rsidR="006F73CA">
        <w:t>,</w:t>
      </w:r>
      <w:r>
        <w:t xml:space="preserve"> the Government did not deny that the administrative courts were a relatively new </w:t>
      </w:r>
      <w:r w:rsidR="00DF5278">
        <w:t xml:space="preserve">judicial </w:t>
      </w:r>
      <w:r>
        <w:t xml:space="preserve">institution at the time of </w:t>
      </w:r>
      <w:r w:rsidR="00843851">
        <w:t xml:space="preserve">the </w:t>
      </w:r>
      <w:r>
        <w:t xml:space="preserve">events. They contented that the very reason for having </w:t>
      </w:r>
      <w:r w:rsidR="00843851">
        <w:t xml:space="preserve">a </w:t>
      </w:r>
      <w:r>
        <w:t>three</w:t>
      </w:r>
      <w:r w:rsidR="008559B4">
        <w:t>-</w:t>
      </w:r>
      <w:r>
        <w:t xml:space="preserve">level court </w:t>
      </w:r>
      <w:r w:rsidR="008559B4">
        <w:t>system</w:t>
      </w:r>
      <w:r>
        <w:t xml:space="preserve"> </w:t>
      </w:r>
      <w:r w:rsidR="00843851">
        <w:t xml:space="preserve">had been </w:t>
      </w:r>
      <w:r>
        <w:t xml:space="preserve">to allow the courts to examine a case thoroughly. It implied that a higher court could overrule </w:t>
      </w:r>
      <w:r w:rsidR="00843851">
        <w:t xml:space="preserve">a </w:t>
      </w:r>
      <w:r>
        <w:t>lower court</w:t>
      </w:r>
      <w:r w:rsidR="00FD5467">
        <w:t>’</w:t>
      </w:r>
      <w:r>
        <w:t>s ruling.</w:t>
      </w:r>
    </w:p>
    <w:p w:rsidR="00AE3195" w:rsidRDefault="00991B98" w:rsidP="00311091">
      <w:pPr>
        <w:pStyle w:val="JuPara"/>
      </w:pPr>
      <w:r>
        <w:fldChar w:fldCharType="begin"/>
      </w:r>
      <w:r>
        <w:instrText xml:space="preserve"> SEQ level0 \*arabic </w:instrText>
      </w:r>
      <w:r>
        <w:fldChar w:fldCharType="separate"/>
      </w:r>
      <w:r w:rsidR="008806B0">
        <w:rPr>
          <w:noProof/>
        </w:rPr>
        <w:t>44</w:t>
      </w:r>
      <w:r>
        <w:fldChar w:fldCharType="end"/>
      </w:r>
      <w:r>
        <w:t>.  </w:t>
      </w:r>
      <w:r w:rsidR="008F43B7">
        <w:t>Furthermore</w:t>
      </w:r>
      <w:r w:rsidR="00433A90">
        <w:t xml:space="preserve">, the Government noted that other applicants before the administrative courts </w:t>
      </w:r>
      <w:r w:rsidR="00DF10FE">
        <w:t xml:space="preserve">had been </w:t>
      </w:r>
      <w:r w:rsidR="00433A90">
        <w:t>in the same position as the applicant –</w:t>
      </w:r>
      <w:r w:rsidR="003C0187">
        <w:t xml:space="preserve"> </w:t>
      </w:r>
      <w:r w:rsidR="00433A90">
        <w:t xml:space="preserve">they </w:t>
      </w:r>
      <w:r w:rsidR="00DF10FE">
        <w:t xml:space="preserve">had </w:t>
      </w:r>
      <w:r w:rsidR="003C0187">
        <w:t xml:space="preserve">all </w:t>
      </w:r>
      <w:r w:rsidR="00433A90">
        <w:t xml:space="preserve">had to make </w:t>
      </w:r>
      <w:r w:rsidR="003C0187">
        <w:t>recourse</w:t>
      </w:r>
      <w:r w:rsidR="00433A90">
        <w:t xml:space="preserve"> to a relatively new remedy</w:t>
      </w:r>
      <w:r w:rsidR="00DF10FE">
        <w:t xml:space="preserve"> in order</w:t>
      </w:r>
      <w:r w:rsidR="003C0187">
        <w:t xml:space="preserve"> to defend their rights.</w:t>
      </w:r>
      <w:r w:rsidR="00AE3195">
        <w:t xml:space="preserve"> The Government considered that the applicant could not be released from the obligation to exhaust domestic remedies</w:t>
      </w:r>
      <w:r w:rsidR="00DF10FE">
        <w:t>,</w:t>
      </w:r>
      <w:r w:rsidR="00AE3195">
        <w:t xml:space="preserve"> </w:t>
      </w:r>
      <w:r w:rsidR="00DF10FE">
        <w:t xml:space="preserve">as to release him from that obligation </w:t>
      </w:r>
      <w:r w:rsidR="00AE3195">
        <w:t>would be unfair</w:t>
      </w:r>
      <w:r w:rsidR="00DF10FE">
        <w:t xml:space="preserve"> to</w:t>
      </w:r>
      <w:r w:rsidR="00AE3195">
        <w:t xml:space="preserve"> those </w:t>
      </w:r>
      <w:r w:rsidR="00DF10FE">
        <w:t xml:space="preserve">people </w:t>
      </w:r>
      <w:r w:rsidR="00AE3195">
        <w:t xml:space="preserve">who </w:t>
      </w:r>
      <w:r w:rsidR="00DF10FE">
        <w:t xml:space="preserve">had </w:t>
      </w:r>
      <w:r w:rsidR="00AE3195">
        <w:t>used the newly established remedy</w:t>
      </w:r>
      <w:r w:rsidR="00DF10FE">
        <w:t>,</w:t>
      </w:r>
      <w:r w:rsidR="00AE3195">
        <w:t xml:space="preserve"> thereby contributing to the development of domestic case-law and proving its effectiveness. Finally, they note</w:t>
      </w:r>
      <w:r w:rsidR="00277A0E">
        <w:t>d</w:t>
      </w:r>
      <w:r w:rsidR="00AE3195">
        <w:t xml:space="preserve"> that the applicant </w:t>
      </w:r>
      <w:r w:rsidR="00DF10FE">
        <w:t xml:space="preserve">had </w:t>
      </w:r>
      <w:r w:rsidR="00AE3195">
        <w:t xml:space="preserve">not </w:t>
      </w:r>
      <w:r w:rsidR="00207FDB">
        <w:t>indicate</w:t>
      </w:r>
      <w:r w:rsidR="00DF10FE">
        <w:t>d</w:t>
      </w:r>
      <w:r w:rsidR="00207FDB">
        <w:t xml:space="preserve"> any particular reason for which he had not exhausted the available domestic remedy.</w:t>
      </w:r>
    </w:p>
    <w:p w:rsidR="00207FDB" w:rsidRDefault="00207FDB" w:rsidP="00311091">
      <w:pPr>
        <w:pStyle w:val="JuPara"/>
      </w:pPr>
      <w:r>
        <w:fldChar w:fldCharType="begin"/>
      </w:r>
      <w:r>
        <w:instrText xml:space="preserve"> SEQ level0 \*arabic </w:instrText>
      </w:r>
      <w:r>
        <w:fldChar w:fldCharType="separate"/>
      </w:r>
      <w:r w:rsidR="008806B0">
        <w:rPr>
          <w:noProof/>
        </w:rPr>
        <w:t>45</w:t>
      </w:r>
      <w:r>
        <w:fldChar w:fldCharType="end"/>
      </w:r>
      <w:r>
        <w:t>.  </w:t>
      </w:r>
      <w:r w:rsidR="008F43B7">
        <w:t>In reply to the Government</w:t>
      </w:r>
      <w:r w:rsidR="00FD5467">
        <w:t>’</w:t>
      </w:r>
      <w:r w:rsidR="008F43B7">
        <w:t>s additional observations</w:t>
      </w:r>
      <w:r w:rsidR="00DF10FE">
        <w:t>,</w:t>
      </w:r>
      <w:r w:rsidR="008F43B7">
        <w:t xml:space="preserve"> the applicant </w:t>
      </w:r>
      <w:r w:rsidR="00157459">
        <w:t xml:space="preserve">stressed that, at the time of lodging the complaint with the Court, the administrative courts </w:t>
      </w:r>
      <w:r w:rsidR="00B238F2">
        <w:t xml:space="preserve">had </w:t>
      </w:r>
      <w:r w:rsidR="00157459">
        <w:t>not interpret</w:t>
      </w:r>
      <w:r w:rsidR="00B238F2">
        <w:t>ed</w:t>
      </w:r>
      <w:r w:rsidR="00157459">
        <w:t xml:space="preserve"> domestic law in a way that would </w:t>
      </w:r>
      <w:r w:rsidR="00B238F2">
        <w:t xml:space="preserve">have </w:t>
      </w:r>
      <w:r w:rsidR="00157459">
        <w:t xml:space="preserve">lead to </w:t>
      </w:r>
      <w:r w:rsidR="00B238F2">
        <w:t xml:space="preserve">the </w:t>
      </w:r>
      <w:r w:rsidR="00157459">
        <w:t xml:space="preserve">conclusion that </w:t>
      </w:r>
      <w:r w:rsidR="00E51B70">
        <w:t>it</w:t>
      </w:r>
      <w:r w:rsidR="00157459">
        <w:t xml:space="preserve"> </w:t>
      </w:r>
      <w:r w:rsidR="00E51B70">
        <w:t>was</w:t>
      </w:r>
      <w:r w:rsidR="00157459">
        <w:t xml:space="preserve"> an effective remedy for </w:t>
      </w:r>
      <w:r w:rsidR="00624837">
        <w:t>detainees</w:t>
      </w:r>
      <w:r w:rsidR="00FD5467">
        <w:t>’</w:t>
      </w:r>
      <w:r w:rsidR="00157459">
        <w:t xml:space="preserve"> complaints about conditions of detention.</w:t>
      </w:r>
      <w:r w:rsidR="00E51B70">
        <w:t xml:space="preserve"> </w:t>
      </w:r>
      <w:r w:rsidR="00A14669">
        <w:t xml:space="preserve">Instead, they </w:t>
      </w:r>
      <w:r w:rsidR="00B238F2">
        <w:t xml:space="preserve">had </w:t>
      </w:r>
      <w:r w:rsidR="00A14669">
        <w:t xml:space="preserve">ruled that such complaints were to be examined by a hierarchically superior institution. The applicant maintained that </w:t>
      </w:r>
      <w:r w:rsidR="00BE60A3">
        <w:t xml:space="preserve">an application to </w:t>
      </w:r>
      <w:r w:rsidR="00A14669">
        <w:t xml:space="preserve">the administrative courts </w:t>
      </w:r>
      <w:r w:rsidR="00B238F2">
        <w:t xml:space="preserve">had </w:t>
      </w:r>
      <w:r w:rsidR="00A14669">
        <w:t xml:space="preserve">not </w:t>
      </w:r>
      <w:r w:rsidR="00B238F2">
        <w:t xml:space="preserve">constituted </w:t>
      </w:r>
      <w:r w:rsidR="00A14669">
        <w:t xml:space="preserve">an effective remedy and </w:t>
      </w:r>
      <w:r w:rsidR="00B238F2">
        <w:t xml:space="preserve">had </w:t>
      </w:r>
      <w:r w:rsidR="00A14669">
        <w:t>not offer</w:t>
      </w:r>
      <w:r w:rsidR="00B238F2">
        <w:t>ed</w:t>
      </w:r>
      <w:r w:rsidR="00A14669">
        <w:t xml:space="preserve"> reasonable prospects of success</w:t>
      </w:r>
      <w:r w:rsidR="00151FF3">
        <w:t xml:space="preserve"> at the time</w:t>
      </w:r>
      <w:r w:rsidR="00A14669">
        <w:t>.</w:t>
      </w:r>
      <w:r w:rsidR="006E7082">
        <w:t xml:space="preserve"> </w:t>
      </w:r>
      <w:r w:rsidR="00E7753F">
        <w:t xml:space="preserve">Finally, </w:t>
      </w:r>
      <w:r w:rsidR="004123E3">
        <w:t xml:space="preserve">having </w:t>
      </w:r>
      <w:r w:rsidR="00AD29E7">
        <w:t xml:space="preserve">not </w:t>
      </w:r>
      <w:r w:rsidR="004123E3">
        <w:t xml:space="preserve">had </w:t>
      </w:r>
      <w:r w:rsidR="00AD29E7">
        <w:t xml:space="preserve">a </w:t>
      </w:r>
      <w:r w:rsidR="004123E3">
        <w:t>lawyer</w:t>
      </w:r>
      <w:r w:rsidR="00B238F2">
        <w:t>,</w:t>
      </w:r>
      <w:r w:rsidR="004123E3">
        <w:t xml:space="preserve"> </w:t>
      </w:r>
      <w:r w:rsidR="00E7753F">
        <w:t xml:space="preserve">he had relied on the information </w:t>
      </w:r>
      <w:r w:rsidR="004123E3">
        <w:t>given</w:t>
      </w:r>
      <w:r w:rsidR="00E7753F">
        <w:t xml:space="preserve"> by </w:t>
      </w:r>
      <w:r w:rsidR="00E7753F" w:rsidRPr="00274638">
        <w:t xml:space="preserve">the </w:t>
      </w:r>
      <w:r w:rsidR="00274638" w:rsidRPr="006332EB">
        <w:t>National</w:t>
      </w:r>
      <w:r w:rsidR="00AD29E7" w:rsidRPr="006332EB">
        <w:t xml:space="preserve"> </w:t>
      </w:r>
      <w:r w:rsidR="00E7753F" w:rsidRPr="006332EB">
        <w:t xml:space="preserve">Human </w:t>
      </w:r>
      <w:r w:rsidR="00AD29E7" w:rsidRPr="006332EB">
        <w:t xml:space="preserve">Rights </w:t>
      </w:r>
      <w:r w:rsidR="00CA29BA">
        <w:t>Office</w:t>
      </w:r>
      <w:r w:rsidR="008A5133">
        <w:t xml:space="preserve"> </w:t>
      </w:r>
      <w:r w:rsidR="004123E3">
        <w:t xml:space="preserve">to the effect </w:t>
      </w:r>
      <w:r w:rsidR="008A5133">
        <w:t>that he could apply to the Court.</w:t>
      </w:r>
    </w:p>
    <w:p w:rsidR="002D7CBB" w:rsidRDefault="00B65D52" w:rsidP="00B65D52">
      <w:pPr>
        <w:pStyle w:val="JuHa0"/>
        <w:outlineLvl w:val="3"/>
      </w:pPr>
      <w:r>
        <w:t>(b)</w:t>
      </w:r>
      <w:r w:rsidR="002D7CBB">
        <w:t>  The Court</w:t>
      </w:r>
      <w:r w:rsidR="00FD5467">
        <w:t>’</w:t>
      </w:r>
      <w:r w:rsidR="002D7CBB">
        <w:t>s assessment</w:t>
      </w:r>
    </w:p>
    <w:bookmarkStart w:id="20" w:name="law_ef_rem"/>
    <w:p w:rsidR="00952555" w:rsidRDefault="00D15FE1" w:rsidP="00311091">
      <w:pPr>
        <w:pStyle w:val="JuPara"/>
        <w:rPr>
          <w:lang w:eastAsia="en-US"/>
        </w:rPr>
      </w:pPr>
      <w:r>
        <w:fldChar w:fldCharType="begin"/>
      </w:r>
      <w:r>
        <w:instrText xml:space="preserve"> SEQ level0 \*arabic </w:instrText>
      </w:r>
      <w:r>
        <w:fldChar w:fldCharType="separate"/>
      </w:r>
      <w:r w:rsidR="008806B0">
        <w:rPr>
          <w:noProof/>
        </w:rPr>
        <w:t>46</w:t>
      </w:r>
      <w:r>
        <w:fldChar w:fldCharType="end"/>
      </w:r>
      <w:bookmarkEnd w:id="20"/>
      <w:r>
        <w:t>.  </w:t>
      </w:r>
      <w:r w:rsidR="00952555">
        <w:t xml:space="preserve">The Court </w:t>
      </w:r>
      <w:r w:rsidR="0036671E">
        <w:t>recall</w:t>
      </w:r>
      <w:r w:rsidR="008857D8">
        <w:t>s</w:t>
      </w:r>
      <w:r w:rsidR="00952555">
        <w:t xml:space="preserve"> that in the </w:t>
      </w:r>
      <w:r w:rsidR="00952555" w:rsidRPr="00952555">
        <w:t>area of the exhaustion of domestic remedies there is a distribution of the burden of proof. It is incumbent on the Government claiming non-exhaustion to satisfy the Court that the remedy was an effective one available in theory and practice at the relevant time, that is to say, that it was accessible, was capable of providing redress in respect of the applicant</w:t>
      </w:r>
      <w:r w:rsidR="00FD5467">
        <w:t>’</w:t>
      </w:r>
      <w:r w:rsidR="00952555" w:rsidRPr="00952555">
        <w:t>s complaints and offered reasonable prospects of success. However, once this burden has been satisfied it falls to the applicant to establish that the remedy advanced by the Government was in fact exhausted or was for some reason inadequate and ineffective in the particular circumstances of the case or that there existed special circumstances absolving him or her from the requirement (</w:t>
      </w:r>
      <w:r w:rsidR="00952555">
        <w:t xml:space="preserve">see </w:t>
      </w:r>
      <w:r w:rsidR="009B7393" w:rsidRPr="009B7393">
        <w:rPr>
          <w:i/>
          <w:lang w:eastAsia="en-US"/>
        </w:rPr>
        <w:t>Akdivar and Others v. Turkey</w:t>
      </w:r>
      <w:r w:rsidR="009B7393" w:rsidRPr="009B7393">
        <w:rPr>
          <w:lang w:eastAsia="en-US"/>
        </w:rPr>
        <w:t xml:space="preserve">, 16 September 1996, § </w:t>
      </w:r>
      <w:r w:rsidR="009B7393">
        <w:rPr>
          <w:lang w:eastAsia="en-US"/>
        </w:rPr>
        <w:t>68</w:t>
      </w:r>
      <w:r w:rsidR="009B7393" w:rsidRPr="009B7393">
        <w:rPr>
          <w:lang w:eastAsia="en-US"/>
        </w:rPr>
        <w:t xml:space="preserve">, </w:t>
      </w:r>
      <w:r w:rsidR="009B7393" w:rsidRPr="009B7393">
        <w:rPr>
          <w:i/>
          <w:lang w:eastAsia="en-US"/>
        </w:rPr>
        <w:t>Reports of Judgments and Decisions</w:t>
      </w:r>
      <w:r w:rsidR="009B7393" w:rsidRPr="009B7393">
        <w:rPr>
          <w:lang w:eastAsia="en-US"/>
        </w:rPr>
        <w:t xml:space="preserve"> 1996</w:t>
      </w:r>
      <w:r w:rsidR="009B7393" w:rsidRPr="009B7393">
        <w:rPr>
          <w:lang w:eastAsia="en-US"/>
        </w:rPr>
        <w:noBreakHyphen/>
        <w:t>IV</w:t>
      </w:r>
      <w:r w:rsidR="009B7393">
        <w:rPr>
          <w:lang w:eastAsia="en-US"/>
        </w:rPr>
        <w:t xml:space="preserve">; </w:t>
      </w:r>
      <w:smartTag w:uri="urn:schemas-microsoft-com:office:smarttags" w:element="PersonName">
        <w:r w:rsidR="009B7393" w:rsidRPr="009B7393">
          <w:rPr>
            <w:i/>
            <w:lang w:eastAsia="en-US"/>
          </w:rPr>
          <w:t>Me</w:t>
        </w:r>
      </w:smartTag>
      <w:r w:rsidR="009B7393" w:rsidRPr="009B7393">
        <w:rPr>
          <w:i/>
          <w:lang w:eastAsia="en-US"/>
        </w:rPr>
        <w:t>nteş and Others v. Turkey</w:t>
      </w:r>
      <w:r w:rsidR="009B7393" w:rsidRPr="009B7393">
        <w:rPr>
          <w:lang w:eastAsia="en-US"/>
        </w:rPr>
        <w:t xml:space="preserve">, 28 November 1997, § </w:t>
      </w:r>
      <w:r w:rsidR="009B7393">
        <w:rPr>
          <w:lang w:eastAsia="en-US"/>
        </w:rPr>
        <w:t>57</w:t>
      </w:r>
      <w:r w:rsidR="009B7393" w:rsidRPr="009B7393">
        <w:rPr>
          <w:lang w:eastAsia="en-US"/>
        </w:rPr>
        <w:t xml:space="preserve">, </w:t>
      </w:r>
      <w:r w:rsidR="009B7393" w:rsidRPr="009B7393">
        <w:rPr>
          <w:i/>
          <w:lang w:eastAsia="en-US"/>
        </w:rPr>
        <w:t xml:space="preserve">Reports </w:t>
      </w:r>
      <w:r w:rsidR="009B7393" w:rsidRPr="009B7393">
        <w:rPr>
          <w:lang w:eastAsia="en-US"/>
        </w:rPr>
        <w:t>1997</w:t>
      </w:r>
      <w:r w:rsidR="009B7393" w:rsidRPr="009B7393">
        <w:rPr>
          <w:lang w:eastAsia="en-US"/>
        </w:rPr>
        <w:noBreakHyphen/>
        <w:t>VIII</w:t>
      </w:r>
      <w:r w:rsidR="009B7393">
        <w:rPr>
          <w:lang w:eastAsia="en-US"/>
        </w:rPr>
        <w:t xml:space="preserve">; and, more recently, </w:t>
      </w:r>
      <w:r w:rsidR="0068701A" w:rsidRPr="0068701A">
        <w:rPr>
          <w:i/>
          <w:lang w:eastAsia="en-US"/>
        </w:rPr>
        <w:t xml:space="preserve">Bazjaks v. </w:t>
      </w:r>
      <w:smartTag w:uri="urn:schemas-microsoft-com:office:smarttags" w:element="place">
        <w:smartTag w:uri="urn:schemas-microsoft-com:office:smarttags" w:element="country-region">
          <w:r w:rsidR="0068701A" w:rsidRPr="0068701A">
            <w:rPr>
              <w:i/>
              <w:lang w:eastAsia="en-US"/>
            </w:rPr>
            <w:t>Latvia</w:t>
          </w:r>
        </w:smartTag>
      </w:smartTag>
      <w:r w:rsidR="0068701A" w:rsidRPr="0068701A">
        <w:rPr>
          <w:lang w:eastAsia="en-US"/>
        </w:rPr>
        <w:t>, no. 71572/01</w:t>
      </w:r>
      <w:r w:rsidR="0068701A" w:rsidRPr="0068701A">
        <w:rPr>
          <w:snapToGrid w:val="0"/>
          <w:szCs w:val="24"/>
          <w:lang w:val="pt-BR" w:eastAsia="en-US"/>
        </w:rPr>
        <w:t>, §</w:t>
      </w:r>
      <w:r w:rsidR="0068701A">
        <w:rPr>
          <w:snapToGrid w:val="0"/>
          <w:szCs w:val="24"/>
          <w:lang w:val="pt-BR" w:eastAsia="en-US"/>
        </w:rPr>
        <w:t> 85</w:t>
      </w:r>
      <w:r w:rsidR="0068701A" w:rsidRPr="0068701A">
        <w:rPr>
          <w:snapToGrid w:val="0"/>
          <w:szCs w:val="24"/>
          <w:lang w:val="pt-BR" w:eastAsia="en-US"/>
        </w:rPr>
        <w:t>, 19 October 2010</w:t>
      </w:r>
      <w:r w:rsidR="0068701A">
        <w:rPr>
          <w:snapToGrid w:val="0"/>
          <w:szCs w:val="24"/>
          <w:lang w:val="pt-BR" w:eastAsia="en-US"/>
        </w:rPr>
        <w:t>)</w:t>
      </w:r>
      <w:r w:rsidR="0068701A">
        <w:rPr>
          <w:lang w:eastAsia="en-US"/>
        </w:rPr>
        <w:t>.</w:t>
      </w:r>
    </w:p>
    <w:p w:rsidR="00B347D2" w:rsidRDefault="0028688C" w:rsidP="00311091">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8806B0">
        <w:rPr>
          <w:noProof/>
          <w:lang w:eastAsia="en-US"/>
        </w:rPr>
        <w:t>47</w:t>
      </w:r>
      <w:r>
        <w:rPr>
          <w:lang w:eastAsia="en-US"/>
        </w:rPr>
        <w:fldChar w:fldCharType="end"/>
      </w:r>
      <w:r>
        <w:rPr>
          <w:lang w:eastAsia="en-US"/>
        </w:rPr>
        <w:t>.  </w:t>
      </w:r>
      <w:r w:rsidR="00B347D2">
        <w:rPr>
          <w:lang w:eastAsia="en-US"/>
        </w:rPr>
        <w:t xml:space="preserve">In the area of complaints </w:t>
      </w:r>
      <w:r w:rsidR="00F54CF1">
        <w:rPr>
          <w:lang w:eastAsia="en-US"/>
        </w:rPr>
        <w:t xml:space="preserve">of </w:t>
      </w:r>
      <w:r w:rsidR="00B347D2">
        <w:rPr>
          <w:lang w:eastAsia="en-US"/>
        </w:rPr>
        <w:t xml:space="preserve">inhuman or degrading conditions of detention, the Court has already observed that </w:t>
      </w:r>
      <w:r w:rsidR="00B347D2" w:rsidRPr="00B612B0">
        <w:rPr>
          <w:lang w:eastAsia="en-US"/>
        </w:rPr>
        <w:t xml:space="preserve">two types of relief are possible: an improvement </w:t>
      </w:r>
      <w:r w:rsidR="00B347D2">
        <w:rPr>
          <w:lang w:eastAsia="en-US"/>
        </w:rPr>
        <w:t>in</w:t>
      </w:r>
      <w:r w:rsidR="00B347D2" w:rsidRPr="00B612B0">
        <w:rPr>
          <w:lang w:eastAsia="en-US"/>
        </w:rPr>
        <w:t xml:space="preserve"> the material conditions of detention</w:t>
      </w:r>
      <w:r w:rsidR="00F54CF1">
        <w:rPr>
          <w:lang w:eastAsia="en-US"/>
        </w:rPr>
        <w:t>;</w:t>
      </w:r>
      <w:r w:rsidR="00B347D2" w:rsidRPr="00B612B0">
        <w:rPr>
          <w:lang w:eastAsia="en-US"/>
        </w:rPr>
        <w:t xml:space="preserve"> and compensation for the damage or loss sustained on account of such conditions</w:t>
      </w:r>
      <w:r w:rsidR="00B347D2">
        <w:rPr>
          <w:lang w:eastAsia="en-US"/>
        </w:rPr>
        <w:t xml:space="preserve"> (see </w:t>
      </w:r>
      <w:bookmarkStart w:id="21" w:name="File1"/>
      <w:r w:rsidR="00C70BCB" w:rsidRPr="00C70BCB">
        <w:rPr>
          <w:i/>
          <w:lang w:eastAsia="en-US"/>
        </w:rPr>
        <w:t>Benediktov</w:t>
      </w:r>
      <w:bookmarkEnd w:id="21"/>
      <w:r w:rsidR="00C70BCB" w:rsidRPr="00C70BCB">
        <w:rPr>
          <w:i/>
          <w:lang w:eastAsia="en-US"/>
        </w:rPr>
        <w:t xml:space="preserve"> v. </w:t>
      </w:r>
      <w:smartTag w:uri="urn:schemas-microsoft-com:office:smarttags" w:element="place">
        <w:smartTag w:uri="urn:schemas-microsoft-com:office:smarttags" w:element="country-region">
          <w:r w:rsidR="00C70BCB" w:rsidRPr="00C70BCB">
            <w:rPr>
              <w:i/>
              <w:lang w:eastAsia="en-US"/>
            </w:rPr>
            <w:t>Russia</w:t>
          </w:r>
        </w:smartTag>
      </w:smartTag>
      <w:r w:rsidR="00C70BCB" w:rsidRPr="00C70BCB">
        <w:rPr>
          <w:lang w:eastAsia="en-US"/>
        </w:rPr>
        <w:t xml:space="preserve">, no. 106/02, § </w:t>
      </w:r>
      <w:r w:rsidR="00C70BCB">
        <w:rPr>
          <w:lang w:eastAsia="en-US"/>
        </w:rPr>
        <w:t>29</w:t>
      </w:r>
      <w:r w:rsidR="00C70BCB" w:rsidRPr="00C70BCB">
        <w:rPr>
          <w:lang w:eastAsia="en-US"/>
        </w:rPr>
        <w:t>, 10 May 2007</w:t>
      </w:r>
      <w:r w:rsidR="00C70BCB">
        <w:rPr>
          <w:lang w:eastAsia="en-US"/>
        </w:rPr>
        <w:t xml:space="preserve">, and </w:t>
      </w:r>
      <w:r w:rsidR="00B347D2" w:rsidRPr="00B347D2">
        <w:rPr>
          <w:i/>
          <w:lang w:eastAsia="en-US"/>
        </w:rPr>
        <w:t xml:space="preserve">Roman Karasev v. </w:t>
      </w:r>
      <w:smartTag w:uri="urn:schemas-microsoft-com:office:smarttags" w:element="place">
        <w:smartTag w:uri="urn:schemas-microsoft-com:office:smarttags" w:element="country-region">
          <w:r w:rsidR="00B347D2" w:rsidRPr="00B347D2">
            <w:rPr>
              <w:i/>
              <w:lang w:eastAsia="en-US"/>
            </w:rPr>
            <w:t>Russia</w:t>
          </w:r>
        </w:smartTag>
      </w:smartTag>
      <w:r w:rsidR="00B347D2" w:rsidRPr="00B347D2">
        <w:rPr>
          <w:lang w:eastAsia="en-US"/>
        </w:rPr>
        <w:t>, no. 30251/03</w:t>
      </w:r>
      <w:r w:rsidR="00B347D2" w:rsidRPr="00B347D2">
        <w:rPr>
          <w:snapToGrid w:val="0"/>
          <w:szCs w:val="24"/>
          <w:lang w:val="pt-BR" w:eastAsia="en-US"/>
        </w:rPr>
        <w:t xml:space="preserve">, § </w:t>
      </w:r>
      <w:r w:rsidR="00B347D2">
        <w:rPr>
          <w:snapToGrid w:val="0"/>
          <w:szCs w:val="24"/>
          <w:lang w:val="pt-BR" w:eastAsia="en-US"/>
        </w:rPr>
        <w:t>79</w:t>
      </w:r>
      <w:r w:rsidR="00B347D2" w:rsidRPr="00B347D2">
        <w:rPr>
          <w:snapToGrid w:val="0"/>
          <w:szCs w:val="24"/>
          <w:lang w:val="pt-BR" w:eastAsia="en-US"/>
        </w:rPr>
        <w:t>, 25 November 2010</w:t>
      </w:r>
      <w:r w:rsidR="00B60C70">
        <w:rPr>
          <w:lang w:eastAsia="en-US"/>
        </w:rPr>
        <w:t>)</w:t>
      </w:r>
      <w:r w:rsidR="00B347D2">
        <w:rPr>
          <w:lang w:eastAsia="en-US"/>
        </w:rPr>
        <w:t>. If an applicant has been held in conditions that are in breach of Article 3, a domestic remedy capable of putting an end to the ongoing violation of his or her right not to be subjected to inhuman or degrading treatment is of the greatest value. Once, however, the applicant has left the facility in which he or she endured the inadequate conditions, he or she should have an enforceable right to compensation</w:t>
      </w:r>
      <w:r w:rsidR="00B347D2" w:rsidRPr="006F2A21">
        <w:rPr>
          <w:lang w:eastAsia="en-US"/>
        </w:rPr>
        <w:t xml:space="preserve"> </w:t>
      </w:r>
      <w:r w:rsidR="00B347D2">
        <w:rPr>
          <w:lang w:eastAsia="en-US"/>
        </w:rPr>
        <w:t>for the violation that has already occurred.</w:t>
      </w:r>
    </w:p>
    <w:p w:rsidR="00BD1CCE" w:rsidRDefault="0028688C" w:rsidP="00311091">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8806B0">
        <w:rPr>
          <w:noProof/>
          <w:lang w:eastAsia="en-US"/>
        </w:rPr>
        <w:t>48</w:t>
      </w:r>
      <w:r>
        <w:rPr>
          <w:lang w:eastAsia="en-US"/>
        </w:rPr>
        <w:fldChar w:fldCharType="end"/>
      </w:r>
      <w:r>
        <w:rPr>
          <w:lang w:eastAsia="en-US"/>
        </w:rPr>
        <w:t>.  </w:t>
      </w:r>
      <w:r w:rsidR="000442F1" w:rsidRPr="00426624">
        <w:rPr>
          <w:lang w:eastAsia="en-US"/>
        </w:rPr>
        <w:t>Where the fundamental right to protection against torture</w:t>
      </w:r>
      <w:r w:rsidR="00E44C55">
        <w:rPr>
          <w:lang w:eastAsia="en-US"/>
        </w:rPr>
        <w:t xml:space="preserve"> or</w:t>
      </w:r>
      <w:r w:rsidR="000442F1" w:rsidRPr="00426624">
        <w:rPr>
          <w:lang w:eastAsia="en-US"/>
        </w:rPr>
        <w:t xml:space="preserve"> </w:t>
      </w:r>
      <w:r w:rsidR="008A3364">
        <w:rPr>
          <w:lang w:eastAsia="en-US"/>
        </w:rPr>
        <w:t xml:space="preserve">against </w:t>
      </w:r>
      <w:r w:rsidR="000442F1" w:rsidRPr="00426624">
        <w:rPr>
          <w:lang w:eastAsia="en-US"/>
        </w:rPr>
        <w:t xml:space="preserve">inhuman </w:t>
      </w:r>
      <w:r w:rsidR="008A3364">
        <w:rPr>
          <w:lang w:eastAsia="en-US"/>
        </w:rPr>
        <w:t>or</w:t>
      </w:r>
      <w:r w:rsidR="000442F1" w:rsidRPr="00426624">
        <w:rPr>
          <w:lang w:eastAsia="en-US"/>
        </w:rPr>
        <w:t xml:space="preserve"> degrading treatment is concerned, the preventive and compensatory remedies</w:t>
      </w:r>
      <w:r w:rsidR="008D2122">
        <w:rPr>
          <w:lang w:eastAsia="en-US"/>
        </w:rPr>
        <w:t xml:space="preserve">, in principle, </w:t>
      </w:r>
      <w:r w:rsidR="00994680">
        <w:rPr>
          <w:lang w:eastAsia="en-US"/>
        </w:rPr>
        <w:t>should</w:t>
      </w:r>
      <w:r w:rsidR="000442F1" w:rsidRPr="00426624">
        <w:rPr>
          <w:lang w:eastAsia="en-US"/>
        </w:rPr>
        <w:t xml:space="preserve"> be complementary in order to be considered effective. In contrast to the cases concerning the length of judicial proceedings or non-enforcement of judgments, where the Court </w:t>
      </w:r>
      <w:r w:rsidR="00EE746A">
        <w:rPr>
          <w:lang w:eastAsia="en-US"/>
        </w:rPr>
        <w:t xml:space="preserve">has </w:t>
      </w:r>
      <w:r w:rsidR="000442F1" w:rsidRPr="00426624">
        <w:rPr>
          <w:lang w:eastAsia="en-US"/>
        </w:rPr>
        <w:t xml:space="preserve">accepted in principle that a compensatory remedy alone might suffice (see </w:t>
      </w:r>
      <w:r w:rsidR="000442F1" w:rsidRPr="00426624">
        <w:rPr>
          <w:i/>
          <w:lang w:eastAsia="en-US"/>
        </w:rPr>
        <w:t xml:space="preserve">Mifsud v. </w:t>
      </w:r>
      <w:smartTag w:uri="urn:schemas-microsoft-com:office:smarttags" w:element="place">
        <w:smartTag w:uri="urn:schemas-microsoft-com:office:smarttags" w:element="country-region">
          <w:r w:rsidR="000442F1" w:rsidRPr="00426624">
            <w:rPr>
              <w:i/>
              <w:lang w:eastAsia="en-US"/>
            </w:rPr>
            <w:t>France</w:t>
          </w:r>
        </w:smartTag>
      </w:smartTag>
      <w:r w:rsidR="000442F1" w:rsidRPr="00426624">
        <w:rPr>
          <w:lang w:eastAsia="en-US"/>
        </w:rPr>
        <w:t xml:space="preserve"> (dec.) [GC], no. 57220/00</w:t>
      </w:r>
      <w:r w:rsidR="000442F1" w:rsidRPr="00426624">
        <w:rPr>
          <w:szCs w:val="24"/>
          <w:lang w:eastAsia="en-US"/>
        </w:rPr>
        <w:t xml:space="preserve">, § 17, </w:t>
      </w:r>
      <w:r w:rsidR="000442F1" w:rsidRPr="00426624">
        <w:rPr>
          <w:lang w:eastAsia="en-US"/>
        </w:rPr>
        <w:t>ECHR 2002</w:t>
      </w:r>
      <w:r w:rsidR="000442F1" w:rsidRPr="00426624">
        <w:rPr>
          <w:lang w:eastAsia="en-US"/>
        </w:rPr>
        <w:noBreakHyphen/>
        <w:t xml:space="preserve">VIII; </w:t>
      </w:r>
      <w:r w:rsidR="000442F1" w:rsidRPr="00426624">
        <w:rPr>
          <w:i/>
          <w:szCs w:val="24"/>
          <w:lang w:eastAsia="en-US"/>
        </w:rPr>
        <w:t xml:space="preserve">Scordino v. </w:t>
      </w:r>
      <w:smartTag w:uri="urn:schemas-microsoft-com:office:smarttags" w:element="place">
        <w:smartTag w:uri="urn:schemas-microsoft-com:office:smarttags" w:element="country-region">
          <w:r w:rsidR="000442F1" w:rsidRPr="00426624">
            <w:rPr>
              <w:i/>
              <w:spacing w:val="-2"/>
              <w:szCs w:val="24"/>
              <w:lang w:eastAsia="en-US"/>
            </w:rPr>
            <w:t>Italy</w:t>
          </w:r>
        </w:smartTag>
      </w:smartTag>
      <w:r w:rsidR="000442F1" w:rsidRPr="00426624">
        <w:rPr>
          <w:i/>
          <w:spacing w:val="-2"/>
          <w:szCs w:val="24"/>
          <w:lang w:eastAsia="en-US"/>
        </w:rPr>
        <w:t xml:space="preserve"> (no. 1)</w:t>
      </w:r>
      <w:r w:rsidR="000442F1" w:rsidRPr="00426624">
        <w:rPr>
          <w:szCs w:val="24"/>
          <w:lang w:eastAsia="en-US"/>
        </w:rPr>
        <w:t xml:space="preserve"> [GC], no. 36813/97, § 187, ECHR 2006</w:t>
      </w:r>
      <w:r w:rsidR="000442F1" w:rsidRPr="00426624">
        <w:rPr>
          <w:szCs w:val="24"/>
          <w:lang w:eastAsia="en-US"/>
        </w:rPr>
        <w:noBreakHyphen/>
        <w:t>V</w:t>
      </w:r>
      <w:r w:rsidR="00380FCA">
        <w:t>;</w:t>
      </w:r>
      <w:r w:rsidR="00380FCA" w:rsidRPr="00426624">
        <w:t xml:space="preserve"> </w:t>
      </w:r>
      <w:r w:rsidR="000442F1" w:rsidRPr="00426624">
        <w:t xml:space="preserve">and </w:t>
      </w:r>
      <w:r w:rsidR="000442F1" w:rsidRPr="00426624">
        <w:rPr>
          <w:i/>
          <w:lang w:eastAsia="en-US"/>
        </w:rPr>
        <w:t>Burdov v. </w:t>
      </w:r>
      <w:smartTag w:uri="urn:schemas-microsoft-com:office:smarttags" w:element="country-region">
        <w:smartTag w:uri="urn:schemas-microsoft-com:office:smarttags" w:element="place">
          <w:r w:rsidR="000442F1" w:rsidRPr="00426624">
            <w:rPr>
              <w:i/>
              <w:lang w:eastAsia="en-US"/>
            </w:rPr>
            <w:t>Russia</w:t>
          </w:r>
        </w:smartTag>
      </w:smartTag>
      <w:r w:rsidR="000442F1" w:rsidRPr="00426624">
        <w:rPr>
          <w:i/>
          <w:lang w:eastAsia="en-US"/>
        </w:rPr>
        <w:t xml:space="preserve"> (no. 2)</w:t>
      </w:r>
      <w:r w:rsidR="000442F1" w:rsidRPr="00426624">
        <w:rPr>
          <w:lang w:eastAsia="en-US"/>
        </w:rPr>
        <w:t>, no. 33509/04, § 99, ECHR 2009</w:t>
      </w:r>
      <w:r w:rsidR="000442F1" w:rsidRPr="00426624">
        <w:rPr>
          <w:i/>
          <w:lang w:eastAsia="en-US"/>
        </w:rPr>
        <w:t xml:space="preserve"> </w:t>
      </w:r>
      <w:r w:rsidR="00EE746A">
        <w:rPr>
          <w:lang w:eastAsia="en-US"/>
        </w:rPr>
        <w:t>(extracts)</w:t>
      </w:r>
      <w:r w:rsidR="00EE746A" w:rsidRPr="00426624">
        <w:rPr>
          <w:lang w:eastAsia="en-US"/>
        </w:rPr>
        <w:t xml:space="preserve">), </w:t>
      </w:r>
      <w:r w:rsidR="000442F1" w:rsidRPr="00426624">
        <w:rPr>
          <w:lang w:eastAsia="en-US"/>
        </w:rPr>
        <w:t xml:space="preserve">the existence of a preventive remedy is indispensable for the effective protection of individuals against the kind of treatment prohibited by </w:t>
      </w:r>
      <w:r w:rsidR="001966BD" w:rsidRPr="00426624">
        <w:rPr>
          <w:lang w:eastAsia="en-US"/>
        </w:rPr>
        <w:t>Article</w:t>
      </w:r>
      <w:r w:rsidR="001966BD">
        <w:rPr>
          <w:lang w:eastAsia="en-US"/>
        </w:rPr>
        <w:t> </w:t>
      </w:r>
      <w:r w:rsidR="000442F1" w:rsidRPr="00426624">
        <w:rPr>
          <w:lang w:eastAsia="en-US"/>
        </w:rPr>
        <w:t>3</w:t>
      </w:r>
      <w:r w:rsidR="00B87B62">
        <w:rPr>
          <w:lang w:eastAsia="en-US"/>
        </w:rPr>
        <w:t xml:space="preserve"> (see </w:t>
      </w:r>
      <w:r w:rsidR="0006398C">
        <w:rPr>
          <w:lang w:eastAsia="en-US"/>
        </w:rPr>
        <w:t xml:space="preserve">also </w:t>
      </w:r>
      <w:r w:rsidR="0068700F" w:rsidRPr="0068700F">
        <w:rPr>
          <w:i/>
          <w:szCs w:val="22"/>
          <w:lang w:eastAsia="en-US"/>
        </w:rPr>
        <w:t xml:space="preserve">Makharadze and Sikharulidze </w:t>
      </w:r>
      <w:r w:rsidR="0068700F" w:rsidRPr="0068700F">
        <w:rPr>
          <w:i/>
          <w:lang w:eastAsia="en-US"/>
        </w:rPr>
        <w:t xml:space="preserve">v. </w:t>
      </w:r>
      <w:smartTag w:uri="urn:schemas-microsoft-com:office:smarttags" w:element="place">
        <w:smartTag w:uri="urn:schemas-microsoft-com:office:smarttags" w:element="country-region">
          <w:r w:rsidR="0068700F" w:rsidRPr="0068700F">
            <w:rPr>
              <w:i/>
              <w:lang w:eastAsia="en-US"/>
            </w:rPr>
            <w:t>Georgia</w:t>
          </w:r>
        </w:smartTag>
      </w:smartTag>
      <w:r w:rsidR="0068700F" w:rsidRPr="0068700F">
        <w:rPr>
          <w:lang w:eastAsia="en-US"/>
        </w:rPr>
        <w:t>, no. 35254/07</w:t>
      </w:r>
      <w:r w:rsidR="0068700F" w:rsidRPr="0068700F">
        <w:rPr>
          <w:snapToGrid w:val="0"/>
          <w:szCs w:val="24"/>
          <w:lang w:val="pt-BR" w:eastAsia="en-US"/>
        </w:rPr>
        <w:t>, §</w:t>
      </w:r>
      <w:r w:rsidR="0068700F">
        <w:rPr>
          <w:snapToGrid w:val="0"/>
          <w:szCs w:val="24"/>
          <w:lang w:val="pt-BR" w:eastAsia="en-US"/>
        </w:rPr>
        <w:t>§</w:t>
      </w:r>
      <w:r w:rsidR="0068700F" w:rsidRPr="0068700F">
        <w:rPr>
          <w:snapToGrid w:val="0"/>
          <w:szCs w:val="24"/>
          <w:lang w:val="pt-BR" w:eastAsia="en-US"/>
        </w:rPr>
        <w:t xml:space="preserve"> </w:t>
      </w:r>
      <w:r w:rsidR="0068700F">
        <w:rPr>
          <w:snapToGrid w:val="0"/>
          <w:szCs w:val="24"/>
          <w:lang w:val="pt-BR" w:eastAsia="en-US"/>
        </w:rPr>
        <w:t>5</w:t>
      </w:r>
      <w:r w:rsidR="00D3348D">
        <w:rPr>
          <w:snapToGrid w:val="0"/>
          <w:szCs w:val="24"/>
          <w:lang w:val="pt-BR" w:eastAsia="en-US"/>
        </w:rPr>
        <w:t>4</w:t>
      </w:r>
      <w:r w:rsidR="0068700F">
        <w:rPr>
          <w:snapToGrid w:val="0"/>
          <w:szCs w:val="24"/>
          <w:lang w:val="pt-BR" w:eastAsia="en-US"/>
        </w:rPr>
        <w:t>-55</w:t>
      </w:r>
      <w:r w:rsidR="0068700F" w:rsidRPr="0068700F">
        <w:rPr>
          <w:snapToGrid w:val="0"/>
          <w:szCs w:val="24"/>
          <w:lang w:val="pt-BR" w:eastAsia="en-US"/>
        </w:rPr>
        <w:t>, 22 November 2011</w:t>
      </w:r>
      <w:r w:rsidR="00B87B62">
        <w:rPr>
          <w:lang w:eastAsia="en-US"/>
        </w:rPr>
        <w:t>)</w:t>
      </w:r>
      <w:r w:rsidR="000442F1" w:rsidRPr="00426624">
        <w:rPr>
          <w:lang w:eastAsia="en-US"/>
        </w:rPr>
        <w:t>. Indeed, the special importance attached by the Convention to that provision requires, in the Court</w:t>
      </w:r>
      <w:r w:rsidR="00FD5467">
        <w:rPr>
          <w:lang w:eastAsia="en-US"/>
        </w:rPr>
        <w:t>’</w:t>
      </w:r>
      <w:r w:rsidR="000442F1" w:rsidRPr="00426624">
        <w:rPr>
          <w:lang w:eastAsia="en-US"/>
        </w:rPr>
        <w:t>s view, that the States parties establish</w:t>
      </w:r>
      <w:r w:rsidR="00C84D70">
        <w:rPr>
          <w:lang w:eastAsia="en-US"/>
        </w:rPr>
        <w:t xml:space="preserve"> </w:t>
      </w:r>
      <w:r w:rsidR="000442F1" w:rsidRPr="00426624">
        <w:rPr>
          <w:lang w:eastAsia="en-US"/>
        </w:rPr>
        <w:t>an effective mechanism in order to put an end to any such treatment rapidly.</w:t>
      </w:r>
    </w:p>
    <w:p w:rsidR="00BD1CCE" w:rsidRDefault="000E6B6B" w:rsidP="00723073">
      <w:pPr>
        <w:pStyle w:val="JuPara"/>
        <w:rPr>
          <w:lang w:eastAsia="en-US"/>
        </w:rPr>
      </w:pPr>
      <w:r>
        <w:rPr>
          <w:lang w:eastAsia="en-US"/>
        </w:rPr>
        <w:fldChar w:fldCharType="begin"/>
      </w:r>
      <w:r>
        <w:rPr>
          <w:lang w:eastAsia="en-US"/>
        </w:rPr>
        <w:instrText xml:space="preserve"> SEQ level0 \*arabic </w:instrText>
      </w:r>
      <w:r>
        <w:rPr>
          <w:lang w:eastAsia="en-US"/>
        </w:rPr>
        <w:fldChar w:fldCharType="separate"/>
      </w:r>
      <w:r w:rsidR="008806B0">
        <w:rPr>
          <w:noProof/>
          <w:lang w:eastAsia="en-US"/>
        </w:rPr>
        <w:t>49</w:t>
      </w:r>
      <w:r>
        <w:rPr>
          <w:lang w:eastAsia="en-US"/>
        </w:rPr>
        <w:fldChar w:fldCharType="end"/>
      </w:r>
      <w:r>
        <w:rPr>
          <w:lang w:eastAsia="en-US"/>
        </w:rPr>
        <w:t>.  </w:t>
      </w:r>
      <w:r w:rsidR="00C41124">
        <w:rPr>
          <w:lang w:eastAsia="en-US"/>
        </w:rPr>
        <w:t>In the light of</w:t>
      </w:r>
      <w:r w:rsidR="005C04E5">
        <w:rPr>
          <w:lang w:eastAsia="en-US"/>
        </w:rPr>
        <w:t xml:space="preserve"> the principles</w:t>
      </w:r>
      <w:r w:rsidR="00EE746A" w:rsidRPr="00EE746A">
        <w:rPr>
          <w:lang w:eastAsia="en-US"/>
        </w:rPr>
        <w:t xml:space="preserve"> </w:t>
      </w:r>
      <w:r w:rsidR="00EE746A">
        <w:rPr>
          <w:lang w:eastAsia="en-US"/>
        </w:rPr>
        <w:t>reiterated above</w:t>
      </w:r>
      <w:r w:rsidR="005C04E5">
        <w:rPr>
          <w:lang w:eastAsia="en-US"/>
        </w:rPr>
        <w:t xml:space="preserve">, the Court </w:t>
      </w:r>
      <w:r w:rsidR="00B73BF2">
        <w:rPr>
          <w:lang w:eastAsia="en-US"/>
        </w:rPr>
        <w:t>observes</w:t>
      </w:r>
      <w:r w:rsidR="005C04E5">
        <w:rPr>
          <w:lang w:eastAsia="en-US"/>
        </w:rPr>
        <w:t xml:space="preserve"> that </w:t>
      </w:r>
      <w:r w:rsidR="00170C03">
        <w:rPr>
          <w:lang w:eastAsia="en-US"/>
        </w:rPr>
        <w:t xml:space="preserve">in the present case </w:t>
      </w:r>
      <w:r w:rsidR="005C04E5">
        <w:rPr>
          <w:lang w:eastAsia="en-US"/>
        </w:rPr>
        <w:t>the Government argue</w:t>
      </w:r>
      <w:r w:rsidR="006827B3">
        <w:rPr>
          <w:lang w:eastAsia="en-US"/>
        </w:rPr>
        <w:t>d</w:t>
      </w:r>
      <w:r w:rsidR="005C04E5">
        <w:rPr>
          <w:lang w:eastAsia="en-US"/>
        </w:rPr>
        <w:t xml:space="preserve"> that </w:t>
      </w:r>
      <w:r w:rsidR="00AF399C">
        <w:rPr>
          <w:lang w:eastAsia="en-US"/>
        </w:rPr>
        <w:t xml:space="preserve">recourse to the administrative courts </w:t>
      </w:r>
      <w:r w:rsidR="00355D40">
        <w:rPr>
          <w:lang w:eastAsia="en-US"/>
        </w:rPr>
        <w:t xml:space="preserve">was a proper remedy </w:t>
      </w:r>
      <w:r w:rsidR="00D31C53">
        <w:rPr>
          <w:lang w:eastAsia="en-US"/>
        </w:rPr>
        <w:t>for</w:t>
      </w:r>
      <w:r w:rsidR="00AF399C">
        <w:rPr>
          <w:lang w:eastAsia="en-US"/>
        </w:rPr>
        <w:t xml:space="preserve"> the applicant</w:t>
      </w:r>
      <w:r w:rsidR="00FD5467">
        <w:rPr>
          <w:lang w:eastAsia="en-US"/>
        </w:rPr>
        <w:t>’</w:t>
      </w:r>
      <w:r w:rsidR="00AF399C">
        <w:rPr>
          <w:lang w:eastAsia="en-US"/>
        </w:rPr>
        <w:t xml:space="preserve">s complaint. </w:t>
      </w:r>
      <w:r w:rsidR="00B73BF2">
        <w:rPr>
          <w:lang w:eastAsia="en-US"/>
        </w:rPr>
        <w:t>It further</w:t>
      </w:r>
      <w:r>
        <w:rPr>
          <w:lang w:eastAsia="en-US"/>
        </w:rPr>
        <w:t xml:space="preserve"> note</w:t>
      </w:r>
      <w:r w:rsidR="005A0C35">
        <w:rPr>
          <w:lang w:eastAsia="en-US"/>
        </w:rPr>
        <w:t xml:space="preserve">s </w:t>
      </w:r>
      <w:r>
        <w:rPr>
          <w:lang w:eastAsia="en-US"/>
        </w:rPr>
        <w:t xml:space="preserve">that </w:t>
      </w:r>
      <w:r w:rsidR="00D5407E">
        <w:rPr>
          <w:lang w:eastAsia="en-US"/>
        </w:rPr>
        <w:t xml:space="preserve">at the material time </w:t>
      </w:r>
      <w:r>
        <w:rPr>
          <w:lang w:eastAsia="en-US"/>
        </w:rPr>
        <w:t>the administrative courts</w:t>
      </w:r>
      <w:r w:rsidR="001E516A">
        <w:rPr>
          <w:lang w:eastAsia="en-US"/>
        </w:rPr>
        <w:t xml:space="preserve"> </w:t>
      </w:r>
      <w:r w:rsidR="00D5407E">
        <w:rPr>
          <w:lang w:eastAsia="en-US"/>
        </w:rPr>
        <w:t>were</w:t>
      </w:r>
      <w:r w:rsidR="001E516A">
        <w:rPr>
          <w:lang w:eastAsia="en-US"/>
        </w:rPr>
        <w:t xml:space="preserve"> </w:t>
      </w:r>
      <w:r w:rsidR="00D5407E">
        <w:rPr>
          <w:lang w:eastAsia="en-US"/>
        </w:rPr>
        <w:t>a</w:t>
      </w:r>
      <w:r w:rsidR="001E516A">
        <w:rPr>
          <w:lang w:eastAsia="en-US"/>
        </w:rPr>
        <w:t xml:space="preserve"> new judicial institution in </w:t>
      </w:r>
      <w:smartTag w:uri="urn:schemas-microsoft-com:office:smarttags" w:element="place">
        <w:smartTag w:uri="urn:schemas-microsoft-com:office:smarttags" w:element="country-region">
          <w:r w:rsidR="001E516A">
            <w:rPr>
              <w:lang w:eastAsia="en-US"/>
            </w:rPr>
            <w:t>Latvia</w:t>
          </w:r>
        </w:smartTag>
      </w:smartTag>
      <w:r w:rsidR="001E516A">
        <w:rPr>
          <w:lang w:eastAsia="en-US"/>
        </w:rPr>
        <w:t xml:space="preserve"> </w:t>
      </w:r>
      <w:r>
        <w:rPr>
          <w:lang w:eastAsia="en-US"/>
        </w:rPr>
        <w:t xml:space="preserve">that </w:t>
      </w:r>
      <w:r w:rsidR="00E41F4D">
        <w:rPr>
          <w:lang w:eastAsia="en-US"/>
        </w:rPr>
        <w:t>ha</w:t>
      </w:r>
      <w:r w:rsidR="00B87458">
        <w:rPr>
          <w:lang w:eastAsia="en-US"/>
        </w:rPr>
        <w:t>d</w:t>
      </w:r>
      <w:r w:rsidR="00E41F4D">
        <w:rPr>
          <w:lang w:eastAsia="en-US"/>
        </w:rPr>
        <w:t xml:space="preserve"> been</w:t>
      </w:r>
      <w:r>
        <w:rPr>
          <w:lang w:eastAsia="en-US"/>
        </w:rPr>
        <w:t xml:space="preserve"> established </w:t>
      </w:r>
      <w:r w:rsidR="00B87458">
        <w:rPr>
          <w:lang w:eastAsia="en-US"/>
        </w:rPr>
        <w:t xml:space="preserve">in 2004 </w:t>
      </w:r>
      <w:r w:rsidR="00D84A43">
        <w:rPr>
          <w:lang w:eastAsia="en-US"/>
        </w:rPr>
        <w:t xml:space="preserve">with a view to </w:t>
      </w:r>
      <w:r w:rsidR="009839EE">
        <w:rPr>
          <w:lang w:eastAsia="en-US"/>
        </w:rPr>
        <w:t xml:space="preserve">the judicial </w:t>
      </w:r>
      <w:r w:rsidR="00D84A43">
        <w:rPr>
          <w:lang w:eastAsia="en-US"/>
        </w:rPr>
        <w:t xml:space="preserve">review </w:t>
      </w:r>
      <w:r w:rsidR="009839EE">
        <w:rPr>
          <w:lang w:eastAsia="en-US"/>
        </w:rPr>
        <w:t xml:space="preserve">of </w:t>
      </w:r>
      <w:r w:rsidR="00D84A43">
        <w:rPr>
          <w:lang w:eastAsia="en-US"/>
        </w:rPr>
        <w:t>administrative acts and actions of public authorities</w:t>
      </w:r>
      <w:r w:rsidR="006270CA">
        <w:rPr>
          <w:lang w:eastAsia="en-US"/>
        </w:rPr>
        <w:t xml:space="preserve">. </w:t>
      </w:r>
      <w:r w:rsidR="006C0B03">
        <w:rPr>
          <w:lang w:eastAsia="en-US"/>
        </w:rPr>
        <w:t>The Court is also aware that at the material time the prosecut</w:t>
      </w:r>
      <w:r w:rsidR="009913A2">
        <w:rPr>
          <w:lang w:eastAsia="en-US"/>
        </w:rPr>
        <w:t>ion authorities</w:t>
      </w:r>
      <w:r w:rsidR="006C0B03">
        <w:rPr>
          <w:lang w:eastAsia="en-US"/>
        </w:rPr>
        <w:t xml:space="preserve"> had general competence</w:t>
      </w:r>
      <w:r w:rsidR="001F019F">
        <w:rPr>
          <w:lang w:eastAsia="en-US"/>
        </w:rPr>
        <w:t xml:space="preserve"> to supervise prisons and </w:t>
      </w:r>
      <w:r w:rsidR="00632DC6">
        <w:rPr>
          <w:lang w:eastAsia="en-US"/>
        </w:rPr>
        <w:t xml:space="preserve">to </w:t>
      </w:r>
      <w:r w:rsidR="001F019F">
        <w:rPr>
          <w:lang w:eastAsia="en-US"/>
        </w:rPr>
        <w:t>protect the rights of detained persons</w:t>
      </w:r>
      <w:r w:rsidR="0061070D">
        <w:rPr>
          <w:lang w:eastAsia="en-US"/>
        </w:rPr>
        <w:t xml:space="preserve"> (see </w:t>
      </w:r>
      <w:r w:rsidR="001B13A7" w:rsidRPr="003D0568">
        <w:rPr>
          <w:i/>
          <w:szCs w:val="24"/>
          <w:lang w:eastAsia="en-US"/>
        </w:rPr>
        <w:t xml:space="preserve">Kadiķis v. </w:t>
      </w:r>
      <w:smartTag w:uri="urn:schemas-microsoft-com:office:smarttags" w:element="place">
        <w:smartTag w:uri="urn:schemas-microsoft-com:office:smarttags" w:element="country-region">
          <w:r w:rsidR="001B13A7" w:rsidRPr="003D0568">
            <w:rPr>
              <w:i/>
              <w:szCs w:val="24"/>
              <w:lang w:eastAsia="en-US"/>
            </w:rPr>
            <w:t>Latvia</w:t>
          </w:r>
        </w:smartTag>
      </w:smartTag>
      <w:r w:rsidR="001B13A7" w:rsidRPr="003D0568">
        <w:rPr>
          <w:i/>
          <w:szCs w:val="24"/>
          <w:lang w:eastAsia="en-US"/>
        </w:rPr>
        <w:t xml:space="preserve"> (no. 2)</w:t>
      </w:r>
      <w:r w:rsidR="001B13A7">
        <w:rPr>
          <w:szCs w:val="24"/>
          <w:lang w:eastAsia="en-US"/>
        </w:rPr>
        <w:t xml:space="preserve">, </w:t>
      </w:r>
      <w:r w:rsidR="001B13A7" w:rsidRPr="003D0568">
        <w:rPr>
          <w:szCs w:val="24"/>
          <w:lang w:eastAsia="en-US"/>
        </w:rPr>
        <w:t>no.</w:t>
      </w:r>
      <w:r w:rsidR="001B13A7">
        <w:rPr>
          <w:szCs w:val="24"/>
          <w:lang w:eastAsia="en-US"/>
        </w:rPr>
        <w:t> </w:t>
      </w:r>
      <w:r w:rsidR="001B13A7" w:rsidRPr="003D0568">
        <w:rPr>
          <w:szCs w:val="24"/>
          <w:lang w:eastAsia="en-US"/>
        </w:rPr>
        <w:t>62393/00, §</w:t>
      </w:r>
      <w:r w:rsidR="001B13A7">
        <w:rPr>
          <w:szCs w:val="24"/>
          <w:lang w:eastAsia="en-US"/>
        </w:rPr>
        <w:t>§</w:t>
      </w:r>
      <w:r w:rsidR="00E87F8C">
        <w:rPr>
          <w:szCs w:val="24"/>
          <w:lang w:eastAsia="en-US"/>
        </w:rPr>
        <w:t> </w:t>
      </w:r>
      <w:r w:rsidR="001B13A7">
        <w:rPr>
          <w:szCs w:val="24"/>
          <w:lang w:eastAsia="en-US"/>
        </w:rPr>
        <w:t>29 and 62</w:t>
      </w:r>
      <w:r w:rsidR="001B13A7" w:rsidRPr="003D0568">
        <w:rPr>
          <w:szCs w:val="24"/>
          <w:lang w:eastAsia="en-US"/>
        </w:rPr>
        <w:t>, 4 May 2006</w:t>
      </w:r>
      <w:r w:rsidR="001B13A7">
        <w:rPr>
          <w:szCs w:val="24"/>
          <w:lang w:eastAsia="en-US"/>
        </w:rPr>
        <w:t>)</w:t>
      </w:r>
      <w:r w:rsidR="001F019F">
        <w:rPr>
          <w:lang w:eastAsia="en-US"/>
        </w:rPr>
        <w:t>.</w:t>
      </w:r>
      <w:r w:rsidR="00E373EA">
        <w:rPr>
          <w:lang w:eastAsia="en-US"/>
        </w:rPr>
        <w:t xml:space="preserve"> The</w:t>
      </w:r>
      <w:r w:rsidR="00E23CAD">
        <w:rPr>
          <w:lang w:eastAsia="en-US"/>
        </w:rPr>
        <w:t xml:space="preserve"> entry into force of the Law of Administrative Procedure</w:t>
      </w:r>
      <w:r w:rsidR="00A9367E">
        <w:rPr>
          <w:lang w:eastAsia="en-US"/>
        </w:rPr>
        <w:t xml:space="preserve"> did not clarify the scope of these remedies.</w:t>
      </w:r>
      <w:r w:rsidR="002B6F93">
        <w:rPr>
          <w:lang w:eastAsia="en-US"/>
        </w:rPr>
        <w:t xml:space="preserve"> The Court has already found that recourse to the prosecution authorities was not an effective remedy</w:t>
      </w:r>
      <w:r w:rsidR="00D81E67">
        <w:rPr>
          <w:lang w:eastAsia="en-US"/>
        </w:rPr>
        <w:t xml:space="preserve"> in circumstances</w:t>
      </w:r>
      <w:r w:rsidR="002B6F93">
        <w:rPr>
          <w:lang w:eastAsia="en-US"/>
        </w:rPr>
        <w:t xml:space="preserve"> </w:t>
      </w:r>
      <w:r w:rsidR="00EE746A">
        <w:rPr>
          <w:lang w:eastAsia="en-US"/>
        </w:rPr>
        <w:t xml:space="preserve">where </w:t>
      </w:r>
      <w:r w:rsidR="002B6F93">
        <w:rPr>
          <w:lang w:eastAsia="en-US"/>
        </w:rPr>
        <w:t xml:space="preserve">they were aware of the problem of </w:t>
      </w:r>
      <w:r w:rsidR="00EE746A">
        <w:rPr>
          <w:lang w:eastAsia="en-US"/>
        </w:rPr>
        <w:t xml:space="preserve">prison </w:t>
      </w:r>
      <w:r w:rsidR="002B6F93">
        <w:rPr>
          <w:lang w:eastAsia="en-US"/>
        </w:rPr>
        <w:t>overcrowding but failed to act to remedy that situation</w:t>
      </w:r>
      <w:r w:rsidR="006B3D0E">
        <w:rPr>
          <w:lang w:eastAsia="en-US"/>
        </w:rPr>
        <w:t xml:space="preserve"> (see </w:t>
      </w:r>
      <w:r w:rsidR="00AA6297">
        <w:rPr>
          <w:i/>
          <w:lang w:eastAsia="en-US"/>
        </w:rPr>
        <w:t>Bazjaks</w:t>
      </w:r>
      <w:r w:rsidR="00AA6297">
        <w:rPr>
          <w:lang w:eastAsia="en-US"/>
        </w:rPr>
        <w:t>, cited above, §</w:t>
      </w:r>
      <w:r w:rsidR="008D648B">
        <w:rPr>
          <w:lang w:eastAsia="en-US"/>
        </w:rPr>
        <w:t>§</w:t>
      </w:r>
      <w:r w:rsidR="00C22854">
        <w:rPr>
          <w:lang w:eastAsia="en-US"/>
        </w:rPr>
        <w:t> </w:t>
      </w:r>
      <w:r w:rsidR="005A1884">
        <w:rPr>
          <w:lang w:eastAsia="en-US"/>
        </w:rPr>
        <w:t>88 to 89)</w:t>
      </w:r>
      <w:r w:rsidR="002B6F93">
        <w:rPr>
          <w:lang w:eastAsia="en-US"/>
        </w:rPr>
        <w:t xml:space="preserve">. </w:t>
      </w:r>
      <w:r w:rsidR="00055199">
        <w:rPr>
          <w:lang w:eastAsia="en-US"/>
        </w:rPr>
        <w:t xml:space="preserve">Similarly, </w:t>
      </w:r>
      <w:r w:rsidR="003F469F">
        <w:rPr>
          <w:lang w:eastAsia="en-US"/>
        </w:rPr>
        <w:t>in the present case the prosecutor</w:t>
      </w:r>
      <w:r w:rsidR="00FD5467">
        <w:rPr>
          <w:lang w:eastAsia="en-US"/>
        </w:rPr>
        <w:t>’</w:t>
      </w:r>
      <w:r w:rsidR="003F469F">
        <w:rPr>
          <w:lang w:eastAsia="en-US"/>
        </w:rPr>
        <w:t xml:space="preserve">s office </w:t>
      </w:r>
      <w:r w:rsidR="00A27FE8">
        <w:rPr>
          <w:lang w:eastAsia="en-US"/>
        </w:rPr>
        <w:t>was aware of the lack of personal hygiene items for detainees</w:t>
      </w:r>
      <w:r w:rsidR="00596880">
        <w:rPr>
          <w:lang w:eastAsia="en-US"/>
        </w:rPr>
        <w:t xml:space="preserve"> but did not act in any way to remedy the </w:t>
      </w:r>
      <w:r w:rsidR="0061042C">
        <w:rPr>
          <w:lang w:eastAsia="en-US"/>
        </w:rPr>
        <w:t>applicant</w:t>
      </w:r>
      <w:r w:rsidR="00FD5467">
        <w:rPr>
          <w:lang w:eastAsia="en-US"/>
        </w:rPr>
        <w:t>’</w:t>
      </w:r>
      <w:r w:rsidR="0061042C">
        <w:rPr>
          <w:lang w:eastAsia="en-US"/>
        </w:rPr>
        <w:t xml:space="preserve">s </w:t>
      </w:r>
      <w:r w:rsidR="00596880">
        <w:rPr>
          <w:lang w:eastAsia="en-US"/>
        </w:rPr>
        <w:t xml:space="preserve">situation – </w:t>
      </w:r>
      <w:r w:rsidR="00AF7EA3">
        <w:rPr>
          <w:lang w:eastAsia="en-US"/>
        </w:rPr>
        <w:t>his</w:t>
      </w:r>
      <w:r w:rsidR="00596880">
        <w:rPr>
          <w:lang w:eastAsia="en-US"/>
        </w:rPr>
        <w:t xml:space="preserve"> complaint in this connection was merely forwarded to the Prisons Administration.</w:t>
      </w:r>
      <w:r w:rsidR="00504EA6">
        <w:rPr>
          <w:lang w:eastAsia="en-US"/>
        </w:rPr>
        <w:t xml:space="preserve"> </w:t>
      </w:r>
      <w:r w:rsidR="00F612FB">
        <w:rPr>
          <w:lang w:eastAsia="en-US"/>
        </w:rPr>
        <w:t xml:space="preserve">In view of such circumstances and clearly conflicting </w:t>
      </w:r>
      <w:r w:rsidR="00612561">
        <w:rPr>
          <w:lang w:eastAsia="en-US"/>
        </w:rPr>
        <w:t>opinions</w:t>
      </w:r>
      <w:r w:rsidR="00F612FB">
        <w:rPr>
          <w:lang w:eastAsia="en-US"/>
        </w:rPr>
        <w:t xml:space="preserve"> </w:t>
      </w:r>
      <w:r w:rsidR="006E5FDE">
        <w:rPr>
          <w:lang w:eastAsia="en-US"/>
        </w:rPr>
        <w:t>at th</w:t>
      </w:r>
      <w:r w:rsidR="006E5FDE" w:rsidRPr="008041AA">
        <w:rPr>
          <w:lang w:eastAsia="en-US"/>
        </w:rPr>
        <w:t xml:space="preserve">e national level </w:t>
      </w:r>
      <w:r w:rsidR="006827B3" w:rsidRPr="008041AA">
        <w:rPr>
          <w:lang w:eastAsia="en-US"/>
        </w:rPr>
        <w:t>(see</w:t>
      </w:r>
      <w:r w:rsidR="00FF7EA7" w:rsidRPr="008041AA">
        <w:rPr>
          <w:lang w:eastAsia="en-US"/>
        </w:rPr>
        <w:t xml:space="preserve"> also</w:t>
      </w:r>
      <w:r w:rsidR="006827B3" w:rsidRPr="008041AA">
        <w:rPr>
          <w:lang w:eastAsia="en-US"/>
        </w:rPr>
        <w:t xml:space="preserve"> the </w:t>
      </w:r>
      <w:r w:rsidR="00390C77" w:rsidRPr="008041AA">
        <w:rPr>
          <w:lang w:eastAsia="en-US"/>
        </w:rPr>
        <w:t xml:space="preserve">position </w:t>
      </w:r>
      <w:r w:rsidR="007D4AE8" w:rsidRPr="008041AA">
        <w:rPr>
          <w:lang w:eastAsia="en-US"/>
        </w:rPr>
        <w:t xml:space="preserve">of the </w:t>
      </w:r>
      <w:r w:rsidR="006332EB" w:rsidRPr="008041AA">
        <w:rPr>
          <w:lang w:eastAsia="en-US"/>
        </w:rPr>
        <w:t>National</w:t>
      </w:r>
      <w:r w:rsidR="007D4AE8" w:rsidRPr="008041AA">
        <w:rPr>
          <w:lang w:eastAsia="en-US"/>
        </w:rPr>
        <w:t xml:space="preserve"> Human Rights </w:t>
      </w:r>
      <w:r w:rsidR="008041AA" w:rsidRPr="008041AA">
        <w:rPr>
          <w:lang w:eastAsia="en-US"/>
        </w:rPr>
        <w:t>Office</w:t>
      </w:r>
      <w:r w:rsidR="00EE746A">
        <w:rPr>
          <w:lang w:eastAsia="en-US"/>
        </w:rPr>
        <w:t xml:space="preserve"> noted in </w:t>
      </w:r>
      <w:r w:rsidR="007D4AE8">
        <w:rPr>
          <w:lang w:eastAsia="en-US"/>
        </w:rPr>
        <w:t>paragraph</w:t>
      </w:r>
      <w:r w:rsidR="00C83761">
        <w:rPr>
          <w:lang w:eastAsia="en-US"/>
        </w:rPr>
        <w:t>s</w:t>
      </w:r>
      <w:r w:rsidR="007D4AE8">
        <w:rPr>
          <w:lang w:eastAsia="en-US"/>
        </w:rPr>
        <w:t xml:space="preserve"> </w:t>
      </w:r>
      <w:r w:rsidR="007D4AE8">
        <w:rPr>
          <w:lang w:eastAsia="en-US"/>
        </w:rPr>
        <w:fldChar w:fldCharType="begin"/>
      </w:r>
      <w:r w:rsidR="007D4AE8">
        <w:rPr>
          <w:lang w:eastAsia="en-US"/>
        </w:rPr>
        <w:instrText xml:space="preserve"> REF facts_VCB \h </w:instrText>
      </w:r>
      <w:r w:rsidR="007D4AE8">
        <w:rPr>
          <w:lang w:eastAsia="en-US"/>
        </w:rPr>
      </w:r>
      <w:r w:rsidR="007D4AE8">
        <w:rPr>
          <w:lang w:eastAsia="en-US"/>
        </w:rPr>
        <w:fldChar w:fldCharType="separate"/>
      </w:r>
      <w:r w:rsidR="008806B0">
        <w:rPr>
          <w:noProof/>
        </w:rPr>
        <w:t>16</w:t>
      </w:r>
      <w:r w:rsidR="007D4AE8">
        <w:rPr>
          <w:lang w:eastAsia="en-US"/>
        </w:rPr>
        <w:fldChar w:fldCharType="end"/>
      </w:r>
      <w:r w:rsidR="007D4AE8">
        <w:rPr>
          <w:lang w:eastAsia="en-US"/>
        </w:rPr>
        <w:t xml:space="preserve"> </w:t>
      </w:r>
      <w:r w:rsidR="00C83761">
        <w:rPr>
          <w:lang w:eastAsia="en-US"/>
        </w:rPr>
        <w:t xml:space="preserve">and </w:t>
      </w:r>
      <w:r w:rsidR="00C83761">
        <w:rPr>
          <w:lang w:eastAsia="en-US"/>
        </w:rPr>
        <w:fldChar w:fldCharType="begin"/>
      </w:r>
      <w:r w:rsidR="00C83761">
        <w:rPr>
          <w:lang w:eastAsia="en-US"/>
        </w:rPr>
        <w:instrText xml:space="preserve"> REF domlaw_VCB_visit \h </w:instrText>
      </w:r>
      <w:r w:rsidR="00C83761">
        <w:rPr>
          <w:lang w:eastAsia="en-US"/>
        </w:rPr>
      </w:r>
      <w:r w:rsidR="00C83761">
        <w:rPr>
          <w:lang w:eastAsia="en-US"/>
        </w:rPr>
        <w:fldChar w:fldCharType="separate"/>
      </w:r>
      <w:r w:rsidR="008806B0">
        <w:rPr>
          <w:noProof/>
        </w:rPr>
        <w:t>27</w:t>
      </w:r>
      <w:r w:rsidR="00C83761">
        <w:rPr>
          <w:lang w:eastAsia="en-US"/>
        </w:rPr>
        <w:fldChar w:fldCharType="end"/>
      </w:r>
      <w:r w:rsidR="00C83761">
        <w:rPr>
          <w:lang w:eastAsia="en-US"/>
        </w:rPr>
        <w:t xml:space="preserve"> </w:t>
      </w:r>
      <w:r w:rsidR="007D4AE8">
        <w:rPr>
          <w:lang w:eastAsia="en-US"/>
        </w:rPr>
        <w:t>above)</w:t>
      </w:r>
      <w:r w:rsidR="00E44794">
        <w:rPr>
          <w:lang w:eastAsia="en-US"/>
        </w:rPr>
        <w:t xml:space="preserve"> as concerns </w:t>
      </w:r>
      <w:r w:rsidR="00EE746A">
        <w:rPr>
          <w:lang w:eastAsia="en-US"/>
        </w:rPr>
        <w:t xml:space="preserve">the </w:t>
      </w:r>
      <w:r w:rsidR="00097D7B">
        <w:rPr>
          <w:lang w:eastAsia="en-US"/>
        </w:rPr>
        <w:t>proper</w:t>
      </w:r>
      <w:r w:rsidR="00E44794">
        <w:rPr>
          <w:lang w:eastAsia="en-US"/>
        </w:rPr>
        <w:t xml:space="preserve"> </w:t>
      </w:r>
      <w:r w:rsidR="00097D7B">
        <w:rPr>
          <w:lang w:eastAsia="en-US"/>
        </w:rPr>
        <w:t>domestic remedy for the applicant</w:t>
      </w:r>
      <w:r w:rsidR="00FD5467">
        <w:rPr>
          <w:lang w:eastAsia="en-US"/>
        </w:rPr>
        <w:t>’</w:t>
      </w:r>
      <w:r w:rsidR="00097D7B">
        <w:rPr>
          <w:lang w:eastAsia="en-US"/>
        </w:rPr>
        <w:t xml:space="preserve">s complaint, the Court will examine whether review by the administrative courts </w:t>
      </w:r>
      <w:r w:rsidR="00DA2EE0">
        <w:rPr>
          <w:lang w:eastAsia="en-US"/>
        </w:rPr>
        <w:t xml:space="preserve">at the material time </w:t>
      </w:r>
      <w:r w:rsidR="00097D7B">
        <w:rPr>
          <w:lang w:eastAsia="en-US"/>
        </w:rPr>
        <w:t xml:space="preserve">was </w:t>
      </w:r>
      <w:r w:rsidR="00EE746A">
        <w:rPr>
          <w:lang w:eastAsia="en-US"/>
        </w:rPr>
        <w:t xml:space="preserve">the </w:t>
      </w:r>
      <w:r w:rsidR="00097D7B">
        <w:rPr>
          <w:lang w:eastAsia="en-US"/>
        </w:rPr>
        <w:t>appropriate course of action.</w:t>
      </w:r>
    </w:p>
    <w:p w:rsidR="00BD1CCE" w:rsidRDefault="00F6137C" w:rsidP="00723073">
      <w:pPr>
        <w:pStyle w:val="JuPara"/>
        <w:rPr>
          <w:szCs w:val="24"/>
          <w:lang w:eastAsia="en-US"/>
        </w:rPr>
      </w:pPr>
      <w:r>
        <w:rPr>
          <w:szCs w:val="24"/>
        </w:rPr>
        <w:fldChar w:fldCharType="begin"/>
      </w:r>
      <w:r>
        <w:rPr>
          <w:szCs w:val="24"/>
        </w:rPr>
        <w:instrText xml:space="preserve"> SEQ level0 \*arabic </w:instrText>
      </w:r>
      <w:r>
        <w:rPr>
          <w:szCs w:val="24"/>
        </w:rPr>
        <w:fldChar w:fldCharType="separate"/>
      </w:r>
      <w:r w:rsidR="008806B0">
        <w:rPr>
          <w:noProof/>
          <w:szCs w:val="24"/>
        </w:rPr>
        <w:t>50</w:t>
      </w:r>
      <w:r>
        <w:rPr>
          <w:szCs w:val="24"/>
        </w:rPr>
        <w:fldChar w:fldCharType="end"/>
      </w:r>
      <w:r>
        <w:rPr>
          <w:szCs w:val="24"/>
        </w:rPr>
        <w:t>.  </w:t>
      </w:r>
      <w:r w:rsidR="00D13B37">
        <w:rPr>
          <w:szCs w:val="24"/>
        </w:rPr>
        <w:t xml:space="preserve">From the outset, </w:t>
      </w:r>
      <w:r w:rsidR="00D13B37">
        <w:t>the Court recognises the importance, underlined by the Government, of allowing relatively new remedies to develop, if necessary, through rulings of the State</w:t>
      </w:r>
      <w:r w:rsidR="00FD5467">
        <w:t>’</w:t>
      </w:r>
      <w:r w:rsidR="00D13B37">
        <w:t>s higher courts setting aside those of the lower courts. It is nevertheless the case that, in the absence of a specifically introduced remedy, the development and availability of a remedy said to exist, its scope and application must be clearly set out and confirmed or complemented by the domestic courts</w:t>
      </w:r>
      <w:r w:rsidR="00FD5467">
        <w:t>’</w:t>
      </w:r>
      <w:r w:rsidR="00D13B37">
        <w:t xml:space="preserve"> case-law (see, </w:t>
      </w:r>
      <w:r w:rsidR="00D13B37">
        <w:rPr>
          <w:i/>
        </w:rPr>
        <w:t>mutatis mutandis</w:t>
      </w:r>
      <w:r w:rsidR="00D13B37">
        <w:t xml:space="preserve">, </w:t>
      </w:r>
      <w:r w:rsidR="00D13B37" w:rsidRPr="006D659D">
        <w:rPr>
          <w:i/>
          <w:lang w:eastAsia="en-US"/>
        </w:rPr>
        <w:t xml:space="preserve">Šoć v. </w:t>
      </w:r>
      <w:smartTag w:uri="urn:schemas-microsoft-com:office:smarttags" w:element="country-region">
        <w:smartTag w:uri="urn:schemas-microsoft-com:office:smarttags" w:element="place">
          <w:r w:rsidR="00D13B37" w:rsidRPr="006D659D">
            <w:rPr>
              <w:i/>
              <w:lang w:eastAsia="en-US"/>
            </w:rPr>
            <w:t>Croatia</w:t>
          </w:r>
        </w:smartTag>
      </w:smartTag>
      <w:r w:rsidR="00D13B37" w:rsidRPr="006D659D">
        <w:rPr>
          <w:lang w:eastAsia="en-US"/>
        </w:rPr>
        <w:t>,</w:t>
      </w:r>
      <w:r w:rsidR="00D13B37" w:rsidRPr="006D659D">
        <w:rPr>
          <w:i/>
          <w:lang w:eastAsia="en-US"/>
        </w:rPr>
        <w:t xml:space="preserve"> </w:t>
      </w:r>
      <w:r w:rsidR="00D13B37" w:rsidRPr="006D659D">
        <w:rPr>
          <w:lang w:eastAsia="en-US"/>
        </w:rPr>
        <w:t>no. 47863/99, §</w:t>
      </w:r>
      <w:r w:rsidR="00D13B37">
        <w:rPr>
          <w:lang w:eastAsia="en-US"/>
        </w:rPr>
        <w:t>§</w:t>
      </w:r>
      <w:r w:rsidR="00D13B37" w:rsidRPr="006D659D">
        <w:rPr>
          <w:lang w:eastAsia="en-US"/>
        </w:rPr>
        <w:t xml:space="preserve"> </w:t>
      </w:r>
      <w:r w:rsidR="00D13B37">
        <w:rPr>
          <w:lang w:eastAsia="en-US"/>
        </w:rPr>
        <w:t>93-94</w:t>
      </w:r>
      <w:r w:rsidR="00D13B37" w:rsidRPr="006D659D">
        <w:rPr>
          <w:lang w:eastAsia="en-US"/>
        </w:rPr>
        <w:t>, 9 May 2003</w:t>
      </w:r>
      <w:r w:rsidR="00D13B37">
        <w:rPr>
          <w:lang w:eastAsia="en-US"/>
        </w:rPr>
        <w:t xml:space="preserve">; </w:t>
      </w:r>
      <w:r w:rsidR="00D13B37" w:rsidRPr="00513336">
        <w:rPr>
          <w:i/>
          <w:szCs w:val="24"/>
          <w:lang w:eastAsia="en-US"/>
        </w:rPr>
        <w:t>Apostol v.</w:t>
      </w:r>
      <w:r w:rsidR="00766027">
        <w:rPr>
          <w:i/>
          <w:szCs w:val="24"/>
          <w:lang w:eastAsia="en-US"/>
        </w:rPr>
        <w:t> </w:t>
      </w:r>
      <w:r w:rsidR="00D13B37" w:rsidRPr="00513336">
        <w:rPr>
          <w:i/>
          <w:szCs w:val="24"/>
          <w:lang w:eastAsia="en-US"/>
        </w:rPr>
        <w:t>Georgia</w:t>
      </w:r>
      <w:r w:rsidR="00D13B37" w:rsidRPr="00513336">
        <w:rPr>
          <w:szCs w:val="24"/>
          <w:lang w:eastAsia="en-US"/>
        </w:rPr>
        <w:t>, no.</w:t>
      </w:r>
      <w:r w:rsidR="00D13B37">
        <w:rPr>
          <w:szCs w:val="24"/>
          <w:lang w:eastAsia="en-US"/>
        </w:rPr>
        <w:t> </w:t>
      </w:r>
      <w:r w:rsidR="00D13B37" w:rsidRPr="00513336">
        <w:rPr>
          <w:szCs w:val="24"/>
          <w:lang w:eastAsia="en-US"/>
        </w:rPr>
        <w:t>40765/02, §</w:t>
      </w:r>
      <w:r w:rsidR="00D13B37">
        <w:rPr>
          <w:szCs w:val="24"/>
          <w:lang w:eastAsia="en-US"/>
        </w:rPr>
        <w:t> 38</w:t>
      </w:r>
      <w:r w:rsidR="00D13B37" w:rsidRPr="00513336">
        <w:rPr>
          <w:szCs w:val="24"/>
          <w:lang w:eastAsia="en-US"/>
        </w:rPr>
        <w:t>, ECHR 2006</w:t>
      </w:r>
      <w:r w:rsidR="00D13B37" w:rsidRPr="00513336">
        <w:rPr>
          <w:szCs w:val="24"/>
          <w:lang w:eastAsia="en-US"/>
        </w:rPr>
        <w:noBreakHyphen/>
        <w:t>XIV</w:t>
      </w:r>
      <w:r w:rsidR="00D13B37">
        <w:rPr>
          <w:szCs w:val="24"/>
          <w:lang w:eastAsia="en-US"/>
        </w:rPr>
        <w:t xml:space="preserve">; and, most recently, </w:t>
      </w:r>
      <w:r w:rsidR="00D13B37" w:rsidRPr="00DE06E3">
        <w:rPr>
          <w:i/>
          <w:snapToGrid w:val="0"/>
          <w:lang w:eastAsia="en-US"/>
        </w:rPr>
        <w:t xml:space="preserve">McFarlane v. </w:t>
      </w:r>
      <w:smartTag w:uri="urn:schemas-microsoft-com:office:smarttags" w:element="place">
        <w:smartTag w:uri="urn:schemas-microsoft-com:office:smarttags" w:element="country-region">
          <w:r w:rsidR="00D13B37" w:rsidRPr="00DE06E3">
            <w:rPr>
              <w:i/>
              <w:snapToGrid w:val="0"/>
              <w:lang w:eastAsia="en-US"/>
            </w:rPr>
            <w:t>Ireland</w:t>
          </w:r>
        </w:smartTag>
      </w:smartTag>
      <w:r w:rsidR="00D13B37" w:rsidRPr="00DE06E3">
        <w:rPr>
          <w:i/>
          <w:snapToGrid w:val="0"/>
          <w:lang w:eastAsia="en-US"/>
        </w:rPr>
        <w:t xml:space="preserve"> </w:t>
      </w:r>
      <w:r w:rsidR="00D13B37" w:rsidRPr="00DE06E3">
        <w:rPr>
          <w:snapToGrid w:val="0"/>
          <w:lang w:eastAsia="en-US"/>
        </w:rPr>
        <w:t>[GC]</w:t>
      </w:r>
      <w:r w:rsidR="00D13B37" w:rsidRPr="00DE06E3">
        <w:rPr>
          <w:snapToGrid w:val="0"/>
          <w:szCs w:val="24"/>
          <w:lang w:eastAsia="en-US"/>
        </w:rPr>
        <w:t xml:space="preserve">, </w:t>
      </w:r>
      <w:r w:rsidR="00D13B37" w:rsidRPr="00DE06E3">
        <w:rPr>
          <w:lang w:eastAsia="en-US"/>
        </w:rPr>
        <w:t>no. 31333/06, §</w:t>
      </w:r>
      <w:r w:rsidR="00D13B37">
        <w:rPr>
          <w:lang w:eastAsia="en-US"/>
        </w:rPr>
        <w:t> 120</w:t>
      </w:r>
      <w:r w:rsidR="00D13B37" w:rsidRPr="00DE06E3">
        <w:rPr>
          <w:lang w:eastAsia="en-US"/>
        </w:rPr>
        <w:t>, 10 September 2010</w:t>
      </w:r>
      <w:r w:rsidR="00D13B37">
        <w:rPr>
          <w:szCs w:val="24"/>
          <w:lang w:eastAsia="en-US"/>
        </w:rPr>
        <w:t xml:space="preserve">). Referring to the principles established above </w:t>
      </w:r>
      <w:r w:rsidR="00D13B37">
        <w:t xml:space="preserve">(see paragraph </w:t>
      </w:r>
      <w:r w:rsidR="00D13B37">
        <w:fldChar w:fldCharType="begin"/>
      </w:r>
      <w:r w:rsidR="00D13B37">
        <w:instrText xml:space="preserve"> REF law_ef_rem \h </w:instrText>
      </w:r>
      <w:r w:rsidR="00D13B37">
        <w:fldChar w:fldCharType="separate"/>
      </w:r>
      <w:r w:rsidR="008806B0">
        <w:rPr>
          <w:noProof/>
        </w:rPr>
        <w:t>46</w:t>
      </w:r>
      <w:r w:rsidR="00D13B37">
        <w:fldChar w:fldCharType="end"/>
      </w:r>
      <w:r w:rsidR="00D13B37">
        <w:t>)</w:t>
      </w:r>
      <w:r w:rsidR="00D13B37">
        <w:rPr>
          <w:szCs w:val="24"/>
          <w:lang w:eastAsia="en-US"/>
        </w:rPr>
        <w:t>, the Court would add that the burden of proof in this regard lies with the Government and it is for the Government to submit any pertinent examples of domestic case-law to the Court with a view to demonstrating the scope of a newly established remedy and its application in practice.</w:t>
      </w:r>
    </w:p>
    <w:p w:rsidR="00BD1CCE" w:rsidRDefault="00354316" w:rsidP="00723073">
      <w:pPr>
        <w:pStyle w:val="JuPara"/>
        <w:rPr>
          <w:szCs w:val="24"/>
        </w:rPr>
      </w:pPr>
      <w:r w:rsidRPr="00354316">
        <w:rPr>
          <w:szCs w:val="24"/>
        </w:rPr>
        <w:fldChar w:fldCharType="begin"/>
      </w:r>
      <w:r w:rsidRPr="00354316">
        <w:rPr>
          <w:szCs w:val="24"/>
        </w:rPr>
        <w:instrText xml:space="preserve"> SEQ level0 \*arabic </w:instrText>
      </w:r>
      <w:r w:rsidRPr="00354316">
        <w:rPr>
          <w:szCs w:val="24"/>
        </w:rPr>
        <w:fldChar w:fldCharType="separate"/>
      </w:r>
      <w:r w:rsidR="008806B0">
        <w:rPr>
          <w:noProof/>
          <w:szCs w:val="24"/>
        </w:rPr>
        <w:t>51</w:t>
      </w:r>
      <w:r w:rsidRPr="00354316">
        <w:rPr>
          <w:szCs w:val="24"/>
        </w:rPr>
        <w:fldChar w:fldCharType="end"/>
      </w:r>
      <w:r w:rsidRPr="00354316">
        <w:rPr>
          <w:szCs w:val="24"/>
        </w:rPr>
        <w:t>.  </w:t>
      </w:r>
      <w:r w:rsidR="0092656F">
        <w:rPr>
          <w:szCs w:val="24"/>
        </w:rPr>
        <w:t>Turning to the circumstances of the present case, the Court acknowledge</w:t>
      </w:r>
      <w:r w:rsidR="00CC72A2">
        <w:rPr>
          <w:szCs w:val="24"/>
        </w:rPr>
        <w:t>s</w:t>
      </w:r>
      <w:r w:rsidR="0092656F">
        <w:rPr>
          <w:szCs w:val="24"/>
        </w:rPr>
        <w:t xml:space="preserve"> that at the time of </w:t>
      </w:r>
      <w:r w:rsidR="009A0A8C">
        <w:rPr>
          <w:szCs w:val="24"/>
        </w:rPr>
        <w:t>lodging</w:t>
      </w:r>
      <w:r w:rsidR="0092656F">
        <w:rPr>
          <w:szCs w:val="24"/>
        </w:rPr>
        <w:t xml:space="preserve"> of the </w:t>
      </w:r>
      <w:r w:rsidR="00CC72A2">
        <w:rPr>
          <w:szCs w:val="24"/>
        </w:rPr>
        <w:t xml:space="preserve">present </w:t>
      </w:r>
      <w:r w:rsidR="0092656F">
        <w:rPr>
          <w:szCs w:val="24"/>
        </w:rPr>
        <w:t>application</w:t>
      </w:r>
      <w:r w:rsidR="00CC72A2">
        <w:rPr>
          <w:szCs w:val="24"/>
        </w:rPr>
        <w:t xml:space="preserve"> </w:t>
      </w:r>
      <w:r w:rsidR="009A0A8C">
        <w:rPr>
          <w:szCs w:val="24"/>
        </w:rPr>
        <w:t>with the Court</w:t>
      </w:r>
      <w:r w:rsidR="003E26C1">
        <w:rPr>
          <w:szCs w:val="24"/>
        </w:rPr>
        <w:t>,</w:t>
      </w:r>
      <w:r w:rsidR="009A0A8C">
        <w:rPr>
          <w:szCs w:val="24"/>
        </w:rPr>
        <w:t xml:space="preserve"> </w:t>
      </w:r>
      <w:r w:rsidR="00CC72A2">
        <w:rPr>
          <w:szCs w:val="24"/>
        </w:rPr>
        <w:t xml:space="preserve">the administrative courts </w:t>
      </w:r>
      <w:r w:rsidR="009A0A8C">
        <w:rPr>
          <w:szCs w:val="24"/>
        </w:rPr>
        <w:t xml:space="preserve">in </w:t>
      </w:r>
      <w:smartTag w:uri="urn:schemas-microsoft-com:office:smarttags" w:element="place">
        <w:smartTag w:uri="urn:schemas-microsoft-com:office:smarttags" w:element="country-region">
          <w:r w:rsidR="009A0A8C">
            <w:rPr>
              <w:szCs w:val="24"/>
            </w:rPr>
            <w:t>Latvia</w:t>
          </w:r>
        </w:smartTag>
      </w:smartTag>
      <w:r w:rsidR="009A0A8C">
        <w:rPr>
          <w:szCs w:val="24"/>
        </w:rPr>
        <w:t xml:space="preserve"> </w:t>
      </w:r>
      <w:r w:rsidR="00CC72A2">
        <w:rPr>
          <w:szCs w:val="24"/>
        </w:rPr>
        <w:t>had been operating for more than one year.</w:t>
      </w:r>
      <w:r w:rsidR="009A0A8C">
        <w:rPr>
          <w:szCs w:val="24"/>
        </w:rPr>
        <w:t xml:space="preserve"> </w:t>
      </w:r>
      <w:r w:rsidR="003446F4">
        <w:rPr>
          <w:szCs w:val="24"/>
        </w:rPr>
        <w:t xml:space="preserve">To meet </w:t>
      </w:r>
      <w:r w:rsidR="009B3741">
        <w:rPr>
          <w:szCs w:val="24"/>
        </w:rPr>
        <w:t xml:space="preserve">the </w:t>
      </w:r>
      <w:r w:rsidR="003446F4">
        <w:rPr>
          <w:szCs w:val="24"/>
        </w:rPr>
        <w:t xml:space="preserve">burden </w:t>
      </w:r>
      <w:r w:rsidR="009B3741">
        <w:rPr>
          <w:szCs w:val="24"/>
        </w:rPr>
        <w:t xml:space="preserve">incumbent on the </w:t>
      </w:r>
      <w:r w:rsidR="00550C97">
        <w:rPr>
          <w:szCs w:val="24"/>
        </w:rPr>
        <w:t>Government</w:t>
      </w:r>
      <w:r w:rsidR="004B0EA1">
        <w:rPr>
          <w:szCs w:val="24"/>
        </w:rPr>
        <w:t xml:space="preserve"> to prove </w:t>
      </w:r>
      <w:r w:rsidR="008963F3">
        <w:rPr>
          <w:szCs w:val="24"/>
        </w:rPr>
        <w:t xml:space="preserve">the </w:t>
      </w:r>
      <w:r w:rsidR="004B0EA1">
        <w:rPr>
          <w:szCs w:val="24"/>
        </w:rPr>
        <w:t xml:space="preserve">effectiveness of the </w:t>
      </w:r>
      <w:r w:rsidR="00A343E6">
        <w:rPr>
          <w:szCs w:val="24"/>
        </w:rPr>
        <w:t>newly established</w:t>
      </w:r>
      <w:r w:rsidR="004B0EA1">
        <w:rPr>
          <w:szCs w:val="24"/>
        </w:rPr>
        <w:t xml:space="preserve"> remedy</w:t>
      </w:r>
      <w:r w:rsidR="00BF511D" w:rsidRPr="00BF511D">
        <w:rPr>
          <w:szCs w:val="24"/>
        </w:rPr>
        <w:t xml:space="preserve"> </w:t>
      </w:r>
      <w:r w:rsidR="00BF511D">
        <w:rPr>
          <w:szCs w:val="24"/>
        </w:rPr>
        <w:t>in theory and practice</w:t>
      </w:r>
      <w:r w:rsidR="00573B7F">
        <w:rPr>
          <w:szCs w:val="24"/>
        </w:rPr>
        <w:t>, they</w:t>
      </w:r>
      <w:r w:rsidR="00550C97">
        <w:rPr>
          <w:szCs w:val="24"/>
        </w:rPr>
        <w:t xml:space="preserve"> submitted information about one ruling of the </w:t>
      </w:r>
      <w:r w:rsidR="003169DC">
        <w:rPr>
          <w:szCs w:val="24"/>
        </w:rPr>
        <w:t>Administrative Department of the Supreme Court</w:t>
      </w:r>
      <w:r w:rsidR="00794D41">
        <w:rPr>
          <w:szCs w:val="24"/>
        </w:rPr>
        <w:t xml:space="preserve">, namely, the decision in the </w:t>
      </w:r>
      <w:r w:rsidR="00794D41" w:rsidRPr="00794D41">
        <w:rPr>
          <w:i/>
          <w:szCs w:val="24"/>
        </w:rPr>
        <w:t>Stāmers</w:t>
      </w:r>
      <w:r w:rsidR="00794D41">
        <w:rPr>
          <w:szCs w:val="24"/>
        </w:rPr>
        <w:t xml:space="preserve"> case</w:t>
      </w:r>
      <w:r w:rsidR="005277EA">
        <w:rPr>
          <w:szCs w:val="24"/>
        </w:rPr>
        <w:t>.</w:t>
      </w:r>
      <w:r w:rsidR="00305DA4">
        <w:rPr>
          <w:szCs w:val="24"/>
        </w:rPr>
        <w:t xml:space="preserve"> According to the </w:t>
      </w:r>
      <w:r w:rsidR="008F11D3">
        <w:rPr>
          <w:szCs w:val="24"/>
        </w:rPr>
        <w:t xml:space="preserve">information provided by the </w:t>
      </w:r>
      <w:r w:rsidR="00305DA4">
        <w:rPr>
          <w:szCs w:val="24"/>
        </w:rPr>
        <w:t xml:space="preserve">applicant, which </w:t>
      </w:r>
      <w:r w:rsidR="008F11D3">
        <w:rPr>
          <w:szCs w:val="24"/>
        </w:rPr>
        <w:t xml:space="preserve">was </w:t>
      </w:r>
      <w:r w:rsidR="00305DA4">
        <w:rPr>
          <w:szCs w:val="24"/>
        </w:rPr>
        <w:t>not contested by the Govern</w:t>
      </w:r>
      <w:r w:rsidR="00196F25">
        <w:rPr>
          <w:szCs w:val="24"/>
        </w:rPr>
        <w:t xml:space="preserve">ment, the </w:t>
      </w:r>
      <w:r w:rsidR="00495FB4">
        <w:rPr>
          <w:szCs w:val="24"/>
        </w:rPr>
        <w:t>ruling</w:t>
      </w:r>
      <w:r w:rsidR="00196F25">
        <w:rPr>
          <w:szCs w:val="24"/>
        </w:rPr>
        <w:t xml:space="preserve"> </w:t>
      </w:r>
      <w:r w:rsidR="00495FB4">
        <w:rPr>
          <w:szCs w:val="24"/>
        </w:rPr>
        <w:t xml:space="preserve">in the </w:t>
      </w:r>
      <w:r w:rsidR="00495FB4" w:rsidRPr="00495FB4">
        <w:rPr>
          <w:i/>
          <w:szCs w:val="24"/>
        </w:rPr>
        <w:t>Stāmers</w:t>
      </w:r>
      <w:r w:rsidR="00495FB4" w:rsidRPr="00495FB4">
        <w:rPr>
          <w:szCs w:val="24"/>
        </w:rPr>
        <w:t xml:space="preserve"> case was the</w:t>
      </w:r>
      <w:r w:rsidR="00495FB4">
        <w:rPr>
          <w:szCs w:val="24"/>
          <w:lang w:val="lv-LV"/>
        </w:rPr>
        <w:t xml:space="preserve"> first </w:t>
      </w:r>
      <w:r w:rsidR="00495FB4" w:rsidRPr="008F11D3">
        <w:rPr>
          <w:szCs w:val="24"/>
        </w:rPr>
        <w:t xml:space="preserve">decision </w:t>
      </w:r>
      <w:r w:rsidR="0055029C">
        <w:rPr>
          <w:szCs w:val="24"/>
        </w:rPr>
        <w:t xml:space="preserve">recognising </w:t>
      </w:r>
      <w:r w:rsidR="004C2ACE">
        <w:rPr>
          <w:szCs w:val="24"/>
        </w:rPr>
        <w:t>the administrative courts</w:t>
      </w:r>
      <w:r w:rsidR="00FD5467">
        <w:rPr>
          <w:szCs w:val="24"/>
        </w:rPr>
        <w:t>’</w:t>
      </w:r>
      <w:r w:rsidR="004C2ACE">
        <w:rPr>
          <w:szCs w:val="24"/>
        </w:rPr>
        <w:t xml:space="preserve"> competence to review detainees</w:t>
      </w:r>
      <w:r w:rsidR="00FD5467">
        <w:rPr>
          <w:szCs w:val="24"/>
        </w:rPr>
        <w:t>’</w:t>
      </w:r>
      <w:r w:rsidR="004C2ACE">
        <w:rPr>
          <w:szCs w:val="24"/>
        </w:rPr>
        <w:t xml:space="preserve"> complaints about </w:t>
      </w:r>
      <w:r w:rsidR="00D06B38">
        <w:rPr>
          <w:szCs w:val="24"/>
        </w:rPr>
        <w:t xml:space="preserve">the </w:t>
      </w:r>
      <w:r w:rsidR="004C2ACE">
        <w:rPr>
          <w:szCs w:val="24"/>
        </w:rPr>
        <w:t xml:space="preserve">conditions of </w:t>
      </w:r>
      <w:r w:rsidR="00B84855">
        <w:rPr>
          <w:szCs w:val="24"/>
        </w:rPr>
        <w:t xml:space="preserve">their </w:t>
      </w:r>
      <w:r w:rsidR="004C2ACE">
        <w:rPr>
          <w:szCs w:val="24"/>
        </w:rPr>
        <w:t>detention</w:t>
      </w:r>
      <w:r w:rsidR="00266FE2">
        <w:rPr>
          <w:szCs w:val="24"/>
        </w:rPr>
        <w:t xml:space="preserve"> and introducing</w:t>
      </w:r>
      <w:r w:rsidR="001920FD">
        <w:rPr>
          <w:szCs w:val="24"/>
        </w:rPr>
        <w:t xml:space="preserve"> for that purpose</w:t>
      </w:r>
      <w:r w:rsidR="00B209EC">
        <w:rPr>
          <w:szCs w:val="24"/>
        </w:rPr>
        <w:t xml:space="preserve"> </w:t>
      </w:r>
      <w:r w:rsidR="00991522">
        <w:rPr>
          <w:szCs w:val="24"/>
        </w:rPr>
        <w:t xml:space="preserve">the </w:t>
      </w:r>
      <w:r w:rsidR="00A57DB4">
        <w:rPr>
          <w:szCs w:val="24"/>
        </w:rPr>
        <w:t xml:space="preserve">“significant interference” </w:t>
      </w:r>
      <w:r w:rsidR="00266FE2">
        <w:rPr>
          <w:szCs w:val="24"/>
        </w:rPr>
        <w:t>test.</w:t>
      </w:r>
      <w:r w:rsidR="007A0C4F">
        <w:rPr>
          <w:szCs w:val="24"/>
        </w:rPr>
        <w:t xml:space="preserve"> </w:t>
      </w:r>
      <w:r w:rsidR="00262027">
        <w:rPr>
          <w:szCs w:val="24"/>
        </w:rPr>
        <w:t>Regrettably</w:t>
      </w:r>
      <w:r w:rsidR="007A0C4F">
        <w:rPr>
          <w:szCs w:val="24"/>
        </w:rPr>
        <w:t>, the Court has not been furnished with a copy of that decision</w:t>
      </w:r>
      <w:r w:rsidR="00061DE5">
        <w:rPr>
          <w:szCs w:val="24"/>
        </w:rPr>
        <w:t xml:space="preserve"> or any other </w:t>
      </w:r>
      <w:r w:rsidR="001920FD">
        <w:rPr>
          <w:szCs w:val="24"/>
        </w:rPr>
        <w:t xml:space="preserve">relevant ruling </w:t>
      </w:r>
      <w:r w:rsidR="002217D1">
        <w:rPr>
          <w:szCs w:val="24"/>
        </w:rPr>
        <w:t>showing</w:t>
      </w:r>
      <w:r w:rsidR="001920FD">
        <w:rPr>
          <w:szCs w:val="24"/>
        </w:rPr>
        <w:t xml:space="preserve"> that conditions of detention </w:t>
      </w:r>
      <w:r w:rsidR="00B84855">
        <w:rPr>
          <w:szCs w:val="24"/>
        </w:rPr>
        <w:t xml:space="preserve">fall </w:t>
      </w:r>
      <w:r w:rsidR="001920FD">
        <w:rPr>
          <w:szCs w:val="24"/>
        </w:rPr>
        <w:t>within the notion of “</w:t>
      </w:r>
      <w:r w:rsidR="00315809">
        <w:rPr>
          <w:szCs w:val="24"/>
        </w:rPr>
        <w:t xml:space="preserve">the </w:t>
      </w:r>
      <w:r w:rsidR="001920FD">
        <w:rPr>
          <w:szCs w:val="24"/>
        </w:rPr>
        <w:t xml:space="preserve">action of a public authority” </w:t>
      </w:r>
      <w:r w:rsidR="007C76E3">
        <w:rPr>
          <w:szCs w:val="24"/>
        </w:rPr>
        <w:t>(see paragraph</w:t>
      </w:r>
      <w:r w:rsidR="003107A2">
        <w:rPr>
          <w:szCs w:val="24"/>
        </w:rPr>
        <w:t xml:space="preserve"> </w:t>
      </w:r>
      <w:r w:rsidR="003107A2">
        <w:rPr>
          <w:szCs w:val="24"/>
        </w:rPr>
        <w:fldChar w:fldCharType="begin"/>
      </w:r>
      <w:r w:rsidR="003107A2">
        <w:rPr>
          <w:szCs w:val="24"/>
        </w:rPr>
        <w:instrText xml:space="preserve"> REF domlaw_faktiska_riciba_def \h </w:instrText>
      </w:r>
      <w:r w:rsidR="003107A2" w:rsidRPr="003107A2">
        <w:rPr>
          <w:szCs w:val="24"/>
        </w:rPr>
      </w:r>
      <w:r w:rsidR="003107A2">
        <w:rPr>
          <w:szCs w:val="24"/>
        </w:rPr>
        <w:fldChar w:fldCharType="separate"/>
      </w:r>
      <w:r w:rsidR="008806B0">
        <w:rPr>
          <w:noProof/>
        </w:rPr>
        <w:t>25</w:t>
      </w:r>
      <w:r w:rsidR="003107A2">
        <w:rPr>
          <w:szCs w:val="24"/>
        </w:rPr>
        <w:fldChar w:fldCharType="end"/>
      </w:r>
      <w:r w:rsidR="007C76E3">
        <w:rPr>
          <w:szCs w:val="24"/>
        </w:rPr>
        <w:t xml:space="preserve"> above) </w:t>
      </w:r>
      <w:r w:rsidR="001920FD">
        <w:rPr>
          <w:szCs w:val="24"/>
        </w:rPr>
        <w:t>to which the administrative courts</w:t>
      </w:r>
      <w:r w:rsidR="00FD5467">
        <w:rPr>
          <w:szCs w:val="24"/>
        </w:rPr>
        <w:t>’</w:t>
      </w:r>
      <w:r w:rsidR="001920FD">
        <w:rPr>
          <w:szCs w:val="24"/>
        </w:rPr>
        <w:t xml:space="preserve"> review extends.</w:t>
      </w:r>
      <w:r w:rsidR="007C76E3">
        <w:rPr>
          <w:szCs w:val="24"/>
        </w:rPr>
        <w:t xml:space="preserve"> </w:t>
      </w:r>
      <w:r w:rsidR="001966BD">
        <w:rPr>
          <w:szCs w:val="24"/>
        </w:rPr>
        <w:t>It appears that the application of this notion in practice was not uniform among the administrative courts</w:t>
      </w:r>
      <w:r w:rsidR="00D92F48">
        <w:rPr>
          <w:szCs w:val="24"/>
        </w:rPr>
        <w:t xml:space="preserve"> at the material time</w:t>
      </w:r>
      <w:r w:rsidR="00BD339F">
        <w:rPr>
          <w:szCs w:val="24"/>
        </w:rPr>
        <w:t xml:space="preserve"> and that</w:t>
      </w:r>
      <w:r w:rsidR="001966BD">
        <w:rPr>
          <w:szCs w:val="24"/>
        </w:rPr>
        <w:t xml:space="preserve"> </w:t>
      </w:r>
      <w:r w:rsidR="00D15488">
        <w:rPr>
          <w:szCs w:val="24"/>
        </w:rPr>
        <w:t xml:space="preserve">this </w:t>
      </w:r>
      <w:r w:rsidR="001966BD">
        <w:rPr>
          <w:szCs w:val="24"/>
        </w:rPr>
        <w:t>problem prompted the Supreme Court to examin</w:t>
      </w:r>
      <w:r w:rsidR="008B7D0A">
        <w:rPr>
          <w:szCs w:val="24"/>
        </w:rPr>
        <w:t>e</w:t>
      </w:r>
      <w:r w:rsidR="001966BD">
        <w:rPr>
          <w:szCs w:val="24"/>
        </w:rPr>
        <w:t xml:space="preserve"> the existing </w:t>
      </w:r>
      <w:r w:rsidR="00E4690F">
        <w:rPr>
          <w:szCs w:val="24"/>
        </w:rPr>
        <w:t xml:space="preserve">domestic </w:t>
      </w:r>
      <w:r w:rsidR="001966BD">
        <w:rPr>
          <w:szCs w:val="24"/>
        </w:rPr>
        <w:t xml:space="preserve">practice (see paragraph </w:t>
      </w:r>
      <w:r w:rsidR="00D72C7D">
        <w:rPr>
          <w:szCs w:val="24"/>
        </w:rPr>
        <w:fldChar w:fldCharType="begin"/>
      </w:r>
      <w:r w:rsidR="00D72C7D">
        <w:rPr>
          <w:szCs w:val="24"/>
        </w:rPr>
        <w:instrText xml:space="preserve"> REF domlaw_compilation \h </w:instrText>
      </w:r>
      <w:r w:rsidR="00D72C7D" w:rsidRPr="00D72C7D">
        <w:rPr>
          <w:szCs w:val="24"/>
        </w:rPr>
      </w:r>
      <w:r w:rsidR="00D72C7D">
        <w:rPr>
          <w:szCs w:val="24"/>
        </w:rPr>
        <w:fldChar w:fldCharType="separate"/>
      </w:r>
      <w:r w:rsidR="008806B0">
        <w:rPr>
          <w:noProof/>
        </w:rPr>
        <w:t>28</w:t>
      </w:r>
      <w:r w:rsidR="00D72C7D">
        <w:rPr>
          <w:szCs w:val="24"/>
        </w:rPr>
        <w:fldChar w:fldCharType="end"/>
      </w:r>
      <w:r w:rsidR="00D72C7D">
        <w:rPr>
          <w:szCs w:val="24"/>
        </w:rPr>
        <w:t xml:space="preserve"> </w:t>
      </w:r>
      <w:r w:rsidR="001966BD">
        <w:rPr>
          <w:szCs w:val="24"/>
        </w:rPr>
        <w:t xml:space="preserve">above). </w:t>
      </w:r>
      <w:r w:rsidR="00185D01">
        <w:rPr>
          <w:szCs w:val="24"/>
        </w:rPr>
        <w:t>Furthermore,</w:t>
      </w:r>
      <w:r w:rsidR="00821555">
        <w:rPr>
          <w:szCs w:val="24"/>
        </w:rPr>
        <w:t xml:space="preserve"> </w:t>
      </w:r>
      <w:r w:rsidR="00185D01">
        <w:rPr>
          <w:szCs w:val="24"/>
        </w:rPr>
        <w:t>i</w:t>
      </w:r>
      <w:r w:rsidR="003D6E95">
        <w:rPr>
          <w:szCs w:val="24"/>
        </w:rPr>
        <w:t xml:space="preserve">t remains uncertain </w:t>
      </w:r>
      <w:r w:rsidR="00605777">
        <w:rPr>
          <w:szCs w:val="24"/>
        </w:rPr>
        <w:t>wh</w:t>
      </w:r>
      <w:r w:rsidR="00917D14">
        <w:rPr>
          <w:szCs w:val="24"/>
        </w:rPr>
        <w:t>ich</w:t>
      </w:r>
      <w:r w:rsidR="00605777">
        <w:rPr>
          <w:szCs w:val="24"/>
        </w:rPr>
        <w:t xml:space="preserve"> complaints </w:t>
      </w:r>
      <w:r w:rsidR="00917D14">
        <w:rPr>
          <w:szCs w:val="24"/>
        </w:rPr>
        <w:t>would</w:t>
      </w:r>
      <w:r w:rsidR="00605777">
        <w:rPr>
          <w:szCs w:val="24"/>
        </w:rPr>
        <w:t xml:space="preserve"> </w:t>
      </w:r>
      <w:r w:rsidR="00917D14">
        <w:rPr>
          <w:szCs w:val="24"/>
        </w:rPr>
        <w:t>satisfy</w:t>
      </w:r>
      <w:r w:rsidR="00605777">
        <w:rPr>
          <w:szCs w:val="24"/>
        </w:rPr>
        <w:t xml:space="preserve"> “the significant interference” test </w:t>
      </w:r>
      <w:r w:rsidR="0073427B">
        <w:rPr>
          <w:szCs w:val="24"/>
        </w:rPr>
        <w:t xml:space="preserve">as developed by the </w:t>
      </w:r>
      <w:r w:rsidR="00A26549">
        <w:rPr>
          <w:szCs w:val="24"/>
        </w:rPr>
        <w:t>administrative</w:t>
      </w:r>
      <w:r w:rsidR="0073427B">
        <w:rPr>
          <w:szCs w:val="24"/>
        </w:rPr>
        <w:t xml:space="preserve"> courts </w:t>
      </w:r>
      <w:r w:rsidR="00F15A0C">
        <w:rPr>
          <w:szCs w:val="24"/>
        </w:rPr>
        <w:t xml:space="preserve">to be accepted for review </w:t>
      </w:r>
      <w:r w:rsidR="00605777">
        <w:rPr>
          <w:szCs w:val="24"/>
        </w:rPr>
        <w:t xml:space="preserve">and whether that </w:t>
      </w:r>
      <w:r w:rsidR="00A4483B">
        <w:rPr>
          <w:szCs w:val="24"/>
        </w:rPr>
        <w:t xml:space="preserve">test is similar </w:t>
      </w:r>
      <w:r w:rsidR="009C2E29">
        <w:rPr>
          <w:szCs w:val="24"/>
        </w:rPr>
        <w:t xml:space="preserve">or equal </w:t>
      </w:r>
      <w:r w:rsidR="00A4483B">
        <w:rPr>
          <w:szCs w:val="24"/>
        </w:rPr>
        <w:t>to th</w:t>
      </w:r>
      <w:r w:rsidR="009C2E29">
        <w:rPr>
          <w:szCs w:val="24"/>
        </w:rPr>
        <w:t>at</w:t>
      </w:r>
      <w:r w:rsidR="00A4483B">
        <w:rPr>
          <w:szCs w:val="24"/>
        </w:rPr>
        <w:t xml:space="preserve"> </w:t>
      </w:r>
      <w:r w:rsidR="009C2E29">
        <w:rPr>
          <w:szCs w:val="24"/>
        </w:rPr>
        <w:t xml:space="preserve">of </w:t>
      </w:r>
      <w:r w:rsidR="001E11AE">
        <w:rPr>
          <w:szCs w:val="24"/>
        </w:rPr>
        <w:t xml:space="preserve">the </w:t>
      </w:r>
      <w:r w:rsidR="00A4483B">
        <w:rPr>
          <w:szCs w:val="24"/>
        </w:rPr>
        <w:t>“minimum level of severity” as developed by the Court</w:t>
      </w:r>
      <w:r w:rsidR="00643C3B">
        <w:rPr>
          <w:szCs w:val="24"/>
        </w:rPr>
        <w:t xml:space="preserve"> in relation to Article 3 of the Convention</w:t>
      </w:r>
      <w:r w:rsidR="006070F3">
        <w:rPr>
          <w:szCs w:val="24"/>
        </w:rPr>
        <w:t xml:space="preserve">. </w:t>
      </w:r>
      <w:r w:rsidR="00435AA2">
        <w:rPr>
          <w:szCs w:val="24"/>
        </w:rPr>
        <w:t xml:space="preserve">The Court would add, in this respect, that </w:t>
      </w:r>
      <w:r w:rsidR="008813B0">
        <w:rPr>
          <w:szCs w:val="24"/>
        </w:rPr>
        <w:t>it is not for the Convention organs to cure on their own motion any shortcomings or lack of precision in the respondent Government</w:t>
      </w:r>
      <w:r w:rsidR="00FD5467">
        <w:rPr>
          <w:szCs w:val="24"/>
        </w:rPr>
        <w:t>’</w:t>
      </w:r>
      <w:r w:rsidR="008813B0">
        <w:rPr>
          <w:szCs w:val="24"/>
        </w:rPr>
        <w:t xml:space="preserve">s submissions (see </w:t>
      </w:r>
      <w:r w:rsidR="008813B0">
        <w:rPr>
          <w:i/>
          <w:szCs w:val="24"/>
        </w:rPr>
        <w:t>Bazjaks</w:t>
      </w:r>
      <w:r w:rsidR="008813B0">
        <w:rPr>
          <w:szCs w:val="24"/>
        </w:rPr>
        <w:t>, cited above, §</w:t>
      </w:r>
      <w:r w:rsidR="00BA046E">
        <w:rPr>
          <w:szCs w:val="24"/>
        </w:rPr>
        <w:t> </w:t>
      </w:r>
      <w:r w:rsidR="008813B0">
        <w:rPr>
          <w:szCs w:val="24"/>
        </w:rPr>
        <w:t>133).</w:t>
      </w:r>
    </w:p>
    <w:p w:rsidR="00BD1CCE" w:rsidRDefault="00F6137C" w:rsidP="00723073">
      <w:pPr>
        <w:pStyle w:val="JuPara"/>
        <w:rPr>
          <w:szCs w:val="24"/>
        </w:rPr>
      </w:pPr>
      <w:r>
        <w:rPr>
          <w:szCs w:val="24"/>
        </w:rPr>
        <w:fldChar w:fldCharType="begin"/>
      </w:r>
      <w:r>
        <w:rPr>
          <w:szCs w:val="24"/>
        </w:rPr>
        <w:instrText xml:space="preserve"> SEQ level0 \*arabic </w:instrText>
      </w:r>
      <w:r>
        <w:rPr>
          <w:szCs w:val="24"/>
        </w:rPr>
        <w:fldChar w:fldCharType="separate"/>
      </w:r>
      <w:r w:rsidR="008806B0">
        <w:rPr>
          <w:noProof/>
          <w:szCs w:val="24"/>
        </w:rPr>
        <w:t>52</w:t>
      </w:r>
      <w:r>
        <w:rPr>
          <w:szCs w:val="24"/>
        </w:rPr>
        <w:fldChar w:fldCharType="end"/>
      </w:r>
      <w:r>
        <w:rPr>
          <w:szCs w:val="24"/>
        </w:rPr>
        <w:t>.  </w:t>
      </w:r>
      <w:r w:rsidR="004B0EA1">
        <w:rPr>
          <w:szCs w:val="24"/>
        </w:rPr>
        <w:t>Thus</w:t>
      </w:r>
      <w:r w:rsidR="007B5E6E">
        <w:rPr>
          <w:szCs w:val="24"/>
        </w:rPr>
        <w:t xml:space="preserve"> </w:t>
      </w:r>
      <w:r w:rsidR="002C1469">
        <w:rPr>
          <w:szCs w:val="24"/>
        </w:rPr>
        <w:t xml:space="preserve">it </w:t>
      </w:r>
      <w:r w:rsidR="00416284">
        <w:rPr>
          <w:szCs w:val="24"/>
        </w:rPr>
        <w:t xml:space="preserve">remains </w:t>
      </w:r>
      <w:r w:rsidR="00524DE5">
        <w:rPr>
          <w:szCs w:val="24"/>
        </w:rPr>
        <w:t>highly unclear if</w:t>
      </w:r>
      <w:r w:rsidR="00416284">
        <w:rPr>
          <w:szCs w:val="24"/>
        </w:rPr>
        <w:t xml:space="preserve"> </w:t>
      </w:r>
      <w:r w:rsidR="00F0408A">
        <w:rPr>
          <w:szCs w:val="24"/>
        </w:rPr>
        <w:t>the administrative courts</w:t>
      </w:r>
      <w:r w:rsidR="00524DE5">
        <w:rPr>
          <w:szCs w:val="24"/>
        </w:rPr>
        <w:t xml:space="preserve"> at the time of lodging of the present application and in any event at least until 15 June 2006 examined detainees</w:t>
      </w:r>
      <w:r w:rsidR="00FD5467">
        <w:rPr>
          <w:szCs w:val="24"/>
        </w:rPr>
        <w:t>’</w:t>
      </w:r>
      <w:r w:rsidR="00524DE5">
        <w:rPr>
          <w:szCs w:val="24"/>
        </w:rPr>
        <w:t xml:space="preserve"> complaints </w:t>
      </w:r>
      <w:r w:rsidR="00F0408A">
        <w:rPr>
          <w:szCs w:val="24"/>
        </w:rPr>
        <w:t xml:space="preserve">about </w:t>
      </w:r>
      <w:r w:rsidR="00DB3B13">
        <w:rPr>
          <w:szCs w:val="24"/>
        </w:rPr>
        <w:t xml:space="preserve">the </w:t>
      </w:r>
      <w:r w:rsidR="00F0408A">
        <w:rPr>
          <w:szCs w:val="24"/>
        </w:rPr>
        <w:t xml:space="preserve">conditions of </w:t>
      </w:r>
      <w:r w:rsidR="00A30077">
        <w:rPr>
          <w:szCs w:val="24"/>
        </w:rPr>
        <w:t xml:space="preserve">their </w:t>
      </w:r>
      <w:r w:rsidR="00F0408A">
        <w:rPr>
          <w:szCs w:val="24"/>
        </w:rPr>
        <w:t>detention</w:t>
      </w:r>
      <w:r w:rsidR="00BA5EA4">
        <w:rPr>
          <w:szCs w:val="24"/>
        </w:rPr>
        <w:t xml:space="preserve">, as </w:t>
      </w:r>
      <w:r w:rsidR="00B43DAC">
        <w:rPr>
          <w:szCs w:val="24"/>
        </w:rPr>
        <w:t xml:space="preserve">evidenced by </w:t>
      </w:r>
      <w:r w:rsidR="00BA5EA4">
        <w:rPr>
          <w:szCs w:val="24"/>
        </w:rPr>
        <w:t xml:space="preserve">the lower administrative courts in the </w:t>
      </w:r>
      <w:r w:rsidR="00BA5EA4">
        <w:rPr>
          <w:i/>
          <w:szCs w:val="24"/>
        </w:rPr>
        <w:t>St</w:t>
      </w:r>
      <w:r w:rsidR="00BA5EA4">
        <w:rPr>
          <w:i/>
          <w:szCs w:val="24"/>
          <w:lang w:val="lv-LV"/>
        </w:rPr>
        <w:t>āmers</w:t>
      </w:r>
      <w:r w:rsidR="00BA5EA4">
        <w:rPr>
          <w:szCs w:val="24"/>
          <w:lang w:val="lv-LV"/>
        </w:rPr>
        <w:t xml:space="preserve"> </w:t>
      </w:r>
      <w:r w:rsidR="00BA5EA4" w:rsidRPr="00A30077">
        <w:rPr>
          <w:szCs w:val="24"/>
        </w:rPr>
        <w:t>case</w:t>
      </w:r>
      <w:r w:rsidR="00F0408A">
        <w:rPr>
          <w:szCs w:val="24"/>
        </w:rPr>
        <w:t>.</w:t>
      </w:r>
    </w:p>
    <w:p w:rsidR="00460B22" w:rsidRDefault="0028688C" w:rsidP="00460B22">
      <w:pPr>
        <w:pStyle w:val="JuPara"/>
        <w:rPr>
          <w:szCs w:val="24"/>
          <w:lang w:eastAsia="en-US"/>
        </w:rPr>
      </w:pPr>
      <w:r>
        <w:rPr>
          <w:szCs w:val="24"/>
        </w:rPr>
        <w:fldChar w:fldCharType="begin"/>
      </w:r>
      <w:r>
        <w:rPr>
          <w:szCs w:val="24"/>
        </w:rPr>
        <w:instrText xml:space="preserve"> SEQ level0 \*arabic </w:instrText>
      </w:r>
      <w:r>
        <w:rPr>
          <w:szCs w:val="24"/>
        </w:rPr>
        <w:fldChar w:fldCharType="separate"/>
      </w:r>
      <w:r w:rsidR="008806B0">
        <w:rPr>
          <w:noProof/>
          <w:szCs w:val="24"/>
        </w:rPr>
        <w:t>53</w:t>
      </w:r>
      <w:r>
        <w:rPr>
          <w:szCs w:val="24"/>
        </w:rPr>
        <w:fldChar w:fldCharType="end"/>
      </w:r>
      <w:r>
        <w:rPr>
          <w:szCs w:val="24"/>
        </w:rPr>
        <w:t>.  </w:t>
      </w:r>
      <w:r w:rsidR="003E28E6">
        <w:rPr>
          <w:szCs w:val="24"/>
        </w:rPr>
        <w:t xml:space="preserve">Taking into account the aforementioned, the Court considers that the Government </w:t>
      </w:r>
      <w:r w:rsidR="003E28E6" w:rsidRPr="0000382A">
        <w:rPr>
          <w:szCs w:val="24"/>
        </w:rPr>
        <w:t>have</w:t>
      </w:r>
      <w:r w:rsidR="003E28E6">
        <w:rPr>
          <w:szCs w:val="24"/>
        </w:rPr>
        <w:t xml:space="preserve"> not discharged the onus on them to convince the Court that an application to the administrative courts to complain about conditions of detention was a remedy</w:t>
      </w:r>
      <w:r w:rsidR="00B43DAC">
        <w:rPr>
          <w:szCs w:val="24"/>
        </w:rPr>
        <w:t xml:space="preserve"> accessible in practice to detainees such as the applicant</w:t>
      </w:r>
      <w:r w:rsidR="003E28E6">
        <w:rPr>
          <w:szCs w:val="24"/>
        </w:rPr>
        <w:t xml:space="preserve">. It therefore </w:t>
      </w:r>
      <w:r w:rsidR="00460B22">
        <w:rPr>
          <w:szCs w:val="24"/>
          <w:lang w:eastAsia="en-US"/>
        </w:rPr>
        <w:t>dismisses the Government</w:t>
      </w:r>
      <w:r w:rsidR="00FD5467">
        <w:rPr>
          <w:szCs w:val="24"/>
          <w:lang w:eastAsia="en-US"/>
        </w:rPr>
        <w:t>’</w:t>
      </w:r>
      <w:r w:rsidR="00460B22">
        <w:rPr>
          <w:szCs w:val="24"/>
          <w:lang w:eastAsia="en-US"/>
        </w:rPr>
        <w:t>s preliminary objection in this regard.</w:t>
      </w:r>
    </w:p>
    <w:p w:rsidR="001D5588" w:rsidRDefault="001D5588" w:rsidP="001D5588">
      <w:pPr>
        <w:pStyle w:val="JuH1"/>
        <w:outlineLvl w:val="2"/>
      </w:pPr>
      <w:r>
        <w:t>2.  Abuse of the right of application</w:t>
      </w:r>
    </w:p>
    <w:p w:rsidR="001D5588" w:rsidRDefault="001D5588" w:rsidP="001D5588">
      <w:pPr>
        <w:pStyle w:val="JuHa0"/>
        <w:outlineLvl w:val="3"/>
      </w:pPr>
      <w:r>
        <w:t>(a)  The parties</w:t>
      </w:r>
      <w:r w:rsidR="00FD5467">
        <w:t>’</w:t>
      </w:r>
      <w:r>
        <w:t xml:space="preserve"> submissions</w:t>
      </w:r>
    </w:p>
    <w:p w:rsidR="001D5588" w:rsidRDefault="00AF5D5B" w:rsidP="001D5588">
      <w:pPr>
        <w:pStyle w:val="JuPara"/>
      </w:pPr>
      <w:r>
        <w:fldChar w:fldCharType="begin"/>
      </w:r>
      <w:r>
        <w:instrText xml:space="preserve"> SEQ level0 \*arabic </w:instrText>
      </w:r>
      <w:r>
        <w:fldChar w:fldCharType="separate"/>
      </w:r>
      <w:r w:rsidR="008806B0">
        <w:rPr>
          <w:noProof/>
        </w:rPr>
        <w:t>54</w:t>
      </w:r>
      <w:r>
        <w:fldChar w:fldCharType="end"/>
      </w:r>
      <w:r>
        <w:t>.  </w:t>
      </w:r>
      <w:r w:rsidR="00F12A2A">
        <w:t>In their additional observations, the Government relied on the Court</w:t>
      </w:r>
      <w:r w:rsidR="00FD5467">
        <w:t>’</w:t>
      </w:r>
      <w:r w:rsidR="00F12A2A">
        <w:t xml:space="preserve">s </w:t>
      </w:r>
      <w:r w:rsidR="004B6F4C">
        <w:t>decision</w:t>
      </w:r>
      <w:r w:rsidR="00F12A2A">
        <w:t xml:space="preserve"> in the case of </w:t>
      </w:r>
      <w:r w:rsidR="00765C23">
        <w:rPr>
          <w:i/>
        </w:rPr>
        <w:t>Bock v. Germany</w:t>
      </w:r>
      <w:r w:rsidR="004B6F4C">
        <w:rPr>
          <w:i/>
        </w:rPr>
        <w:t xml:space="preserve"> </w:t>
      </w:r>
      <w:r w:rsidR="004B6F4C">
        <w:t>(</w:t>
      </w:r>
      <w:r w:rsidR="00765C23">
        <w:t xml:space="preserve">no. </w:t>
      </w:r>
      <w:r w:rsidR="00565B65">
        <w:t xml:space="preserve">22051/07, </w:t>
      </w:r>
      <w:r w:rsidR="00816B48">
        <w:t xml:space="preserve">19 January 2010) to argue that </w:t>
      </w:r>
      <w:r w:rsidR="00F12A2A">
        <w:t>in view of “the petty nature of the applicant</w:t>
      </w:r>
      <w:r w:rsidR="00FD5467">
        <w:t>’</w:t>
      </w:r>
      <w:r w:rsidR="00F12A2A">
        <w:t>s complaint” it had to be rejected as an abuse of the right of application</w:t>
      </w:r>
      <w:r w:rsidR="00816B48">
        <w:t>.</w:t>
      </w:r>
    </w:p>
    <w:p w:rsidR="00816B48" w:rsidRDefault="00816B48" w:rsidP="001B78B6">
      <w:pPr>
        <w:pStyle w:val="JuPara"/>
      </w:pPr>
      <w:r>
        <w:fldChar w:fldCharType="begin"/>
      </w:r>
      <w:r>
        <w:instrText xml:space="preserve"> SEQ level0 \*arabic </w:instrText>
      </w:r>
      <w:r>
        <w:fldChar w:fldCharType="separate"/>
      </w:r>
      <w:r w:rsidR="008806B0">
        <w:rPr>
          <w:noProof/>
        </w:rPr>
        <w:t>55</w:t>
      </w:r>
      <w:r>
        <w:fldChar w:fldCharType="end"/>
      </w:r>
      <w:r w:rsidR="007B29EB">
        <w:t xml:space="preserve">.  The applicant disagreed and added that the complaint in the present case </w:t>
      </w:r>
      <w:r w:rsidR="006417E6">
        <w:t xml:space="preserve">could not </w:t>
      </w:r>
      <w:r w:rsidR="007B29EB">
        <w:t>be regarded as trivial</w:t>
      </w:r>
      <w:r w:rsidR="006417E6">
        <w:t>,</w:t>
      </w:r>
      <w:r w:rsidR="007B29EB">
        <w:t xml:space="preserve"> contrary to the circumstances of the case of </w:t>
      </w:r>
      <w:r w:rsidR="007B29EB" w:rsidRPr="007B29EB">
        <w:rPr>
          <w:i/>
        </w:rPr>
        <w:t>Bock</w:t>
      </w:r>
      <w:r w:rsidR="007B29EB">
        <w:t xml:space="preserve"> </w:t>
      </w:r>
      <w:r w:rsidR="007B29EB" w:rsidRPr="007B29EB">
        <w:rPr>
          <w:i/>
        </w:rPr>
        <w:t>v. Germany</w:t>
      </w:r>
      <w:r w:rsidR="007B29EB">
        <w:t>.</w:t>
      </w:r>
    </w:p>
    <w:p w:rsidR="00E071AB" w:rsidRDefault="00E071AB" w:rsidP="00E071AB">
      <w:pPr>
        <w:pStyle w:val="JuHa0"/>
        <w:outlineLvl w:val="3"/>
      </w:pPr>
      <w:r>
        <w:t>(b)  The Court</w:t>
      </w:r>
      <w:r w:rsidR="00FD5467">
        <w:t>’</w:t>
      </w:r>
      <w:r>
        <w:t>s assessment</w:t>
      </w:r>
    </w:p>
    <w:p w:rsidR="00E720CA" w:rsidRPr="0090594C" w:rsidRDefault="00E720CA" w:rsidP="00E720CA">
      <w:pPr>
        <w:pStyle w:val="JuPara"/>
      </w:pPr>
      <w:r w:rsidRPr="0090594C">
        <w:fldChar w:fldCharType="begin"/>
      </w:r>
      <w:r w:rsidRPr="0090594C">
        <w:instrText xml:space="preserve"> SEQ level0 \*arabic </w:instrText>
      </w:r>
      <w:r w:rsidRPr="0090594C">
        <w:fldChar w:fldCharType="separate"/>
      </w:r>
      <w:r w:rsidR="008806B0">
        <w:rPr>
          <w:noProof/>
        </w:rPr>
        <w:t>56</w:t>
      </w:r>
      <w:r w:rsidRPr="0090594C">
        <w:fldChar w:fldCharType="end"/>
      </w:r>
      <w:r w:rsidRPr="0090594C">
        <w:t xml:space="preserve">.  The Court notes that the decision in the </w:t>
      </w:r>
      <w:r w:rsidRPr="0090594C">
        <w:rPr>
          <w:i/>
        </w:rPr>
        <w:t>Bock</w:t>
      </w:r>
      <w:r w:rsidRPr="0090594C">
        <w:t xml:space="preserve"> case was taken </w:t>
      </w:r>
      <w:r w:rsidR="006417E6" w:rsidRPr="0090594C">
        <w:t xml:space="preserve">in </w:t>
      </w:r>
      <w:r w:rsidRPr="0090594C">
        <w:t>the particular circumstances of that case (where the applicant com</w:t>
      </w:r>
      <w:r w:rsidRPr="0090594C">
        <w:rPr>
          <w:color w:val="000000"/>
          <w:szCs w:val="24"/>
          <w:lang w:eastAsia="en-GB"/>
        </w:rPr>
        <w:t xml:space="preserve">plained of the length of civil </w:t>
      </w:r>
      <w:r w:rsidRPr="0090594C">
        <w:t>proceedings</w:t>
      </w:r>
      <w:r w:rsidRPr="0090594C">
        <w:rPr>
          <w:color w:val="000000"/>
          <w:szCs w:val="24"/>
          <w:lang w:eastAsia="en-GB"/>
        </w:rPr>
        <w:t xml:space="preserve"> that he had instituted for reimbursement of the cost of a dietary supplement, </w:t>
      </w:r>
      <w:r w:rsidR="006417E6" w:rsidRPr="0090594C">
        <w:rPr>
          <w:color w:val="000000"/>
          <w:szCs w:val="24"/>
          <w:lang w:eastAsia="en-GB"/>
        </w:rPr>
        <w:t>the sum claimed being</w:t>
      </w:r>
      <w:r w:rsidRPr="0090594C">
        <w:rPr>
          <w:color w:val="000000"/>
          <w:szCs w:val="24"/>
          <w:lang w:eastAsia="en-GB"/>
        </w:rPr>
        <w:t xml:space="preserve"> 7.99 </w:t>
      </w:r>
      <w:r w:rsidR="001F546C" w:rsidRPr="0090594C">
        <w:rPr>
          <w:color w:val="000000"/>
          <w:szCs w:val="24"/>
          <w:lang w:eastAsia="en-GB"/>
        </w:rPr>
        <w:t>euros</w:t>
      </w:r>
      <w:r w:rsidR="002B1841" w:rsidRPr="0090594C">
        <w:rPr>
          <w:color w:val="000000"/>
          <w:szCs w:val="24"/>
          <w:lang w:eastAsia="en-GB"/>
        </w:rPr>
        <w:t xml:space="preserve"> (EUR)</w:t>
      </w:r>
      <w:r w:rsidR="00A70B32" w:rsidRPr="0090594C">
        <w:rPr>
          <w:color w:val="000000"/>
          <w:szCs w:val="24"/>
          <w:lang w:eastAsia="en-GB"/>
        </w:rPr>
        <w:t>)</w:t>
      </w:r>
      <w:r w:rsidRPr="0090594C">
        <w:rPr>
          <w:color w:val="000000"/>
          <w:szCs w:val="24"/>
          <w:lang w:eastAsia="en-GB"/>
        </w:rPr>
        <w:t xml:space="preserve">. The Court </w:t>
      </w:r>
      <w:r w:rsidRPr="0090594C">
        <w:t>considers that the applicant</w:t>
      </w:r>
      <w:r w:rsidR="00FD5467">
        <w:t>’</w:t>
      </w:r>
      <w:r w:rsidRPr="0090594C">
        <w:t xml:space="preserve">s complaint in the present case cannot be considered as </w:t>
      </w:r>
      <w:r w:rsidR="006E79B8" w:rsidRPr="0090594C">
        <w:t xml:space="preserve">being </w:t>
      </w:r>
      <w:r w:rsidRPr="0090594C">
        <w:t xml:space="preserve">“petty”. It concerns a complaint about the conditions of </w:t>
      </w:r>
      <w:r w:rsidR="006417E6" w:rsidRPr="0090594C">
        <w:t xml:space="preserve">his </w:t>
      </w:r>
      <w:r w:rsidRPr="0090594C">
        <w:t xml:space="preserve">detention and raises </w:t>
      </w:r>
      <w:r w:rsidR="009D2F1A" w:rsidRPr="0090594C">
        <w:t>issues</w:t>
      </w:r>
      <w:r w:rsidRPr="0090594C">
        <w:t xml:space="preserve"> under Article 3 of the Convention</w:t>
      </w:r>
      <w:r w:rsidR="00706E46" w:rsidRPr="0090594C">
        <w:t>.</w:t>
      </w:r>
    </w:p>
    <w:p w:rsidR="00BD1CCE" w:rsidRDefault="00AF407F" w:rsidP="00E720CA">
      <w:pPr>
        <w:pStyle w:val="JuPara"/>
      </w:pPr>
      <w:r>
        <w:fldChar w:fldCharType="begin"/>
      </w:r>
      <w:r>
        <w:instrText xml:space="preserve"> SEQ level0 \*arabic </w:instrText>
      </w:r>
      <w:r>
        <w:fldChar w:fldCharType="separate"/>
      </w:r>
      <w:r w:rsidR="008806B0">
        <w:rPr>
          <w:noProof/>
        </w:rPr>
        <w:t>57</w:t>
      </w:r>
      <w:r>
        <w:fldChar w:fldCharType="end"/>
      </w:r>
      <w:r>
        <w:t>.  </w:t>
      </w:r>
      <w:r w:rsidR="00C61CC4">
        <w:t>In view of above, the Court dismisses the Government</w:t>
      </w:r>
      <w:r w:rsidR="00FD5467">
        <w:t>’</w:t>
      </w:r>
      <w:r w:rsidR="00C61CC4">
        <w:t>s preliminary objection</w:t>
      </w:r>
      <w:r w:rsidR="00DA24EE">
        <w:t xml:space="preserve"> in this regard</w:t>
      </w:r>
      <w:r w:rsidR="00C61CC4">
        <w:t>.</w:t>
      </w:r>
    </w:p>
    <w:p w:rsidR="00EA589C" w:rsidRDefault="00EA589C" w:rsidP="00EA589C">
      <w:pPr>
        <w:pStyle w:val="JuH1"/>
        <w:outlineLvl w:val="2"/>
      </w:pPr>
      <w:r>
        <w:t>3.  Conclusion on admissibility</w:t>
      </w:r>
    </w:p>
    <w:p w:rsidR="00AF407F" w:rsidRPr="001D5588" w:rsidRDefault="00AF407F" w:rsidP="001D5588">
      <w:pPr>
        <w:pStyle w:val="JuPara"/>
      </w:pPr>
      <w:r>
        <w:rPr>
          <w:szCs w:val="24"/>
          <w:lang w:eastAsia="en-US"/>
        </w:rPr>
        <w:fldChar w:fldCharType="begin"/>
      </w:r>
      <w:r>
        <w:rPr>
          <w:szCs w:val="24"/>
          <w:lang w:eastAsia="en-US"/>
        </w:rPr>
        <w:instrText xml:space="preserve"> SEQ level0 \*arabic </w:instrText>
      </w:r>
      <w:r>
        <w:rPr>
          <w:szCs w:val="24"/>
          <w:lang w:eastAsia="en-US"/>
        </w:rPr>
        <w:fldChar w:fldCharType="separate"/>
      </w:r>
      <w:r w:rsidR="008806B0">
        <w:rPr>
          <w:noProof/>
          <w:szCs w:val="24"/>
          <w:lang w:eastAsia="en-US"/>
        </w:rPr>
        <w:t>58</w:t>
      </w:r>
      <w:r>
        <w:rPr>
          <w:szCs w:val="24"/>
          <w:lang w:eastAsia="en-US"/>
        </w:rPr>
        <w:fldChar w:fldCharType="end"/>
      </w:r>
      <w:r>
        <w:rPr>
          <w:szCs w:val="24"/>
          <w:lang w:eastAsia="en-US"/>
        </w:rPr>
        <w:t>.  </w:t>
      </w:r>
      <w:r w:rsidR="00D808A5">
        <w:rPr>
          <w:szCs w:val="24"/>
          <w:lang w:eastAsia="en-US"/>
        </w:rPr>
        <w:t xml:space="preserve">Having established that the application cannot be </w:t>
      </w:r>
      <w:r w:rsidR="00DA24EE">
        <w:t>struck off of its list of cases and having rejected the preliminary objections</w:t>
      </w:r>
      <w:r w:rsidR="006E79B8">
        <w:t xml:space="preserve"> raised by the Government</w:t>
      </w:r>
      <w:r w:rsidR="00DA24EE">
        <w:t xml:space="preserve">, the Court </w:t>
      </w:r>
      <w:r w:rsidRPr="00302008">
        <w:t xml:space="preserve">notes </w:t>
      </w:r>
      <w:r w:rsidR="0045492E">
        <w:t xml:space="preserve">that </w:t>
      </w:r>
      <w:r w:rsidR="003F4B74">
        <w:t>the application</w:t>
      </w:r>
      <w:r w:rsidR="0045492E">
        <w:t xml:space="preserve"> is not inadmissible on any other grounds. </w:t>
      </w:r>
      <w:r w:rsidRPr="00302008">
        <w:t>It must therefore be declared admissible.</w:t>
      </w:r>
    </w:p>
    <w:p w:rsidR="005E3DA2" w:rsidRPr="0034580F" w:rsidRDefault="008A59F6" w:rsidP="005E3DA2">
      <w:pPr>
        <w:pStyle w:val="JuHA"/>
        <w:outlineLvl w:val="1"/>
      </w:pPr>
      <w:r>
        <w:t>C</w:t>
      </w:r>
      <w:r w:rsidR="005E3DA2" w:rsidRPr="0034580F">
        <w:t>.  </w:t>
      </w:r>
      <w:smartTag w:uri="urn:schemas-microsoft-com:office:smarttags" w:element="PersonName">
        <w:r w:rsidR="005E3DA2" w:rsidRPr="0034580F">
          <w:t>Me</w:t>
        </w:r>
      </w:smartTag>
      <w:r w:rsidR="005E3DA2" w:rsidRPr="0034580F">
        <w:t>rits</w:t>
      </w:r>
    </w:p>
    <w:p w:rsidR="009F7E6A" w:rsidRDefault="009F7E6A" w:rsidP="009F7E6A">
      <w:pPr>
        <w:pStyle w:val="JuH1"/>
        <w:outlineLvl w:val="2"/>
      </w:pPr>
      <w:r>
        <w:t>1.  The parties</w:t>
      </w:r>
      <w:r w:rsidR="00FD5467">
        <w:t>’</w:t>
      </w:r>
      <w:r>
        <w:t xml:space="preserve"> submissions</w:t>
      </w:r>
    </w:p>
    <w:p w:rsidR="005F04FB" w:rsidRDefault="005F04FB" w:rsidP="009F7E6A">
      <w:pPr>
        <w:pStyle w:val="JuPara"/>
      </w:pPr>
      <w:r>
        <w:fldChar w:fldCharType="begin"/>
      </w:r>
      <w:r>
        <w:instrText xml:space="preserve"> SEQ level0 \*arabic </w:instrText>
      </w:r>
      <w:r>
        <w:fldChar w:fldCharType="separate"/>
      </w:r>
      <w:r w:rsidR="008806B0">
        <w:rPr>
          <w:noProof/>
        </w:rPr>
        <w:t>59</w:t>
      </w:r>
      <w:r>
        <w:fldChar w:fldCharType="end"/>
      </w:r>
      <w:r>
        <w:t>.  </w:t>
      </w:r>
      <w:r w:rsidR="002A0AD1">
        <w:t>T</w:t>
      </w:r>
      <w:r>
        <w:t>he Government</w:t>
      </w:r>
      <w:r w:rsidR="002A0AD1">
        <w:t xml:space="preserve"> </w:t>
      </w:r>
      <w:r w:rsidR="00014FB6">
        <w:t>submi</w:t>
      </w:r>
      <w:r w:rsidR="002A0AD1">
        <w:t>tted</w:t>
      </w:r>
      <w:r>
        <w:t xml:space="preserve"> that the applicant</w:t>
      </w:r>
      <w:r w:rsidR="00FD5467">
        <w:t>’</w:t>
      </w:r>
      <w:r>
        <w:t xml:space="preserve">s statements </w:t>
      </w:r>
      <w:r w:rsidR="00014FB6">
        <w:t>about</w:t>
      </w:r>
      <w:r>
        <w:t xml:space="preserve"> the conditions</w:t>
      </w:r>
      <w:r w:rsidR="005F216A">
        <w:t xml:space="preserve"> of his detention</w:t>
      </w:r>
      <w:r>
        <w:t xml:space="preserve"> were not supported by </w:t>
      </w:r>
      <w:r w:rsidR="00014FB6">
        <w:t xml:space="preserve">any </w:t>
      </w:r>
      <w:r>
        <w:t>evidence and that the standard of proof “beyond reasonable doubt” had not been met.</w:t>
      </w:r>
    </w:p>
    <w:p w:rsidR="00014FB6" w:rsidRDefault="00014FB6" w:rsidP="009F7E6A">
      <w:pPr>
        <w:pStyle w:val="JuPara"/>
      </w:pPr>
      <w:r>
        <w:fldChar w:fldCharType="begin"/>
      </w:r>
      <w:r>
        <w:instrText xml:space="preserve"> SEQ level0 \*arabic </w:instrText>
      </w:r>
      <w:r>
        <w:fldChar w:fldCharType="separate"/>
      </w:r>
      <w:r w:rsidR="008806B0">
        <w:rPr>
          <w:noProof/>
        </w:rPr>
        <w:t>60</w:t>
      </w:r>
      <w:r>
        <w:fldChar w:fldCharType="end"/>
      </w:r>
      <w:r>
        <w:t xml:space="preserve">.  In their view, the detention conditions in cell no. 26 in Valmiera </w:t>
      </w:r>
      <w:r w:rsidR="005F216A">
        <w:t xml:space="preserve">Prison had </w:t>
      </w:r>
      <w:r>
        <w:t xml:space="preserve">not </w:t>
      </w:r>
      <w:r w:rsidR="005F216A">
        <w:t xml:space="preserve">been </w:t>
      </w:r>
      <w:r>
        <w:t xml:space="preserve">ideal, but referring to their version of </w:t>
      </w:r>
      <w:r w:rsidR="00FA6FA2">
        <w:t>facts</w:t>
      </w:r>
      <w:r w:rsidR="005F216A">
        <w:t xml:space="preserve"> </w:t>
      </w:r>
      <w:r>
        <w:t xml:space="preserve">(see paragraph </w:t>
      </w:r>
      <w:r>
        <w:fldChar w:fldCharType="begin"/>
      </w:r>
      <w:r>
        <w:instrText xml:space="preserve"> REF facts_Gov_submissions \h </w:instrText>
      </w:r>
      <w:r>
        <w:fldChar w:fldCharType="separate"/>
      </w:r>
      <w:r w:rsidR="008806B0">
        <w:rPr>
          <w:noProof/>
        </w:rPr>
        <w:t>10</w:t>
      </w:r>
      <w:r>
        <w:fldChar w:fldCharType="end"/>
      </w:r>
      <w:r>
        <w:t xml:space="preserve"> above) they contented that the conditions of the applicant</w:t>
      </w:r>
      <w:r w:rsidR="00FD5467">
        <w:t>’</w:t>
      </w:r>
      <w:r>
        <w:t xml:space="preserve">s detention </w:t>
      </w:r>
      <w:r w:rsidR="005F216A">
        <w:t xml:space="preserve">had </w:t>
      </w:r>
      <w:r>
        <w:t>not attain</w:t>
      </w:r>
      <w:r w:rsidR="005F216A">
        <w:t>ed</w:t>
      </w:r>
      <w:r>
        <w:t xml:space="preserve"> the minimum level of severity within the meaning of Article 3 of the Convention.</w:t>
      </w:r>
    </w:p>
    <w:p w:rsidR="00014FB6" w:rsidRDefault="005F04FB" w:rsidP="00014FB6">
      <w:pPr>
        <w:pStyle w:val="JuPara"/>
      </w:pPr>
      <w:r>
        <w:fldChar w:fldCharType="begin"/>
      </w:r>
      <w:r>
        <w:instrText xml:space="preserve"> SEQ level0 \*arabic </w:instrText>
      </w:r>
      <w:r>
        <w:fldChar w:fldCharType="separate"/>
      </w:r>
      <w:r w:rsidR="008806B0">
        <w:rPr>
          <w:noProof/>
        </w:rPr>
        <w:t>61</w:t>
      </w:r>
      <w:r>
        <w:fldChar w:fldCharType="end"/>
      </w:r>
      <w:r>
        <w:t>.  </w:t>
      </w:r>
      <w:r w:rsidR="00014FB6">
        <w:t xml:space="preserve">In so far as </w:t>
      </w:r>
      <w:r w:rsidR="004F52B3">
        <w:t xml:space="preserve">the complaint </w:t>
      </w:r>
      <w:r w:rsidR="00014FB6">
        <w:t xml:space="preserve">concerned the lack of personal hygiene </w:t>
      </w:r>
      <w:r w:rsidR="00356E55">
        <w:t>products</w:t>
      </w:r>
      <w:r w:rsidR="00014FB6">
        <w:t>, the Government</w:t>
      </w:r>
      <w:r>
        <w:t xml:space="preserve"> </w:t>
      </w:r>
      <w:r w:rsidR="00014FB6">
        <w:t xml:space="preserve">added that the applicant could </w:t>
      </w:r>
      <w:r w:rsidR="00584133">
        <w:t xml:space="preserve">have </w:t>
      </w:r>
      <w:r w:rsidR="00014FB6">
        <w:t>and</w:t>
      </w:r>
      <w:r w:rsidR="00E71C22">
        <w:t>,</w:t>
      </w:r>
      <w:r w:rsidR="00014FB6">
        <w:t xml:space="preserve"> indeed</w:t>
      </w:r>
      <w:r w:rsidR="00E71C22">
        <w:t>,</w:t>
      </w:r>
      <w:r w:rsidR="00014FB6">
        <w:t xml:space="preserve"> </w:t>
      </w:r>
      <w:r w:rsidR="00584133">
        <w:t xml:space="preserve">had </w:t>
      </w:r>
      <w:r w:rsidR="00E71C22">
        <w:t>bought</w:t>
      </w:r>
      <w:r w:rsidR="00014FB6">
        <w:t xml:space="preserve"> these </w:t>
      </w:r>
      <w:r w:rsidR="00356E55">
        <w:t>products</w:t>
      </w:r>
      <w:r w:rsidR="00014FB6">
        <w:t xml:space="preserve"> himself. The Government relied in this regard </w:t>
      </w:r>
      <w:r w:rsidR="00584133">
        <w:t xml:space="preserve">on </w:t>
      </w:r>
      <w:r w:rsidR="004F52B3">
        <w:t xml:space="preserve">a </w:t>
      </w:r>
      <w:r w:rsidR="00014FB6">
        <w:t>record of the applicant</w:t>
      </w:r>
      <w:r w:rsidR="00FD5467">
        <w:t>’</w:t>
      </w:r>
      <w:r w:rsidR="00014FB6">
        <w:t xml:space="preserve">s purchases in </w:t>
      </w:r>
      <w:r w:rsidR="00584133">
        <w:t xml:space="preserve">the </w:t>
      </w:r>
      <w:r w:rsidR="00014FB6">
        <w:t xml:space="preserve">prison shop, which showed that </w:t>
      </w:r>
      <w:r w:rsidR="0073761D">
        <w:t xml:space="preserve">on 5 September 2005 </w:t>
      </w:r>
      <w:r w:rsidR="00014FB6">
        <w:t xml:space="preserve">the applicant had bought </w:t>
      </w:r>
      <w:r w:rsidR="005E1CAB">
        <w:t>two</w:t>
      </w:r>
      <w:r w:rsidR="00014FB6">
        <w:t xml:space="preserve"> bar</w:t>
      </w:r>
      <w:r w:rsidR="005E1CAB">
        <w:t>s</w:t>
      </w:r>
      <w:r w:rsidR="00014FB6">
        <w:t xml:space="preserve"> of soap and a tube of toothpaste.</w:t>
      </w:r>
    </w:p>
    <w:p w:rsidR="00BD1CCE" w:rsidRDefault="00E71C22" w:rsidP="009F7E6A">
      <w:pPr>
        <w:pStyle w:val="JuPara"/>
      </w:pPr>
      <w:r>
        <w:fldChar w:fldCharType="begin"/>
      </w:r>
      <w:r>
        <w:instrText xml:space="preserve"> SEQ level0 \*arabic </w:instrText>
      </w:r>
      <w:r>
        <w:fldChar w:fldCharType="separate"/>
      </w:r>
      <w:r w:rsidR="008806B0">
        <w:rPr>
          <w:noProof/>
        </w:rPr>
        <w:t>62</w:t>
      </w:r>
      <w:r>
        <w:fldChar w:fldCharType="end"/>
      </w:r>
      <w:r>
        <w:t>.  The applicant pointed out that the Government</w:t>
      </w:r>
      <w:r w:rsidR="00FD5467">
        <w:t>’</w:t>
      </w:r>
      <w:r>
        <w:t xml:space="preserve">s version of </w:t>
      </w:r>
      <w:r w:rsidR="00FA6FA2">
        <w:t>facts</w:t>
      </w:r>
      <w:r w:rsidR="00584133">
        <w:t xml:space="preserve"> </w:t>
      </w:r>
      <w:r>
        <w:t xml:space="preserve">was not supported by </w:t>
      </w:r>
      <w:r w:rsidR="00A241E5">
        <w:t xml:space="preserve">sufficient </w:t>
      </w:r>
      <w:r>
        <w:t>evidence</w:t>
      </w:r>
      <w:r w:rsidR="00221DED">
        <w:t>.</w:t>
      </w:r>
      <w:r>
        <w:t xml:space="preserve"> The Government had not provided </w:t>
      </w:r>
      <w:r w:rsidR="00584133">
        <w:t xml:space="preserve">a </w:t>
      </w:r>
      <w:r>
        <w:t>plan of cell no. 26</w:t>
      </w:r>
      <w:r w:rsidR="004F52B3">
        <w:t xml:space="preserve"> showing the separation of the</w:t>
      </w:r>
      <w:r w:rsidR="00221DED">
        <w:t xml:space="preserve"> toilets </w:t>
      </w:r>
      <w:r w:rsidR="004F52B3">
        <w:t>from the rest of the cell or evidenced</w:t>
      </w:r>
      <w:r w:rsidR="00221DED">
        <w:t xml:space="preserve"> </w:t>
      </w:r>
      <w:r w:rsidR="002540B8">
        <w:t xml:space="preserve">that </w:t>
      </w:r>
      <w:r w:rsidR="00221DED">
        <w:t xml:space="preserve">a large, clean and transparent window </w:t>
      </w:r>
      <w:r w:rsidR="004F52B3">
        <w:t xml:space="preserve">had </w:t>
      </w:r>
      <w:r w:rsidR="00221DED">
        <w:t>provid</w:t>
      </w:r>
      <w:r w:rsidR="002540B8">
        <w:t>ed</w:t>
      </w:r>
      <w:r w:rsidR="00221DED">
        <w:t xml:space="preserve"> access to daylight. Nor had there been any evidence concerning </w:t>
      </w:r>
      <w:r w:rsidR="00584133">
        <w:t xml:space="preserve">the presence of </w:t>
      </w:r>
      <w:r w:rsidR="002540B8">
        <w:t>sufficient artificial light</w:t>
      </w:r>
      <w:r w:rsidR="00221DED">
        <w:t xml:space="preserve"> </w:t>
      </w:r>
      <w:r w:rsidR="002540B8">
        <w:t>or ventilation.</w:t>
      </w:r>
      <w:r>
        <w:t xml:space="preserve"> </w:t>
      </w:r>
      <w:r w:rsidR="00024E3F">
        <w:t>The same applied to the numbers indicati</w:t>
      </w:r>
      <w:r w:rsidR="00167A01">
        <w:t>ng</w:t>
      </w:r>
      <w:r w:rsidR="00024E3F">
        <w:t xml:space="preserve"> available space per detainee in cell no. 26. </w:t>
      </w:r>
      <w:r w:rsidR="00B86B39">
        <w:t>It remained the applicant</w:t>
      </w:r>
      <w:r w:rsidR="00FD5467">
        <w:t>’</w:t>
      </w:r>
      <w:r w:rsidR="00B86B39">
        <w:t xml:space="preserve">s submission that the </w:t>
      </w:r>
      <w:r w:rsidR="00B86B39" w:rsidRPr="00A3344B">
        <w:t xml:space="preserve">toilets </w:t>
      </w:r>
      <w:r w:rsidR="00584133">
        <w:t>had</w:t>
      </w:r>
      <w:r w:rsidR="00584133" w:rsidRPr="00A3344B">
        <w:t xml:space="preserve"> </w:t>
      </w:r>
      <w:r w:rsidR="00B86B39" w:rsidRPr="00A3344B">
        <w:t xml:space="preserve">not </w:t>
      </w:r>
      <w:r w:rsidR="00584133">
        <w:t xml:space="preserve">been </w:t>
      </w:r>
      <w:r w:rsidR="00B86B39" w:rsidRPr="00A3344B">
        <w:t xml:space="preserve">separated </w:t>
      </w:r>
      <w:r w:rsidR="00584133">
        <w:t xml:space="preserve">off from the rest of the cell </w:t>
      </w:r>
      <w:r w:rsidR="00D86E79" w:rsidRPr="00A3344B">
        <w:t xml:space="preserve">and </w:t>
      </w:r>
      <w:r w:rsidR="00584133">
        <w:t xml:space="preserve">that they had </w:t>
      </w:r>
      <w:r w:rsidR="009C3F77" w:rsidRPr="00A3344B">
        <w:t xml:space="preserve">released </w:t>
      </w:r>
      <w:r w:rsidR="00584133">
        <w:t xml:space="preserve">an </w:t>
      </w:r>
      <w:r w:rsidR="009C3F77" w:rsidRPr="00A3344B">
        <w:t xml:space="preserve">unbearable </w:t>
      </w:r>
      <w:r w:rsidR="00D86E79" w:rsidRPr="00A3344B">
        <w:t>smell</w:t>
      </w:r>
      <w:r w:rsidR="00584133">
        <w:t xml:space="preserve"> and that </w:t>
      </w:r>
      <w:r w:rsidR="006C7FB0">
        <w:t xml:space="preserve">the </w:t>
      </w:r>
      <w:r w:rsidR="009C3F77">
        <w:t xml:space="preserve">ventilation system </w:t>
      </w:r>
      <w:r w:rsidR="00584133">
        <w:t xml:space="preserve">had </w:t>
      </w:r>
      <w:r w:rsidR="009C3F77">
        <w:t>not work</w:t>
      </w:r>
      <w:r w:rsidR="00584133">
        <w:t>ed</w:t>
      </w:r>
      <w:r w:rsidR="009C3F77">
        <w:t>.</w:t>
      </w:r>
    </w:p>
    <w:p w:rsidR="00167A01" w:rsidRDefault="00167A01" w:rsidP="009F7E6A">
      <w:pPr>
        <w:pStyle w:val="JuPara"/>
        <w:rPr>
          <w:lang w:eastAsia="en-US"/>
        </w:rPr>
      </w:pPr>
      <w:r>
        <w:fldChar w:fldCharType="begin"/>
      </w:r>
      <w:r>
        <w:instrText xml:space="preserve"> SEQ level0 \*arabic </w:instrText>
      </w:r>
      <w:r>
        <w:fldChar w:fldCharType="separate"/>
      </w:r>
      <w:r w:rsidR="008806B0">
        <w:rPr>
          <w:noProof/>
        </w:rPr>
        <w:t>63</w:t>
      </w:r>
      <w:r>
        <w:fldChar w:fldCharType="end"/>
      </w:r>
      <w:r>
        <w:t>.  </w:t>
      </w:r>
      <w:r w:rsidR="0027076D">
        <w:t>T</w:t>
      </w:r>
      <w:r w:rsidR="00652D72">
        <w:t xml:space="preserve">he applicant maintained that he </w:t>
      </w:r>
      <w:r w:rsidR="001B1922">
        <w:t xml:space="preserve">had </w:t>
      </w:r>
      <w:r w:rsidR="00652D72">
        <w:t xml:space="preserve">not </w:t>
      </w:r>
      <w:r w:rsidR="001B1922">
        <w:t xml:space="preserve">been provided with </w:t>
      </w:r>
      <w:r w:rsidR="00652D72">
        <w:t xml:space="preserve">a toothbrush, toothpaste </w:t>
      </w:r>
      <w:r w:rsidR="00AF711A">
        <w:t>or</w:t>
      </w:r>
      <w:r w:rsidR="00EF2768">
        <w:t xml:space="preserve"> toilet paper and that he </w:t>
      </w:r>
      <w:r w:rsidR="001B1922">
        <w:t xml:space="preserve">had been </w:t>
      </w:r>
      <w:r w:rsidR="00EF2768">
        <w:t>unable to keep</w:t>
      </w:r>
      <w:r w:rsidR="001B1922">
        <w:t xml:space="preserve"> up</w:t>
      </w:r>
      <w:r w:rsidR="00EF2768">
        <w:t xml:space="preserve"> his personal hygiene</w:t>
      </w:r>
      <w:r w:rsidR="0027076D">
        <w:t xml:space="preserve"> in detention. Even if he </w:t>
      </w:r>
      <w:r w:rsidR="001B1922">
        <w:t xml:space="preserve">had been </w:t>
      </w:r>
      <w:r w:rsidR="0027076D">
        <w:t>able to buy some (</w:t>
      </w:r>
      <w:r w:rsidR="009E5E45">
        <w:t>but</w:t>
      </w:r>
      <w:r w:rsidR="0027076D">
        <w:t xml:space="preserve"> not all) </w:t>
      </w:r>
      <w:r w:rsidR="001B1922">
        <w:t xml:space="preserve">of the </w:t>
      </w:r>
      <w:r w:rsidR="00544AB5">
        <w:t>basic</w:t>
      </w:r>
      <w:r w:rsidR="001B1922">
        <w:t xml:space="preserve"> personal </w:t>
      </w:r>
      <w:r w:rsidR="0027076D">
        <w:t xml:space="preserve">hygiene </w:t>
      </w:r>
      <w:r w:rsidR="00356E55">
        <w:t>products</w:t>
      </w:r>
      <w:r w:rsidR="0027076D">
        <w:t xml:space="preserve"> on 5 September 2005</w:t>
      </w:r>
      <w:r w:rsidR="001B1922">
        <w:t>,</w:t>
      </w:r>
      <w:r w:rsidR="0027076D">
        <w:t xml:space="preserve"> he </w:t>
      </w:r>
      <w:r w:rsidR="001B1922">
        <w:t xml:space="preserve">had </w:t>
      </w:r>
      <w:r w:rsidR="0027076D">
        <w:t xml:space="preserve">not </w:t>
      </w:r>
      <w:r w:rsidR="00B86B39">
        <w:t>receive</w:t>
      </w:r>
      <w:r w:rsidR="001B1922">
        <w:t>d</w:t>
      </w:r>
      <w:r w:rsidR="0027076D">
        <w:t xml:space="preserve"> any </w:t>
      </w:r>
      <w:r w:rsidR="00C8212D">
        <w:t xml:space="preserve">from </w:t>
      </w:r>
      <w:r w:rsidR="001B1922">
        <w:t xml:space="preserve">the </w:t>
      </w:r>
      <w:r w:rsidR="00C8212D">
        <w:t>prison authorities</w:t>
      </w:r>
      <w:r w:rsidR="0027076D">
        <w:t xml:space="preserve">. </w:t>
      </w:r>
      <w:r w:rsidR="00B52E4B">
        <w:t>T</w:t>
      </w:r>
      <w:r w:rsidR="005B6590">
        <w:t xml:space="preserve">he applicant </w:t>
      </w:r>
      <w:r w:rsidR="00B52E4B">
        <w:t xml:space="preserve">additionally </w:t>
      </w:r>
      <w:r w:rsidR="00DA3825">
        <w:t>relied on</w:t>
      </w:r>
      <w:r w:rsidR="000136C3">
        <w:t xml:space="preserve"> the</w:t>
      </w:r>
      <w:r w:rsidR="00DA3825">
        <w:t xml:space="preserve"> parties</w:t>
      </w:r>
      <w:r w:rsidR="00FD5467">
        <w:t>’</w:t>
      </w:r>
      <w:r w:rsidR="00DA3825">
        <w:t xml:space="preserve"> submissions in the </w:t>
      </w:r>
      <w:r w:rsidR="00626899">
        <w:rPr>
          <w:i/>
        </w:rPr>
        <w:t xml:space="preserve">Peers </w:t>
      </w:r>
      <w:r w:rsidR="007C5701" w:rsidRPr="007C5701">
        <w:t>case</w:t>
      </w:r>
      <w:r w:rsidR="00DA3825">
        <w:t xml:space="preserve"> </w:t>
      </w:r>
      <w:r w:rsidR="00D649FA">
        <w:t xml:space="preserve">to argue that </w:t>
      </w:r>
      <w:r w:rsidR="00626899">
        <w:t xml:space="preserve">the </w:t>
      </w:r>
      <w:r w:rsidR="000136C3">
        <w:t xml:space="preserve">possibility </w:t>
      </w:r>
      <w:r w:rsidR="001B1922">
        <w:t xml:space="preserve">for </w:t>
      </w:r>
      <w:r w:rsidR="000136C3">
        <w:t>a detainee to</w:t>
      </w:r>
      <w:r w:rsidR="00626899">
        <w:t xml:space="preserve"> obtain</w:t>
      </w:r>
      <w:r w:rsidR="000136C3">
        <w:t xml:space="preserve"> </w:t>
      </w:r>
      <w:r w:rsidR="00626899">
        <w:t xml:space="preserve">toiletries and toilet paper </w:t>
      </w:r>
      <w:r w:rsidR="001B1922">
        <w:t xml:space="preserve">from another source </w:t>
      </w:r>
      <w:r w:rsidR="000136C3">
        <w:t>did</w:t>
      </w:r>
      <w:r w:rsidR="00626899">
        <w:t xml:space="preserve"> not absolve the respondent State from </w:t>
      </w:r>
      <w:r w:rsidR="001B1922">
        <w:t xml:space="preserve">its </w:t>
      </w:r>
      <w:r w:rsidR="00626899">
        <w:t xml:space="preserve">responsibility under the Convention (see </w:t>
      </w:r>
      <w:r w:rsidR="007C5701">
        <w:rPr>
          <w:i/>
        </w:rPr>
        <w:t>Peers v. Greece</w:t>
      </w:r>
      <w:r w:rsidR="007C5701">
        <w:t xml:space="preserve">, </w:t>
      </w:r>
      <w:r w:rsidR="007C5701" w:rsidRPr="007C5701">
        <w:rPr>
          <w:lang w:eastAsia="en-US"/>
        </w:rPr>
        <w:t>no.</w:t>
      </w:r>
      <w:r w:rsidR="00791BC9">
        <w:rPr>
          <w:lang w:eastAsia="en-US"/>
        </w:rPr>
        <w:t> </w:t>
      </w:r>
      <w:r w:rsidR="007C5701" w:rsidRPr="007C5701">
        <w:rPr>
          <w:lang w:eastAsia="en-US"/>
        </w:rPr>
        <w:t>28524/95, §</w:t>
      </w:r>
      <w:r w:rsidR="00931E32">
        <w:rPr>
          <w:lang w:eastAsia="en-US"/>
        </w:rPr>
        <w:t> </w:t>
      </w:r>
      <w:r w:rsidR="007C5701">
        <w:rPr>
          <w:lang w:eastAsia="en-US"/>
        </w:rPr>
        <w:t>64</w:t>
      </w:r>
      <w:r w:rsidR="007C5701" w:rsidRPr="007C5701">
        <w:rPr>
          <w:lang w:eastAsia="en-US"/>
        </w:rPr>
        <w:t>, ECHR 2001</w:t>
      </w:r>
      <w:r w:rsidR="007C5701" w:rsidRPr="007C5701">
        <w:rPr>
          <w:lang w:eastAsia="en-US"/>
        </w:rPr>
        <w:noBreakHyphen/>
        <w:t>III</w:t>
      </w:r>
      <w:r w:rsidR="007C5701">
        <w:rPr>
          <w:lang w:eastAsia="en-US"/>
        </w:rPr>
        <w:t>)</w:t>
      </w:r>
      <w:r w:rsidR="00100840">
        <w:rPr>
          <w:lang w:eastAsia="en-US"/>
        </w:rPr>
        <w:t>.</w:t>
      </w:r>
    </w:p>
    <w:p w:rsidR="00CE61CA" w:rsidRDefault="00A241E5" w:rsidP="009F7E6A">
      <w:pPr>
        <w:pStyle w:val="JuPara"/>
      </w:pPr>
      <w:r>
        <w:fldChar w:fldCharType="begin"/>
      </w:r>
      <w:r>
        <w:instrText xml:space="preserve"> SEQ level0 \*arabic </w:instrText>
      </w:r>
      <w:r>
        <w:fldChar w:fldCharType="separate"/>
      </w:r>
      <w:r w:rsidR="008806B0">
        <w:rPr>
          <w:noProof/>
        </w:rPr>
        <w:t>64</w:t>
      </w:r>
      <w:r>
        <w:fldChar w:fldCharType="end"/>
      </w:r>
      <w:r>
        <w:t>.  Together with their additional observations</w:t>
      </w:r>
      <w:r w:rsidR="001B1922">
        <w:t>,</w:t>
      </w:r>
      <w:r>
        <w:t xml:space="preserve"> the Government submitted an inventory plan of cell no. 26. </w:t>
      </w:r>
      <w:r w:rsidR="00AD42D5">
        <w:t xml:space="preserve">They stated that </w:t>
      </w:r>
      <w:r>
        <w:t xml:space="preserve">inventory plans </w:t>
      </w:r>
      <w:r w:rsidR="00AD42D5">
        <w:t>by definition</w:t>
      </w:r>
      <w:r>
        <w:t xml:space="preserve"> did not indicate minor </w:t>
      </w:r>
      <w:r w:rsidR="004F52B3">
        <w:t>structures</w:t>
      </w:r>
      <w:r>
        <w:t xml:space="preserve">, such as </w:t>
      </w:r>
      <w:r w:rsidR="00E8269F">
        <w:t xml:space="preserve">a </w:t>
      </w:r>
      <w:r w:rsidR="001B1922">
        <w:t xml:space="preserve">partition </w:t>
      </w:r>
      <w:r w:rsidR="00901997">
        <w:t>separating</w:t>
      </w:r>
      <w:r w:rsidR="001B1922">
        <w:t xml:space="preserve"> the</w:t>
      </w:r>
      <w:r>
        <w:t xml:space="preserve"> toilet</w:t>
      </w:r>
      <w:r w:rsidR="00901997">
        <w:t xml:space="preserve"> from the rest of the cell</w:t>
      </w:r>
      <w:r>
        <w:t>.</w:t>
      </w:r>
    </w:p>
    <w:p w:rsidR="0070217E" w:rsidRDefault="00CE61CA" w:rsidP="009F7E6A">
      <w:pPr>
        <w:pStyle w:val="JuPara"/>
      </w:pPr>
      <w:r>
        <w:fldChar w:fldCharType="begin"/>
      </w:r>
      <w:r>
        <w:instrText xml:space="preserve"> SEQ level0 \*arabic </w:instrText>
      </w:r>
      <w:r>
        <w:fldChar w:fldCharType="separate"/>
      </w:r>
      <w:r w:rsidR="008806B0">
        <w:rPr>
          <w:noProof/>
        </w:rPr>
        <w:t>65</w:t>
      </w:r>
      <w:r>
        <w:fldChar w:fldCharType="end"/>
      </w:r>
      <w:r>
        <w:t xml:space="preserve">.  The Government noted that the conditions of detention in the above-cited </w:t>
      </w:r>
      <w:r>
        <w:rPr>
          <w:i/>
        </w:rPr>
        <w:t>Peers</w:t>
      </w:r>
      <w:r>
        <w:t xml:space="preserve"> case could not be compared to those in Valmiera </w:t>
      </w:r>
      <w:r w:rsidR="001B1922">
        <w:t>Prison</w:t>
      </w:r>
      <w:r>
        <w:t>. In the present case</w:t>
      </w:r>
      <w:r w:rsidR="001B1922">
        <w:t>,</w:t>
      </w:r>
      <w:r>
        <w:t xml:space="preserve"> the applicant had not been detained in “claustrophobic” conditions or in an overcrowded cell.</w:t>
      </w:r>
      <w:r w:rsidR="00A70301">
        <w:t xml:space="preserve"> </w:t>
      </w:r>
      <w:r w:rsidR="0034793A">
        <w:t xml:space="preserve">The Government was not in </w:t>
      </w:r>
      <w:r w:rsidR="001B1922">
        <w:t xml:space="preserve">a </w:t>
      </w:r>
      <w:r w:rsidR="0034793A">
        <w:t xml:space="preserve">position to </w:t>
      </w:r>
      <w:r w:rsidR="00A241E5">
        <w:t>refer to any conclusions made by independent monitoring bodies</w:t>
      </w:r>
      <w:r w:rsidR="001B1922">
        <w:t>,</w:t>
      </w:r>
      <w:r w:rsidR="00A241E5">
        <w:t xml:space="preserve"> because such bodies had never visited Valmiera </w:t>
      </w:r>
      <w:r w:rsidR="001B1922">
        <w:t>Prison</w:t>
      </w:r>
      <w:r w:rsidR="00A241E5">
        <w:t>.</w:t>
      </w:r>
      <w:r w:rsidR="00C8212D">
        <w:t xml:space="preserve"> They maintained</w:t>
      </w:r>
      <w:r w:rsidR="0070217E">
        <w:t>, however,</w:t>
      </w:r>
      <w:r w:rsidR="00C8212D">
        <w:t xml:space="preserve"> that there </w:t>
      </w:r>
      <w:r w:rsidR="00944749">
        <w:t>had been</w:t>
      </w:r>
      <w:r w:rsidR="00C8212D">
        <w:t xml:space="preserve"> enough natural and artificial light in the cell</w:t>
      </w:r>
      <w:r w:rsidR="00500394">
        <w:t>,</w:t>
      </w:r>
      <w:r w:rsidR="00D536FD">
        <w:t xml:space="preserve"> </w:t>
      </w:r>
      <w:r w:rsidR="00C8212D">
        <w:t xml:space="preserve">that </w:t>
      </w:r>
      <w:r w:rsidR="001B1922">
        <w:t xml:space="preserve">the </w:t>
      </w:r>
      <w:r w:rsidR="00C8212D" w:rsidRPr="00A3344B">
        <w:t xml:space="preserve">ventilation system </w:t>
      </w:r>
      <w:r w:rsidR="00944749">
        <w:t>had been</w:t>
      </w:r>
      <w:r w:rsidR="00C8212D" w:rsidRPr="00A3344B">
        <w:t xml:space="preserve"> functioning</w:t>
      </w:r>
      <w:r w:rsidR="00500394" w:rsidRPr="00A3344B">
        <w:t xml:space="preserve"> and that </w:t>
      </w:r>
      <w:r w:rsidR="001B1922">
        <w:t xml:space="preserve">the </w:t>
      </w:r>
      <w:r w:rsidR="00500394" w:rsidRPr="00A3344B">
        <w:t>toilets had been separated</w:t>
      </w:r>
      <w:r w:rsidR="001B1922">
        <w:t xml:space="preserve"> off from the rest of the cell</w:t>
      </w:r>
      <w:r w:rsidR="00500394" w:rsidRPr="00A3344B">
        <w:t>.</w:t>
      </w:r>
    </w:p>
    <w:p w:rsidR="00BD1CCE" w:rsidRDefault="0070217E" w:rsidP="009F7E6A">
      <w:pPr>
        <w:pStyle w:val="JuPara"/>
      </w:pPr>
      <w:r>
        <w:fldChar w:fldCharType="begin"/>
      </w:r>
      <w:r>
        <w:instrText xml:space="preserve"> SEQ level0 \*arabic </w:instrText>
      </w:r>
      <w:r>
        <w:fldChar w:fldCharType="separate"/>
      </w:r>
      <w:r w:rsidR="008806B0">
        <w:rPr>
          <w:noProof/>
        </w:rPr>
        <w:t>66</w:t>
      </w:r>
      <w:r>
        <w:fldChar w:fldCharType="end"/>
      </w:r>
      <w:r>
        <w:t xml:space="preserve">.  Finally, the Government </w:t>
      </w:r>
      <w:r w:rsidR="000567A4">
        <w:t xml:space="preserve">argued that the lack of a toothbrush, toothpaste and toilet paper </w:t>
      </w:r>
      <w:r w:rsidR="001B1922">
        <w:t xml:space="preserve">could </w:t>
      </w:r>
      <w:r w:rsidR="000567A4">
        <w:t>hardly be seen as raising an issue un</w:t>
      </w:r>
      <w:r w:rsidR="00D649FA">
        <w:t>der Article 3 of the Convention</w:t>
      </w:r>
      <w:r w:rsidR="0004226E">
        <w:t xml:space="preserve">, especially given that the applicant could </w:t>
      </w:r>
      <w:r w:rsidR="001B1922">
        <w:t xml:space="preserve">have </w:t>
      </w:r>
      <w:r w:rsidR="0004226E">
        <w:t>purchase</w:t>
      </w:r>
      <w:r w:rsidR="001B1922">
        <w:t>d</w:t>
      </w:r>
      <w:r w:rsidR="0004226E">
        <w:t xml:space="preserve"> these </w:t>
      </w:r>
      <w:r w:rsidR="00356E55">
        <w:t>products</w:t>
      </w:r>
      <w:r w:rsidR="0004226E">
        <w:t xml:space="preserve"> in </w:t>
      </w:r>
      <w:r w:rsidR="001B1922">
        <w:t xml:space="preserve">the </w:t>
      </w:r>
      <w:r w:rsidR="0004226E">
        <w:t>prison shop.</w:t>
      </w:r>
    </w:p>
    <w:p w:rsidR="00A3344B" w:rsidRDefault="00A3344B" w:rsidP="009F7E6A">
      <w:pPr>
        <w:pStyle w:val="JuPara"/>
      </w:pPr>
      <w:r>
        <w:fldChar w:fldCharType="begin"/>
      </w:r>
      <w:r>
        <w:instrText xml:space="preserve"> SEQ level0 \*arabic </w:instrText>
      </w:r>
      <w:r>
        <w:fldChar w:fldCharType="separate"/>
      </w:r>
      <w:r w:rsidR="008806B0">
        <w:rPr>
          <w:noProof/>
        </w:rPr>
        <w:t>67</w:t>
      </w:r>
      <w:r>
        <w:fldChar w:fldCharType="end"/>
      </w:r>
      <w:r>
        <w:t>.  </w:t>
      </w:r>
      <w:r w:rsidR="00B55F8E">
        <w:t>In reply to the Government</w:t>
      </w:r>
      <w:r w:rsidR="00FD5467">
        <w:t>’</w:t>
      </w:r>
      <w:r w:rsidR="00B55F8E">
        <w:t>s additional observations</w:t>
      </w:r>
      <w:r w:rsidR="001B1922">
        <w:t>,</w:t>
      </w:r>
      <w:r w:rsidR="00B55F8E">
        <w:t xml:space="preserve"> the applicant </w:t>
      </w:r>
      <w:r w:rsidR="00422DF0">
        <w:t xml:space="preserve">stressed that there was still no evidence concerning the number of detainees </w:t>
      </w:r>
      <w:r w:rsidR="001B1922">
        <w:t xml:space="preserve">who had been </w:t>
      </w:r>
      <w:r w:rsidR="00422DF0">
        <w:t xml:space="preserve">held in cell no. 26 at the </w:t>
      </w:r>
      <w:r w:rsidR="00916ED1">
        <w:t>material</w:t>
      </w:r>
      <w:r w:rsidR="00422DF0">
        <w:t xml:space="preserve"> time.</w:t>
      </w:r>
    </w:p>
    <w:p w:rsidR="009F7E6A" w:rsidRDefault="009F7E6A" w:rsidP="009F7E6A">
      <w:pPr>
        <w:pStyle w:val="JuH1"/>
        <w:outlineLvl w:val="2"/>
      </w:pPr>
      <w:r>
        <w:t>2.  The Court</w:t>
      </w:r>
      <w:r w:rsidR="00FD5467">
        <w:t>’</w:t>
      </w:r>
      <w:r>
        <w:t>s assessment</w:t>
      </w:r>
    </w:p>
    <w:p w:rsidR="00896BC9" w:rsidRDefault="00896BC9" w:rsidP="00636479">
      <w:pPr>
        <w:pStyle w:val="JuHa0"/>
        <w:outlineLvl w:val="3"/>
      </w:pPr>
      <w:r>
        <w:t>(a)  General principles</w:t>
      </w:r>
    </w:p>
    <w:p w:rsidR="009C16BC" w:rsidRDefault="009D10EE" w:rsidP="009F7E6A">
      <w:pPr>
        <w:pStyle w:val="JuPara"/>
      </w:pPr>
      <w:r>
        <w:fldChar w:fldCharType="begin"/>
      </w:r>
      <w:r>
        <w:instrText xml:space="preserve"> SEQ level0 \*arabic </w:instrText>
      </w:r>
      <w:r>
        <w:fldChar w:fldCharType="separate"/>
      </w:r>
      <w:r w:rsidR="008806B0">
        <w:rPr>
          <w:noProof/>
        </w:rPr>
        <w:t>68</w:t>
      </w:r>
      <w:r>
        <w:fldChar w:fldCharType="end"/>
      </w:r>
      <w:r>
        <w:t>.  </w:t>
      </w:r>
      <w:r w:rsidR="004204D3">
        <w:t xml:space="preserve">From the outset, concerning the facts that are in dispute, the Court reiterates its jurisprudence confirming the standard of proof “beyond reasonable doubt” in its assessment of evidence. </w:t>
      </w:r>
      <w:r w:rsidR="0094347B">
        <w:t xml:space="preserve">A “reasonable doubt” is not a doubt based on a merely theoretical possibility or raised in order to avoid a disagreeable conclusion, but a doubt for which reasons can be drawn from the facts presented. The </w:t>
      </w:r>
      <w:r w:rsidR="004204D3" w:rsidRPr="00A448B8">
        <w:rPr>
          <w:bCs/>
        </w:rPr>
        <w:t>proof</w:t>
      </w:r>
      <w:r w:rsidR="004204D3" w:rsidRPr="00A448B8">
        <w:t xml:space="preserve"> </w:t>
      </w:r>
      <w:r w:rsidR="0094347B">
        <w:t xml:space="preserve">of treatment contrary to Article 3 of the Convention </w:t>
      </w:r>
      <w:r w:rsidR="004204D3" w:rsidRPr="00A448B8">
        <w:rPr>
          <w:bCs/>
        </w:rPr>
        <w:t>may</w:t>
      </w:r>
      <w:r w:rsidR="004204D3" w:rsidRPr="00A448B8">
        <w:t xml:space="preserve"> </w:t>
      </w:r>
      <w:r w:rsidR="004204D3" w:rsidRPr="00A448B8">
        <w:rPr>
          <w:bCs/>
        </w:rPr>
        <w:t>follow</w:t>
      </w:r>
      <w:r w:rsidR="004204D3" w:rsidRPr="00A448B8">
        <w:t xml:space="preserve"> from the </w:t>
      </w:r>
      <w:r w:rsidR="004204D3" w:rsidRPr="00A448B8">
        <w:rPr>
          <w:bCs/>
        </w:rPr>
        <w:t>coexistence</w:t>
      </w:r>
      <w:r w:rsidR="004204D3" w:rsidRPr="00A448B8">
        <w:t xml:space="preserve"> of </w:t>
      </w:r>
      <w:r w:rsidR="004204D3" w:rsidRPr="00A448B8">
        <w:rPr>
          <w:bCs/>
        </w:rPr>
        <w:t>sufficiently</w:t>
      </w:r>
      <w:r w:rsidR="004204D3" w:rsidRPr="00A448B8">
        <w:t xml:space="preserve"> </w:t>
      </w:r>
      <w:r w:rsidR="004204D3" w:rsidRPr="00A448B8">
        <w:rPr>
          <w:bCs/>
        </w:rPr>
        <w:t>strong</w:t>
      </w:r>
      <w:r w:rsidR="004204D3" w:rsidRPr="00A448B8">
        <w:t xml:space="preserve">, </w:t>
      </w:r>
      <w:r w:rsidR="004204D3" w:rsidRPr="00A448B8">
        <w:rPr>
          <w:bCs/>
        </w:rPr>
        <w:t>clear</w:t>
      </w:r>
      <w:r w:rsidR="004204D3" w:rsidRPr="00A448B8">
        <w:t xml:space="preserve"> and </w:t>
      </w:r>
      <w:r w:rsidR="004204D3" w:rsidRPr="00A448B8">
        <w:rPr>
          <w:bCs/>
        </w:rPr>
        <w:t>concordant</w:t>
      </w:r>
      <w:r w:rsidR="004204D3" w:rsidRPr="00A448B8">
        <w:t xml:space="preserve"> </w:t>
      </w:r>
      <w:r w:rsidR="004204D3" w:rsidRPr="00A448B8">
        <w:rPr>
          <w:bCs/>
        </w:rPr>
        <w:t>inferences</w:t>
      </w:r>
      <w:r w:rsidR="004204D3" w:rsidRPr="00A448B8">
        <w:t xml:space="preserve"> or of </w:t>
      </w:r>
      <w:r w:rsidR="004204D3" w:rsidRPr="00A448B8">
        <w:rPr>
          <w:bCs/>
        </w:rPr>
        <w:t>similar</w:t>
      </w:r>
      <w:r w:rsidR="004204D3" w:rsidRPr="00A448B8">
        <w:t xml:space="preserve"> </w:t>
      </w:r>
      <w:r w:rsidR="004204D3" w:rsidRPr="00A448B8">
        <w:rPr>
          <w:bCs/>
        </w:rPr>
        <w:t>unrebutted</w:t>
      </w:r>
      <w:r w:rsidR="004204D3" w:rsidRPr="00A448B8">
        <w:t xml:space="preserve"> </w:t>
      </w:r>
      <w:r w:rsidR="004204D3" w:rsidRPr="00A448B8">
        <w:rPr>
          <w:bCs/>
        </w:rPr>
        <w:t>presumptions</w:t>
      </w:r>
      <w:r w:rsidR="004204D3" w:rsidRPr="00A448B8">
        <w:t xml:space="preserve"> of </w:t>
      </w:r>
      <w:r w:rsidR="004204D3" w:rsidRPr="00A448B8">
        <w:rPr>
          <w:bCs/>
        </w:rPr>
        <w:t>fact</w:t>
      </w:r>
      <w:r w:rsidR="0094347B">
        <w:rPr>
          <w:bCs/>
        </w:rPr>
        <w:t xml:space="preserve"> </w:t>
      </w:r>
      <w:r w:rsidR="004204D3">
        <w:t xml:space="preserve">(see </w:t>
      </w:r>
      <w:r w:rsidR="004204D3">
        <w:rPr>
          <w:i/>
        </w:rPr>
        <w:t>Farbtuhs</w:t>
      </w:r>
      <w:r w:rsidR="004204D3" w:rsidRPr="00DD10D6">
        <w:rPr>
          <w:i/>
          <w:lang w:eastAsia="en-US"/>
        </w:rPr>
        <w:t xml:space="preserve"> </w:t>
      </w:r>
      <w:r w:rsidR="004204D3" w:rsidRPr="00A20128">
        <w:rPr>
          <w:i/>
          <w:lang w:eastAsia="en-US"/>
        </w:rPr>
        <w:t xml:space="preserve">v. </w:t>
      </w:r>
      <w:smartTag w:uri="urn:schemas-microsoft-com:office:smarttags" w:element="country-region">
        <w:smartTag w:uri="urn:schemas-microsoft-com:office:smarttags" w:element="place">
          <w:r w:rsidR="004204D3" w:rsidRPr="00A20128">
            <w:rPr>
              <w:i/>
              <w:lang w:eastAsia="en-US"/>
            </w:rPr>
            <w:t>Latvia</w:t>
          </w:r>
        </w:smartTag>
      </w:smartTag>
      <w:r w:rsidR="004204D3" w:rsidRPr="00A20128">
        <w:rPr>
          <w:lang w:eastAsia="en-US"/>
        </w:rPr>
        <w:t>, no.</w:t>
      </w:r>
      <w:r w:rsidR="004204D3">
        <w:rPr>
          <w:lang w:eastAsia="en-US"/>
        </w:rPr>
        <w:t> </w:t>
      </w:r>
      <w:r w:rsidR="004204D3" w:rsidRPr="00A20128">
        <w:rPr>
          <w:lang w:eastAsia="en-US"/>
        </w:rPr>
        <w:t xml:space="preserve">4672/02, § </w:t>
      </w:r>
      <w:r w:rsidR="004204D3">
        <w:rPr>
          <w:lang w:eastAsia="en-US"/>
        </w:rPr>
        <w:t>54</w:t>
      </w:r>
      <w:r w:rsidR="004204D3" w:rsidRPr="00A20128">
        <w:rPr>
          <w:lang w:eastAsia="en-US"/>
        </w:rPr>
        <w:t>, 2 December 2004</w:t>
      </w:r>
      <w:r w:rsidR="004204D3">
        <w:rPr>
          <w:lang w:eastAsia="en-US"/>
        </w:rPr>
        <w:t>).</w:t>
      </w:r>
      <w:r w:rsidR="00D32A7C">
        <w:rPr>
          <w:lang w:eastAsia="en-US"/>
        </w:rPr>
        <w:t xml:space="preserve"> </w:t>
      </w:r>
      <w:r w:rsidR="009C16BC">
        <w:t xml:space="preserve">In this context, the conduct of the </w:t>
      </w:r>
      <w:r w:rsidR="00C72BF4">
        <w:t>p</w:t>
      </w:r>
      <w:r w:rsidR="009C16BC">
        <w:t>arties when evidence is being obtained has to be taken into account.</w:t>
      </w:r>
    </w:p>
    <w:p w:rsidR="00BD1CCE" w:rsidRDefault="004204D3" w:rsidP="009F7E6A">
      <w:pPr>
        <w:pStyle w:val="JuPara"/>
        <w:rPr>
          <w:color w:val="000000"/>
          <w:szCs w:val="24"/>
          <w:lang w:eastAsia="en-GB"/>
        </w:rPr>
      </w:pPr>
      <w:r>
        <w:rPr>
          <w:lang w:eastAsia="en-US"/>
        </w:rPr>
        <w:fldChar w:fldCharType="begin"/>
      </w:r>
      <w:r>
        <w:rPr>
          <w:lang w:eastAsia="en-US"/>
        </w:rPr>
        <w:instrText xml:space="preserve"> SEQ level0 \*arabic </w:instrText>
      </w:r>
      <w:r>
        <w:rPr>
          <w:lang w:eastAsia="en-US"/>
        </w:rPr>
        <w:fldChar w:fldCharType="separate"/>
      </w:r>
      <w:r w:rsidR="008806B0">
        <w:rPr>
          <w:noProof/>
          <w:lang w:eastAsia="en-US"/>
        </w:rPr>
        <w:t>69</w:t>
      </w:r>
      <w:r>
        <w:rPr>
          <w:lang w:eastAsia="en-US"/>
        </w:rPr>
        <w:fldChar w:fldCharType="end"/>
      </w:r>
      <w:r>
        <w:rPr>
          <w:lang w:eastAsia="en-US"/>
        </w:rPr>
        <w:t>.</w:t>
      </w:r>
      <w:r w:rsidRPr="004204D3">
        <w:rPr>
          <w:color w:val="000000"/>
          <w:szCs w:val="24"/>
          <w:lang w:eastAsia="en-GB"/>
        </w:rPr>
        <w:t xml:space="preserve"> </w:t>
      </w:r>
      <w:r>
        <w:rPr>
          <w:color w:val="000000"/>
          <w:szCs w:val="24"/>
          <w:lang w:eastAsia="en-GB"/>
        </w:rPr>
        <w:t xml:space="preserve">Furthermore, the State must ensure that a person is detained in conditions which are compatible with respect for his human dignity, that the manner and method of the execution of the measure do not subject him to distress or hardship of an intensity exceeding the unavoidable level of suffering inherent in detention and that, given the practical demands of imprisonment, his health and well-being are adequately secured (see </w:t>
      </w:r>
      <w:r w:rsidR="00B665AA" w:rsidRPr="00B665AA">
        <w:rPr>
          <w:i/>
          <w:lang w:eastAsia="en-US"/>
        </w:rPr>
        <w:t xml:space="preserve">Kudła v. </w:t>
      </w:r>
      <w:smartTag w:uri="urn:schemas-microsoft-com:office:smarttags" w:element="country-region">
        <w:smartTag w:uri="urn:schemas-microsoft-com:office:smarttags" w:element="place">
          <w:r w:rsidR="00B665AA" w:rsidRPr="00B665AA">
            <w:rPr>
              <w:i/>
              <w:lang w:eastAsia="en-US"/>
            </w:rPr>
            <w:t>Poland</w:t>
          </w:r>
        </w:smartTag>
      </w:smartTag>
      <w:r w:rsidR="00B665AA" w:rsidRPr="00B665AA">
        <w:rPr>
          <w:i/>
          <w:lang w:eastAsia="en-US"/>
        </w:rPr>
        <w:t xml:space="preserve"> </w:t>
      </w:r>
      <w:r w:rsidR="00B665AA" w:rsidRPr="00B665AA">
        <w:rPr>
          <w:lang w:eastAsia="en-US"/>
        </w:rPr>
        <w:t xml:space="preserve">[GC], no. 30210/96, § </w:t>
      </w:r>
      <w:r w:rsidR="00B665AA">
        <w:rPr>
          <w:lang w:eastAsia="en-US"/>
        </w:rPr>
        <w:t>94</w:t>
      </w:r>
      <w:r w:rsidR="00B665AA" w:rsidRPr="00B665AA">
        <w:rPr>
          <w:lang w:eastAsia="en-US"/>
        </w:rPr>
        <w:t>, ECHR 2000</w:t>
      </w:r>
      <w:r w:rsidR="00B665AA" w:rsidRPr="00B665AA">
        <w:rPr>
          <w:lang w:eastAsia="en-US"/>
        </w:rPr>
        <w:noBreakHyphen/>
        <w:t>XI</w:t>
      </w:r>
      <w:r w:rsidR="00B665AA">
        <w:rPr>
          <w:lang w:eastAsia="en-US"/>
        </w:rPr>
        <w:t xml:space="preserve">, and </w:t>
      </w:r>
      <w:r w:rsidRPr="002F6C5C">
        <w:rPr>
          <w:i/>
          <w:lang w:eastAsia="en-US"/>
        </w:rPr>
        <w:t>Valašinas v.</w:t>
      </w:r>
      <w:r w:rsidR="00766027">
        <w:rPr>
          <w:i/>
          <w:lang w:eastAsia="en-US"/>
        </w:rPr>
        <w:t> </w:t>
      </w:r>
      <w:r w:rsidRPr="002F6C5C">
        <w:rPr>
          <w:i/>
          <w:lang w:eastAsia="en-US"/>
        </w:rPr>
        <w:t>Lithuania</w:t>
      </w:r>
      <w:r w:rsidRPr="002F6C5C">
        <w:rPr>
          <w:lang w:eastAsia="en-US"/>
        </w:rPr>
        <w:t xml:space="preserve">, </w:t>
      </w:r>
      <w:r w:rsidR="00F74A19" w:rsidRPr="00F74A19">
        <w:rPr>
          <w:lang w:eastAsia="en-US"/>
        </w:rPr>
        <w:t xml:space="preserve">no. 44558/98, § </w:t>
      </w:r>
      <w:r w:rsidR="00F74A19">
        <w:rPr>
          <w:lang w:eastAsia="en-US"/>
        </w:rPr>
        <w:t>102</w:t>
      </w:r>
      <w:r w:rsidR="00F74A19" w:rsidRPr="00F74A19">
        <w:rPr>
          <w:lang w:eastAsia="en-US"/>
        </w:rPr>
        <w:t>, ECHR 2001</w:t>
      </w:r>
      <w:r w:rsidR="00F74A19" w:rsidRPr="00F74A19">
        <w:rPr>
          <w:lang w:eastAsia="en-US"/>
        </w:rPr>
        <w:noBreakHyphen/>
        <w:t>VIII</w:t>
      </w:r>
      <w:r w:rsidR="00DE06D2">
        <w:rPr>
          <w:lang w:eastAsia="en-US"/>
        </w:rPr>
        <w:t>)</w:t>
      </w:r>
      <w:r>
        <w:rPr>
          <w:color w:val="000000"/>
          <w:szCs w:val="24"/>
          <w:lang w:eastAsia="en-GB"/>
        </w:rPr>
        <w:t>. When assessing conditions of detention, account has to be taken of the cumulative effects of those conditions</w:t>
      </w:r>
      <w:r w:rsidR="00536807">
        <w:rPr>
          <w:color w:val="000000"/>
          <w:szCs w:val="24"/>
          <w:lang w:eastAsia="en-GB"/>
        </w:rPr>
        <w:t>,</w:t>
      </w:r>
      <w:r>
        <w:rPr>
          <w:color w:val="000000"/>
          <w:szCs w:val="24"/>
          <w:lang w:eastAsia="en-GB"/>
        </w:rPr>
        <w:t xml:space="preserve"> as well as the applicant</w:t>
      </w:r>
      <w:r w:rsidR="00FD5467">
        <w:rPr>
          <w:color w:val="000000"/>
          <w:szCs w:val="24"/>
          <w:lang w:eastAsia="en-GB"/>
        </w:rPr>
        <w:t>’</w:t>
      </w:r>
      <w:r>
        <w:rPr>
          <w:color w:val="000000"/>
          <w:szCs w:val="24"/>
          <w:lang w:eastAsia="en-GB"/>
        </w:rPr>
        <w:t xml:space="preserve">s specific allegations (see </w:t>
      </w:r>
      <w:r>
        <w:rPr>
          <w:i/>
          <w:iCs/>
          <w:color w:val="000000"/>
          <w:szCs w:val="24"/>
          <w:lang w:eastAsia="en-GB"/>
        </w:rPr>
        <w:t>Dougoz v. Greece</w:t>
      </w:r>
      <w:r>
        <w:rPr>
          <w:color w:val="000000"/>
          <w:szCs w:val="24"/>
          <w:lang w:eastAsia="en-GB"/>
        </w:rPr>
        <w:t>, no. 40907/98, § 46, ECHR 2001</w:t>
      </w:r>
      <w:r>
        <w:rPr>
          <w:color w:val="000000"/>
          <w:szCs w:val="24"/>
          <w:lang w:eastAsia="en-GB"/>
        </w:rPr>
        <w:noBreakHyphen/>
        <w:t xml:space="preserve">II; </w:t>
      </w:r>
      <w:r>
        <w:rPr>
          <w:i/>
          <w:iCs/>
          <w:color w:val="000000"/>
          <w:szCs w:val="24"/>
          <w:lang w:eastAsia="en-GB"/>
        </w:rPr>
        <w:t>Kalashnikov v. Russia</w:t>
      </w:r>
      <w:r>
        <w:rPr>
          <w:color w:val="000000"/>
          <w:szCs w:val="24"/>
          <w:lang w:eastAsia="en-GB"/>
        </w:rPr>
        <w:t>, no.</w:t>
      </w:r>
      <w:r w:rsidR="0053395B">
        <w:rPr>
          <w:color w:val="000000"/>
          <w:szCs w:val="24"/>
          <w:lang w:eastAsia="en-GB"/>
        </w:rPr>
        <w:t> </w:t>
      </w:r>
      <w:r>
        <w:rPr>
          <w:color w:val="000000"/>
          <w:szCs w:val="24"/>
          <w:lang w:eastAsia="en-GB"/>
        </w:rPr>
        <w:t xml:space="preserve">47095/99, § 102, ECHR 2002-VI; and </w:t>
      </w:r>
      <w:r w:rsidRPr="00E21E47">
        <w:rPr>
          <w:i/>
          <w:lang w:eastAsia="en-US"/>
        </w:rPr>
        <w:t>Ostrovar v. Moldova</w:t>
      </w:r>
      <w:r w:rsidRPr="00E21E47">
        <w:rPr>
          <w:lang w:eastAsia="en-US"/>
        </w:rPr>
        <w:t>, no.</w:t>
      </w:r>
      <w:r>
        <w:rPr>
          <w:lang w:eastAsia="en-US"/>
        </w:rPr>
        <w:t> </w:t>
      </w:r>
      <w:r w:rsidRPr="00E21E47">
        <w:rPr>
          <w:lang w:eastAsia="en-US"/>
        </w:rPr>
        <w:t xml:space="preserve">35207/03, § </w:t>
      </w:r>
      <w:r>
        <w:rPr>
          <w:lang w:eastAsia="en-US"/>
        </w:rPr>
        <w:t>80</w:t>
      </w:r>
      <w:r w:rsidRPr="00E21E47">
        <w:rPr>
          <w:lang w:eastAsia="en-US"/>
        </w:rPr>
        <w:t>, 13 September 2005</w:t>
      </w:r>
      <w:r>
        <w:rPr>
          <w:color w:val="000000"/>
          <w:szCs w:val="24"/>
          <w:lang w:eastAsia="en-GB"/>
        </w:rPr>
        <w:t>).</w:t>
      </w:r>
    </w:p>
    <w:p w:rsidR="00C86F7E" w:rsidRDefault="00C86F7E" w:rsidP="009F7E6A">
      <w:pPr>
        <w:pStyle w:val="JuPara"/>
        <w:rPr>
          <w:snapToGrid w:val="0"/>
          <w:szCs w:val="24"/>
          <w:lang w:val="pt-BR" w:eastAsia="en-US"/>
        </w:rPr>
      </w:pPr>
      <w:r>
        <w:rPr>
          <w:color w:val="000000"/>
          <w:szCs w:val="24"/>
          <w:lang w:eastAsia="en-GB"/>
        </w:rPr>
        <w:fldChar w:fldCharType="begin"/>
      </w:r>
      <w:r>
        <w:rPr>
          <w:color w:val="000000"/>
          <w:szCs w:val="24"/>
          <w:lang w:eastAsia="en-GB"/>
        </w:rPr>
        <w:instrText xml:space="preserve"> SEQ level0 \*arabic </w:instrText>
      </w:r>
      <w:r>
        <w:rPr>
          <w:color w:val="000000"/>
          <w:szCs w:val="24"/>
          <w:lang w:eastAsia="en-GB"/>
        </w:rPr>
        <w:fldChar w:fldCharType="separate"/>
      </w:r>
      <w:r w:rsidR="008806B0">
        <w:rPr>
          <w:noProof/>
          <w:color w:val="000000"/>
          <w:szCs w:val="24"/>
          <w:lang w:eastAsia="en-GB"/>
        </w:rPr>
        <w:t>70</w:t>
      </w:r>
      <w:r>
        <w:rPr>
          <w:color w:val="000000"/>
          <w:szCs w:val="24"/>
          <w:lang w:eastAsia="en-GB"/>
        </w:rPr>
        <w:fldChar w:fldCharType="end"/>
      </w:r>
      <w:r>
        <w:rPr>
          <w:color w:val="000000"/>
          <w:szCs w:val="24"/>
          <w:lang w:eastAsia="en-GB"/>
        </w:rPr>
        <w:t>.</w:t>
      </w:r>
      <w:r w:rsidR="004E4073">
        <w:rPr>
          <w:color w:val="000000"/>
          <w:szCs w:val="24"/>
          <w:lang w:eastAsia="en-GB"/>
        </w:rPr>
        <w:t>  The Court has also held</w:t>
      </w:r>
      <w:r w:rsidR="00105009">
        <w:rPr>
          <w:color w:val="000000"/>
          <w:szCs w:val="24"/>
          <w:lang w:eastAsia="en-GB"/>
        </w:rPr>
        <w:t xml:space="preserve"> </w:t>
      </w:r>
      <w:r w:rsidR="004E4073">
        <w:rPr>
          <w:color w:val="000000"/>
          <w:szCs w:val="24"/>
          <w:lang w:eastAsia="en-GB"/>
        </w:rPr>
        <w:t xml:space="preserve">that the absence of an adequate supply of </w:t>
      </w:r>
      <w:r w:rsidR="00105009">
        <w:rPr>
          <w:color w:val="000000"/>
          <w:szCs w:val="24"/>
          <w:lang w:eastAsia="en-GB"/>
        </w:rPr>
        <w:t xml:space="preserve">personal hygiene </w:t>
      </w:r>
      <w:r w:rsidR="00356E55">
        <w:rPr>
          <w:color w:val="000000"/>
          <w:szCs w:val="24"/>
          <w:lang w:eastAsia="en-GB"/>
        </w:rPr>
        <w:t>products</w:t>
      </w:r>
      <w:r w:rsidR="005D1F93" w:rsidRPr="005D1F93">
        <w:rPr>
          <w:color w:val="000000"/>
          <w:szCs w:val="24"/>
          <w:lang w:eastAsia="en-GB"/>
        </w:rPr>
        <w:t xml:space="preserve"> </w:t>
      </w:r>
      <w:r w:rsidR="005D1F93">
        <w:rPr>
          <w:color w:val="000000"/>
          <w:szCs w:val="24"/>
          <w:lang w:eastAsia="en-GB"/>
        </w:rPr>
        <w:t>in prison</w:t>
      </w:r>
      <w:r w:rsidR="00105009">
        <w:rPr>
          <w:color w:val="000000"/>
          <w:szCs w:val="24"/>
          <w:lang w:eastAsia="en-GB"/>
        </w:rPr>
        <w:t xml:space="preserve">, such as </w:t>
      </w:r>
      <w:r w:rsidR="004E4073">
        <w:rPr>
          <w:color w:val="000000"/>
          <w:szCs w:val="24"/>
          <w:lang w:eastAsia="en-GB"/>
        </w:rPr>
        <w:t>toilet paper</w:t>
      </w:r>
      <w:r w:rsidR="00105009">
        <w:rPr>
          <w:color w:val="000000"/>
          <w:szCs w:val="24"/>
          <w:lang w:eastAsia="en-GB"/>
        </w:rPr>
        <w:t>,</w:t>
      </w:r>
      <w:r w:rsidR="004E4073">
        <w:rPr>
          <w:color w:val="000000"/>
          <w:szCs w:val="24"/>
          <w:lang w:eastAsia="en-GB"/>
        </w:rPr>
        <w:t xml:space="preserve"> may raise an issue under Article 3 of the Convention </w:t>
      </w:r>
      <w:r w:rsidR="00105009">
        <w:rPr>
          <w:color w:val="000000"/>
          <w:szCs w:val="24"/>
          <w:lang w:eastAsia="en-GB"/>
        </w:rPr>
        <w:t xml:space="preserve">in itself </w:t>
      </w:r>
      <w:r w:rsidR="004E4073">
        <w:rPr>
          <w:color w:val="000000"/>
          <w:szCs w:val="24"/>
          <w:lang w:eastAsia="en-GB"/>
        </w:rPr>
        <w:t xml:space="preserve">(see </w:t>
      </w:r>
      <w:r w:rsidR="001F6F0E">
        <w:rPr>
          <w:i/>
          <w:color w:val="000000"/>
          <w:szCs w:val="24"/>
          <w:lang w:eastAsia="en-GB"/>
        </w:rPr>
        <w:t>Valašinas</w:t>
      </w:r>
      <w:r w:rsidR="001F6F0E">
        <w:rPr>
          <w:color w:val="000000"/>
          <w:szCs w:val="24"/>
          <w:lang w:eastAsia="en-GB"/>
        </w:rPr>
        <w:t>, cited above, §</w:t>
      </w:r>
      <w:r w:rsidR="00105009">
        <w:rPr>
          <w:color w:val="000000"/>
          <w:szCs w:val="24"/>
          <w:lang w:eastAsia="en-GB"/>
        </w:rPr>
        <w:t> </w:t>
      </w:r>
      <w:r w:rsidR="002D46BE">
        <w:rPr>
          <w:color w:val="000000"/>
          <w:szCs w:val="24"/>
          <w:lang w:eastAsia="en-GB"/>
        </w:rPr>
        <w:t>104)</w:t>
      </w:r>
      <w:r w:rsidR="00AA2601">
        <w:rPr>
          <w:color w:val="000000"/>
          <w:szCs w:val="24"/>
          <w:lang w:eastAsia="en-GB"/>
        </w:rPr>
        <w:t xml:space="preserve"> or in combination with other </w:t>
      </w:r>
      <w:r w:rsidR="001B00C4">
        <w:rPr>
          <w:color w:val="000000"/>
          <w:szCs w:val="24"/>
          <w:lang w:eastAsia="en-GB"/>
        </w:rPr>
        <w:t>factors</w:t>
      </w:r>
      <w:r w:rsidR="00AA2601">
        <w:rPr>
          <w:color w:val="000000"/>
          <w:szCs w:val="24"/>
          <w:lang w:eastAsia="en-GB"/>
        </w:rPr>
        <w:t xml:space="preserve"> (see </w:t>
      </w:r>
      <w:r w:rsidR="00DB244A" w:rsidRPr="00DB244A">
        <w:rPr>
          <w:i/>
          <w:lang w:eastAsia="en-US"/>
        </w:rPr>
        <w:t xml:space="preserve">Karalevičius v. </w:t>
      </w:r>
      <w:smartTag w:uri="urn:schemas-microsoft-com:office:smarttags" w:element="country-region">
        <w:smartTag w:uri="urn:schemas-microsoft-com:office:smarttags" w:element="place">
          <w:r w:rsidR="00DB244A" w:rsidRPr="00DB244A">
            <w:rPr>
              <w:i/>
              <w:lang w:eastAsia="en-US"/>
            </w:rPr>
            <w:t>Lithuania</w:t>
          </w:r>
        </w:smartTag>
      </w:smartTag>
      <w:r w:rsidR="00DB244A" w:rsidRPr="00DB244A">
        <w:rPr>
          <w:lang w:eastAsia="en-US"/>
        </w:rPr>
        <w:t xml:space="preserve">, no. 53254/99, § </w:t>
      </w:r>
      <w:r w:rsidR="00DB244A">
        <w:rPr>
          <w:lang w:eastAsia="en-US"/>
        </w:rPr>
        <w:t>40</w:t>
      </w:r>
      <w:r w:rsidR="00DB244A" w:rsidRPr="00DB244A">
        <w:rPr>
          <w:lang w:eastAsia="en-US"/>
        </w:rPr>
        <w:t>, 7 April 2005</w:t>
      </w:r>
      <w:r w:rsidR="00DB244A">
        <w:rPr>
          <w:lang w:eastAsia="en-US"/>
        </w:rPr>
        <w:t xml:space="preserve">, and </w:t>
      </w:r>
      <w:r w:rsidR="00A3229A" w:rsidRPr="00A3229A">
        <w:rPr>
          <w:i/>
          <w:lang w:eastAsia="en-US"/>
        </w:rPr>
        <w:t xml:space="preserve">Bazjaks v. </w:t>
      </w:r>
      <w:smartTag w:uri="urn:schemas-microsoft-com:office:smarttags" w:element="place">
        <w:smartTag w:uri="urn:schemas-microsoft-com:office:smarttags" w:element="country-region">
          <w:r w:rsidR="00A3229A" w:rsidRPr="00A3229A">
            <w:rPr>
              <w:i/>
              <w:lang w:eastAsia="en-US"/>
            </w:rPr>
            <w:t>Latvia</w:t>
          </w:r>
        </w:smartTag>
      </w:smartTag>
      <w:r w:rsidR="00A3229A" w:rsidRPr="00A3229A">
        <w:rPr>
          <w:lang w:eastAsia="en-US"/>
        </w:rPr>
        <w:t>, no.</w:t>
      </w:r>
      <w:r w:rsidR="00C82C8F">
        <w:rPr>
          <w:lang w:eastAsia="en-US"/>
        </w:rPr>
        <w:t> </w:t>
      </w:r>
      <w:r w:rsidR="00A3229A" w:rsidRPr="00A3229A">
        <w:rPr>
          <w:lang w:eastAsia="en-US"/>
        </w:rPr>
        <w:t>71572/01</w:t>
      </w:r>
      <w:r w:rsidR="00A3229A" w:rsidRPr="00A3229A">
        <w:rPr>
          <w:snapToGrid w:val="0"/>
          <w:szCs w:val="24"/>
          <w:lang w:val="pt-BR" w:eastAsia="en-US"/>
        </w:rPr>
        <w:t>, §</w:t>
      </w:r>
      <w:r w:rsidR="001B00C4">
        <w:rPr>
          <w:snapToGrid w:val="0"/>
          <w:szCs w:val="24"/>
          <w:lang w:val="pt-BR" w:eastAsia="en-US"/>
        </w:rPr>
        <w:t> </w:t>
      </w:r>
      <w:r w:rsidR="00555305">
        <w:rPr>
          <w:snapToGrid w:val="0"/>
          <w:szCs w:val="24"/>
          <w:lang w:val="pt-BR" w:eastAsia="en-US"/>
        </w:rPr>
        <w:t>116</w:t>
      </w:r>
      <w:r w:rsidR="00A3229A" w:rsidRPr="00A3229A">
        <w:rPr>
          <w:snapToGrid w:val="0"/>
          <w:szCs w:val="24"/>
          <w:lang w:val="pt-BR" w:eastAsia="en-US"/>
        </w:rPr>
        <w:t>, 19 October 2010</w:t>
      </w:r>
      <w:r w:rsidR="00A3229A">
        <w:rPr>
          <w:snapToGrid w:val="0"/>
          <w:szCs w:val="24"/>
          <w:lang w:val="pt-BR" w:eastAsia="en-US"/>
        </w:rPr>
        <w:t>)</w:t>
      </w:r>
      <w:r w:rsidR="00555305">
        <w:rPr>
          <w:snapToGrid w:val="0"/>
          <w:szCs w:val="24"/>
          <w:lang w:val="pt-BR" w:eastAsia="en-US"/>
        </w:rPr>
        <w:t>.</w:t>
      </w:r>
    </w:p>
    <w:p w:rsidR="00A63C1D" w:rsidRDefault="00A63C1D" w:rsidP="00636479">
      <w:pPr>
        <w:pStyle w:val="JuHa0"/>
        <w:outlineLvl w:val="3"/>
      </w:pPr>
      <w:r>
        <w:t>(b)  Application of these principles to the present case</w:t>
      </w:r>
    </w:p>
    <w:p w:rsidR="00344317" w:rsidRDefault="0014295B" w:rsidP="002F4BCF">
      <w:pPr>
        <w:pStyle w:val="JuPara"/>
      </w:pPr>
      <w:r>
        <w:fldChar w:fldCharType="begin"/>
      </w:r>
      <w:r>
        <w:instrText xml:space="preserve"> SEQ level0 \*arabic </w:instrText>
      </w:r>
      <w:r>
        <w:fldChar w:fldCharType="separate"/>
      </w:r>
      <w:r w:rsidR="008806B0">
        <w:rPr>
          <w:noProof/>
        </w:rPr>
        <w:t>71</w:t>
      </w:r>
      <w:r>
        <w:fldChar w:fldCharType="end"/>
      </w:r>
      <w:r w:rsidR="00F71A6A" w:rsidRPr="00302008">
        <w:t>.  </w:t>
      </w:r>
      <w:r w:rsidR="001B1A4B">
        <w:t>The Court observes that the applicant</w:t>
      </w:r>
      <w:r w:rsidR="00FD5467">
        <w:t>’</w:t>
      </w:r>
      <w:r w:rsidR="001B1A4B">
        <w:t xml:space="preserve">s complaint relates to </w:t>
      </w:r>
      <w:r w:rsidR="00536807">
        <w:t xml:space="preserve">the </w:t>
      </w:r>
      <w:r w:rsidR="001B1A4B">
        <w:t xml:space="preserve">conditions of his detention in Valmiera </w:t>
      </w:r>
      <w:r w:rsidR="00536807">
        <w:t xml:space="preserve">Prison </w:t>
      </w:r>
      <w:r w:rsidR="001B1A4B">
        <w:t xml:space="preserve">for nearly five months. </w:t>
      </w:r>
      <w:r w:rsidR="004108F7">
        <w:t>It relates, i</w:t>
      </w:r>
      <w:r w:rsidR="001B1A4B">
        <w:t xml:space="preserve">n particular, </w:t>
      </w:r>
      <w:r w:rsidR="004108F7">
        <w:t>to</w:t>
      </w:r>
      <w:r w:rsidR="001B1A4B">
        <w:t xml:space="preserve"> </w:t>
      </w:r>
      <w:r w:rsidR="004108F7">
        <w:t>the</w:t>
      </w:r>
      <w:r w:rsidR="001B1A4B">
        <w:t xml:space="preserve"> lack of personal hygiene </w:t>
      </w:r>
      <w:r w:rsidR="00356E55">
        <w:t>products</w:t>
      </w:r>
      <w:r w:rsidR="005A441F">
        <w:t xml:space="preserve"> and to</w:t>
      </w:r>
      <w:r w:rsidR="00CB54F1">
        <w:t xml:space="preserve"> </w:t>
      </w:r>
      <w:r w:rsidR="005973EA">
        <w:t xml:space="preserve">the </w:t>
      </w:r>
      <w:r w:rsidR="00E44C55">
        <w:t>allegation that</w:t>
      </w:r>
      <w:r w:rsidR="00EA74AB">
        <w:t xml:space="preserve"> </w:t>
      </w:r>
      <w:r w:rsidR="00E44C55">
        <w:t xml:space="preserve">the toilets were not separated </w:t>
      </w:r>
      <w:r w:rsidR="005973EA">
        <w:t xml:space="preserve">from the </w:t>
      </w:r>
      <w:r w:rsidR="00CB54F1">
        <w:t>rest of the cell</w:t>
      </w:r>
      <w:r w:rsidR="001B1A4B">
        <w:t>.</w:t>
      </w:r>
    </w:p>
    <w:p w:rsidR="004E4671" w:rsidRDefault="004C774B" w:rsidP="004E4671">
      <w:pPr>
        <w:pStyle w:val="JuPara"/>
      </w:pPr>
      <w:r>
        <w:fldChar w:fldCharType="begin"/>
      </w:r>
      <w:r>
        <w:instrText xml:space="preserve"> SEQ level0 \*arabic </w:instrText>
      </w:r>
      <w:r>
        <w:fldChar w:fldCharType="separate"/>
      </w:r>
      <w:r w:rsidR="008806B0">
        <w:rPr>
          <w:noProof/>
        </w:rPr>
        <w:t>72</w:t>
      </w:r>
      <w:r>
        <w:fldChar w:fldCharType="end"/>
      </w:r>
      <w:r>
        <w:t>.  </w:t>
      </w:r>
      <w:r w:rsidR="004E4671">
        <w:rPr>
          <w:color w:val="000000"/>
        </w:rPr>
        <w:t xml:space="preserve">The parties hold divergent views in relation to whether or not the lack of hygiene </w:t>
      </w:r>
      <w:r w:rsidR="00356E55">
        <w:rPr>
          <w:color w:val="000000"/>
        </w:rPr>
        <w:t>products</w:t>
      </w:r>
      <w:r w:rsidR="004E4671">
        <w:rPr>
          <w:color w:val="000000"/>
        </w:rPr>
        <w:t xml:space="preserve"> attained the threshold of the “minimum level of severity” required to fall within the scope of Article 3 of the Convention. The Court is thus required, firstly, to establish the conditions of the applicant</w:t>
      </w:r>
      <w:r w:rsidR="00FD5467">
        <w:rPr>
          <w:color w:val="000000"/>
        </w:rPr>
        <w:t>’</w:t>
      </w:r>
      <w:r w:rsidR="004E4671">
        <w:rPr>
          <w:color w:val="000000"/>
        </w:rPr>
        <w:t xml:space="preserve">s detention in Valmiera </w:t>
      </w:r>
      <w:r w:rsidR="00A96BBE">
        <w:rPr>
          <w:color w:val="000000"/>
        </w:rPr>
        <w:t xml:space="preserve">Prison </w:t>
      </w:r>
      <w:r w:rsidR="004E4671">
        <w:rPr>
          <w:color w:val="000000"/>
        </w:rPr>
        <w:t>at the material time and, secondly, to analyse whether they reached the level o</w:t>
      </w:r>
      <w:r w:rsidR="00DE258D">
        <w:rPr>
          <w:color w:val="000000"/>
        </w:rPr>
        <w:t>f severity required for Article </w:t>
      </w:r>
      <w:r w:rsidR="004E4671">
        <w:rPr>
          <w:color w:val="000000"/>
        </w:rPr>
        <w:t>3 of the Convention.</w:t>
      </w:r>
    </w:p>
    <w:p w:rsidR="005C5E2E" w:rsidRDefault="004E4671" w:rsidP="002F4BCF">
      <w:pPr>
        <w:pStyle w:val="JuPara"/>
      </w:pPr>
      <w:r>
        <w:fldChar w:fldCharType="begin"/>
      </w:r>
      <w:r>
        <w:instrText xml:space="preserve"> SEQ level0 \*arabic </w:instrText>
      </w:r>
      <w:r>
        <w:fldChar w:fldCharType="separate"/>
      </w:r>
      <w:r w:rsidR="008806B0">
        <w:rPr>
          <w:noProof/>
        </w:rPr>
        <w:t>73</w:t>
      </w:r>
      <w:r>
        <w:fldChar w:fldCharType="end"/>
      </w:r>
      <w:r>
        <w:t>.  </w:t>
      </w:r>
      <w:r w:rsidR="00B6060A">
        <w:t>First of all, t</w:t>
      </w:r>
      <w:r w:rsidR="004C774B">
        <w:t>he Court notes</w:t>
      </w:r>
      <w:r w:rsidR="0067164F">
        <w:t>, on the one hand,</w:t>
      </w:r>
      <w:r w:rsidR="004C774B">
        <w:t xml:space="preserve"> that it is common ground between the parties that the applicant did not</w:t>
      </w:r>
      <w:r w:rsidR="00681780">
        <w:t xml:space="preserve"> </w:t>
      </w:r>
      <w:r w:rsidR="004C774B">
        <w:t xml:space="preserve">receive </w:t>
      </w:r>
      <w:r w:rsidR="00F03947">
        <w:t xml:space="preserve">basic personal hygiene products, such as </w:t>
      </w:r>
      <w:r w:rsidR="004C774B">
        <w:t>a toothbrush, toothpaste and toilet paper</w:t>
      </w:r>
      <w:r w:rsidR="00F03947">
        <w:t>,</w:t>
      </w:r>
      <w:r w:rsidR="004C774B">
        <w:t xml:space="preserve"> from the prison authorities from</w:t>
      </w:r>
      <w:r w:rsidR="007E27C8">
        <w:t xml:space="preserve"> 19 May 2005</w:t>
      </w:r>
      <w:r w:rsidR="004C774B">
        <w:t xml:space="preserve"> </w:t>
      </w:r>
      <w:r w:rsidR="007E27C8">
        <w:t>until</w:t>
      </w:r>
      <w:r w:rsidR="004C774B">
        <w:t xml:space="preserve"> October 2005.</w:t>
      </w:r>
      <w:r w:rsidR="007E27C8">
        <w:t xml:space="preserve"> </w:t>
      </w:r>
      <w:r w:rsidR="0067164F">
        <w:t>On the other hand</w:t>
      </w:r>
      <w:r w:rsidR="0070100A">
        <w:t xml:space="preserve">, the parties are in disagreement about </w:t>
      </w:r>
      <w:r w:rsidR="00463227">
        <w:t xml:space="preserve">other characteristics of </w:t>
      </w:r>
      <w:r w:rsidR="000C421D">
        <w:t xml:space="preserve">the </w:t>
      </w:r>
      <w:r w:rsidR="0070100A">
        <w:t xml:space="preserve">detention </w:t>
      </w:r>
      <w:r w:rsidR="00463227">
        <w:t xml:space="preserve">conditions </w:t>
      </w:r>
      <w:r w:rsidR="0070100A">
        <w:t xml:space="preserve">in cell no. 26 in Valmiera </w:t>
      </w:r>
      <w:r w:rsidR="00D3205E">
        <w:t xml:space="preserve">Prison – </w:t>
      </w:r>
      <w:r w:rsidR="001C320C">
        <w:t>in particular, as regards the applicant</w:t>
      </w:r>
      <w:r w:rsidR="00FD5467">
        <w:t>’</w:t>
      </w:r>
      <w:r w:rsidR="001C320C">
        <w:t xml:space="preserve">s allegation that the toilets </w:t>
      </w:r>
      <w:r w:rsidR="00D3205E">
        <w:t xml:space="preserve">were </w:t>
      </w:r>
      <w:r w:rsidR="001C320C">
        <w:t>not separated from the rest of the cell.</w:t>
      </w:r>
    </w:p>
    <w:p w:rsidR="00C61840" w:rsidRDefault="001C320C" w:rsidP="002F4BCF">
      <w:pPr>
        <w:pStyle w:val="JuPara"/>
      </w:pPr>
      <w:r>
        <w:fldChar w:fldCharType="begin"/>
      </w:r>
      <w:r>
        <w:instrText xml:space="preserve"> SEQ level0 \*arabic </w:instrText>
      </w:r>
      <w:r>
        <w:fldChar w:fldCharType="separate"/>
      </w:r>
      <w:r w:rsidR="008806B0">
        <w:rPr>
          <w:noProof/>
        </w:rPr>
        <w:t>74</w:t>
      </w:r>
      <w:r>
        <w:fldChar w:fldCharType="end"/>
      </w:r>
      <w:r>
        <w:t>.  </w:t>
      </w:r>
      <w:r w:rsidR="00944749">
        <w:t xml:space="preserve">The Court notes that </w:t>
      </w:r>
      <w:r w:rsidR="00806FAC">
        <w:t>the applicant</w:t>
      </w:r>
      <w:r w:rsidR="00FD5467">
        <w:t>’</w:t>
      </w:r>
      <w:r w:rsidR="00806FAC">
        <w:t xml:space="preserve">s </w:t>
      </w:r>
      <w:r w:rsidR="003708FE">
        <w:t>account</w:t>
      </w:r>
      <w:r w:rsidR="00806FAC">
        <w:t xml:space="preserve"> in this </w:t>
      </w:r>
      <w:r w:rsidR="00A27DEE">
        <w:t xml:space="preserve">latter </w:t>
      </w:r>
      <w:r w:rsidR="00806FAC">
        <w:t xml:space="preserve">regard </w:t>
      </w:r>
      <w:r w:rsidR="003708FE">
        <w:t xml:space="preserve">is </w:t>
      </w:r>
      <w:r w:rsidR="007E339D">
        <w:t xml:space="preserve">not only clear and concordant, it is </w:t>
      </w:r>
      <w:r w:rsidR="00D66C4A">
        <w:t xml:space="preserve">also </w:t>
      </w:r>
      <w:r w:rsidR="007E339D">
        <w:t xml:space="preserve">consistent with </w:t>
      </w:r>
      <w:r w:rsidR="00DA65AE">
        <w:t xml:space="preserve">the conclusions of </w:t>
      </w:r>
      <w:r w:rsidR="007C657C">
        <w:t xml:space="preserve">the </w:t>
      </w:r>
      <w:r w:rsidR="008D1A10">
        <w:t>national</w:t>
      </w:r>
      <w:r w:rsidR="007C657C">
        <w:t xml:space="preserve"> human rights monitoring body, which had visited Valmiera </w:t>
      </w:r>
      <w:r w:rsidR="00D3205E">
        <w:t xml:space="preserve">Prison </w:t>
      </w:r>
      <w:r w:rsidR="007C657C">
        <w:t xml:space="preserve">at the </w:t>
      </w:r>
      <w:r w:rsidR="00DA65AE">
        <w:t>material</w:t>
      </w:r>
      <w:r w:rsidR="007C657C">
        <w:t xml:space="preserve"> time (see paragraph </w:t>
      </w:r>
      <w:r w:rsidR="00DA65AE">
        <w:fldChar w:fldCharType="begin"/>
      </w:r>
      <w:r w:rsidR="00DA65AE">
        <w:instrText xml:space="preserve"> REF domlaw_VCB_visit \h </w:instrText>
      </w:r>
      <w:r w:rsidR="00DA65AE">
        <w:fldChar w:fldCharType="separate"/>
      </w:r>
      <w:r w:rsidR="008806B0">
        <w:rPr>
          <w:noProof/>
        </w:rPr>
        <w:t>27</w:t>
      </w:r>
      <w:r w:rsidR="00DA65AE">
        <w:fldChar w:fldCharType="end"/>
      </w:r>
      <w:r w:rsidR="00DA65AE">
        <w:t xml:space="preserve"> above), and with the CPT</w:t>
      </w:r>
      <w:r w:rsidR="00FD5467">
        <w:t>’</w:t>
      </w:r>
      <w:r w:rsidR="00DA65AE">
        <w:t xml:space="preserve">s conclusions concerning other prisons in Latvia (see paragraph </w:t>
      </w:r>
      <w:r w:rsidR="003708FE">
        <w:fldChar w:fldCharType="begin"/>
      </w:r>
      <w:r w:rsidR="003708FE">
        <w:instrText xml:space="preserve"> REF CPT_conclusions \h </w:instrText>
      </w:r>
      <w:r w:rsidR="003708FE">
        <w:fldChar w:fldCharType="separate"/>
      </w:r>
      <w:r w:rsidR="008806B0">
        <w:rPr>
          <w:noProof/>
        </w:rPr>
        <w:t>18</w:t>
      </w:r>
      <w:r w:rsidR="003708FE">
        <w:fldChar w:fldCharType="end"/>
      </w:r>
      <w:r w:rsidR="003708FE">
        <w:t xml:space="preserve"> </w:t>
      </w:r>
      <w:r w:rsidR="00DA65AE">
        <w:t>above)</w:t>
      </w:r>
      <w:r w:rsidR="00D66C4A">
        <w:t xml:space="preserve">, which evidence the fact that in </w:t>
      </w:r>
      <w:r w:rsidR="00D3205E">
        <w:t xml:space="preserve">the </w:t>
      </w:r>
      <w:r w:rsidR="00D66C4A">
        <w:t xml:space="preserve">Latvian prison system it </w:t>
      </w:r>
      <w:r w:rsidR="00D3205E">
        <w:t xml:space="preserve">has been </w:t>
      </w:r>
      <w:r w:rsidR="00D66C4A">
        <w:t xml:space="preserve">quite common </w:t>
      </w:r>
      <w:r w:rsidR="00D3205E">
        <w:t xml:space="preserve">for </w:t>
      </w:r>
      <w:r w:rsidR="00D66C4A">
        <w:t xml:space="preserve">toilets </w:t>
      </w:r>
      <w:r w:rsidR="009C2524">
        <w:t>not</w:t>
      </w:r>
      <w:r w:rsidR="00D66C4A">
        <w:t xml:space="preserve"> </w:t>
      </w:r>
      <w:r w:rsidR="00D3205E">
        <w:t xml:space="preserve">to </w:t>
      </w:r>
      <w:r w:rsidR="009C2524">
        <w:t>be</w:t>
      </w:r>
      <w:r w:rsidR="00D66C4A">
        <w:t xml:space="preserve"> partitioned</w:t>
      </w:r>
      <w:r w:rsidR="00D3205E">
        <w:t xml:space="preserve"> off from </w:t>
      </w:r>
      <w:r w:rsidR="001B1D07">
        <w:t xml:space="preserve">other </w:t>
      </w:r>
      <w:r w:rsidR="00D3205E">
        <w:t>cell</w:t>
      </w:r>
      <w:r w:rsidR="001B1D07">
        <w:t xml:space="preserve"> areas</w:t>
      </w:r>
      <w:r w:rsidR="00D66C4A">
        <w:t xml:space="preserve">. </w:t>
      </w:r>
      <w:r w:rsidR="007E339D">
        <w:t>In such circumstances</w:t>
      </w:r>
      <w:r w:rsidR="00D3205E">
        <w:t>,</w:t>
      </w:r>
      <w:r w:rsidR="007E339D">
        <w:t xml:space="preserve"> the burden of proof rests on the Government to prove the contrary</w:t>
      </w:r>
      <w:r w:rsidR="00D3205E">
        <w:t xml:space="preserve"> in the instant case</w:t>
      </w:r>
      <w:r w:rsidR="00530D5F">
        <w:t xml:space="preserve">. </w:t>
      </w:r>
      <w:r w:rsidR="00D66C4A">
        <w:t>T</w:t>
      </w:r>
      <w:r w:rsidR="00530D5F">
        <w:t xml:space="preserve">he </w:t>
      </w:r>
      <w:r w:rsidR="003A33F6">
        <w:t>Government</w:t>
      </w:r>
      <w:r w:rsidR="00FD5467">
        <w:t>’</w:t>
      </w:r>
      <w:r w:rsidR="003A33F6">
        <w:t xml:space="preserve">s failure to </w:t>
      </w:r>
      <w:r w:rsidR="00C52F46">
        <w:t>present convincing evidence that would overturn the applicant</w:t>
      </w:r>
      <w:r w:rsidR="00FD5467">
        <w:t>’</w:t>
      </w:r>
      <w:r w:rsidR="00C52F46">
        <w:t xml:space="preserve">s submissions, </w:t>
      </w:r>
      <w:r w:rsidR="00E5582D">
        <w:t xml:space="preserve">for example by submitting a full report or </w:t>
      </w:r>
      <w:r w:rsidR="003A33F6">
        <w:t xml:space="preserve">recommendations </w:t>
      </w:r>
      <w:r w:rsidR="008D2451">
        <w:t xml:space="preserve">and conclusions </w:t>
      </w:r>
      <w:r w:rsidR="003A33F6">
        <w:t xml:space="preserve">made by the </w:t>
      </w:r>
      <w:r w:rsidR="0033321D" w:rsidRPr="0033321D">
        <w:t>National</w:t>
      </w:r>
      <w:r w:rsidR="003A33F6" w:rsidRPr="0033321D">
        <w:t xml:space="preserve"> Human Rights </w:t>
      </w:r>
      <w:r w:rsidR="0033321D">
        <w:t>Office</w:t>
      </w:r>
      <w:r w:rsidR="003A33F6">
        <w:t xml:space="preserve"> in 2005</w:t>
      </w:r>
      <w:r w:rsidR="008D2451">
        <w:t xml:space="preserve"> </w:t>
      </w:r>
      <w:r w:rsidR="00D3205E">
        <w:t xml:space="preserve">concerning </w:t>
      </w:r>
      <w:r w:rsidR="008D2451">
        <w:t xml:space="preserve">Valmiera </w:t>
      </w:r>
      <w:r w:rsidR="00D3205E">
        <w:t xml:space="preserve">Prison </w:t>
      </w:r>
      <w:r w:rsidR="008D2451">
        <w:t xml:space="preserve">or any other similar report (for example, </w:t>
      </w:r>
      <w:r w:rsidR="00E76AA1">
        <w:t>a report drawn up by the Prisons Adminis</w:t>
      </w:r>
      <w:r w:rsidR="00676A3B">
        <w:t xml:space="preserve">tration, </w:t>
      </w:r>
      <w:r w:rsidR="00FA3C2C">
        <w:t>see the</w:t>
      </w:r>
      <w:r w:rsidR="00E76AA1">
        <w:t xml:space="preserve"> </w:t>
      </w:r>
      <w:r w:rsidR="00092761">
        <w:t xml:space="preserve">above-cited </w:t>
      </w:r>
      <w:r w:rsidR="00092761">
        <w:rPr>
          <w:i/>
        </w:rPr>
        <w:t>Bazjaks</w:t>
      </w:r>
      <w:r w:rsidR="00092761">
        <w:t xml:space="preserve"> case,</w:t>
      </w:r>
      <w:r w:rsidR="00676A3B">
        <w:t xml:space="preserve"> </w:t>
      </w:r>
      <w:r w:rsidR="00092761">
        <w:t>§</w:t>
      </w:r>
      <w:r w:rsidR="00D66C4A">
        <w:t> </w:t>
      </w:r>
      <w:r w:rsidR="00092761">
        <w:t>102)</w:t>
      </w:r>
      <w:r w:rsidR="00D66C4A">
        <w:t xml:space="preserve">, allows the Court to draw </w:t>
      </w:r>
      <w:r w:rsidR="00673A35">
        <w:t xml:space="preserve">negative </w:t>
      </w:r>
      <w:r w:rsidR="00D66C4A">
        <w:t>inferences.</w:t>
      </w:r>
      <w:r w:rsidR="00C61840">
        <w:t xml:space="preserve"> </w:t>
      </w:r>
      <w:r w:rsidR="0084607B">
        <w:t xml:space="preserve">Moreover, the lack of any legal standards at the domestic level on the issue of partitioning </w:t>
      </w:r>
      <w:r w:rsidR="007C67EC">
        <w:t xml:space="preserve">off </w:t>
      </w:r>
      <w:r w:rsidR="0084607B">
        <w:t xml:space="preserve">of toilets at the material time </w:t>
      </w:r>
      <w:r w:rsidR="00DB12A7">
        <w:t>further</w:t>
      </w:r>
      <w:r w:rsidR="0084607B">
        <w:t xml:space="preserve"> supports the applicant</w:t>
      </w:r>
      <w:r w:rsidR="00FD5467">
        <w:t>’</w:t>
      </w:r>
      <w:r w:rsidR="0084607B">
        <w:t>s allegation</w:t>
      </w:r>
      <w:r w:rsidR="00891650">
        <w:t xml:space="preserve">, even more so in the </w:t>
      </w:r>
      <w:r w:rsidR="00931C99">
        <w:t xml:space="preserve">light of </w:t>
      </w:r>
      <w:r w:rsidR="00891650">
        <w:t xml:space="preserve">subsequent legislative developments </w:t>
      </w:r>
      <w:r w:rsidR="0084607B">
        <w:t>(see paragraph</w:t>
      </w:r>
      <w:r w:rsidR="001F4BC5">
        <w:t xml:space="preserve">s </w:t>
      </w:r>
      <w:r w:rsidR="004E4312">
        <w:fldChar w:fldCharType="begin"/>
      </w:r>
      <w:r w:rsidR="004E4312">
        <w:instrText xml:space="preserve"> REF domlaw_regulations_211 \h </w:instrText>
      </w:r>
      <w:r w:rsidR="004E4312">
        <w:fldChar w:fldCharType="separate"/>
      </w:r>
      <w:r w:rsidR="008806B0">
        <w:rPr>
          <w:noProof/>
          <w:szCs w:val="24"/>
        </w:rPr>
        <w:t>22</w:t>
      </w:r>
      <w:r w:rsidR="004E4312">
        <w:fldChar w:fldCharType="end"/>
      </w:r>
      <w:r w:rsidR="004E4312">
        <w:t xml:space="preserve"> </w:t>
      </w:r>
      <w:r w:rsidR="001F4BC5">
        <w:t>and</w:t>
      </w:r>
      <w:r w:rsidR="0084607B">
        <w:t xml:space="preserve"> </w:t>
      </w:r>
      <w:r w:rsidR="004E4312">
        <w:fldChar w:fldCharType="begin"/>
      </w:r>
      <w:r w:rsidR="004E4312">
        <w:instrText xml:space="preserve"> REF domlaw_partitioning \h </w:instrText>
      </w:r>
      <w:r w:rsidR="004E4312">
        <w:fldChar w:fldCharType="separate"/>
      </w:r>
      <w:r w:rsidR="008806B0">
        <w:rPr>
          <w:noProof/>
        </w:rPr>
        <w:t>23</w:t>
      </w:r>
      <w:r w:rsidR="004E4312">
        <w:fldChar w:fldCharType="end"/>
      </w:r>
      <w:r w:rsidR="004E4312">
        <w:t xml:space="preserve"> </w:t>
      </w:r>
      <w:r w:rsidR="0084607B">
        <w:t>above)</w:t>
      </w:r>
      <w:r w:rsidR="00987CDF">
        <w:t xml:space="preserve">. Taking into account the above-mentioned considerations, the Court finds it established “beyond reasonable doubt” that </w:t>
      </w:r>
      <w:r w:rsidR="00D3205E">
        <w:t xml:space="preserve">the </w:t>
      </w:r>
      <w:r w:rsidR="00987CDF">
        <w:t>toilets in the applicant</w:t>
      </w:r>
      <w:r w:rsidR="00FD5467">
        <w:t>’</w:t>
      </w:r>
      <w:r w:rsidR="00987CDF">
        <w:t>s cell were not partitioned</w:t>
      </w:r>
      <w:r w:rsidR="00D3205E">
        <w:t xml:space="preserve"> off from the rest of the cell</w:t>
      </w:r>
      <w:r w:rsidR="00987CDF">
        <w:t>.</w:t>
      </w:r>
    </w:p>
    <w:p w:rsidR="00BD1CCE" w:rsidRDefault="00B6060A" w:rsidP="002F4BCF">
      <w:pPr>
        <w:pStyle w:val="JuPara"/>
      </w:pPr>
      <w:r>
        <w:fldChar w:fldCharType="begin"/>
      </w:r>
      <w:r>
        <w:instrText xml:space="preserve"> SEQ level0 \*arabic </w:instrText>
      </w:r>
      <w:r>
        <w:fldChar w:fldCharType="separate"/>
      </w:r>
      <w:r w:rsidR="008806B0">
        <w:rPr>
          <w:noProof/>
        </w:rPr>
        <w:t>75</w:t>
      </w:r>
      <w:r>
        <w:fldChar w:fldCharType="end"/>
      </w:r>
      <w:r>
        <w:t xml:space="preserve">.  Turning to the </w:t>
      </w:r>
      <w:r w:rsidR="00360EDF">
        <w:t>second point in its analys</w:t>
      </w:r>
      <w:r w:rsidR="00DB12A7">
        <w:t>i</w:t>
      </w:r>
      <w:r w:rsidR="00360EDF">
        <w:t>s, the Court</w:t>
      </w:r>
      <w:r w:rsidR="00F86807">
        <w:t xml:space="preserve"> </w:t>
      </w:r>
      <w:r w:rsidR="00356E55">
        <w:t xml:space="preserve">finds that the lack of personal hygiene products in detention for nearly five months is incompatible with respect for human dignity. </w:t>
      </w:r>
      <w:r w:rsidR="00047AAD">
        <w:t xml:space="preserve">The applicant was unable to keep </w:t>
      </w:r>
      <w:r w:rsidR="004B275C">
        <w:t xml:space="preserve">up </w:t>
      </w:r>
      <w:r w:rsidR="00047AAD">
        <w:t>his personal hygiene on a daily basis for a prolonged period and he constantly felt dirty and humiliated</w:t>
      </w:r>
      <w:r w:rsidR="004F027F">
        <w:t>.</w:t>
      </w:r>
      <w:r w:rsidR="00047AAD">
        <w:t xml:space="preserve"> </w:t>
      </w:r>
      <w:r w:rsidR="004F027F">
        <w:t>T</w:t>
      </w:r>
      <w:r w:rsidR="00047AAD">
        <w:t xml:space="preserve">his </w:t>
      </w:r>
      <w:r w:rsidR="00356E55">
        <w:t>clearly cause</w:t>
      </w:r>
      <w:r w:rsidR="00047AAD">
        <w:t>d</w:t>
      </w:r>
      <w:r w:rsidR="00356E55">
        <w:t xml:space="preserve"> </w:t>
      </w:r>
      <w:bookmarkStart w:id="22" w:name="OLE_LINK1"/>
      <w:r w:rsidR="00356E55">
        <w:t xml:space="preserve">distress and hardship </w:t>
      </w:r>
      <w:bookmarkEnd w:id="22"/>
      <w:r w:rsidR="00356E55">
        <w:t xml:space="preserve">of a level that </w:t>
      </w:r>
      <w:r w:rsidR="004E473A">
        <w:t>goes</w:t>
      </w:r>
      <w:r w:rsidR="00356E55">
        <w:t xml:space="preserve"> beyond </w:t>
      </w:r>
      <w:r w:rsidR="004B275C">
        <w:t xml:space="preserve">the </w:t>
      </w:r>
      <w:r w:rsidR="00356E55">
        <w:t>suffering inherent in detention</w:t>
      </w:r>
      <w:r w:rsidR="00047AAD">
        <w:t>.</w:t>
      </w:r>
      <w:r w:rsidR="00606E82">
        <w:t xml:space="preserve"> Moreover, the domestic authorities</w:t>
      </w:r>
      <w:r w:rsidR="00FD5467">
        <w:t>’</w:t>
      </w:r>
      <w:r w:rsidR="004E473A">
        <w:t xml:space="preserve"> failure</w:t>
      </w:r>
      <w:r w:rsidR="00606E82">
        <w:t xml:space="preserve"> to provide the</w:t>
      </w:r>
      <w:r w:rsidR="00DE0190">
        <w:t>se</w:t>
      </w:r>
      <w:r w:rsidR="004F027F">
        <w:t xml:space="preserve"> </w:t>
      </w:r>
      <w:r w:rsidR="00606E82">
        <w:t>products contravene</w:t>
      </w:r>
      <w:r w:rsidR="004B275C">
        <w:t>d</w:t>
      </w:r>
      <w:r w:rsidR="00606E82">
        <w:t xml:space="preserve"> international standards </w:t>
      </w:r>
      <w:r w:rsidR="00DE0190">
        <w:t>(see paragraph</w:t>
      </w:r>
      <w:r w:rsidR="00A650D9">
        <w:t>s</w:t>
      </w:r>
      <w:r w:rsidR="00DE0190">
        <w:t xml:space="preserve"> </w:t>
      </w:r>
      <w:r w:rsidR="008E0DD8">
        <w:fldChar w:fldCharType="begin"/>
      </w:r>
      <w:r w:rsidR="008E0DD8">
        <w:instrText xml:space="preserve"> REF CPT_conclusions \h </w:instrText>
      </w:r>
      <w:r w:rsidR="008E0DD8">
        <w:fldChar w:fldCharType="separate"/>
      </w:r>
      <w:r w:rsidR="008806B0">
        <w:rPr>
          <w:noProof/>
        </w:rPr>
        <w:t>18</w:t>
      </w:r>
      <w:r w:rsidR="008E0DD8">
        <w:fldChar w:fldCharType="end"/>
      </w:r>
      <w:r w:rsidR="008E0DD8">
        <w:t xml:space="preserve"> </w:t>
      </w:r>
      <w:r w:rsidR="00A650D9">
        <w:t xml:space="preserve">and </w:t>
      </w:r>
      <w:r w:rsidR="00A650D9">
        <w:fldChar w:fldCharType="begin"/>
      </w:r>
      <w:r w:rsidR="00A650D9">
        <w:instrText xml:space="preserve"> REF European_prison_rules \h </w:instrText>
      </w:r>
      <w:r w:rsidR="00A650D9">
        <w:fldChar w:fldCharType="separate"/>
      </w:r>
      <w:r w:rsidR="008806B0">
        <w:rPr>
          <w:noProof/>
        </w:rPr>
        <w:t>20</w:t>
      </w:r>
      <w:r w:rsidR="00A650D9">
        <w:fldChar w:fldCharType="end"/>
      </w:r>
      <w:r w:rsidR="00A650D9">
        <w:t xml:space="preserve"> </w:t>
      </w:r>
      <w:r w:rsidR="00DE0190">
        <w:t xml:space="preserve">above) </w:t>
      </w:r>
      <w:r w:rsidR="00606E82">
        <w:t xml:space="preserve">and domestic law </w:t>
      </w:r>
      <w:r w:rsidR="00DE0190">
        <w:t xml:space="preserve">(see paragraph </w:t>
      </w:r>
      <w:r w:rsidR="008E0DD8">
        <w:fldChar w:fldCharType="begin"/>
      </w:r>
      <w:r w:rsidR="008E0DD8">
        <w:instrText xml:space="preserve"> REF domlaw_reg_339_2002 \h </w:instrText>
      </w:r>
      <w:r w:rsidR="008E0DD8">
        <w:fldChar w:fldCharType="separate"/>
      </w:r>
      <w:r w:rsidR="008806B0">
        <w:rPr>
          <w:noProof/>
        </w:rPr>
        <w:t>21</w:t>
      </w:r>
      <w:r w:rsidR="008E0DD8">
        <w:fldChar w:fldCharType="end"/>
      </w:r>
      <w:r w:rsidR="008E0DD8">
        <w:t xml:space="preserve"> </w:t>
      </w:r>
      <w:r w:rsidR="00DE0190">
        <w:t xml:space="preserve">above). </w:t>
      </w:r>
      <w:r w:rsidR="00684101">
        <w:t>In any event, t</w:t>
      </w:r>
      <w:r w:rsidR="004F027F">
        <w:t xml:space="preserve">he possibility for the applicant to buy such items in </w:t>
      </w:r>
      <w:r w:rsidR="00EE7513">
        <w:t xml:space="preserve">the </w:t>
      </w:r>
      <w:r w:rsidR="004F027F">
        <w:t xml:space="preserve">prison shop </w:t>
      </w:r>
      <w:r w:rsidR="00F175DE">
        <w:t xml:space="preserve">or </w:t>
      </w:r>
      <w:r w:rsidR="00EE7513">
        <w:t xml:space="preserve">otherwise </w:t>
      </w:r>
      <w:r w:rsidR="00F175DE">
        <w:t xml:space="preserve">receive them </w:t>
      </w:r>
      <w:r w:rsidR="00EE7513">
        <w:t xml:space="preserve">did </w:t>
      </w:r>
      <w:r w:rsidR="004F027F">
        <w:t xml:space="preserve">not </w:t>
      </w:r>
      <w:r w:rsidR="00F175DE">
        <w:t>absolve the Government from its obligations under the Convention, among</w:t>
      </w:r>
      <w:r w:rsidR="00C55687">
        <w:t>st</w:t>
      </w:r>
      <w:r w:rsidR="00F175DE">
        <w:t xml:space="preserve"> </w:t>
      </w:r>
      <w:r w:rsidR="00C55687">
        <w:t>which is the obligation</w:t>
      </w:r>
      <w:r w:rsidR="00F175DE">
        <w:t xml:space="preserve"> to ensure that persons are detained in conditions which are compatible with respect for </w:t>
      </w:r>
      <w:r w:rsidR="00260984">
        <w:t xml:space="preserve">their </w:t>
      </w:r>
      <w:r w:rsidR="00F175DE">
        <w:t>human dignity.</w:t>
      </w:r>
    </w:p>
    <w:p w:rsidR="00546EBC" w:rsidRPr="00546EBC" w:rsidRDefault="00F175DE" w:rsidP="002F4BCF">
      <w:pPr>
        <w:pStyle w:val="JuPara"/>
      </w:pPr>
      <w:r>
        <w:fldChar w:fldCharType="begin"/>
      </w:r>
      <w:r>
        <w:instrText xml:space="preserve"> SEQ level0 \*arabic </w:instrText>
      </w:r>
      <w:r>
        <w:fldChar w:fldCharType="separate"/>
      </w:r>
      <w:r w:rsidR="008806B0">
        <w:rPr>
          <w:noProof/>
        </w:rPr>
        <w:t>76</w:t>
      </w:r>
      <w:r>
        <w:fldChar w:fldCharType="end"/>
      </w:r>
      <w:r>
        <w:t>.  </w:t>
      </w:r>
      <w:r w:rsidR="00DE0190">
        <w:t>In such circumstances</w:t>
      </w:r>
      <w:r w:rsidR="00EE7513">
        <w:t>,</w:t>
      </w:r>
      <w:r w:rsidR="00DE0190">
        <w:t xml:space="preserve"> </w:t>
      </w:r>
      <w:r w:rsidR="00907C7E">
        <w:t>the domestic authorities</w:t>
      </w:r>
      <w:r w:rsidR="00FD5467">
        <w:t>’</w:t>
      </w:r>
      <w:r w:rsidR="00DE0190">
        <w:t xml:space="preserve"> dismissive attitude</w:t>
      </w:r>
      <w:r w:rsidR="00EE7513">
        <w:t xml:space="preserve"> –</w:t>
      </w:r>
      <w:r w:rsidR="00DE0190">
        <w:t xml:space="preserve"> plainly refusing </w:t>
      </w:r>
      <w:r w:rsidR="008E0DD8">
        <w:t>the applicant</w:t>
      </w:r>
      <w:r w:rsidR="00FD5467">
        <w:t>’</w:t>
      </w:r>
      <w:r w:rsidR="008E0DD8">
        <w:t xml:space="preserve">s legitimate </w:t>
      </w:r>
      <w:r w:rsidR="00907C7E">
        <w:t>request</w:t>
      </w:r>
      <w:r w:rsidR="008E0DD8">
        <w:t xml:space="preserve"> </w:t>
      </w:r>
      <w:r w:rsidR="00CA3BC0">
        <w:t xml:space="preserve">to </w:t>
      </w:r>
      <w:r w:rsidR="00EE7513">
        <w:t xml:space="preserve">be </w:t>
      </w:r>
      <w:r w:rsidR="00CA3BC0">
        <w:t>provide</w:t>
      </w:r>
      <w:r w:rsidR="00EE7513">
        <w:t>d</w:t>
      </w:r>
      <w:r w:rsidR="00CA3BC0">
        <w:t xml:space="preserve"> with </w:t>
      </w:r>
      <w:r w:rsidR="00EA7E27">
        <w:t>personal hygiene</w:t>
      </w:r>
      <w:r w:rsidR="00CA3BC0">
        <w:t xml:space="preserve"> products</w:t>
      </w:r>
      <w:r w:rsidR="00EE7513">
        <w:t xml:space="preserve"> –</w:t>
      </w:r>
      <w:r w:rsidR="00CA3BC0">
        <w:t xml:space="preserve"> is even more unacceptable</w:t>
      </w:r>
      <w:r w:rsidR="00907C7E">
        <w:t>.</w:t>
      </w:r>
      <w:r w:rsidR="004E473A">
        <w:t xml:space="preserve"> </w:t>
      </w:r>
      <w:r w:rsidR="00907C7E">
        <w:t>Such unwarranted refusal applied to persons in custody inevitably contributes to feeling</w:t>
      </w:r>
      <w:r w:rsidR="00EE7513">
        <w:t>s</w:t>
      </w:r>
      <w:r w:rsidR="00907C7E">
        <w:t xml:space="preserve"> of subordination, total dependence, powerlessness and, consequently, humiliation. </w:t>
      </w:r>
      <w:r w:rsidR="00546EBC">
        <w:t xml:space="preserve">The Court </w:t>
      </w:r>
      <w:r w:rsidR="00EE7513">
        <w:t xml:space="preserve">highlights </w:t>
      </w:r>
      <w:r w:rsidR="00546EBC">
        <w:t xml:space="preserve">in this connection that </w:t>
      </w:r>
      <w:r w:rsidR="00546EBC">
        <w:rPr>
          <w:color w:val="000000"/>
        </w:rPr>
        <w:t xml:space="preserve">it is incumbent on the respondent Government to organise its </w:t>
      </w:r>
      <w:r w:rsidR="00EE7513">
        <w:rPr>
          <w:color w:val="000000"/>
        </w:rPr>
        <w:t xml:space="preserve">penal </w:t>
      </w:r>
      <w:r w:rsidR="00546EBC">
        <w:rPr>
          <w:color w:val="000000"/>
        </w:rPr>
        <w:t xml:space="preserve">system in such a way as to ensure respect for the dignity of detainees, </w:t>
      </w:r>
      <w:r w:rsidR="00501AA5">
        <w:rPr>
          <w:color w:val="000000"/>
        </w:rPr>
        <w:t xml:space="preserve">which failure the Government cannot justify by the lack of resources </w:t>
      </w:r>
      <w:r w:rsidR="00546EBC">
        <w:rPr>
          <w:color w:val="000000"/>
        </w:rPr>
        <w:t xml:space="preserve">(see </w:t>
      </w:r>
      <w:r w:rsidR="00546EBC">
        <w:rPr>
          <w:i/>
          <w:color w:val="000000"/>
        </w:rPr>
        <w:t>Bazjaks</w:t>
      </w:r>
      <w:r w:rsidR="00546EBC">
        <w:rPr>
          <w:color w:val="000000"/>
        </w:rPr>
        <w:t>, cited above, §</w:t>
      </w:r>
      <w:r w:rsidR="004E473A">
        <w:rPr>
          <w:color w:val="000000"/>
        </w:rPr>
        <w:t> </w:t>
      </w:r>
      <w:r w:rsidR="00546EBC">
        <w:rPr>
          <w:color w:val="000000"/>
        </w:rPr>
        <w:t>111)</w:t>
      </w:r>
      <w:r w:rsidR="007540FE">
        <w:rPr>
          <w:color w:val="000000"/>
        </w:rPr>
        <w:t>.</w:t>
      </w:r>
    </w:p>
    <w:p w:rsidR="00BD1CCE" w:rsidRDefault="001F5144" w:rsidP="002F4BCF">
      <w:pPr>
        <w:pStyle w:val="JuPara"/>
      </w:pPr>
      <w:r>
        <w:fldChar w:fldCharType="begin"/>
      </w:r>
      <w:r>
        <w:instrText xml:space="preserve"> SEQ level0 \*arabic </w:instrText>
      </w:r>
      <w:r>
        <w:fldChar w:fldCharType="separate"/>
      </w:r>
      <w:r w:rsidR="008806B0">
        <w:rPr>
          <w:noProof/>
        </w:rPr>
        <w:t>77</w:t>
      </w:r>
      <w:r>
        <w:fldChar w:fldCharType="end"/>
      </w:r>
      <w:r>
        <w:t>.</w:t>
      </w:r>
      <w:r w:rsidR="007540FE">
        <w:t xml:space="preserve">  The </w:t>
      </w:r>
      <w:r w:rsidR="00B81A1F">
        <w:t xml:space="preserve">Court </w:t>
      </w:r>
      <w:r w:rsidR="003A6547">
        <w:t>further</w:t>
      </w:r>
      <w:r w:rsidR="00B81A1F">
        <w:t xml:space="preserve"> </w:t>
      </w:r>
      <w:r w:rsidR="004B7B72">
        <w:t>notes</w:t>
      </w:r>
      <w:r w:rsidR="00B81A1F">
        <w:t xml:space="preserve"> that </w:t>
      </w:r>
      <w:r w:rsidR="004B7B72">
        <w:rPr>
          <w:color w:val="000000"/>
        </w:rPr>
        <w:t xml:space="preserve">it has established to the required standard of proof that in </w:t>
      </w:r>
      <w:r w:rsidR="00B81A1F">
        <w:rPr>
          <w:color w:val="000000"/>
        </w:rPr>
        <w:t>the applicant</w:t>
      </w:r>
      <w:r w:rsidR="00FD5467">
        <w:rPr>
          <w:color w:val="000000"/>
        </w:rPr>
        <w:t>’</w:t>
      </w:r>
      <w:r w:rsidR="00B81A1F">
        <w:rPr>
          <w:color w:val="000000"/>
        </w:rPr>
        <w:t xml:space="preserve">s </w:t>
      </w:r>
      <w:r w:rsidR="00A2069F">
        <w:rPr>
          <w:color w:val="000000"/>
        </w:rPr>
        <w:t xml:space="preserve">cell, which he shared </w:t>
      </w:r>
      <w:r w:rsidR="00B81A1F">
        <w:rPr>
          <w:color w:val="000000"/>
        </w:rPr>
        <w:t xml:space="preserve">with </w:t>
      </w:r>
      <w:r w:rsidR="00A2069F">
        <w:rPr>
          <w:color w:val="000000"/>
        </w:rPr>
        <w:t xml:space="preserve">at least seven other detainees, toilets were not separated from the rest of cell. </w:t>
      </w:r>
      <w:r w:rsidR="003A6547">
        <w:rPr>
          <w:color w:val="000000"/>
        </w:rPr>
        <w:t xml:space="preserve">The applicant </w:t>
      </w:r>
      <w:r w:rsidR="00A2069F">
        <w:rPr>
          <w:color w:val="000000"/>
        </w:rPr>
        <w:t xml:space="preserve">therefore </w:t>
      </w:r>
      <w:r w:rsidR="00B81A1F">
        <w:rPr>
          <w:color w:val="000000"/>
        </w:rPr>
        <w:t xml:space="preserve">had </w:t>
      </w:r>
      <w:r w:rsidR="00A2069F">
        <w:rPr>
          <w:color w:val="000000"/>
        </w:rPr>
        <w:t xml:space="preserve">to </w:t>
      </w:r>
      <w:r w:rsidR="00B81A1F">
        <w:t xml:space="preserve">use </w:t>
      </w:r>
      <w:r w:rsidR="00826FA8">
        <w:t xml:space="preserve">the </w:t>
      </w:r>
      <w:r w:rsidR="00B81A1F">
        <w:t xml:space="preserve">toilet in the presence </w:t>
      </w:r>
      <w:r w:rsidR="0089175B">
        <w:t xml:space="preserve">and vision </w:t>
      </w:r>
      <w:r w:rsidR="00B81A1F">
        <w:t xml:space="preserve">of several other detainees and be present </w:t>
      </w:r>
      <w:r w:rsidR="00260984">
        <w:t xml:space="preserve">and </w:t>
      </w:r>
      <w:r w:rsidR="00826FA8">
        <w:t xml:space="preserve">himself </w:t>
      </w:r>
      <w:r w:rsidR="00260984">
        <w:t xml:space="preserve">witness when </w:t>
      </w:r>
      <w:r w:rsidR="00B81A1F">
        <w:t xml:space="preserve">the toilet </w:t>
      </w:r>
      <w:r w:rsidR="00260984">
        <w:t>was</w:t>
      </w:r>
      <w:r w:rsidR="00B81A1F">
        <w:t xml:space="preserve"> being used by them.</w:t>
      </w:r>
    </w:p>
    <w:p w:rsidR="00EA7E27" w:rsidRPr="002E76A0" w:rsidRDefault="004B7B72" w:rsidP="00EA7E27">
      <w:pPr>
        <w:pStyle w:val="JuPara"/>
        <w:rPr>
          <w:lang w:eastAsia="en-US"/>
        </w:rPr>
      </w:pPr>
      <w:r>
        <w:fldChar w:fldCharType="begin"/>
      </w:r>
      <w:r>
        <w:instrText xml:space="preserve"> SEQ level0 \*arabic </w:instrText>
      </w:r>
      <w:r>
        <w:fldChar w:fldCharType="separate"/>
      </w:r>
      <w:r w:rsidR="008806B0">
        <w:rPr>
          <w:noProof/>
        </w:rPr>
        <w:t>78</w:t>
      </w:r>
      <w:r>
        <w:fldChar w:fldCharType="end"/>
      </w:r>
      <w:r>
        <w:t xml:space="preserve">.  The Court </w:t>
      </w:r>
      <w:r w:rsidR="00995F62">
        <w:t>holds</w:t>
      </w:r>
      <w:r>
        <w:t xml:space="preserve"> </w:t>
      </w:r>
      <w:r w:rsidR="005B37A4">
        <w:t xml:space="preserve">the opinion </w:t>
      </w:r>
      <w:r>
        <w:t xml:space="preserve">that </w:t>
      </w:r>
      <w:r w:rsidR="009F2AD1">
        <w:t>the above</w:t>
      </w:r>
      <w:r w:rsidR="00DF0A93">
        <w:t xml:space="preserve"> mentioned detention </w:t>
      </w:r>
      <w:r w:rsidR="003417DB">
        <w:t>conditions</w:t>
      </w:r>
      <w:r>
        <w:t xml:space="preserve"> diminished the applicant</w:t>
      </w:r>
      <w:r w:rsidR="00FD5467">
        <w:t>’</w:t>
      </w:r>
      <w:r>
        <w:t>s human dignity and aroused in him feelings of anguish and inferiority capable of humiliating and debasing him and possibly breaking his physical or moral resistance</w:t>
      </w:r>
      <w:r w:rsidR="009F2AD1">
        <w:t>.</w:t>
      </w:r>
      <w:r w:rsidR="003417DB">
        <w:t xml:space="preserve"> The Court notes, in this connection, that the absence of a</w:t>
      </w:r>
      <w:r w:rsidR="001A2057">
        <w:t>n</w:t>
      </w:r>
      <w:r w:rsidR="003417DB">
        <w:t xml:space="preserve"> intention of humiliating or debasing the applicant on the part of the domestic authorities cannot exclude a finding of a violation of A</w:t>
      </w:r>
      <w:r w:rsidR="00EA7E27">
        <w:t xml:space="preserve">rticle 3 of the Convention (see </w:t>
      </w:r>
      <w:r w:rsidR="00EA7E27">
        <w:rPr>
          <w:rStyle w:val="ju-005fpara--char"/>
          <w:i/>
          <w:iCs/>
        </w:rPr>
        <w:t>Peers</w:t>
      </w:r>
      <w:r w:rsidR="00EA7E27">
        <w:rPr>
          <w:rStyle w:val="ju-005fpara--char"/>
          <w:iCs/>
        </w:rPr>
        <w:t xml:space="preserve">, cited above, § 74, and </w:t>
      </w:r>
      <w:r w:rsidR="00754429">
        <w:rPr>
          <w:i/>
          <w:iCs/>
          <w:color w:val="000000"/>
          <w:szCs w:val="24"/>
          <w:lang w:eastAsia="en-GB"/>
        </w:rPr>
        <w:t>Kalashnikov</w:t>
      </w:r>
      <w:r w:rsidR="00EA7E27">
        <w:rPr>
          <w:iCs/>
          <w:color w:val="000000"/>
          <w:szCs w:val="24"/>
          <w:lang w:eastAsia="en-GB"/>
        </w:rPr>
        <w:t>, cited above, § 101).</w:t>
      </w:r>
    </w:p>
    <w:p w:rsidR="00337600" w:rsidRPr="00302008" w:rsidRDefault="00841626" w:rsidP="002F4BCF">
      <w:pPr>
        <w:pStyle w:val="JuPara"/>
      </w:pPr>
      <w:r>
        <w:fldChar w:fldCharType="begin"/>
      </w:r>
      <w:r>
        <w:instrText xml:space="preserve"> SEQ level0 \*arabic </w:instrText>
      </w:r>
      <w:r>
        <w:fldChar w:fldCharType="separate"/>
      </w:r>
      <w:r w:rsidR="008806B0">
        <w:rPr>
          <w:noProof/>
        </w:rPr>
        <w:t>79</w:t>
      </w:r>
      <w:r>
        <w:fldChar w:fldCharType="end"/>
      </w:r>
      <w:r>
        <w:t>.  </w:t>
      </w:r>
      <w:r w:rsidR="00F71A6A" w:rsidRPr="00302008">
        <w:t xml:space="preserve">The </w:t>
      </w:r>
      <w:r w:rsidR="00C25558">
        <w:t xml:space="preserve">above factors are sufficient for the Court </w:t>
      </w:r>
      <w:r w:rsidR="00F71A6A" w:rsidRPr="00302008">
        <w:t>to conclude</w:t>
      </w:r>
      <w:r w:rsidR="00C25558">
        <w:t>, without exploring other aspects of the complaint,</w:t>
      </w:r>
      <w:r w:rsidR="0004500F">
        <w:t xml:space="preserve"> </w:t>
      </w:r>
      <w:r w:rsidR="00C25558">
        <w:t xml:space="preserve">that the conditions </w:t>
      </w:r>
      <w:r w:rsidR="0004500F">
        <w:t xml:space="preserve">in which the applicant was held </w:t>
      </w:r>
      <w:r w:rsidR="00C25558">
        <w:t xml:space="preserve">in Valmiera </w:t>
      </w:r>
      <w:r w:rsidR="00804CCC">
        <w:t>Prison</w:t>
      </w:r>
      <w:r w:rsidR="0004500F">
        <w:t xml:space="preserve"> reached the threshold </w:t>
      </w:r>
      <w:r w:rsidR="007E7143">
        <w:t xml:space="preserve">of severity </w:t>
      </w:r>
      <w:r w:rsidR="0004500F">
        <w:t xml:space="preserve">required </w:t>
      </w:r>
      <w:r w:rsidR="007E7143">
        <w:t xml:space="preserve">under </w:t>
      </w:r>
      <w:r w:rsidR="0004500F">
        <w:t xml:space="preserve">Article 3 </w:t>
      </w:r>
      <w:r w:rsidR="007E7143">
        <w:t>of the Convention</w:t>
      </w:r>
      <w:r w:rsidR="00593265">
        <w:t xml:space="preserve"> and that</w:t>
      </w:r>
      <w:r w:rsidR="004D7A52">
        <w:t xml:space="preserve"> </w:t>
      </w:r>
      <w:r w:rsidR="00253EB8">
        <w:t xml:space="preserve">there </w:t>
      </w:r>
      <w:r w:rsidR="004D7A52">
        <w:t xml:space="preserve">has been a violation of </w:t>
      </w:r>
      <w:r w:rsidR="007E7143">
        <w:t>that provision</w:t>
      </w:r>
      <w:r w:rsidR="00C25558">
        <w:rPr>
          <w:bCs/>
        </w:rPr>
        <w:t>.</w:t>
      </w:r>
    </w:p>
    <w:p w:rsidR="00F71A6A" w:rsidRPr="00302008" w:rsidRDefault="00260C9F" w:rsidP="00260C9F">
      <w:pPr>
        <w:pStyle w:val="JuHIRoman"/>
        <w:outlineLvl w:val="0"/>
      </w:pPr>
      <w:r>
        <w:t>II</w:t>
      </w:r>
      <w:r w:rsidR="00F71A6A" w:rsidRPr="00302008">
        <w:t>.  APPLICATION OF ARTICLE 41 OF THE CONVENTION</w:t>
      </w:r>
    </w:p>
    <w:p w:rsidR="00F71A6A" w:rsidRPr="00302008" w:rsidRDefault="0014295B" w:rsidP="002F4BCF">
      <w:pPr>
        <w:pStyle w:val="JuPara"/>
        <w:keepNext/>
        <w:keepLines/>
      </w:pPr>
      <w:r>
        <w:fldChar w:fldCharType="begin"/>
      </w:r>
      <w:r>
        <w:instrText xml:space="preserve"> SEQ level0 \*arabic </w:instrText>
      </w:r>
      <w:r>
        <w:fldChar w:fldCharType="separate"/>
      </w:r>
      <w:r w:rsidR="008806B0">
        <w:rPr>
          <w:noProof/>
        </w:rPr>
        <w:t>80</w:t>
      </w:r>
      <w:r>
        <w:fldChar w:fldCharType="end"/>
      </w:r>
      <w:r w:rsidR="00F71A6A" w:rsidRPr="00302008">
        <w:t>.  Article 41 of the Convention provides:</w:t>
      </w:r>
    </w:p>
    <w:p w:rsidR="00F71A6A" w:rsidRPr="00302008" w:rsidRDefault="00F71A6A">
      <w:pPr>
        <w:pStyle w:val="JuQuot"/>
        <w:keepNext/>
        <w:keepLines/>
      </w:pPr>
      <w:r w:rsidRPr="00302008">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F71A6A" w:rsidRPr="00302008" w:rsidRDefault="00F71A6A" w:rsidP="00DA71FC">
      <w:pPr>
        <w:pStyle w:val="JuHA"/>
        <w:keepLines w:val="0"/>
        <w:outlineLvl w:val="1"/>
      </w:pPr>
      <w:r w:rsidRPr="00302008">
        <w:t>A.  Damage</w:t>
      </w:r>
    </w:p>
    <w:p w:rsidR="00F71A6A" w:rsidRPr="00302008" w:rsidRDefault="0014295B" w:rsidP="002F4BCF">
      <w:pPr>
        <w:pStyle w:val="JuPara"/>
      </w:pPr>
      <w:r>
        <w:fldChar w:fldCharType="begin"/>
      </w:r>
      <w:r>
        <w:instrText xml:space="preserve"> SEQ level0 \*arabic </w:instrText>
      </w:r>
      <w:r>
        <w:fldChar w:fldCharType="separate"/>
      </w:r>
      <w:r w:rsidR="008806B0">
        <w:rPr>
          <w:noProof/>
        </w:rPr>
        <w:t>81</w:t>
      </w:r>
      <w:r>
        <w:fldChar w:fldCharType="end"/>
      </w:r>
      <w:r w:rsidR="00F71A6A" w:rsidRPr="00302008">
        <w:t xml:space="preserve">.  The </w:t>
      </w:r>
      <w:r w:rsidR="0005522C">
        <w:t>applicant</w:t>
      </w:r>
      <w:r w:rsidR="00F71A6A" w:rsidRPr="00302008">
        <w:t xml:space="preserve"> claimed </w:t>
      </w:r>
      <w:r w:rsidR="001738D2">
        <w:t>5,000</w:t>
      </w:r>
      <w:r w:rsidR="00F71A6A" w:rsidRPr="00302008">
        <w:t xml:space="preserve"> </w:t>
      </w:r>
      <w:r w:rsidR="001738D2">
        <w:t xml:space="preserve">Latvian lati </w:t>
      </w:r>
      <w:r w:rsidR="0080609F">
        <w:t xml:space="preserve">(approximately </w:t>
      </w:r>
      <w:r w:rsidR="001F546C">
        <w:t xml:space="preserve">EUR </w:t>
      </w:r>
      <w:r w:rsidR="00771FD2">
        <w:t>7,114</w:t>
      </w:r>
      <w:r w:rsidR="0080609F">
        <w:t xml:space="preserve">) </w:t>
      </w:r>
      <w:r w:rsidR="00F71A6A" w:rsidRPr="00302008">
        <w:t>in respect of non-pecuniary damage.</w:t>
      </w:r>
      <w:r w:rsidR="009056E0">
        <w:t xml:space="preserve"> He submitted that the violation of his Convention rights had entailed serious </w:t>
      </w:r>
      <w:r w:rsidR="00EF4A0A">
        <w:t>detriment to</w:t>
      </w:r>
      <w:r w:rsidR="009056E0">
        <w:t xml:space="preserve"> his physical and mental </w:t>
      </w:r>
      <w:r w:rsidR="00EF4A0A">
        <w:t xml:space="preserve">well-being </w:t>
      </w:r>
      <w:r w:rsidR="009056E0">
        <w:t>and had caused him to suffer a substantial degree of anxiety and distress.</w:t>
      </w:r>
    </w:p>
    <w:p w:rsidR="00F71A6A" w:rsidRPr="00C91B79" w:rsidRDefault="0014295B" w:rsidP="00C91B79">
      <w:pPr>
        <w:pStyle w:val="JuPara"/>
        <w:rPr>
          <w:color w:val="000000"/>
          <w:szCs w:val="24"/>
          <w:lang w:eastAsia="en-GB"/>
        </w:rPr>
      </w:pPr>
      <w:r>
        <w:fldChar w:fldCharType="begin"/>
      </w:r>
      <w:r>
        <w:instrText xml:space="preserve"> SEQ level0 \*arabic </w:instrText>
      </w:r>
      <w:r>
        <w:fldChar w:fldCharType="separate"/>
      </w:r>
      <w:r w:rsidR="008806B0">
        <w:rPr>
          <w:noProof/>
        </w:rPr>
        <w:t>82</w:t>
      </w:r>
      <w:r>
        <w:fldChar w:fldCharType="end"/>
      </w:r>
      <w:r w:rsidR="00F71A6A" w:rsidRPr="00302008">
        <w:t>.  </w:t>
      </w:r>
      <w:r w:rsidR="00790D04">
        <w:rPr>
          <w:color w:val="000000"/>
          <w:szCs w:val="24"/>
          <w:lang w:eastAsia="en-GB"/>
        </w:rPr>
        <w:t>The Government</w:t>
      </w:r>
      <w:r w:rsidR="005D7521">
        <w:rPr>
          <w:color w:val="000000"/>
          <w:szCs w:val="24"/>
          <w:lang w:eastAsia="en-GB"/>
        </w:rPr>
        <w:t xml:space="preserve"> </w:t>
      </w:r>
      <w:r w:rsidR="000859BC">
        <w:rPr>
          <w:color w:val="000000"/>
          <w:szCs w:val="24"/>
          <w:lang w:eastAsia="en-GB"/>
        </w:rPr>
        <w:t>considered the applicant</w:t>
      </w:r>
      <w:r w:rsidR="00FD5467">
        <w:rPr>
          <w:color w:val="000000"/>
          <w:szCs w:val="24"/>
          <w:lang w:eastAsia="en-GB"/>
        </w:rPr>
        <w:t>’</w:t>
      </w:r>
      <w:r w:rsidR="000859BC">
        <w:rPr>
          <w:color w:val="000000"/>
          <w:szCs w:val="24"/>
          <w:lang w:eastAsia="en-GB"/>
        </w:rPr>
        <w:t>s claim exorbitant</w:t>
      </w:r>
      <w:r w:rsidR="00C91B79">
        <w:rPr>
          <w:color w:val="000000"/>
          <w:szCs w:val="24"/>
          <w:lang w:eastAsia="en-GB"/>
        </w:rPr>
        <w:t>. They submitted that</w:t>
      </w:r>
      <w:r w:rsidR="000859BC">
        <w:rPr>
          <w:color w:val="000000"/>
          <w:szCs w:val="24"/>
          <w:lang w:eastAsia="en-GB"/>
        </w:rPr>
        <w:t xml:space="preserve"> </w:t>
      </w:r>
      <w:r w:rsidR="00790D04">
        <w:rPr>
          <w:color w:val="000000"/>
          <w:szCs w:val="24"/>
          <w:lang w:eastAsia="en-GB"/>
        </w:rPr>
        <w:t xml:space="preserve">the finding of a violation would constitute adequate compensation in the present case </w:t>
      </w:r>
      <w:r w:rsidR="005D7521">
        <w:rPr>
          <w:color w:val="000000"/>
          <w:szCs w:val="24"/>
          <w:lang w:eastAsia="en-GB"/>
        </w:rPr>
        <w:t xml:space="preserve">in view of </w:t>
      </w:r>
      <w:r w:rsidR="00826FA8">
        <w:rPr>
          <w:color w:val="000000"/>
          <w:szCs w:val="24"/>
          <w:lang w:eastAsia="en-GB"/>
        </w:rPr>
        <w:t xml:space="preserve">the </w:t>
      </w:r>
      <w:r w:rsidR="005D7521">
        <w:rPr>
          <w:color w:val="000000"/>
          <w:szCs w:val="24"/>
          <w:lang w:eastAsia="en-GB"/>
        </w:rPr>
        <w:t>petty nature of the applicant</w:t>
      </w:r>
      <w:r w:rsidR="00FD5467">
        <w:rPr>
          <w:color w:val="000000"/>
          <w:szCs w:val="24"/>
          <w:lang w:eastAsia="en-GB"/>
        </w:rPr>
        <w:t>’</w:t>
      </w:r>
      <w:r w:rsidR="005D7521">
        <w:rPr>
          <w:color w:val="000000"/>
          <w:szCs w:val="24"/>
          <w:lang w:eastAsia="en-GB"/>
        </w:rPr>
        <w:t>s complaint.</w:t>
      </w:r>
      <w:r w:rsidR="00790D04">
        <w:rPr>
          <w:color w:val="000000"/>
          <w:szCs w:val="24"/>
          <w:lang w:eastAsia="en-GB"/>
        </w:rPr>
        <w:t xml:space="preserve"> Alternatively, they considered that any award should not exceed EUR </w:t>
      </w:r>
      <w:r w:rsidR="0014223A">
        <w:rPr>
          <w:color w:val="000000"/>
          <w:szCs w:val="24"/>
          <w:lang w:eastAsia="en-GB"/>
        </w:rPr>
        <w:t>7</w:t>
      </w:r>
      <w:r w:rsidR="00790D04">
        <w:rPr>
          <w:color w:val="000000"/>
          <w:szCs w:val="24"/>
          <w:lang w:eastAsia="en-GB"/>
        </w:rPr>
        <w:t xml:space="preserve">,000, the amount awarded in the case of </w:t>
      </w:r>
      <w:r w:rsidR="003D0568" w:rsidRPr="003D0568">
        <w:rPr>
          <w:i/>
          <w:szCs w:val="24"/>
          <w:lang w:eastAsia="en-US"/>
        </w:rPr>
        <w:t xml:space="preserve">Kadiķis v. </w:t>
      </w:r>
      <w:smartTag w:uri="urn:schemas-microsoft-com:office:smarttags" w:element="place">
        <w:smartTag w:uri="urn:schemas-microsoft-com:office:smarttags" w:element="country-region">
          <w:r w:rsidR="003D0568" w:rsidRPr="003D0568">
            <w:rPr>
              <w:i/>
              <w:szCs w:val="24"/>
              <w:lang w:eastAsia="en-US"/>
            </w:rPr>
            <w:t>Latvia</w:t>
          </w:r>
        </w:smartTag>
      </w:smartTag>
      <w:r w:rsidR="003D0568" w:rsidRPr="003D0568">
        <w:rPr>
          <w:i/>
          <w:szCs w:val="24"/>
          <w:lang w:eastAsia="en-US"/>
        </w:rPr>
        <w:t xml:space="preserve"> (no. 2)</w:t>
      </w:r>
      <w:r w:rsidR="00316F79">
        <w:rPr>
          <w:i/>
          <w:szCs w:val="24"/>
          <w:lang w:eastAsia="en-US"/>
        </w:rPr>
        <w:t xml:space="preserve"> </w:t>
      </w:r>
      <w:r w:rsidR="00316F79">
        <w:rPr>
          <w:szCs w:val="24"/>
          <w:lang w:eastAsia="en-US"/>
        </w:rPr>
        <w:t>(</w:t>
      </w:r>
      <w:r w:rsidR="0061070D">
        <w:rPr>
          <w:szCs w:val="24"/>
          <w:lang w:eastAsia="en-US"/>
        </w:rPr>
        <w:t>cited above</w:t>
      </w:r>
      <w:r w:rsidR="003D0568" w:rsidRPr="003D0568">
        <w:rPr>
          <w:szCs w:val="24"/>
          <w:lang w:eastAsia="en-US"/>
        </w:rPr>
        <w:t xml:space="preserve">, § </w:t>
      </w:r>
      <w:r w:rsidR="003D0568">
        <w:rPr>
          <w:szCs w:val="24"/>
          <w:lang w:eastAsia="en-US"/>
        </w:rPr>
        <w:t>67)</w:t>
      </w:r>
      <w:r w:rsidR="00CA129A">
        <w:rPr>
          <w:szCs w:val="24"/>
          <w:lang w:eastAsia="en-US"/>
        </w:rPr>
        <w:t>.</w:t>
      </w:r>
    </w:p>
    <w:p w:rsidR="00F71A6A" w:rsidRDefault="0014295B" w:rsidP="002F4BCF">
      <w:pPr>
        <w:pStyle w:val="JuPara"/>
      </w:pPr>
      <w:r>
        <w:fldChar w:fldCharType="begin"/>
      </w:r>
      <w:r>
        <w:instrText xml:space="preserve"> SEQ level0 \*arabic </w:instrText>
      </w:r>
      <w:r>
        <w:fldChar w:fldCharType="separate"/>
      </w:r>
      <w:r w:rsidR="008806B0">
        <w:rPr>
          <w:noProof/>
        </w:rPr>
        <w:t>83</w:t>
      </w:r>
      <w:r>
        <w:fldChar w:fldCharType="end"/>
      </w:r>
      <w:r w:rsidR="00F71A6A" w:rsidRPr="00302008">
        <w:t>.  </w:t>
      </w:r>
      <w:r w:rsidR="00B10DE1">
        <w:t xml:space="preserve">Taking into consideration all the relevant factors, including the period of time spent </w:t>
      </w:r>
      <w:r w:rsidR="00826FA8">
        <w:t xml:space="preserve">by the applicant </w:t>
      </w:r>
      <w:r w:rsidR="00B10DE1">
        <w:t xml:space="preserve">in conditions of detention contrary to Article 3 of the Convention, the Court, deciding on an equitable basis, awards the applicant </w:t>
      </w:r>
      <w:r w:rsidR="00D46159">
        <w:t xml:space="preserve">EUR </w:t>
      </w:r>
      <w:r w:rsidR="00CA6165">
        <w:t>7</w:t>
      </w:r>
      <w:r w:rsidR="00B10DE1" w:rsidRPr="002C2087">
        <w:t>,</w:t>
      </w:r>
      <w:r w:rsidR="002C2087">
        <w:t>000</w:t>
      </w:r>
      <w:r w:rsidR="00D25F6E">
        <w:t xml:space="preserve"> </w:t>
      </w:r>
      <w:r w:rsidR="00B10DE1">
        <w:t>in respect of non-pecuniary damage</w:t>
      </w:r>
      <w:r w:rsidR="00826FA8">
        <w:t>,</w:t>
      </w:r>
      <w:r w:rsidR="00B10DE1">
        <w:t xml:space="preserve"> plus any tax that may be chargeable on that amount.</w:t>
      </w:r>
    </w:p>
    <w:p w:rsidR="009B56CC" w:rsidRPr="00ED0571" w:rsidRDefault="009B56CC" w:rsidP="00DA71FC">
      <w:pPr>
        <w:pStyle w:val="JuHA"/>
        <w:outlineLvl w:val="1"/>
      </w:pPr>
      <w:r>
        <w:t>B</w:t>
      </w:r>
      <w:r w:rsidRPr="00ED0571">
        <w:t>.  Costs and expenses</w:t>
      </w:r>
    </w:p>
    <w:p w:rsidR="009B56CC" w:rsidRDefault="009B56CC" w:rsidP="009B56CC">
      <w:pPr>
        <w:pStyle w:val="JuPara"/>
        <w:rPr>
          <w:color w:val="000000"/>
          <w:szCs w:val="24"/>
          <w:lang w:eastAsia="en-GB"/>
        </w:rPr>
      </w:pPr>
      <w:r w:rsidRPr="00ED0571">
        <w:fldChar w:fldCharType="begin"/>
      </w:r>
      <w:r w:rsidRPr="00ED0571">
        <w:instrText xml:space="preserve"> SEQ level0 \*arabic </w:instrText>
      </w:r>
      <w:r w:rsidRPr="00ED0571">
        <w:fldChar w:fldCharType="separate"/>
      </w:r>
      <w:r w:rsidR="008806B0">
        <w:rPr>
          <w:noProof/>
        </w:rPr>
        <w:t>84</w:t>
      </w:r>
      <w:r w:rsidRPr="00ED0571">
        <w:fldChar w:fldCharType="end"/>
      </w:r>
      <w:r w:rsidRPr="00ED0571">
        <w:t>.  </w:t>
      </w:r>
      <w:r>
        <w:t>The applicant did not lodge any claim under this head.</w:t>
      </w:r>
    </w:p>
    <w:p w:rsidR="00F71A6A" w:rsidRPr="005F4753" w:rsidRDefault="00F71A6A" w:rsidP="00DA71FC">
      <w:pPr>
        <w:pStyle w:val="JuHA"/>
        <w:outlineLvl w:val="1"/>
      </w:pPr>
      <w:r w:rsidRPr="005F4753">
        <w:t>C.  Default interest</w:t>
      </w:r>
    </w:p>
    <w:p w:rsidR="00F71A6A" w:rsidRPr="005F4753" w:rsidRDefault="0014295B" w:rsidP="00151CCA">
      <w:pPr>
        <w:pStyle w:val="JuPara"/>
      </w:pPr>
      <w:r>
        <w:fldChar w:fldCharType="begin"/>
      </w:r>
      <w:r>
        <w:instrText xml:space="preserve"> SEQ level0 \*arabic </w:instrText>
      </w:r>
      <w:r>
        <w:fldChar w:fldCharType="separate"/>
      </w:r>
      <w:r w:rsidR="008806B0">
        <w:rPr>
          <w:noProof/>
        </w:rPr>
        <w:t>85</w:t>
      </w:r>
      <w:r>
        <w:fldChar w:fldCharType="end"/>
      </w:r>
      <w:r w:rsidR="00F71A6A" w:rsidRPr="005F4753">
        <w:t xml:space="preserve">.  The Court considers it appropriate that the default interest </w:t>
      </w:r>
      <w:r w:rsidR="0034580F" w:rsidRPr="005F4753">
        <w:t xml:space="preserve">rate </w:t>
      </w:r>
      <w:r w:rsidR="00F71A6A" w:rsidRPr="005F4753">
        <w:t>should be based on the marginal lending rate of the European Central Bank, to which should be added three percentage points.</w:t>
      </w:r>
    </w:p>
    <w:p w:rsidR="00F71A6A" w:rsidRPr="005F4753" w:rsidRDefault="00F71A6A" w:rsidP="008824B9">
      <w:pPr>
        <w:pStyle w:val="JuHHead"/>
      </w:pPr>
      <w:r w:rsidRPr="005F4753">
        <w:t xml:space="preserve">FOR THESE REASONS, THE COURT </w:t>
      </w:r>
      <w:r w:rsidR="0014295B" w:rsidRPr="005F4753">
        <w:rPr>
          <w:noProof/>
        </w:rPr>
        <w:t>UNANIMOUSLY</w:t>
      </w:r>
    </w:p>
    <w:p w:rsidR="00F71A6A" w:rsidRPr="005F4753" w:rsidRDefault="00F71A6A">
      <w:pPr>
        <w:pStyle w:val="JuList"/>
      </w:pPr>
      <w:r w:rsidRPr="005F4753">
        <w:t>1.  </w:t>
      </w:r>
      <w:r w:rsidRPr="005F4753">
        <w:rPr>
          <w:i/>
        </w:rPr>
        <w:t>Declares</w:t>
      </w:r>
      <w:r w:rsidRPr="005F4753">
        <w:t xml:space="preserve"> the </w:t>
      </w:r>
      <w:r w:rsidR="0014295B" w:rsidRPr="005F4753">
        <w:rPr>
          <w:noProof/>
        </w:rPr>
        <w:t>application</w:t>
      </w:r>
      <w:r w:rsidRPr="005F4753">
        <w:t xml:space="preserve"> admissible;</w:t>
      </w:r>
    </w:p>
    <w:p w:rsidR="00F71A6A" w:rsidRPr="005F4753" w:rsidRDefault="00F71A6A">
      <w:pPr>
        <w:pStyle w:val="JuList"/>
      </w:pPr>
    </w:p>
    <w:p w:rsidR="009F07CC" w:rsidRPr="005F4753" w:rsidRDefault="00260C9F" w:rsidP="009F07CC">
      <w:pPr>
        <w:pStyle w:val="JuList"/>
      </w:pPr>
      <w:r>
        <w:t>2</w:t>
      </w:r>
      <w:r w:rsidR="009F07CC" w:rsidRPr="005F4753">
        <w:t>.</w:t>
      </w:r>
      <w:r w:rsidR="00F71A6A" w:rsidRPr="005F4753">
        <w:t>  </w:t>
      </w:r>
      <w:r w:rsidR="00F71A6A" w:rsidRPr="005F4753">
        <w:rPr>
          <w:i/>
        </w:rPr>
        <w:t>Holds</w:t>
      </w:r>
      <w:r w:rsidR="00F71A6A" w:rsidRPr="005F4753">
        <w:t xml:space="preserve"> that there has been a violation of Article </w:t>
      </w:r>
      <w:r w:rsidR="002D7CBB">
        <w:t>3</w:t>
      </w:r>
      <w:r w:rsidR="00F71A6A" w:rsidRPr="005F4753">
        <w:t xml:space="preserve"> of the Convention;</w:t>
      </w:r>
    </w:p>
    <w:p w:rsidR="00F71A6A" w:rsidRPr="005F4753" w:rsidRDefault="00F71A6A">
      <w:pPr>
        <w:pStyle w:val="JuList"/>
      </w:pPr>
    </w:p>
    <w:p w:rsidR="00BD1CCE" w:rsidRDefault="00260C9F" w:rsidP="00901475">
      <w:pPr>
        <w:pStyle w:val="JuList"/>
      </w:pPr>
      <w:r>
        <w:t>3</w:t>
      </w:r>
      <w:r w:rsidR="00F71A6A" w:rsidRPr="005F4753">
        <w:t>.  </w:t>
      </w:r>
      <w:r w:rsidR="00F71A6A" w:rsidRPr="005F4753">
        <w:rPr>
          <w:i/>
        </w:rPr>
        <w:t>Holds</w:t>
      </w:r>
    </w:p>
    <w:p w:rsidR="00336CC0" w:rsidRDefault="003104E9" w:rsidP="003104E9">
      <w:pPr>
        <w:pStyle w:val="JuLista"/>
      </w:pPr>
      <w:r w:rsidRPr="005F4753">
        <w:t xml:space="preserve">(a)  that the respondent State is to </w:t>
      </w:r>
      <w:r w:rsidR="00901475" w:rsidRPr="005F4753">
        <w:t xml:space="preserve">pay </w:t>
      </w:r>
      <w:r w:rsidRPr="005F4753">
        <w:t xml:space="preserve">the </w:t>
      </w:r>
      <w:r w:rsidR="0005522C" w:rsidRPr="005F4753">
        <w:t>applicant</w:t>
      </w:r>
      <w:r w:rsidRPr="005F4753">
        <w:t>, within three months</w:t>
      </w:r>
      <w:r w:rsidR="009B13DA">
        <w:t xml:space="preserve"> </w:t>
      </w:r>
      <w:r w:rsidR="0014295B" w:rsidRPr="005F4753">
        <w:rPr>
          <w:noProof/>
        </w:rPr>
        <w:t>from the date on which the judgment becomes final in accordance with Article 44 § 2 of the Convention</w:t>
      </w:r>
      <w:r w:rsidRPr="00302008">
        <w:t xml:space="preserve">, </w:t>
      </w:r>
      <w:r w:rsidR="00770A13">
        <w:t xml:space="preserve">EUR </w:t>
      </w:r>
      <w:r w:rsidR="00CA6165">
        <w:t>7</w:t>
      </w:r>
      <w:r w:rsidR="008672AD">
        <w:t>,</w:t>
      </w:r>
      <w:r w:rsidR="00362FF2">
        <w:t xml:space="preserve">000 </w:t>
      </w:r>
      <w:r w:rsidR="008672AD">
        <w:t>(</w:t>
      </w:r>
      <w:r w:rsidR="00362FF2">
        <w:t>s</w:t>
      </w:r>
      <w:r w:rsidR="00CA6165">
        <w:t>even</w:t>
      </w:r>
      <w:r w:rsidR="00362FF2">
        <w:t xml:space="preserve"> </w:t>
      </w:r>
      <w:r w:rsidR="008672AD">
        <w:t>thousand euros)</w:t>
      </w:r>
      <w:r w:rsidRPr="00302008">
        <w:t xml:space="preserve">, to be converted into </w:t>
      </w:r>
      <w:r w:rsidR="008672AD" w:rsidRPr="00ED0571">
        <w:t xml:space="preserve">the national currency of the respondent State </w:t>
      </w:r>
      <w:r w:rsidRPr="00302008">
        <w:t>at the rate applicable at the date of settlement</w:t>
      </w:r>
      <w:r w:rsidR="007E376B">
        <w:t>,</w:t>
      </w:r>
      <w:r w:rsidR="007E376B" w:rsidRPr="007E376B">
        <w:t xml:space="preserve"> </w:t>
      </w:r>
      <w:r w:rsidR="007E376B" w:rsidRPr="00ED0571">
        <w:t>plus any tax that may be chargeable</w:t>
      </w:r>
      <w:r w:rsidR="005A7172">
        <w:t>;</w:t>
      </w:r>
    </w:p>
    <w:p w:rsidR="003104E9" w:rsidRDefault="003104E9">
      <w:pPr>
        <w:pStyle w:val="JuLista"/>
      </w:pPr>
      <w:r w:rsidRPr="00302008">
        <w:t>(b)  that from the expiry of the above-mentioned three months until settlement simple interest shall be payable on the above amount at a rate equal to the marginal lending rate of the European Central Bank during the default peri</w:t>
      </w:r>
      <w:r w:rsidR="0080609F">
        <w:t>od plus three percentage points.</w:t>
      </w:r>
    </w:p>
    <w:p w:rsidR="00CA6165" w:rsidRDefault="00CA6165">
      <w:pPr>
        <w:pStyle w:val="JuLista"/>
        <w:rPr>
          <w:i/>
        </w:rPr>
      </w:pPr>
    </w:p>
    <w:p w:rsidR="00CA6165" w:rsidRPr="00302008" w:rsidRDefault="00CA6165" w:rsidP="00CA6165">
      <w:pPr>
        <w:pStyle w:val="JuList"/>
      </w:pPr>
      <w:r>
        <w:t>4.  </w:t>
      </w:r>
      <w:r w:rsidRPr="00CA6165">
        <w:rPr>
          <w:i/>
        </w:rPr>
        <w:t>Dismisses</w:t>
      </w:r>
      <w:r>
        <w:t xml:space="preserve"> the remainder of the applicant</w:t>
      </w:r>
      <w:r w:rsidR="00FD5467">
        <w:t>’</w:t>
      </w:r>
      <w:r>
        <w:t>s claim for just satisfaction.</w:t>
      </w:r>
    </w:p>
    <w:p w:rsidR="00325C2B" w:rsidRPr="00302008" w:rsidRDefault="00F71A6A" w:rsidP="00325C2B">
      <w:pPr>
        <w:pStyle w:val="JuParaLast"/>
      </w:pPr>
      <w:r w:rsidRPr="00302008">
        <w:t xml:space="preserve">Done in English, and notified in writing on </w:t>
      </w:r>
      <w:r w:rsidR="00374588">
        <w:t>28 February 2012</w:t>
      </w:r>
      <w:r w:rsidRPr="00302008">
        <w:t>, pursuant to Rule</w:t>
      </w:r>
      <w:r w:rsidR="0011665B" w:rsidRPr="00302008">
        <w:t xml:space="preserve"> </w:t>
      </w:r>
      <w:r w:rsidRPr="00302008">
        <w:t>77</w:t>
      </w:r>
      <w:r w:rsidR="0011665B" w:rsidRPr="00302008">
        <w:t xml:space="preserve"> </w:t>
      </w:r>
      <w:r w:rsidRPr="00302008">
        <w:t>§§</w:t>
      </w:r>
      <w:r w:rsidR="0011665B" w:rsidRPr="00302008">
        <w:t xml:space="preserve"> </w:t>
      </w:r>
      <w:r w:rsidRPr="00302008">
        <w:t>2 and</w:t>
      </w:r>
      <w:r w:rsidR="0011665B" w:rsidRPr="00302008">
        <w:t xml:space="preserve"> </w:t>
      </w:r>
      <w:r w:rsidRPr="00302008">
        <w:t>3 of the Rules of Court.</w:t>
      </w:r>
    </w:p>
    <w:p w:rsidR="0079187F" w:rsidRPr="00302008" w:rsidRDefault="00325C2B" w:rsidP="00C01E1C">
      <w:pPr>
        <w:pStyle w:val="JuSigned"/>
        <w:keepNext/>
        <w:keepLines/>
      </w:pPr>
      <w:r w:rsidRPr="00302008">
        <w:tab/>
      </w:r>
      <w:r w:rsidR="008326CB">
        <w:rPr>
          <w:noProof/>
        </w:rPr>
        <w:t>Marialena</w:t>
      </w:r>
      <w:r w:rsidR="0014295B" w:rsidRPr="005F4753">
        <w:rPr>
          <w:noProof/>
        </w:rPr>
        <w:t xml:space="preserve"> </w:t>
      </w:r>
      <w:r w:rsidR="008326CB">
        <w:rPr>
          <w:noProof/>
        </w:rPr>
        <w:t>Tsirli</w:t>
      </w:r>
      <w:r w:rsidR="00A8381C" w:rsidRPr="005F4753">
        <w:tab/>
      </w:r>
      <w:r w:rsidR="00260C9F">
        <w:rPr>
          <w:noProof/>
        </w:rPr>
        <w:t>Josep Casadeval</w:t>
      </w:r>
      <w:r w:rsidR="008333BC">
        <w:rPr>
          <w:noProof/>
        </w:rPr>
        <w:t>l</w:t>
      </w:r>
      <w:r w:rsidR="00A8381C" w:rsidRPr="00302008">
        <w:br/>
      </w:r>
      <w:r w:rsidR="00A8381C" w:rsidRPr="00302008">
        <w:tab/>
      </w:r>
      <w:r w:rsidR="008326CB">
        <w:t xml:space="preserve">Deputy </w:t>
      </w:r>
      <w:r w:rsidR="0014295B" w:rsidRPr="00302008">
        <w:rPr>
          <w:iCs/>
          <w:noProof/>
        </w:rPr>
        <w:t>Registrar</w:t>
      </w:r>
      <w:r w:rsidR="00A8381C" w:rsidRPr="00302008">
        <w:tab/>
        <w:t>President</w:t>
      </w:r>
    </w:p>
    <w:sectPr w:rsidR="0079187F" w:rsidRPr="00302008" w:rsidSect="007E4C9C">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94C" w:rsidRDefault="0090594C">
      <w:r>
        <w:separator/>
      </w:r>
    </w:p>
  </w:endnote>
  <w:endnote w:type="continuationSeparator" w:id="0">
    <w:p w:rsidR="0090594C" w:rsidRDefault="0090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4C" w:rsidRPr="00150BFA" w:rsidRDefault="0090594C" w:rsidP="00DE258D">
    <w:pPr>
      <w:jc w:val="center"/>
      <w:rPr>
        <w:sz w:val="4"/>
        <w:szCs w:val="4"/>
      </w:rPr>
    </w:pPr>
    <w:r w:rsidRPr="00150BFA">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85pt;height:32.9pt">
          <v:imagedata r:id="rId1" o:title="DocFooter-03"/>
        </v:shape>
      </w:pict>
    </w:r>
  </w:p>
  <w:p w:rsidR="0090594C" w:rsidRDefault="00905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94C" w:rsidRDefault="0090594C">
      <w:r>
        <w:separator/>
      </w:r>
    </w:p>
  </w:footnote>
  <w:footnote w:type="continuationSeparator" w:id="0">
    <w:p w:rsidR="0090594C" w:rsidRDefault="0090594C">
      <w:r>
        <w:continuationSeparator/>
      </w:r>
    </w:p>
  </w:footnote>
  <w:footnote w:id="1">
    <w:p w:rsidR="0090594C" w:rsidRPr="00AC58DC" w:rsidRDefault="0090594C">
      <w:pPr>
        <w:pStyle w:val="FootnoteText"/>
      </w:pPr>
      <w:r>
        <w:rPr>
          <w:rStyle w:val="FootnoteReference"/>
        </w:rPr>
        <w:footnoteRef/>
      </w:r>
      <w:r>
        <w:t xml:space="preserve"> Available at: </w:t>
      </w:r>
      <w:hyperlink r:id="rId1" w:history="1">
        <w:r w:rsidRPr="00690CD0">
          <w:rPr>
            <w:rStyle w:val="Hyperlink"/>
          </w:rPr>
          <w:t>http://www.politika.lv/temas/cilvek</w:t>
        </w:r>
        <w:r w:rsidRPr="00690CD0">
          <w:rPr>
            <w:rStyle w:val="Hyperlink"/>
          </w:rPr>
          <w:t>t</w:t>
        </w:r>
        <w:r w:rsidRPr="00690CD0">
          <w:rPr>
            <w:rStyle w:val="Hyperlink"/>
          </w:rPr>
          <w:t>iesibas/10018/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4C" w:rsidRPr="007E4C9C" w:rsidRDefault="0090594C" w:rsidP="007E4C9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4C" w:rsidRPr="00C00F0F" w:rsidRDefault="0090594C">
    <w:pPr>
      <w:pStyle w:val="Header"/>
      <w:jc w:val="center"/>
      <w:rPr>
        <w:sz w:val="4"/>
        <w:szCs w:val="4"/>
      </w:rPr>
    </w:pPr>
    <w:r w:rsidRPr="00C31FDF">
      <w:rPr>
        <w:sz w:val="4"/>
        <w:szCs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6pt;height:164.3pt">
          <v:imagedata r:id="rId1" o:title="TranspDocHeaderBigBlack"/>
        </v:shape>
      </w:pict>
    </w:r>
  </w:p>
  <w:p w:rsidR="0090594C" w:rsidRDefault="00905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4C" w:rsidRDefault="0090594C">
    <w:pPr>
      <w:pStyle w:val="JuHeader"/>
    </w:pPr>
    <w:r>
      <w:rPr>
        <w:rStyle w:val="PageNumber"/>
      </w:rPr>
      <w:fldChar w:fldCharType="begin"/>
    </w:r>
    <w:r>
      <w:rPr>
        <w:rStyle w:val="PageNumber"/>
      </w:rPr>
      <w:instrText xml:space="preserve"> PAGE </w:instrText>
    </w:r>
    <w:r>
      <w:rPr>
        <w:rStyle w:val="PageNumber"/>
      </w:rPr>
      <w:fldChar w:fldCharType="separate"/>
    </w:r>
    <w:r w:rsidR="008806B0">
      <w:rPr>
        <w:rStyle w:val="PageNumber"/>
        <w:noProof/>
      </w:rPr>
      <w:t>20</w:t>
    </w:r>
    <w:r>
      <w:rPr>
        <w:rStyle w:val="PageNumber"/>
      </w:rPr>
      <w:fldChar w:fldCharType="end"/>
    </w:r>
    <w:r>
      <w:tab/>
      <w:t xml:space="preserve">MELNĪTIS v. </w:t>
    </w:r>
    <w:smartTag w:uri="urn:schemas-microsoft-com:office:smarttags" w:element="place">
      <w:smartTag w:uri="urn:schemas-microsoft-com:office:smarttags" w:element="country-region">
        <w:r>
          <w:t>LATVIA</w:t>
        </w:r>
      </w:smartTag>
    </w:smartTag>
    <w:r>
      <w:t xml:space="preserve"> 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4C" w:rsidRDefault="0090594C">
    <w:pPr>
      <w:pStyle w:val="JuHeader"/>
    </w:pPr>
    <w:r>
      <w:tab/>
      <w:t xml:space="preserve">MELNĪTIS v. </w:t>
    </w:r>
    <w:smartTag w:uri="urn:schemas-microsoft-com:office:smarttags" w:element="country-region">
      <w:smartTag w:uri="urn:schemas-microsoft-com:office:smarttags" w:element="place">
        <w:r>
          <w:t>LATVIA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8806B0">
      <w:rPr>
        <w:rStyle w:val="PageNumber"/>
        <w:noProof/>
      </w:rPr>
      <w:t>20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54AAB0"/>
    <w:lvl w:ilvl="0">
      <w:start w:val="1"/>
      <w:numFmt w:val="decimal"/>
      <w:lvlText w:val="%1."/>
      <w:lvlJc w:val="left"/>
      <w:pPr>
        <w:tabs>
          <w:tab w:val="num" w:pos="1492"/>
        </w:tabs>
        <w:ind w:left="1492" w:hanging="360"/>
      </w:pPr>
    </w:lvl>
  </w:abstractNum>
  <w:abstractNum w:abstractNumId="1">
    <w:nsid w:val="FFFFFF7D"/>
    <w:multiLevelType w:val="singleLevel"/>
    <w:tmpl w:val="8B52486A"/>
    <w:lvl w:ilvl="0">
      <w:start w:val="1"/>
      <w:numFmt w:val="decimal"/>
      <w:lvlText w:val="%1."/>
      <w:lvlJc w:val="left"/>
      <w:pPr>
        <w:tabs>
          <w:tab w:val="num" w:pos="1209"/>
        </w:tabs>
        <w:ind w:left="1209" w:hanging="360"/>
      </w:pPr>
    </w:lvl>
  </w:abstractNum>
  <w:abstractNum w:abstractNumId="2">
    <w:nsid w:val="FFFFFF7E"/>
    <w:multiLevelType w:val="singleLevel"/>
    <w:tmpl w:val="2FE01E02"/>
    <w:lvl w:ilvl="0">
      <w:start w:val="1"/>
      <w:numFmt w:val="decimal"/>
      <w:lvlText w:val="%1."/>
      <w:lvlJc w:val="left"/>
      <w:pPr>
        <w:tabs>
          <w:tab w:val="num" w:pos="926"/>
        </w:tabs>
        <w:ind w:left="926" w:hanging="360"/>
      </w:pPr>
    </w:lvl>
  </w:abstractNum>
  <w:abstractNum w:abstractNumId="3">
    <w:nsid w:val="FFFFFF7F"/>
    <w:multiLevelType w:val="singleLevel"/>
    <w:tmpl w:val="26B0ADE2"/>
    <w:lvl w:ilvl="0">
      <w:start w:val="1"/>
      <w:numFmt w:val="decimal"/>
      <w:lvlText w:val="%1."/>
      <w:lvlJc w:val="left"/>
      <w:pPr>
        <w:tabs>
          <w:tab w:val="num" w:pos="643"/>
        </w:tabs>
        <w:ind w:left="643" w:hanging="360"/>
      </w:pPr>
    </w:lvl>
  </w:abstractNum>
  <w:abstractNum w:abstractNumId="4">
    <w:nsid w:val="FFFFFF80"/>
    <w:multiLevelType w:val="singleLevel"/>
    <w:tmpl w:val="DDC42D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DB6BA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EE97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726C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E8A952"/>
    <w:lvl w:ilvl="0">
      <w:start w:val="1"/>
      <w:numFmt w:val="decimal"/>
      <w:lvlText w:val="%1."/>
      <w:lvlJc w:val="left"/>
      <w:pPr>
        <w:tabs>
          <w:tab w:val="num" w:pos="360"/>
        </w:tabs>
        <w:ind w:left="360" w:hanging="360"/>
      </w:pPr>
    </w:lvl>
  </w:abstractNum>
  <w:abstractNum w:abstractNumId="9">
    <w:nsid w:val="FFFFFF89"/>
    <w:multiLevelType w:val="singleLevel"/>
    <w:tmpl w:val="AEE8A85E"/>
    <w:lvl w:ilvl="0">
      <w:start w:val="1"/>
      <w:numFmt w:val="bullet"/>
      <w:lvlText w:val=""/>
      <w:lvlJc w:val="left"/>
      <w:pPr>
        <w:tabs>
          <w:tab w:val="num" w:pos="360"/>
        </w:tabs>
        <w:ind w:left="360" w:hanging="360"/>
      </w:pPr>
      <w:rPr>
        <w:rFonts w:ascii="Symbol" w:hAnsi="Symbol" w:hint="default"/>
      </w:rPr>
    </w:lvl>
  </w:abstractNum>
  <w:abstractNum w:abstractNumId="10">
    <w:nsid w:val="5BA05E5E"/>
    <w:multiLevelType w:val="hybridMultilevel"/>
    <w:tmpl w:val="FD22BCD4"/>
    <w:lvl w:ilvl="0" w:tplc="D5DCEFDA">
      <w:start w:val="73"/>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1">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BEE1E5A"/>
    <w:multiLevelType w:val="hybridMultilevel"/>
    <w:tmpl w:val="8D4E7E9A"/>
    <w:lvl w:ilvl="0" w:tplc="60AAB1A4">
      <w:start w:val="34"/>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9"/>
  </w:num>
  <w:num w:numId="2">
    <w:abstractNumId w:val="11"/>
  </w:num>
  <w:num w:numId="3">
    <w:abstractNumId w:val="12"/>
  </w:num>
  <w:num w:numId="4">
    <w:abstractNumId w:val="12"/>
  </w:num>
  <w:num w:numId="5">
    <w:abstractNumId w:val="12"/>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14295B"/>
    <w:rsid w:val="000011B9"/>
    <w:rsid w:val="00001CC5"/>
    <w:rsid w:val="0000382A"/>
    <w:rsid w:val="000046CC"/>
    <w:rsid w:val="000062AE"/>
    <w:rsid w:val="000100C0"/>
    <w:rsid w:val="000122C6"/>
    <w:rsid w:val="00013299"/>
    <w:rsid w:val="000136C3"/>
    <w:rsid w:val="00014796"/>
    <w:rsid w:val="00014FB6"/>
    <w:rsid w:val="000172E5"/>
    <w:rsid w:val="000222E2"/>
    <w:rsid w:val="00023B19"/>
    <w:rsid w:val="00024E3F"/>
    <w:rsid w:val="00033FD2"/>
    <w:rsid w:val="0003477A"/>
    <w:rsid w:val="000355D2"/>
    <w:rsid w:val="0003679E"/>
    <w:rsid w:val="000377CF"/>
    <w:rsid w:val="000408C4"/>
    <w:rsid w:val="0004226E"/>
    <w:rsid w:val="00042867"/>
    <w:rsid w:val="00042CD8"/>
    <w:rsid w:val="000442F1"/>
    <w:rsid w:val="0004500F"/>
    <w:rsid w:val="00045540"/>
    <w:rsid w:val="00047AAD"/>
    <w:rsid w:val="00047C2F"/>
    <w:rsid w:val="00047DB9"/>
    <w:rsid w:val="0005065C"/>
    <w:rsid w:val="000509EF"/>
    <w:rsid w:val="00052327"/>
    <w:rsid w:val="000543BE"/>
    <w:rsid w:val="00055199"/>
    <w:rsid w:val="0005522C"/>
    <w:rsid w:val="00055AC1"/>
    <w:rsid w:val="00055DCD"/>
    <w:rsid w:val="000567A4"/>
    <w:rsid w:val="000578E2"/>
    <w:rsid w:val="00057AA7"/>
    <w:rsid w:val="00061DE5"/>
    <w:rsid w:val="0006216E"/>
    <w:rsid w:val="0006398C"/>
    <w:rsid w:val="00064860"/>
    <w:rsid w:val="00064BB7"/>
    <w:rsid w:val="00066ED5"/>
    <w:rsid w:val="0007000F"/>
    <w:rsid w:val="000726F6"/>
    <w:rsid w:val="000738BE"/>
    <w:rsid w:val="00076A67"/>
    <w:rsid w:val="0007741F"/>
    <w:rsid w:val="00082028"/>
    <w:rsid w:val="000829D1"/>
    <w:rsid w:val="000831CF"/>
    <w:rsid w:val="0008446B"/>
    <w:rsid w:val="0008560D"/>
    <w:rsid w:val="00085837"/>
    <w:rsid w:val="000859BC"/>
    <w:rsid w:val="00085B3A"/>
    <w:rsid w:val="00086A51"/>
    <w:rsid w:val="00090508"/>
    <w:rsid w:val="00090C82"/>
    <w:rsid w:val="0009232B"/>
    <w:rsid w:val="00092761"/>
    <w:rsid w:val="000932D7"/>
    <w:rsid w:val="0009409F"/>
    <w:rsid w:val="00094CB7"/>
    <w:rsid w:val="00096BD6"/>
    <w:rsid w:val="00097D7B"/>
    <w:rsid w:val="000A17B1"/>
    <w:rsid w:val="000A1B8D"/>
    <w:rsid w:val="000A3818"/>
    <w:rsid w:val="000A6F50"/>
    <w:rsid w:val="000B1D8B"/>
    <w:rsid w:val="000B4F9D"/>
    <w:rsid w:val="000B50AE"/>
    <w:rsid w:val="000B5772"/>
    <w:rsid w:val="000B6839"/>
    <w:rsid w:val="000C1000"/>
    <w:rsid w:val="000C11CB"/>
    <w:rsid w:val="000C1AF0"/>
    <w:rsid w:val="000C2FD0"/>
    <w:rsid w:val="000C377D"/>
    <w:rsid w:val="000C421D"/>
    <w:rsid w:val="000C4843"/>
    <w:rsid w:val="000C6D7D"/>
    <w:rsid w:val="000C789E"/>
    <w:rsid w:val="000C7F58"/>
    <w:rsid w:val="000D6108"/>
    <w:rsid w:val="000D692D"/>
    <w:rsid w:val="000D7615"/>
    <w:rsid w:val="000E0B5D"/>
    <w:rsid w:val="000E0BDE"/>
    <w:rsid w:val="000E1449"/>
    <w:rsid w:val="000E4556"/>
    <w:rsid w:val="000E54F8"/>
    <w:rsid w:val="000E6825"/>
    <w:rsid w:val="000E684C"/>
    <w:rsid w:val="000E6B6B"/>
    <w:rsid w:val="000E6F8F"/>
    <w:rsid w:val="000E73E0"/>
    <w:rsid w:val="000F163F"/>
    <w:rsid w:val="000F34F4"/>
    <w:rsid w:val="000F699D"/>
    <w:rsid w:val="00100840"/>
    <w:rsid w:val="001012B3"/>
    <w:rsid w:val="001021D2"/>
    <w:rsid w:val="001042F9"/>
    <w:rsid w:val="00104AD1"/>
    <w:rsid w:val="00104CE1"/>
    <w:rsid w:val="00105009"/>
    <w:rsid w:val="001066CA"/>
    <w:rsid w:val="001072CC"/>
    <w:rsid w:val="00107EEA"/>
    <w:rsid w:val="00110ACD"/>
    <w:rsid w:val="001117DD"/>
    <w:rsid w:val="00111D99"/>
    <w:rsid w:val="00113160"/>
    <w:rsid w:val="001145C7"/>
    <w:rsid w:val="0011665B"/>
    <w:rsid w:val="00116C42"/>
    <w:rsid w:val="001205BB"/>
    <w:rsid w:val="00121D21"/>
    <w:rsid w:val="00125931"/>
    <w:rsid w:val="00126213"/>
    <w:rsid w:val="00130CC0"/>
    <w:rsid w:val="00131A0B"/>
    <w:rsid w:val="00132B18"/>
    <w:rsid w:val="00133A42"/>
    <w:rsid w:val="001340DD"/>
    <w:rsid w:val="0013570E"/>
    <w:rsid w:val="001371D6"/>
    <w:rsid w:val="0014223A"/>
    <w:rsid w:val="001428CF"/>
    <w:rsid w:val="0014295B"/>
    <w:rsid w:val="00144C5F"/>
    <w:rsid w:val="00145C03"/>
    <w:rsid w:val="00146A3B"/>
    <w:rsid w:val="00150357"/>
    <w:rsid w:val="00151CAD"/>
    <w:rsid w:val="00151CCA"/>
    <w:rsid w:val="00151FF3"/>
    <w:rsid w:val="00154AA3"/>
    <w:rsid w:val="00156073"/>
    <w:rsid w:val="001562B6"/>
    <w:rsid w:val="00156D2D"/>
    <w:rsid w:val="00157294"/>
    <w:rsid w:val="00157459"/>
    <w:rsid w:val="001628F8"/>
    <w:rsid w:val="001633B4"/>
    <w:rsid w:val="00163C9B"/>
    <w:rsid w:val="00164AAA"/>
    <w:rsid w:val="001654E9"/>
    <w:rsid w:val="00165DB0"/>
    <w:rsid w:val="001660EF"/>
    <w:rsid w:val="00166294"/>
    <w:rsid w:val="00167A01"/>
    <w:rsid w:val="00167CC4"/>
    <w:rsid w:val="00170C03"/>
    <w:rsid w:val="00170FED"/>
    <w:rsid w:val="00172EFA"/>
    <w:rsid w:val="001738D2"/>
    <w:rsid w:val="00173FEB"/>
    <w:rsid w:val="00180357"/>
    <w:rsid w:val="001812B2"/>
    <w:rsid w:val="00181A91"/>
    <w:rsid w:val="00182149"/>
    <w:rsid w:val="00185D01"/>
    <w:rsid w:val="0018685B"/>
    <w:rsid w:val="001872E8"/>
    <w:rsid w:val="001920FD"/>
    <w:rsid w:val="00192F7D"/>
    <w:rsid w:val="00195C62"/>
    <w:rsid w:val="001966BD"/>
    <w:rsid w:val="001967E8"/>
    <w:rsid w:val="0019683C"/>
    <w:rsid w:val="00196E15"/>
    <w:rsid w:val="00196F25"/>
    <w:rsid w:val="00197C29"/>
    <w:rsid w:val="001A0EBE"/>
    <w:rsid w:val="001A2057"/>
    <w:rsid w:val="001A5D76"/>
    <w:rsid w:val="001B00C4"/>
    <w:rsid w:val="001B13A7"/>
    <w:rsid w:val="001B1922"/>
    <w:rsid w:val="001B1A4B"/>
    <w:rsid w:val="001B1A92"/>
    <w:rsid w:val="001B1D07"/>
    <w:rsid w:val="001B62B1"/>
    <w:rsid w:val="001B74F7"/>
    <w:rsid w:val="001B78B6"/>
    <w:rsid w:val="001C2901"/>
    <w:rsid w:val="001C320C"/>
    <w:rsid w:val="001C4131"/>
    <w:rsid w:val="001C5E58"/>
    <w:rsid w:val="001D1265"/>
    <w:rsid w:val="001D5588"/>
    <w:rsid w:val="001D5729"/>
    <w:rsid w:val="001D64D2"/>
    <w:rsid w:val="001D78D4"/>
    <w:rsid w:val="001E11AE"/>
    <w:rsid w:val="001E2141"/>
    <w:rsid w:val="001E4861"/>
    <w:rsid w:val="001E516A"/>
    <w:rsid w:val="001F019F"/>
    <w:rsid w:val="001F4BC5"/>
    <w:rsid w:val="001F5144"/>
    <w:rsid w:val="001F546C"/>
    <w:rsid w:val="001F5586"/>
    <w:rsid w:val="001F60E5"/>
    <w:rsid w:val="001F6F0E"/>
    <w:rsid w:val="0020221B"/>
    <w:rsid w:val="002026EC"/>
    <w:rsid w:val="0020380B"/>
    <w:rsid w:val="00207FDB"/>
    <w:rsid w:val="00210B52"/>
    <w:rsid w:val="00212E62"/>
    <w:rsid w:val="00215B32"/>
    <w:rsid w:val="00216AC0"/>
    <w:rsid w:val="00217064"/>
    <w:rsid w:val="00217A6F"/>
    <w:rsid w:val="00220EA3"/>
    <w:rsid w:val="002217D1"/>
    <w:rsid w:val="00221DED"/>
    <w:rsid w:val="002235BD"/>
    <w:rsid w:val="00224266"/>
    <w:rsid w:val="00225BE5"/>
    <w:rsid w:val="002266CD"/>
    <w:rsid w:val="002276B1"/>
    <w:rsid w:val="00231E6E"/>
    <w:rsid w:val="002328AC"/>
    <w:rsid w:val="00233996"/>
    <w:rsid w:val="00235CB5"/>
    <w:rsid w:val="00235CB7"/>
    <w:rsid w:val="002361C9"/>
    <w:rsid w:val="002404D1"/>
    <w:rsid w:val="00243788"/>
    <w:rsid w:val="00245A53"/>
    <w:rsid w:val="002468C0"/>
    <w:rsid w:val="002520F5"/>
    <w:rsid w:val="002525A2"/>
    <w:rsid w:val="00252B31"/>
    <w:rsid w:val="00253EB8"/>
    <w:rsid w:val="002540B8"/>
    <w:rsid w:val="002577BD"/>
    <w:rsid w:val="00260984"/>
    <w:rsid w:val="00260C9F"/>
    <w:rsid w:val="00261CFB"/>
    <w:rsid w:val="00262027"/>
    <w:rsid w:val="002628B7"/>
    <w:rsid w:val="002636A4"/>
    <w:rsid w:val="002636E1"/>
    <w:rsid w:val="00266DEC"/>
    <w:rsid w:val="00266FE2"/>
    <w:rsid w:val="0026789F"/>
    <w:rsid w:val="00270122"/>
    <w:rsid w:val="0027076D"/>
    <w:rsid w:val="00270DF5"/>
    <w:rsid w:val="00271954"/>
    <w:rsid w:val="0027263F"/>
    <w:rsid w:val="002728F4"/>
    <w:rsid w:val="00274638"/>
    <w:rsid w:val="00274CCB"/>
    <w:rsid w:val="00274E4A"/>
    <w:rsid w:val="002750F2"/>
    <w:rsid w:val="00277A0E"/>
    <w:rsid w:val="00280F89"/>
    <w:rsid w:val="002825D2"/>
    <w:rsid w:val="00283439"/>
    <w:rsid w:val="00285538"/>
    <w:rsid w:val="00285D42"/>
    <w:rsid w:val="0028632B"/>
    <w:rsid w:val="0028648D"/>
    <w:rsid w:val="0028688C"/>
    <w:rsid w:val="00286A27"/>
    <w:rsid w:val="002905D7"/>
    <w:rsid w:val="0029082A"/>
    <w:rsid w:val="00290872"/>
    <w:rsid w:val="002926A5"/>
    <w:rsid w:val="002926DD"/>
    <w:rsid w:val="00292BA5"/>
    <w:rsid w:val="00297942"/>
    <w:rsid w:val="00297A23"/>
    <w:rsid w:val="00297F8B"/>
    <w:rsid w:val="002A0AD1"/>
    <w:rsid w:val="002A2D9B"/>
    <w:rsid w:val="002A3DBC"/>
    <w:rsid w:val="002A4EC7"/>
    <w:rsid w:val="002A78D2"/>
    <w:rsid w:val="002A7B9C"/>
    <w:rsid w:val="002B04DB"/>
    <w:rsid w:val="002B0C87"/>
    <w:rsid w:val="002B1841"/>
    <w:rsid w:val="002B18B7"/>
    <w:rsid w:val="002B1E4D"/>
    <w:rsid w:val="002B5C50"/>
    <w:rsid w:val="002B6F93"/>
    <w:rsid w:val="002B7776"/>
    <w:rsid w:val="002B790E"/>
    <w:rsid w:val="002C1469"/>
    <w:rsid w:val="002C19EF"/>
    <w:rsid w:val="002C2087"/>
    <w:rsid w:val="002C5D1D"/>
    <w:rsid w:val="002C6EAB"/>
    <w:rsid w:val="002C7411"/>
    <w:rsid w:val="002C742B"/>
    <w:rsid w:val="002D0508"/>
    <w:rsid w:val="002D0582"/>
    <w:rsid w:val="002D195D"/>
    <w:rsid w:val="002D46BE"/>
    <w:rsid w:val="002D6781"/>
    <w:rsid w:val="002D7CBB"/>
    <w:rsid w:val="002E401F"/>
    <w:rsid w:val="002E4AC1"/>
    <w:rsid w:val="002E4CE8"/>
    <w:rsid w:val="002E681B"/>
    <w:rsid w:val="002F0995"/>
    <w:rsid w:val="002F4BCF"/>
    <w:rsid w:val="002F4E97"/>
    <w:rsid w:val="002F660A"/>
    <w:rsid w:val="002F6F3E"/>
    <w:rsid w:val="002F6FE9"/>
    <w:rsid w:val="0030047C"/>
    <w:rsid w:val="00300DEE"/>
    <w:rsid w:val="00301F40"/>
    <w:rsid w:val="00302008"/>
    <w:rsid w:val="00302C33"/>
    <w:rsid w:val="00302CFC"/>
    <w:rsid w:val="00304DB2"/>
    <w:rsid w:val="00305DA4"/>
    <w:rsid w:val="00305E3D"/>
    <w:rsid w:val="003104E9"/>
    <w:rsid w:val="003107A2"/>
    <w:rsid w:val="00311091"/>
    <w:rsid w:val="00311851"/>
    <w:rsid w:val="00311A56"/>
    <w:rsid w:val="003120FF"/>
    <w:rsid w:val="00312BA3"/>
    <w:rsid w:val="00313D79"/>
    <w:rsid w:val="00313F01"/>
    <w:rsid w:val="00314815"/>
    <w:rsid w:val="0031573C"/>
    <w:rsid w:val="00315809"/>
    <w:rsid w:val="00315F87"/>
    <w:rsid w:val="003169DC"/>
    <w:rsid w:val="00316F79"/>
    <w:rsid w:val="0032093A"/>
    <w:rsid w:val="00322669"/>
    <w:rsid w:val="00323CD5"/>
    <w:rsid w:val="00325C2B"/>
    <w:rsid w:val="00325E8A"/>
    <w:rsid w:val="00326CA6"/>
    <w:rsid w:val="003272D5"/>
    <w:rsid w:val="00327759"/>
    <w:rsid w:val="00331791"/>
    <w:rsid w:val="00332547"/>
    <w:rsid w:val="00332DC8"/>
    <w:rsid w:val="0033321D"/>
    <w:rsid w:val="00333769"/>
    <w:rsid w:val="00335F05"/>
    <w:rsid w:val="00336887"/>
    <w:rsid w:val="00336CC0"/>
    <w:rsid w:val="00337600"/>
    <w:rsid w:val="003417DB"/>
    <w:rsid w:val="0034279F"/>
    <w:rsid w:val="003434B0"/>
    <w:rsid w:val="003436ED"/>
    <w:rsid w:val="00344317"/>
    <w:rsid w:val="003446F4"/>
    <w:rsid w:val="00344833"/>
    <w:rsid w:val="0034580F"/>
    <w:rsid w:val="0034793A"/>
    <w:rsid w:val="003522CE"/>
    <w:rsid w:val="00354316"/>
    <w:rsid w:val="003543D8"/>
    <w:rsid w:val="00354BA8"/>
    <w:rsid w:val="00355D40"/>
    <w:rsid w:val="00356E55"/>
    <w:rsid w:val="00357D55"/>
    <w:rsid w:val="0036046C"/>
    <w:rsid w:val="00360E7B"/>
    <w:rsid w:val="00360EDF"/>
    <w:rsid w:val="003613CE"/>
    <w:rsid w:val="00362FF2"/>
    <w:rsid w:val="003631D2"/>
    <w:rsid w:val="003639C7"/>
    <w:rsid w:val="00363B19"/>
    <w:rsid w:val="0036425E"/>
    <w:rsid w:val="0036671E"/>
    <w:rsid w:val="00367093"/>
    <w:rsid w:val="00367339"/>
    <w:rsid w:val="003708FE"/>
    <w:rsid w:val="00371277"/>
    <w:rsid w:val="003714CC"/>
    <w:rsid w:val="003714D8"/>
    <w:rsid w:val="00374588"/>
    <w:rsid w:val="00375654"/>
    <w:rsid w:val="00377091"/>
    <w:rsid w:val="00380FCA"/>
    <w:rsid w:val="00383D31"/>
    <w:rsid w:val="00384D2E"/>
    <w:rsid w:val="0038530D"/>
    <w:rsid w:val="003907C9"/>
    <w:rsid w:val="00390C77"/>
    <w:rsid w:val="003910CD"/>
    <w:rsid w:val="00391F2F"/>
    <w:rsid w:val="003930BB"/>
    <w:rsid w:val="003937A9"/>
    <w:rsid w:val="00394915"/>
    <w:rsid w:val="00396E56"/>
    <w:rsid w:val="003A082F"/>
    <w:rsid w:val="003A2979"/>
    <w:rsid w:val="003A33F6"/>
    <w:rsid w:val="003A5211"/>
    <w:rsid w:val="003A6262"/>
    <w:rsid w:val="003A6547"/>
    <w:rsid w:val="003B0C8D"/>
    <w:rsid w:val="003B41C7"/>
    <w:rsid w:val="003B4B57"/>
    <w:rsid w:val="003B4EF0"/>
    <w:rsid w:val="003B50D7"/>
    <w:rsid w:val="003B676E"/>
    <w:rsid w:val="003C0187"/>
    <w:rsid w:val="003D0568"/>
    <w:rsid w:val="003D1087"/>
    <w:rsid w:val="003D153A"/>
    <w:rsid w:val="003D294C"/>
    <w:rsid w:val="003D56FB"/>
    <w:rsid w:val="003D6E95"/>
    <w:rsid w:val="003E04F8"/>
    <w:rsid w:val="003E2006"/>
    <w:rsid w:val="003E24B4"/>
    <w:rsid w:val="003E26C1"/>
    <w:rsid w:val="003E28E6"/>
    <w:rsid w:val="003E3147"/>
    <w:rsid w:val="003E319C"/>
    <w:rsid w:val="003E3F32"/>
    <w:rsid w:val="003E5C7D"/>
    <w:rsid w:val="003E5FD3"/>
    <w:rsid w:val="003E60EE"/>
    <w:rsid w:val="003E716A"/>
    <w:rsid w:val="003F0B75"/>
    <w:rsid w:val="003F1138"/>
    <w:rsid w:val="003F1331"/>
    <w:rsid w:val="003F3BFD"/>
    <w:rsid w:val="003F469F"/>
    <w:rsid w:val="003F4B74"/>
    <w:rsid w:val="003F5546"/>
    <w:rsid w:val="003F71F4"/>
    <w:rsid w:val="00401C5B"/>
    <w:rsid w:val="004037C7"/>
    <w:rsid w:val="00403897"/>
    <w:rsid w:val="00404175"/>
    <w:rsid w:val="0040418B"/>
    <w:rsid w:val="004108F7"/>
    <w:rsid w:val="004123E3"/>
    <w:rsid w:val="004135D8"/>
    <w:rsid w:val="00413EFC"/>
    <w:rsid w:val="00416284"/>
    <w:rsid w:val="00416BDA"/>
    <w:rsid w:val="004204D3"/>
    <w:rsid w:val="004206F5"/>
    <w:rsid w:val="00420B99"/>
    <w:rsid w:val="00422DF0"/>
    <w:rsid w:val="00425022"/>
    <w:rsid w:val="00425609"/>
    <w:rsid w:val="00426E74"/>
    <w:rsid w:val="00427812"/>
    <w:rsid w:val="00430123"/>
    <w:rsid w:val="00430BBE"/>
    <w:rsid w:val="00430F1A"/>
    <w:rsid w:val="00431578"/>
    <w:rsid w:val="00433A90"/>
    <w:rsid w:val="0043559D"/>
    <w:rsid w:val="00435AA2"/>
    <w:rsid w:val="004406AA"/>
    <w:rsid w:val="00440769"/>
    <w:rsid w:val="00442EEF"/>
    <w:rsid w:val="004436C0"/>
    <w:rsid w:val="004438D6"/>
    <w:rsid w:val="00446DDE"/>
    <w:rsid w:val="004479FF"/>
    <w:rsid w:val="00450D76"/>
    <w:rsid w:val="00452CF1"/>
    <w:rsid w:val="00453C46"/>
    <w:rsid w:val="0045492E"/>
    <w:rsid w:val="0045578D"/>
    <w:rsid w:val="00456E0B"/>
    <w:rsid w:val="00457A18"/>
    <w:rsid w:val="00460250"/>
    <w:rsid w:val="00460B22"/>
    <w:rsid w:val="00460D43"/>
    <w:rsid w:val="00460FAD"/>
    <w:rsid w:val="004617C0"/>
    <w:rsid w:val="004622F3"/>
    <w:rsid w:val="00463227"/>
    <w:rsid w:val="00463D8B"/>
    <w:rsid w:val="00467C14"/>
    <w:rsid w:val="00471344"/>
    <w:rsid w:val="00472222"/>
    <w:rsid w:val="00473571"/>
    <w:rsid w:val="00473A9A"/>
    <w:rsid w:val="004742F5"/>
    <w:rsid w:val="00480BD0"/>
    <w:rsid w:val="00480F75"/>
    <w:rsid w:val="00480FF8"/>
    <w:rsid w:val="004819C5"/>
    <w:rsid w:val="00481EBC"/>
    <w:rsid w:val="00481FD5"/>
    <w:rsid w:val="00482C2C"/>
    <w:rsid w:val="004840BE"/>
    <w:rsid w:val="004847DC"/>
    <w:rsid w:val="004853A2"/>
    <w:rsid w:val="00485A6F"/>
    <w:rsid w:val="00486764"/>
    <w:rsid w:val="00491DF4"/>
    <w:rsid w:val="004920B1"/>
    <w:rsid w:val="004920FA"/>
    <w:rsid w:val="00492AF1"/>
    <w:rsid w:val="00492C3E"/>
    <w:rsid w:val="00495FB4"/>
    <w:rsid w:val="00497547"/>
    <w:rsid w:val="004A0E26"/>
    <w:rsid w:val="004A11ED"/>
    <w:rsid w:val="004A15BF"/>
    <w:rsid w:val="004A4D37"/>
    <w:rsid w:val="004A51AD"/>
    <w:rsid w:val="004A6782"/>
    <w:rsid w:val="004B06F9"/>
    <w:rsid w:val="004B0B03"/>
    <w:rsid w:val="004B0EA1"/>
    <w:rsid w:val="004B1B00"/>
    <w:rsid w:val="004B275C"/>
    <w:rsid w:val="004B3367"/>
    <w:rsid w:val="004B6276"/>
    <w:rsid w:val="004B6407"/>
    <w:rsid w:val="004B6F4C"/>
    <w:rsid w:val="004B72E2"/>
    <w:rsid w:val="004B7A7A"/>
    <w:rsid w:val="004B7B72"/>
    <w:rsid w:val="004C0591"/>
    <w:rsid w:val="004C2ACE"/>
    <w:rsid w:val="004C4AC4"/>
    <w:rsid w:val="004C774B"/>
    <w:rsid w:val="004D111E"/>
    <w:rsid w:val="004D22F9"/>
    <w:rsid w:val="004D4AC7"/>
    <w:rsid w:val="004D4DEF"/>
    <w:rsid w:val="004D6C40"/>
    <w:rsid w:val="004D7A52"/>
    <w:rsid w:val="004D7C94"/>
    <w:rsid w:val="004E0134"/>
    <w:rsid w:val="004E10DE"/>
    <w:rsid w:val="004E4073"/>
    <w:rsid w:val="004E4312"/>
    <w:rsid w:val="004E4671"/>
    <w:rsid w:val="004E473A"/>
    <w:rsid w:val="004E53E6"/>
    <w:rsid w:val="004E5DFC"/>
    <w:rsid w:val="004F027F"/>
    <w:rsid w:val="004F11AA"/>
    <w:rsid w:val="004F182D"/>
    <w:rsid w:val="004F1A20"/>
    <w:rsid w:val="004F47A7"/>
    <w:rsid w:val="004F51BB"/>
    <w:rsid w:val="004F52B3"/>
    <w:rsid w:val="005000DF"/>
    <w:rsid w:val="00500394"/>
    <w:rsid w:val="0050096C"/>
    <w:rsid w:val="00501AA5"/>
    <w:rsid w:val="00501AD7"/>
    <w:rsid w:val="00502A87"/>
    <w:rsid w:val="00504EA6"/>
    <w:rsid w:val="005108AF"/>
    <w:rsid w:val="00511C05"/>
    <w:rsid w:val="00512AAD"/>
    <w:rsid w:val="00512D97"/>
    <w:rsid w:val="00513336"/>
    <w:rsid w:val="00513DF2"/>
    <w:rsid w:val="0051673E"/>
    <w:rsid w:val="00516AC3"/>
    <w:rsid w:val="00516B40"/>
    <w:rsid w:val="00516EBF"/>
    <w:rsid w:val="00522362"/>
    <w:rsid w:val="00522EFF"/>
    <w:rsid w:val="0052336E"/>
    <w:rsid w:val="00523EF6"/>
    <w:rsid w:val="00523F38"/>
    <w:rsid w:val="00524DE5"/>
    <w:rsid w:val="0052507F"/>
    <w:rsid w:val="0052656F"/>
    <w:rsid w:val="00526BCF"/>
    <w:rsid w:val="005277EA"/>
    <w:rsid w:val="00527A64"/>
    <w:rsid w:val="00530D5F"/>
    <w:rsid w:val="005314EB"/>
    <w:rsid w:val="0053307F"/>
    <w:rsid w:val="005336A2"/>
    <w:rsid w:val="0053395B"/>
    <w:rsid w:val="0053557C"/>
    <w:rsid w:val="00535C0A"/>
    <w:rsid w:val="00536419"/>
    <w:rsid w:val="00536807"/>
    <w:rsid w:val="0054001D"/>
    <w:rsid w:val="00540209"/>
    <w:rsid w:val="005419B6"/>
    <w:rsid w:val="00541DC8"/>
    <w:rsid w:val="00543177"/>
    <w:rsid w:val="00544AB5"/>
    <w:rsid w:val="00545F18"/>
    <w:rsid w:val="00546EBC"/>
    <w:rsid w:val="00546F49"/>
    <w:rsid w:val="00547314"/>
    <w:rsid w:val="00547C96"/>
    <w:rsid w:val="0055029C"/>
    <w:rsid w:val="00550C97"/>
    <w:rsid w:val="00550E7F"/>
    <w:rsid w:val="00552525"/>
    <w:rsid w:val="00552ADE"/>
    <w:rsid w:val="00552C58"/>
    <w:rsid w:val="00554658"/>
    <w:rsid w:val="00555305"/>
    <w:rsid w:val="0055536C"/>
    <w:rsid w:val="00562CD9"/>
    <w:rsid w:val="00564C4C"/>
    <w:rsid w:val="0056523B"/>
    <w:rsid w:val="00565B65"/>
    <w:rsid w:val="0056771C"/>
    <w:rsid w:val="00573B7F"/>
    <w:rsid w:val="00576E98"/>
    <w:rsid w:val="00576EB5"/>
    <w:rsid w:val="00577080"/>
    <w:rsid w:val="005772E0"/>
    <w:rsid w:val="005777BA"/>
    <w:rsid w:val="005779D6"/>
    <w:rsid w:val="00577E6A"/>
    <w:rsid w:val="00582974"/>
    <w:rsid w:val="005831CF"/>
    <w:rsid w:val="00584133"/>
    <w:rsid w:val="00584631"/>
    <w:rsid w:val="00584760"/>
    <w:rsid w:val="005855F6"/>
    <w:rsid w:val="00587BDE"/>
    <w:rsid w:val="00590424"/>
    <w:rsid w:val="005904D3"/>
    <w:rsid w:val="00590BBA"/>
    <w:rsid w:val="00591C05"/>
    <w:rsid w:val="00593265"/>
    <w:rsid w:val="00595C5D"/>
    <w:rsid w:val="00596880"/>
    <w:rsid w:val="00596D81"/>
    <w:rsid w:val="005973EA"/>
    <w:rsid w:val="005A0C35"/>
    <w:rsid w:val="005A1884"/>
    <w:rsid w:val="005A356C"/>
    <w:rsid w:val="005A38EB"/>
    <w:rsid w:val="005A441F"/>
    <w:rsid w:val="005A6423"/>
    <w:rsid w:val="005A7172"/>
    <w:rsid w:val="005B16A8"/>
    <w:rsid w:val="005B2329"/>
    <w:rsid w:val="005B264B"/>
    <w:rsid w:val="005B35C5"/>
    <w:rsid w:val="005B37A4"/>
    <w:rsid w:val="005B4233"/>
    <w:rsid w:val="005B535D"/>
    <w:rsid w:val="005B6590"/>
    <w:rsid w:val="005B6FEB"/>
    <w:rsid w:val="005C04E5"/>
    <w:rsid w:val="005C1929"/>
    <w:rsid w:val="005C1956"/>
    <w:rsid w:val="005C20E5"/>
    <w:rsid w:val="005C2C88"/>
    <w:rsid w:val="005C41CB"/>
    <w:rsid w:val="005C5497"/>
    <w:rsid w:val="005C5E2E"/>
    <w:rsid w:val="005D0FD0"/>
    <w:rsid w:val="005D1F93"/>
    <w:rsid w:val="005D23D6"/>
    <w:rsid w:val="005D2685"/>
    <w:rsid w:val="005D32C2"/>
    <w:rsid w:val="005D5062"/>
    <w:rsid w:val="005D62A5"/>
    <w:rsid w:val="005D7521"/>
    <w:rsid w:val="005E030B"/>
    <w:rsid w:val="005E0642"/>
    <w:rsid w:val="005E12BC"/>
    <w:rsid w:val="005E1CAB"/>
    <w:rsid w:val="005E384F"/>
    <w:rsid w:val="005E3DA2"/>
    <w:rsid w:val="005E5056"/>
    <w:rsid w:val="005E537B"/>
    <w:rsid w:val="005E66AC"/>
    <w:rsid w:val="005E7958"/>
    <w:rsid w:val="005F04FB"/>
    <w:rsid w:val="005F216A"/>
    <w:rsid w:val="005F29C3"/>
    <w:rsid w:val="005F368F"/>
    <w:rsid w:val="005F3B54"/>
    <w:rsid w:val="005F4753"/>
    <w:rsid w:val="005F4CDD"/>
    <w:rsid w:val="005F7A10"/>
    <w:rsid w:val="0060018C"/>
    <w:rsid w:val="00603B1F"/>
    <w:rsid w:val="00604AE4"/>
    <w:rsid w:val="00605298"/>
    <w:rsid w:val="00605777"/>
    <w:rsid w:val="00606E82"/>
    <w:rsid w:val="006070F3"/>
    <w:rsid w:val="006074DB"/>
    <w:rsid w:val="0060753C"/>
    <w:rsid w:val="0061042C"/>
    <w:rsid w:val="0061070D"/>
    <w:rsid w:val="006111FF"/>
    <w:rsid w:val="00612561"/>
    <w:rsid w:val="00612E49"/>
    <w:rsid w:val="00612E9C"/>
    <w:rsid w:val="00613B7B"/>
    <w:rsid w:val="00615262"/>
    <w:rsid w:val="0061661C"/>
    <w:rsid w:val="00620FFE"/>
    <w:rsid w:val="00621912"/>
    <w:rsid w:val="0062214C"/>
    <w:rsid w:val="00624837"/>
    <w:rsid w:val="00625525"/>
    <w:rsid w:val="006257CA"/>
    <w:rsid w:val="00626899"/>
    <w:rsid w:val="00627048"/>
    <w:rsid w:val="006270CA"/>
    <w:rsid w:val="0062787C"/>
    <w:rsid w:val="00627AF0"/>
    <w:rsid w:val="00632DC6"/>
    <w:rsid w:val="006332EB"/>
    <w:rsid w:val="00636479"/>
    <w:rsid w:val="0063689D"/>
    <w:rsid w:val="00636F70"/>
    <w:rsid w:val="006405D5"/>
    <w:rsid w:val="00640B82"/>
    <w:rsid w:val="006417E6"/>
    <w:rsid w:val="006419BE"/>
    <w:rsid w:val="00643C3B"/>
    <w:rsid w:val="00651F56"/>
    <w:rsid w:val="00652863"/>
    <w:rsid w:val="00652D72"/>
    <w:rsid w:val="00655126"/>
    <w:rsid w:val="0065599C"/>
    <w:rsid w:val="00657C7F"/>
    <w:rsid w:val="006639B6"/>
    <w:rsid w:val="006651D6"/>
    <w:rsid w:val="00665257"/>
    <w:rsid w:val="00666997"/>
    <w:rsid w:val="00667A3C"/>
    <w:rsid w:val="00670C64"/>
    <w:rsid w:val="0067164F"/>
    <w:rsid w:val="00671EAF"/>
    <w:rsid w:val="0067230A"/>
    <w:rsid w:val="00673771"/>
    <w:rsid w:val="00673A35"/>
    <w:rsid w:val="00673AEE"/>
    <w:rsid w:val="00675C41"/>
    <w:rsid w:val="00676452"/>
    <w:rsid w:val="00676A3B"/>
    <w:rsid w:val="00681507"/>
    <w:rsid w:val="00681780"/>
    <w:rsid w:val="006827B3"/>
    <w:rsid w:val="00683507"/>
    <w:rsid w:val="00683B12"/>
    <w:rsid w:val="00684101"/>
    <w:rsid w:val="0068680E"/>
    <w:rsid w:val="00686CE8"/>
    <w:rsid w:val="0068700F"/>
    <w:rsid w:val="0068701A"/>
    <w:rsid w:val="00687C16"/>
    <w:rsid w:val="00691652"/>
    <w:rsid w:val="00692666"/>
    <w:rsid w:val="0069266D"/>
    <w:rsid w:val="0069360A"/>
    <w:rsid w:val="0069368A"/>
    <w:rsid w:val="0069387B"/>
    <w:rsid w:val="00697402"/>
    <w:rsid w:val="00697F14"/>
    <w:rsid w:val="006A1FE1"/>
    <w:rsid w:val="006A386E"/>
    <w:rsid w:val="006A3D9D"/>
    <w:rsid w:val="006A4112"/>
    <w:rsid w:val="006A4347"/>
    <w:rsid w:val="006A5717"/>
    <w:rsid w:val="006A5EC3"/>
    <w:rsid w:val="006A7C48"/>
    <w:rsid w:val="006B026A"/>
    <w:rsid w:val="006B0588"/>
    <w:rsid w:val="006B3D0E"/>
    <w:rsid w:val="006B3F8A"/>
    <w:rsid w:val="006B43D6"/>
    <w:rsid w:val="006B4F4C"/>
    <w:rsid w:val="006B626E"/>
    <w:rsid w:val="006C05DC"/>
    <w:rsid w:val="006C0B03"/>
    <w:rsid w:val="006C1517"/>
    <w:rsid w:val="006C24D4"/>
    <w:rsid w:val="006C2B52"/>
    <w:rsid w:val="006C3356"/>
    <w:rsid w:val="006C35C5"/>
    <w:rsid w:val="006C3809"/>
    <w:rsid w:val="006C574F"/>
    <w:rsid w:val="006C7FB0"/>
    <w:rsid w:val="006D2177"/>
    <w:rsid w:val="006D3809"/>
    <w:rsid w:val="006D6163"/>
    <w:rsid w:val="006D659D"/>
    <w:rsid w:val="006E5816"/>
    <w:rsid w:val="006E5FDE"/>
    <w:rsid w:val="006E6403"/>
    <w:rsid w:val="006E654B"/>
    <w:rsid w:val="006E6BC1"/>
    <w:rsid w:val="006E6D33"/>
    <w:rsid w:val="006E7082"/>
    <w:rsid w:val="006E79B8"/>
    <w:rsid w:val="006E7DC7"/>
    <w:rsid w:val="006F01FC"/>
    <w:rsid w:val="006F0B42"/>
    <w:rsid w:val="006F73CA"/>
    <w:rsid w:val="0070100A"/>
    <w:rsid w:val="007012C3"/>
    <w:rsid w:val="0070217E"/>
    <w:rsid w:val="007024FD"/>
    <w:rsid w:val="0070453B"/>
    <w:rsid w:val="00706E46"/>
    <w:rsid w:val="00706EF2"/>
    <w:rsid w:val="007075F4"/>
    <w:rsid w:val="007156E0"/>
    <w:rsid w:val="007176AF"/>
    <w:rsid w:val="00720744"/>
    <w:rsid w:val="00720918"/>
    <w:rsid w:val="007221FD"/>
    <w:rsid w:val="00723073"/>
    <w:rsid w:val="007235FC"/>
    <w:rsid w:val="00725DB8"/>
    <w:rsid w:val="00726062"/>
    <w:rsid w:val="00730053"/>
    <w:rsid w:val="00730206"/>
    <w:rsid w:val="00730433"/>
    <w:rsid w:val="007320B3"/>
    <w:rsid w:val="0073427B"/>
    <w:rsid w:val="007352DD"/>
    <w:rsid w:val="00736BB1"/>
    <w:rsid w:val="0073761D"/>
    <w:rsid w:val="007438FB"/>
    <w:rsid w:val="0074556F"/>
    <w:rsid w:val="00747959"/>
    <w:rsid w:val="00750361"/>
    <w:rsid w:val="00750E5E"/>
    <w:rsid w:val="007510C2"/>
    <w:rsid w:val="007540FE"/>
    <w:rsid w:val="00754429"/>
    <w:rsid w:val="00756D5B"/>
    <w:rsid w:val="007607D1"/>
    <w:rsid w:val="00763214"/>
    <w:rsid w:val="00763231"/>
    <w:rsid w:val="00765C23"/>
    <w:rsid w:val="00766027"/>
    <w:rsid w:val="00766555"/>
    <w:rsid w:val="00766F34"/>
    <w:rsid w:val="007702D2"/>
    <w:rsid w:val="00770A13"/>
    <w:rsid w:val="00771FD2"/>
    <w:rsid w:val="007738E4"/>
    <w:rsid w:val="00773AD2"/>
    <w:rsid w:val="0077423B"/>
    <w:rsid w:val="00774698"/>
    <w:rsid w:val="00774C43"/>
    <w:rsid w:val="00774C96"/>
    <w:rsid w:val="00774C9F"/>
    <w:rsid w:val="0077789B"/>
    <w:rsid w:val="0078062F"/>
    <w:rsid w:val="00780B1C"/>
    <w:rsid w:val="0078250F"/>
    <w:rsid w:val="007827E7"/>
    <w:rsid w:val="00782995"/>
    <w:rsid w:val="007845AB"/>
    <w:rsid w:val="00784B16"/>
    <w:rsid w:val="00785AF6"/>
    <w:rsid w:val="00786D9C"/>
    <w:rsid w:val="00786EA0"/>
    <w:rsid w:val="00787402"/>
    <w:rsid w:val="00787E42"/>
    <w:rsid w:val="00790526"/>
    <w:rsid w:val="00790D04"/>
    <w:rsid w:val="0079187F"/>
    <w:rsid w:val="00791A7E"/>
    <w:rsid w:val="00791BC9"/>
    <w:rsid w:val="0079308A"/>
    <w:rsid w:val="00794D41"/>
    <w:rsid w:val="00796E66"/>
    <w:rsid w:val="00797137"/>
    <w:rsid w:val="007A093E"/>
    <w:rsid w:val="007A0C4F"/>
    <w:rsid w:val="007A1FFE"/>
    <w:rsid w:val="007A2D5A"/>
    <w:rsid w:val="007A357A"/>
    <w:rsid w:val="007A3F81"/>
    <w:rsid w:val="007A5183"/>
    <w:rsid w:val="007A5B29"/>
    <w:rsid w:val="007A6DBA"/>
    <w:rsid w:val="007A6EDE"/>
    <w:rsid w:val="007B0B08"/>
    <w:rsid w:val="007B1D0D"/>
    <w:rsid w:val="007B29EB"/>
    <w:rsid w:val="007B5A88"/>
    <w:rsid w:val="007B5E6E"/>
    <w:rsid w:val="007B6EC1"/>
    <w:rsid w:val="007B7A9D"/>
    <w:rsid w:val="007C11AC"/>
    <w:rsid w:val="007C1CE3"/>
    <w:rsid w:val="007C3ACA"/>
    <w:rsid w:val="007C3D1D"/>
    <w:rsid w:val="007C54B8"/>
    <w:rsid w:val="007C5701"/>
    <w:rsid w:val="007C657C"/>
    <w:rsid w:val="007C67EC"/>
    <w:rsid w:val="007C76DE"/>
    <w:rsid w:val="007C76E3"/>
    <w:rsid w:val="007C77EA"/>
    <w:rsid w:val="007D095A"/>
    <w:rsid w:val="007D0985"/>
    <w:rsid w:val="007D09C6"/>
    <w:rsid w:val="007D0D75"/>
    <w:rsid w:val="007D49A7"/>
    <w:rsid w:val="007D4AE8"/>
    <w:rsid w:val="007D5923"/>
    <w:rsid w:val="007E07B3"/>
    <w:rsid w:val="007E0F71"/>
    <w:rsid w:val="007E27C8"/>
    <w:rsid w:val="007E339D"/>
    <w:rsid w:val="007E376B"/>
    <w:rsid w:val="007E4408"/>
    <w:rsid w:val="007E481A"/>
    <w:rsid w:val="007E4C9C"/>
    <w:rsid w:val="007E5473"/>
    <w:rsid w:val="007E54BA"/>
    <w:rsid w:val="007E5DA9"/>
    <w:rsid w:val="007E62C3"/>
    <w:rsid w:val="007E7143"/>
    <w:rsid w:val="007F735A"/>
    <w:rsid w:val="007F7831"/>
    <w:rsid w:val="007F798E"/>
    <w:rsid w:val="00801200"/>
    <w:rsid w:val="00801A0A"/>
    <w:rsid w:val="00802073"/>
    <w:rsid w:val="008029AD"/>
    <w:rsid w:val="008031C9"/>
    <w:rsid w:val="00803A6A"/>
    <w:rsid w:val="008041AA"/>
    <w:rsid w:val="00804CCC"/>
    <w:rsid w:val="0080609F"/>
    <w:rsid w:val="00806865"/>
    <w:rsid w:val="00806E5F"/>
    <w:rsid w:val="00806FAC"/>
    <w:rsid w:val="0081586B"/>
    <w:rsid w:val="00816B48"/>
    <w:rsid w:val="0081781D"/>
    <w:rsid w:val="00820083"/>
    <w:rsid w:val="00820502"/>
    <w:rsid w:val="008207BD"/>
    <w:rsid w:val="008210EF"/>
    <w:rsid w:val="00821555"/>
    <w:rsid w:val="00822F9F"/>
    <w:rsid w:val="00823D8F"/>
    <w:rsid w:val="00824C4D"/>
    <w:rsid w:val="00825977"/>
    <w:rsid w:val="00825F1C"/>
    <w:rsid w:val="00826FA8"/>
    <w:rsid w:val="00827D32"/>
    <w:rsid w:val="00832222"/>
    <w:rsid w:val="008326CB"/>
    <w:rsid w:val="008333BC"/>
    <w:rsid w:val="00834411"/>
    <w:rsid w:val="0083608D"/>
    <w:rsid w:val="008402BC"/>
    <w:rsid w:val="00841626"/>
    <w:rsid w:val="00841988"/>
    <w:rsid w:val="00843851"/>
    <w:rsid w:val="00844EC5"/>
    <w:rsid w:val="0084607B"/>
    <w:rsid w:val="008466A9"/>
    <w:rsid w:val="008467F3"/>
    <w:rsid w:val="00846856"/>
    <w:rsid w:val="00846EF4"/>
    <w:rsid w:val="008472E3"/>
    <w:rsid w:val="00847E8C"/>
    <w:rsid w:val="00851E69"/>
    <w:rsid w:val="00852DAB"/>
    <w:rsid w:val="00853345"/>
    <w:rsid w:val="008536FA"/>
    <w:rsid w:val="0085445A"/>
    <w:rsid w:val="008559B4"/>
    <w:rsid w:val="00855E8A"/>
    <w:rsid w:val="008622F7"/>
    <w:rsid w:val="00862595"/>
    <w:rsid w:val="008625DA"/>
    <w:rsid w:val="00864209"/>
    <w:rsid w:val="00866754"/>
    <w:rsid w:val="00866889"/>
    <w:rsid w:val="008668AE"/>
    <w:rsid w:val="00867154"/>
    <w:rsid w:val="008672AD"/>
    <w:rsid w:val="00867F00"/>
    <w:rsid w:val="0087265F"/>
    <w:rsid w:val="008737BB"/>
    <w:rsid w:val="0087382B"/>
    <w:rsid w:val="00873C81"/>
    <w:rsid w:val="00874FA5"/>
    <w:rsid w:val="00875DAC"/>
    <w:rsid w:val="00876050"/>
    <w:rsid w:val="00877ABD"/>
    <w:rsid w:val="00880078"/>
    <w:rsid w:val="008805E1"/>
    <w:rsid w:val="008806B0"/>
    <w:rsid w:val="00880BFF"/>
    <w:rsid w:val="008813B0"/>
    <w:rsid w:val="008824B9"/>
    <w:rsid w:val="0088315D"/>
    <w:rsid w:val="00883A7B"/>
    <w:rsid w:val="00883EB7"/>
    <w:rsid w:val="0088507A"/>
    <w:rsid w:val="008857D8"/>
    <w:rsid w:val="00886343"/>
    <w:rsid w:val="008864EC"/>
    <w:rsid w:val="00886B37"/>
    <w:rsid w:val="00886BB5"/>
    <w:rsid w:val="00887822"/>
    <w:rsid w:val="00891650"/>
    <w:rsid w:val="0089175B"/>
    <w:rsid w:val="00893F87"/>
    <w:rsid w:val="008963F3"/>
    <w:rsid w:val="00896BC9"/>
    <w:rsid w:val="0089713D"/>
    <w:rsid w:val="00897209"/>
    <w:rsid w:val="00897F43"/>
    <w:rsid w:val="008A279E"/>
    <w:rsid w:val="008A3046"/>
    <w:rsid w:val="008A3364"/>
    <w:rsid w:val="008A4DC2"/>
    <w:rsid w:val="008A5133"/>
    <w:rsid w:val="008A59F6"/>
    <w:rsid w:val="008A620E"/>
    <w:rsid w:val="008B057C"/>
    <w:rsid w:val="008B394A"/>
    <w:rsid w:val="008B588A"/>
    <w:rsid w:val="008B5BFB"/>
    <w:rsid w:val="008B5FAC"/>
    <w:rsid w:val="008B6EA9"/>
    <w:rsid w:val="008B7532"/>
    <w:rsid w:val="008B7D0A"/>
    <w:rsid w:val="008C1D6B"/>
    <w:rsid w:val="008C1ED4"/>
    <w:rsid w:val="008C39EA"/>
    <w:rsid w:val="008C6ACA"/>
    <w:rsid w:val="008C6F68"/>
    <w:rsid w:val="008D1A10"/>
    <w:rsid w:val="008D20C2"/>
    <w:rsid w:val="008D2122"/>
    <w:rsid w:val="008D2451"/>
    <w:rsid w:val="008D28B6"/>
    <w:rsid w:val="008D54D7"/>
    <w:rsid w:val="008D61CB"/>
    <w:rsid w:val="008D648B"/>
    <w:rsid w:val="008D680B"/>
    <w:rsid w:val="008E02E7"/>
    <w:rsid w:val="008E05A3"/>
    <w:rsid w:val="008E0891"/>
    <w:rsid w:val="008E0CB0"/>
    <w:rsid w:val="008E0DD8"/>
    <w:rsid w:val="008E13EF"/>
    <w:rsid w:val="008E37A8"/>
    <w:rsid w:val="008E5F29"/>
    <w:rsid w:val="008E7292"/>
    <w:rsid w:val="008F093A"/>
    <w:rsid w:val="008F1194"/>
    <w:rsid w:val="008F11D3"/>
    <w:rsid w:val="008F29EB"/>
    <w:rsid w:val="008F43B7"/>
    <w:rsid w:val="00900F2B"/>
    <w:rsid w:val="00901475"/>
    <w:rsid w:val="00901997"/>
    <w:rsid w:val="0090249F"/>
    <w:rsid w:val="00902E0A"/>
    <w:rsid w:val="00904B06"/>
    <w:rsid w:val="009056E0"/>
    <w:rsid w:val="009056FB"/>
    <w:rsid w:val="0090594C"/>
    <w:rsid w:val="00906ED9"/>
    <w:rsid w:val="00906FB6"/>
    <w:rsid w:val="00907098"/>
    <w:rsid w:val="00907C7E"/>
    <w:rsid w:val="009105B3"/>
    <w:rsid w:val="00912B28"/>
    <w:rsid w:val="00912F46"/>
    <w:rsid w:val="009132E0"/>
    <w:rsid w:val="00915A03"/>
    <w:rsid w:val="00915C4C"/>
    <w:rsid w:val="00916ED1"/>
    <w:rsid w:val="00917D14"/>
    <w:rsid w:val="0092238A"/>
    <w:rsid w:val="009233B0"/>
    <w:rsid w:val="00923A37"/>
    <w:rsid w:val="009251DB"/>
    <w:rsid w:val="0092656F"/>
    <w:rsid w:val="00930CD7"/>
    <w:rsid w:val="0093194E"/>
    <w:rsid w:val="00931C07"/>
    <w:rsid w:val="00931C99"/>
    <w:rsid w:val="00931E32"/>
    <w:rsid w:val="00932C7B"/>
    <w:rsid w:val="009351E6"/>
    <w:rsid w:val="009355FC"/>
    <w:rsid w:val="00935D14"/>
    <w:rsid w:val="00935EC4"/>
    <w:rsid w:val="009421C1"/>
    <w:rsid w:val="0094239F"/>
    <w:rsid w:val="009432F0"/>
    <w:rsid w:val="0094347B"/>
    <w:rsid w:val="009442C2"/>
    <w:rsid w:val="00944749"/>
    <w:rsid w:val="00950A6A"/>
    <w:rsid w:val="00950C3C"/>
    <w:rsid w:val="00952555"/>
    <w:rsid w:val="0095422C"/>
    <w:rsid w:val="009555CC"/>
    <w:rsid w:val="00955973"/>
    <w:rsid w:val="00955E92"/>
    <w:rsid w:val="00956501"/>
    <w:rsid w:val="0095716F"/>
    <w:rsid w:val="0096057B"/>
    <w:rsid w:val="009655C4"/>
    <w:rsid w:val="00965BD4"/>
    <w:rsid w:val="00967674"/>
    <w:rsid w:val="00971028"/>
    <w:rsid w:val="009710C7"/>
    <w:rsid w:val="009728E3"/>
    <w:rsid w:val="00972C5C"/>
    <w:rsid w:val="00972E0E"/>
    <w:rsid w:val="00973284"/>
    <w:rsid w:val="00975CA9"/>
    <w:rsid w:val="00976949"/>
    <w:rsid w:val="0098210A"/>
    <w:rsid w:val="00982FC6"/>
    <w:rsid w:val="009837C2"/>
    <w:rsid w:val="009839EE"/>
    <w:rsid w:val="0098535B"/>
    <w:rsid w:val="00987CDF"/>
    <w:rsid w:val="00990153"/>
    <w:rsid w:val="009913A2"/>
    <w:rsid w:val="00991522"/>
    <w:rsid w:val="00991781"/>
    <w:rsid w:val="00991B98"/>
    <w:rsid w:val="00993C7E"/>
    <w:rsid w:val="00994680"/>
    <w:rsid w:val="00994BBC"/>
    <w:rsid w:val="00995F44"/>
    <w:rsid w:val="00995F62"/>
    <w:rsid w:val="00997DB2"/>
    <w:rsid w:val="00997E44"/>
    <w:rsid w:val="009A0A8C"/>
    <w:rsid w:val="009A1034"/>
    <w:rsid w:val="009A29C2"/>
    <w:rsid w:val="009A4001"/>
    <w:rsid w:val="009B039E"/>
    <w:rsid w:val="009B0DDF"/>
    <w:rsid w:val="009B13DA"/>
    <w:rsid w:val="009B15A1"/>
    <w:rsid w:val="009B3741"/>
    <w:rsid w:val="009B39B4"/>
    <w:rsid w:val="009B3FC6"/>
    <w:rsid w:val="009B5081"/>
    <w:rsid w:val="009B56CC"/>
    <w:rsid w:val="009B7393"/>
    <w:rsid w:val="009B7F4A"/>
    <w:rsid w:val="009C16BC"/>
    <w:rsid w:val="009C2524"/>
    <w:rsid w:val="009C2E29"/>
    <w:rsid w:val="009C38D7"/>
    <w:rsid w:val="009C3F77"/>
    <w:rsid w:val="009C5181"/>
    <w:rsid w:val="009C5A48"/>
    <w:rsid w:val="009C6161"/>
    <w:rsid w:val="009C688F"/>
    <w:rsid w:val="009C7D91"/>
    <w:rsid w:val="009D10EE"/>
    <w:rsid w:val="009D1746"/>
    <w:rsid w:val="009D2F1A"/>
    <w:rsid w:val="009D4248"/>
    <w:rsid w:val="009D46D7"/>
    <w:rsid w:val="009D4B87"/>
    <w:rsid w:val="009D5791"/>
    <w:rsid w:val="009E2101"/>
    <w:rsid w:val="009E5E45"/>
    <w:rsid w:val="009F01C7"/>
    <w:rsid w:val="009F07CC"/>
    <w:rsid w:val="009F0B7F"/>
    <w:rsid w:val="009F18CE"/>
    <w:rsid w:val="009F2AD1"/>
    <w:rsid w:val="009F3CAB"/>
    <w:rsid w:val="009F4363"/>
    <w:rsid w:val="009F50F7"/>
    <w:rsid w:val="009F5625"/>
    <w:rsid w:val="009F7E6A"/>
    <w:rsid w:val="00A007E5"/>
    <w:rsid w:val="00A012A5"/>
    <w:rsid w:val="00A0194F"/>
    <w:rsid w:val="00A070EB"/>
    <w:rsid w:val="00A130F0"/>
    <w:rsid w:val="00A135BE"/>
    <w:rsid w:val="00A13E7A"/>
    <w:rsid w:val="00A14669"/>
    <w:rsid w:val="00A167A7"/>
    <w:rsid w:val="00A2069F"/>
    <w:rsid w:val="00A214BA"/>
    <w:rsid w:val="00A241E5"/>
    <w:rsid w:val="00A24B4B"/>
    <w:rsid w:val="00A25F7D"/>
    <w:rsid w:val="00A26549"/>
    <w:rsid w:val="00A27DEE"/>
    <w:rsid w:val="00A27FE8"/>
    <w:rsid w:val="00A30077"/>
    <w:rsid w:val="00A305F2"/>
    <w:rsid w:val="00A3229A"/>
    <w:rsid w:val="00A32B81"/>
    <w:rsid w:val="00A32CF9"/>
    <w:rsid w:val="00A3344B"/>
    <w:rsid w:val="00A343E6"/>
    <w:rsid w:val="00A346A5"/>
    <w:rsid w:val="00A36E2E"/>
    <w:rsid w:val="00A3775C"/>
    <w:rsid w:val="00A41138"/>
    <w:rsid w:val="00A417BC"/>
    <w:rsid w:val="00A4483B"/>
    <w:rsid w:val="00A44FF2"/>
    <w:rsid w:val="00A4605B"/>
    <w:rsid w:val="00A47E23"/>
    <w:rsid w:val="00A501B1"/>
    <w:rsid w:val="00A517F1"/>
    <w:rsid w:val="00A5331A"/>
    <w:rsid w:val="00A53DBE"/>
    <w:rsid w:val="00A5477D"/>
    <w:rsid w:val="00A56B93"/>
    <w:rsid w:val="00A57CC9"/>
    <w:rsid w:val="00A57DB4"/>
    <w:rsid w:val="00A605A5"/>
    <w:rsid w:val="00A60DEE"/>
    <w:rsid w:val="00A63C1D"/>
    <w:rsid w:val="00A650D9"/>
    <w:rsid w:val="00A66394"/>
    <w:rsid w:val="00A66975"/>
    <w:rsid w:val="00A70301"/>
    <w:rsid w:val="00A7049C"/>
    <w:rsid w:val="00A70B32"/>
    <w:rsid w:val="00A7152E"/>
    <w:rsid w:val="00A721E4"/>
    <w:rsid w:val="00A725C1"/>
    <w:rsid w:val="00A80135"/>
    <w:rsid w:val="00A819FD"/>
    <w:rsid w:val="00A8381C"/>
    <w:rsid w:val="00A842BA"/>
    <w:rsid w:val="00A8487C"/>
    <w:rsid w:val="00A848CE"/>
    <w:rsid w:val="00A84F8A"/>
    <w:rsid w:val="00A86C75"/>
    <w:rsid w:val="00A86F14"/>
    <w:rsid w:val="00A872BD"/>
    <w:rsid w:val="00A879F7"/>
    <w:rsid w:val="00A900D9"/>
    <w:rsid w:val="00A908F4"/>
    <w:rsid w:val="00A927FA"/>
    <w:rsid w:val="00A9367E"/>
    <w:rsid w:val="00A96BBE"/>
    <w:rsid w:val="00A978E1"/>
    <w:rsid w:val="00AA0A20"/>
    <w:rsid w:val="00AA227E"/>
    <w:rsid w:val="00AA2601"/>
    <w:rsid w:val="00AA2B6A"/>
    <w:rsid w:val="00AA373E"/>
    <w:rsid w:val="00AA482C"/>
    <w:rsid w:val="00AA5411"/>
    <w:rsid w:val="00AA593B"/>
    <w:rsid w:val="00AA6276"/>
    <w:rsid w:val="00AA6297"/>
    <w:rsid w:val="00AA7CA2"/>
    <w:rsid w:val="00AB2166"/>
    <w:rsid w:val="00AB43D9"/>
    <w:rsid w:val="00AC134B"/>
    <w:rsid w:val="00AC313C"/>
    <w:rsid w:val="00AC3E1C"/>
    <w:rsid w:val="00AC4938"/>
    <w:rsid w:val="00AC50D5"/>
    <w:rsid w:val="00AC58DC"/>
    <w:rsid w:val="00AC5A97"/>
    <w:rsid w:val="00AC728F"/>
    <w:rsid w:val="00AC739B"/>
    <w:rsid w:val="00AD056B"/>
    <w:rsid w:val="00AD22E5"/>
    <w:rsid w:val="00AD29E7"/>
    <w:rsid w:val="00AD42D5"/>
    <w:rsid w:val="00AD48E6"/>
    <w:rsid w:val="00AD57B2"/>
    <w:rsid w:val="00AD7127"/>
    <w:rsid w:val="00AD7174"/>
    <w:rsid w:val="00AD7919"/>
    <w:rsid w:val="00AE0CDD"/>
    <w:rsid w:val="00AE1BB4"/>
    <w:rsid w:val="00AE249A"/>
    <w:rsid w:val="00AE2F4F"/>
    <w:rsid w:val="00AE3195"/>
    <w:rsid w:val="00AE41FB"/>
    <w:rsid w:val="00AF0CFF"/>
    <w:rsid w:val="00AF2C07"/>
    <w:rsid w:val="00AF399C"/>
    <w:rsid w:val="00AF3DE7"/>
    <w:rsid w:val="00AF407F"/>
    <w:rsid w:val="00AF57CD"/>
    <w:rsid w:val="00AF5D5B"/>
    <w:rsid w:val="00AF5EAE"/>
    <w:rsid w:val="00AF61FD"/>
    <w:rsid w:val="00AF711A"/>
    <w:rsid w:val="00AF7AED"/>
    <w:rsid w:val="00AF7EA3"/>
    <w:rsid w:val="00B021D9"/>
    <w:rsid w:val="00B04D01"/>
    <w:rsid w:val="00B04EE7"/>
    <w:rsid w:val="00B0594B"/>
    <w:rsid w:val="00B05A8D"/>
    <w:rsid w:val="00B06473"/>
    <w:rsid w:val="00B07A77"/>
    <w:rsid w:val="00B10971"/>
    <w:rsid w:val="00B10DE1"/>
    <w:rsid w:val="00B1271D"/>
    <w:rsid w:val="00B12A01"/>
    <w:rsid w:val="00B12E2D"/>
    <w:rsid w:val="00B1471A"/>
    <w:rsid w:val="00B209EC"/>
    <w:rsid w:val="00B20CB4"/>
    <w:rsid w:val="00B227A8"/>
    <w:rsid w:val="00B238F2"/>
    <w:rsid w:val="00B25031"/>
    <w:rsid w:val="00B2667D"/>
    <w:rsid w:val="00B26A0E"/>
    <w:rsid w:val="00B306B1"/>
    <w:rsid w:val="00B338A5"/>
    <w:rsid w:val="00B347D2"/>
    <w:rsid w:val="00B35DAE"/>
    <w:rsid w:val="00B3608A"/>
    <w:rsid w:val="00B43DAC"/>
    <w:rsid w:val="00B44585"/>
    <w:rsid w:val="00B460AF"/>
    <w:rsid w:val="00B47EAB"/>
    <w:rsid w:val="00B51E35"/>
    <w:rsid w:val="00B52E4B"/>
    <w:rsid w:val="00B535B6"/>
    <w:rsid w:val="00B53BA2"/>
    <w:rsid w:val="00B53F12"/>
    <w:rsid w:val="00B545BD"/>
    <w:rsid w:val="00B55F8E"/>
    <w:rsid w:val="00B574E7"/>
    <w:rsid w:val="00B5773F"/>
    <w:rsid w:val="00B6060A"/>
    <w:rsid w:val="00B60C70"/>
    <w:rsid w:val="00B626B1"/>
    <w:rsid w:val="00B64488"/>
    <w:rsid w:val="00B644E7"/>
    <w:rsid w:val="00B65479"/>
    <w:rsid w:val="00B65D52"/>
    <w:rsid w:val="00B662B2"/>
    <w:rsid w:val="00B665AA"/>
    <w:rsid w:val="00B66813"/>
    <w:rsid w:val="00B6763B"/>
    <w:rsid w:val="00B67CBD"/>
    <w:rsid w:val="00B73BF2"/>
    <w:rsid w:val="00B801BD"/>
    <w:rsid w:val="00B81192"/>
    <w:rsid w:val="00B81A1F"/>
    <w:rsid w:val="00B82E39"/>
    <w:rsid w:val="00B832EE"/>
    <w:rsid w:val="00B841E5"/>
    <w:rsid w:val="00B84855"/>
    <w:rsid w:val="00B84CAF"/>
    <w:rsid w:val="00B85AF0"/>
    <w:rsid w:val="00B86B39"/>
    <w:rsid w:val="00B87458"/>
    <w:rsid w:val="00B87B62"/>
    <w:rsid w:val="00B90C34"/>
    <w:rsid w:val="00B921A8"/>
    <w:rsid w:val="00B93F69"/>
    <w:rsid w:val="00B94133"/>
    <w:rsid w:val="00B94CD7"/>
    <w:rsid w:val="00BA046E"/>
    <w:rsid w:val="00BA128C"/>
    <w:rsid w:val="00BA1D1D"/>
    <w:rsid w:val="00BA58AD"/>
    <w:rsid w:val="00BA5EA4"/>
    <w:rsid w:val="00BA6B83"/>
    <w:rsid w:val="00BA6EC9"/>
    <w:rsid w:val="00BA6F53"/>
    <w:rsid w:val="00BB45C5"/>
    <w:rsid w:val="00BB7A4F"/>
    <w:rsid w:val="00BC1A2F"/>
    <w:rsid w:val="00BC3287"/>
    <w:rsid w:val="00BC385E"/>
    <w:rsid w:val="00BC7EEE"/>
    <w:rsid w:val="00BD027D"/>
    <w:rsid w:val="00BD12A6"/>
    <w:rsid w:val="00BD19AE"/>
    <w:rsid w:val="00BD1CCE"/>
    <w:rsid w:val="00BD339F"/>
    <w:rsid w:val="00BD35AC"/>
    <w:rsid w:val="00BE0407"/>
    <w:rsid w:val="00BE0C6A"/>
    <w:rsid w:val="00BE1BB9"/>
    <w:rsid w:val="00BE3539"/>
    <w:rsid w:val="00BE3EF8"/>
    <w:rsid w:val="00BE4BB9"/>
    <w:rsid w:val="00BE50FE"/>
    <w:rsid w:val="00BE5958"/>
    <w:rsid w:val="00BE60A3"/>
    <w:rsid w:val="00BE67DC"/>
    <w:rsid w:val="00BE70E5"/>
    <w:rsid w:val="00BE79ED"/>
    <w:rsid w:val="00BE7D56"/>
    <w:rsid w:val="00BF036A"/>
    <w:rsid w:val="00BF0604"/>
    <w:rsid w:val="00BF0FA5"/>
    <w:rsid w:val="00BF1F32"/>
    <w:rsid w:val="00BF3D5E"/>
    <w:rsid w:val="00BF45B7"/>
    <w:rsid w:val="00BF511D"/>
    <w:rsid w:val="00BF762E"/>
    <w:rsid w:val="00C00364"/>
    <w:rsid w:val="00C01E1C"/>
    <w:rsid w:val="00C02E48"/>
    <w:rsid w:val="00C04324"/>
    <w:rsid w:val="00C0584F"/>
    <w:rsid w:val="00C05F42"/>
    <w:rsid w:val="00C07841"/>
    <w:rsid w:val="00C07F1B"/>
    <w:rsid w:val="00C111DE"/>
    <w:rsid w:val="00C1167A"/>
    <w:rsid w:val="00C12FD3"/>
    <w:rsid w:val="00C17EE3"/>
    <w:rsid w:val="00C22854"/>
    <w:rsid w:val="00C23E7B"/>
    <w:rsid w:val="00C24A61"/>
    <w:rsid w:val="00C25029"/>
    <w:rsid w:val="00C25558"/>
    <w:rsid w:val="00C2782A"/>
    <w:rsid w:val="00C27EF9"/>
    <w:rsid w:val="00C3005A"/>
    <w:rsid w:val="00C3018F"/>
    <w:rsid w:val="00C30671"/>
    <w:rsid w:val="00C31E51"/>
    <w:rsid w:val="00C32882"/>
    <w:rsid w:val="00C349FC"/>
    <w:rsid w:val="00C35837"/>
    <w:rsid w:val="00C41124"/>
    <w:rsid w:val="00C41766"/>
    <w:rsid w:val="00C427D0"/>
    <w:rsid w:val="00C43BFF"/>
    <w:rsid w:val="00C44A90"/>
    <w:rsid w:val="00C45911"/>
    <w:rsid w:val="00C46284"/>
    <w:rsid w:val="00C52F46"/>
    <w:rsid w:val="00C535BF"/>
    <w:rsid w:val="00C55687"/>
    <w:rsid w:val="00C577C8"/>
    <w:rsid w:val="00C604C1"/>
    <w:rsid w:val="00C612D6"/>
    <w:rsid w:val="00C61840"/>
    <w:rsid w:val="00C61CC4"/>
    <w:rsid w:val="00C63188"/>
    <w:rsid w:val="00C634D3"/>
    <w:rsid w:val="00C637FD"/>
    <w:rsid w:val="00C63CF8"/>
    <w:rsid w:val="00C63E30"/>
    <w:rsid w:val="00C65F05"/>
    <w:rsid w:val="00C70281"/>
    <w:rsid w:val="00C70BCB"/>
    <w:rsid w:val="00C72639"/>
    <w:rsid w:val="00C72BF4"/>
    <w:rsid w:val="00C76DAC"/>
    <w:rsid w:val="00C77C86"/>
    <w:rsid w:val="00C8212D"/>
    <w:rsid w:val="00C82795"/>
    <w:rsid w:val="00C82866"/>
    <w:rsid w:val="00C82C8F"/>
    <w:rsid w:val="00C83761"/>
    <w:rsid w:val="00C84D70"/>
    <w:rsid w:val="00C858C4"/>
    <w:rsid w:val="00C85B4B"/>
    <w:rsid w:val="00C85F0A"/>
    <w:rsid w:val="00C86F7E"/>
    <w:rsid w:val="00C87D9D"/>
    <w:rsid w:val="00C91B79"/>
    <w:rsid w:val="00C937DD"/>
    <w:rsid w:val="00C94672"/>
    <w:rsid w:val="00C94EE6"/>
    <w:rsid w:val="00C96576"/>
    <w:rsid w:val="00C96AE5"/>
    <w:rsid w:val="00C96EBF"/>
    <w:rsid w:val="00C975EC"/>
    <w:rsid w:val="00C97CBE"/>
    <w:rsid w:val="00CA129A"/>
    <w:rsid w:val="00CA29BA"/>
    <w:rsid w:val="00CA3BC0"/>
    <w:rsid w:val="00CA3E40"/>
    <w:rsid w:val="00CA6165"/>
    <w:rsid w:val="00CA6A13"/>
    <w:rsid w:val="00CB1D62"/>
    <w:rsid w:val="00CB21FF"/>
    <w:rsid w:val="00CB2BF0"/>
    <w:rsid w:val="00CB37CE"/>
    <w:rsid w:val="00CB3FE7"/>
    <w:rsid w:val="00CB4CE0"/>
    <w:rsid w:val="00CB54F1"/>
    <w:rsid w:val="00CB6268"/>
    <w:rsid w:val="00CB6AEE"/>
    <w:rsid w:val="00CB6C24"/>
    <w:rsid w:val="00CB7F94"/>
    <w:rsid w:val="00CC3213"/>
    <w:rsid w:val="00CC72A2"/>
    <w:rsid w:val="00CD2481"/>
    <w:rsid w:val="00CD29F3"/>
    <w:rsid w:val="00CD4237"/>
    <w:rsid w:val="00CD5D90"/>
    <w:rsid w:val="00CD62CC"/>
    <w:rsid w:val="00CD6E53"/>
    <w:rsid w:val="00CE184B"/>
    <w:rsid w:val="00CE1C9D"/>
    <w:rsid w:val="00CE3279"/>
    <w:rsid w:val="00CE39DB"/>
    <w:rsid w:val="00CE4047"/>
    <w:rsid w:val="00CE4BCE"/>
    <w:rsid w:val="00CE4F70"/>
    <w:rsid w:val="00CE5092"/>
    <w:rsid w:val="00CE5731"/>
    <w:rsid w:val="00CE61CA"/>
    <w:rsid w:val="00CE6559"/>
    <w:rsid w:val="00CE778E"/>
    <w:rsid w:val="00CF166A"/>
    <w:rsid w:val="00CF166C"/>
    <w:rsid w:val="00CF2024"/>
    <w:rsid w:val="00CF5782"/>
    <w:rsid w:val="00CF6738"/>
    <w:rsid w:val="00CF7075"/>
    <w:rsid w:val="00D00569"/>
    <w:rsid w:val="00D06862"/>
    <w:rsid w:val="00D06B38"/>
    <w:rsid w:val="00D102A7"/>
    <w:rsid w:val="00D1156C"/>
    <w:rsid w:val="00D13B37"/>
    <w:rsid w:val="00D142BD"/>
    <w:rsid w:val="00D1524F"/>
    <w:rsid w:val="00D15473"/>
    <w:rsid w:val="00D15488"/>
    <w:rsid w:val="00D15FE1"/>
    <w:rsid w:val="00D16319"/>
    <w:rsid w:val="00D16FB4"/>
    <w:rsid w:val="00D20810"/>
    <w:rsid w:val="00D218F6"/>
    <w:rsid w:val="00D21C3D"/>
    <w:rsid w:val="00D22C49"/>
    <w:rsid w:val="00D23816"/>
    <w:rsid w:val="00D2412C"/>
    <w:rsid w:val="00D25F6E"/>
    <w:rsid w:val="00D2753D"/>
    <w:rsid w:val="00D30647"/>
    <w:rsid w:val="00D30F97"/>
    <w:rsid w:val="00D317F0"/>
    <w:rsid w:val="00D31C53"/>
    <w:rsid w:val="00D31EC7"/>
    <w:rsid w:val="00D3205E"/>
    <w:rsid w:val="00D32A7C"/>
    <w:rsid w:val="00D3311C"/>
    <w:rsid w:val="00D33169"/>
    <w:rsid w:val="00D3348D"/>
    <w:rsid w:val="00D335CD"/>
    <w:rsid w:val="00D353F4"/>
    <w:rsid w:val="00D357B5"/>
    <w:rsid w:val="00D35D8E"/>
    <w:rsid w:val="00D377AF"/>
    <w:rsid w:val="00D40121"/>
    <w:rsid w:val="00D41282"/>
    <w:rsid w:val="00D43647"/>
    <w:rsid w:val="00D43F13"/>
    <w:rsid w:val="00D44EA3"/>
    <w:rsid w:val="00D45FA0"/>
    <w:rsid w:val="00D46159"/>
    <w:rsid w:val="00D46F8C"/>
    <w:rsid w:val="00D47240"/>
    <w:rsid w:val="00D502B4"/>
    <w:rsid w:val="00D50598"/>
    <w:rsid w:val="00D5117B"/>
    <w:rsid w:val="00D51C5A"/>
    <w:rsid w:val="00D536FD"/>
    <w:rsid w:val="00D5407E"/>
    <w:rsid w:val="00D557A3"/>
    <w:rsid w:val="00D56B5D"/>
    <w:rsid w:val="00D60D76"/>
    <w:rsid w:val="00D6308A"/>
    <w:rsid w:val="00D63595"/>
    <w:rsid w:val="00D63793"/>
    <w:rsid w:val="00D638D2"/>
    <w:rsid w:val="00D649FA"/>
    <w:rsid w:val="00D6698B"/>
    <w:rsid w:val="00D66C4A"/>
    <w:rsid w:val="00D673F7"/>
    <w:rsid w:val="00D70E96"/>
    <w:rsid w:val="00D72C7D"/>
    <w:rsid w:val="00D72D3B"/>
    <w:rsid w:val="00D73204"/>
    <w:rsid w:val="00D73285"/>
    <w:rsid w:val="00D74829"/>
    <w:rsid w:val="00D75DF4"/>
    <w:rsid w:val="00D76B5D"/>
    <w:rsid w:val="00D808A5"/>
    <w:rsid w:val="00D81E67"/>
    <w:rsid w:val="00D83226"/>
    <w:rsid w:val="00D8354D"/>
    <w:rsid w:val="00D835D9"/>
    <w:rsid w:val="00D841A5"/>
    <w:rsid w:val="00D84A43"/>
    <w:rsid w:val="00D86E79"/>
    <w:rsid w:val="00D8789D"/>
    <w:rsid w:val="00D90810"/>
    <w:rsid w:val="00D92F48"/>
    <w:rsid w:val="00D94903"/>
    <w:rsid w:val="00DA01B3"/>
    <w:rsid w:val="00DA16A9"/>
    <w:rsid w:val="00DA22F6"/>
    <w:rsid w:val="00DA24EE"/>
    <w:rsid w:val="00DA2AFD"/>
    <w:rsid w:val="00DA2EE0"/>
    <w:rsid w:val="00DA3825"/>
    <w:rsid w:val="00DA3DC4"/>
    <w:rsid w:val="00DA65AE"/>
    <w:rsid w:val="00DA689E"/>
    <w:rsid w:val="00DA71FC"/>
    <w:rsid w:val="00DA757D"/>
    <w:rsid w:val="00DB0676"/>
    <w:rsid w:val="00DB0A59"/>
    <w:rsid w:val="00DB12A7"/>
    <w:rsid w:val="00DB21EA"/>
    <w:rsid w:val="00DB244A"/>
    <w:rsid w:val="00DB3B13"/>
    <w:rsid w:val="00DB49C6"/>
    <w:rsid w:val="00DB4C4D"/>
    <w:rsid w:val="00DB5B90"/>
    <w:rsid w:val="00DB6D67"/>
    <w:rsid w:val="00DC2093"/>
    <w:rsid w:val="00DC2295"/>
    <w:rsid w:val="00DC4D81"/>
    <w:rsid w:val="00DC5C22"/>
    <w:rsid w:val="00DC6EAF"/>
    <w:rsid w:val="00DC7AFB"/>
    <w:rsid w:val="00DD0077"/>
    <w:rsid w:val="00DD1031"/>
    <w:rsid w:val="00DD1101"/>
    <w:rsid w:val="00DD4DD3"/>
    <w:rsid w:val="00DD6F45"/>
    <w:rsid w:val="00DD7944"/>
    <w:rsid w:val="00DE0190"/>
    <w:rsid w:val="00DE06D2"/>
    <w:rsid w:val="00DE06E3"/>
    <w:rsid w:val="00DE1B92"/>
    <w:rsid w:val="00DE1D18"/>
    <w:rsid w:val="00DE21AA"/>
    <w:rsid w:val="00DE258D"/>
    <w:rsid w:val="00DE325A"/>
    <w:rsid w:val="00DE5164"/>
    <w:rsid w:val="00DE5E8F"/>
    <w:rsid w:val="00DF0A93"/>
    <w:rsid w:val="00DF10FE"/>
    <w:rsid w:val="00DF201F"/>
    <w:rsid w:val="00DF2BCE"/>
    <w:rsid w:val="00DF5278"/>
    <w:rsid w:val="00DF78CF"/>
    <w:rsid w:val="00DF7EEC"/>
    <w:rsid w:val="00E02D7C"/>
    <w:rsid w:val="00E0316F"/>
    <w:rsid w:val="00E03236"/>
    <w:rsid w:val="00E04068"/>
    <w:rsid w:val="00E059AD"/>
    <w:rsid w:val="00E05A3F"/>
    <w:rsid w:val="00E071AB"/>
    <w:rsid w:val="00E11A32"/>
    <w:rsid w:val="00E1205D"/>
    <w:rsid w:val="00E127C3"/>
    <w:rsid w:val="00E14682"/>
    <w:rsid w:val="00E147C0"/>
    <w:rsid w:val="00E14B3B"/>
    <w:rsid w:val="00E14C58"/>
    <w:rsid w:val="00E16A5E"/>
    <w:rsid w:val="00E170F7"/>
    <w:rsid w:val="00E23CAD"/>
    <w:rsid w:val="00E2417D"/>
    <w:rsid w:val="00E2461F"/>
    <w:rsid w:val="00E24FF3"/>
    <w:rsid w:val="00E25BDE"/>
    <w:rsid w:val="00E25C58"/>
    <w:rsid w:val="00E278C3"/>
    <w:rsid w:val="00E302ED"/>
    <w:rsid w:val="00E3208D"/>
    <w:rsid w:val="00E32971"/>
    <w:rsid w:val="00E3360F"/>
    <w:rsid w:val="00E34F29"/>
    <w:rsid w:val="00E35C22"/>
    <w:rsid w:val="00E373EA"/>
    <w:rsid w:val="00E40660"/>
    <w:rsid w:val="00E41F4D"/>
    <w:rsid w:val="00E42722"/>
    <w:rsid w:val="00E44794"/>
    <w:rsid w:val="00E44C55"/>
    <w:rsid w:val="00E4690F"/>
    <w:rsid w:val="00E46E82"/>
    <w:rsid w:val="00E4742A"/>
    <w:rsid w:val="00E50968"/>
    <w:rsid w:val="00E51B70"/>
    <w:rsid w:val="00E52016"/>
    <w:rsid w:val="00E526A4"/>
    <w:rsid w:val="00E5373D"/>
    <w:rsid w:val="00E53EC6"/>
    <w:rsid w:val="00E545FD"/>
    <w:rsid w:val="00E54718"/>
    <w:rsid w:val="00E54D5E"/>
    <w:rsid w:val="00E5582D"/>
    <w:rsid w:val="00E57331"/>
    <w:rsid w:val="00E57A1C"/>
    <w:rsid w:val="00E57FEE"/>
    <w:rsid w:val="00E604B2"/>
    <w:rsid w:val="00E6181E"/>
    <w:rsid w:val="00E62234"/>
    <w:rsid w:val="00E62D70"/>
    <w:rsid w:val="00E632F3"/>
    <w:rsid w:val="00E654BB"/>
    <w:rsid w:val="00E67A20"/>
    <w:rsid w:val="00E67F16"/>
    <w:rsid w:val="00E71C22"/>
    <w:rsid w:val="00E720CA"/>
    <w:rsid w:val="00E7445B"/>
    <w:rsid w:val="00E7489A"/>
    <w:rsid w:val="00E74CB5"/>
    <w:rsid w:val="00E75A3A"/>
    <w:rsid w:val="00E76AA1"/>
    <w:rsid w:val="00E7753F"/>
    <w:rsid w:val="00E81663"/>
    <w:rsid w:val="00E8269F"/>
    <w:rsid w:val="00E84093"/>
    <w:rsid w:val="00E855E0"/>
    <w:rsid w:val="00E87F8C"/>
    <w:rsid w:val="00E9155E"/>
    <w:rsid w:val="00E91E3B"/>
    <w:rsid w:val="00E943CB"/>
    <w:rsid w:val="00E95E9B"/>
    <w:rsid w:val="00E973F5"/>
    <w:rsid w:val="00EA09C5"/>
    <w:rsid w:val="00EA1653"/>
    <w:rsid w:val="00EA17E4"/>
    <w:rsid w:val="00EA1CF8"/>
    <w:rsid w:val="00EA2232"/>
    <w:rsid w:val="00EA5041"/>
    <w:rsid w:val="00EA589C"/>
    <w:rsid w:val="00EA74AB"/>
    <w:rsid w:val="00EA7E27"/>
    <w:rsid w:val="00EB36A3"/>
    <w:rsid w:val="00EB41E9"/>
    <w:rsid w:val="00EB5EBC"/>
    <w:rsid w:val="00EB601C"/>
    <w:rsid w:val="00EC0FB8"/>
    <w:rsid w:val="00EC28A6"/>
    <w:rsid w:val="00EC7C11"/>
    <w:rsid w:val="00ED0C55"/>
    <w:rsid w:val="00ED12C3"/>
    <w:rsid w:val="00ED3AC7"/>
    <w:rsid w:val="00ED417D"/>
    <w:rsid w:val="00ED4B1E"/>
    <w:rsid w:val="00ED52CA"/>
    <w:rsid w:val="00EE1252"/>
    <w:rsid w:val="00EE1B0B"/>
    <w:rsid w:val="00EE26BF"/>
    <w:rsid w:val="00EE2891"/>
    <w:rsid w:val="00EE2A47"/>
    <w:rsid w:val="00EE37BA"/>
    <w:rsid w:val="00EE47FF"/>
    <w:rsid w:val="00EE4B89"/>
    <w:rsid w:val="00EE4F3A"/>
    <w:rsid w:val="00EE51AD"/>
    <w:rsid w:val="00EE64CF"/>
    <w:rsid w:val="00EE703A"/>
    <w:rsid w:val="00EE746A"/>
    <w:rsid w:val="00EE7513"/>
    <w:rsid w:val="00EE7911"/>
    <w:rsid w:val="00EF0008"/>
    <w:rsid w:val="00EF127A"/>
    <w:rsid w:val="00EF1E00"/>
    <w:rsid w:val="00EF2384"/>
    <w:rsid w:val="00EF2768"/>
    <w:rsid w:val="00EF31F2"/>
    <w:rsid w:val="00EF3365"/>
    <w:rsid w:val="00EF4A0A"/>
    <w:rsid w:val="00EF4F11"/>
    <w:rsid w:val="00EF5527"/>
    <w:rsid w:val="00EF7253"/>
    <w:rsid w:val="00EF78F0"/>
    <w:rsid w:val="00EF7D25"/>
    <w:rsid w:val="00F00647"/>
    <w:rsid w:val="00F00683"/>
    <w:rsid w:val="00F01052"/>
    <w:rsid w:val="00F01CFC"/>
    <w:rsid w:val="00F01FBE"/>
    <w:rsid w:val="00F03947"/>
    <w:rsid w:val="00F0408A"/>
    <w:rsid w:val="00F06808"/>
    <w:rsid w:val="00F06AE3"/>
    <w:rsid w:val="00F06D40"/>
    <w:rsid w:val="00F07615"/>
    <w:rsid w:val="00F11400"/>
    <w:rsid w:val="00F1225C"/>
    <w:rsid w:val="00F12A2A"/>
    <w:rsid w:val="00F13495"/>
    <w:rsid w:val="00F1475F"/>
    <w:rsid w:val="00F15A0C"/>
    <w:rsid w:val="00F16439"/>
    <w:rsid w:val="00F175DE"/>
    <w:rsid w:val="00F17DEE"/>
    <w:rsid w:val="00F22AC2"/>
    <w:rsid w:val="00F22E8B"/>
    <w:rsid w:val="00F238AA"/>
    <w:rsid w:val="00F25359"/>
    <w:rsid w:val="00F25CA6"/>
    <w:rsid w:val="00F26EAF"/>
    <w:rsid w:val="00F32061"/>
    <w:rsid w:val="00F33CC7"/>
    <w:rsid w:val="00F348FA"/>
    <w:rsid w:val="00F350E8"/>
    <w:rsid w:val="00F352F5"/>
    <w:rsid w:val="00F35B31"/>
    <w:rsid w:val="00F404F9"/>
    <w:rsid w:val="00F405B9"/>
    <w:rsid w:val="00F4102C"/>
    <w:rsid w:val="00F43FF3"/>
    <w:rsid w:val="00F45D60"/>
    <w:rsid w:val="00F506A9"/>
    <w:rsid w:val="00F50DC1"/>
    <w:rsid w:val="00F5124B"/>
    <w:rsid w:val="00F52A5F"/>
    <w:rsid w:val="00F54CF1"/>
    <w:rsid w:val="00F56216"/>
    <w:rsid w:val="00F612FB"/>
    <w:rsid w:val="00F6137C"/>
    <w:rsid w:val="00F63085"/>
    <w:rsid w:val="00F631ED"/>
    <w:rsid w:val="00F674BA"/>
    <w:rsid w:val="00F67F11"/>
    <w:rsid w:val="00F71A6A"/>
    <w:rsid w:val="00F72239"/>
    <w:rsid w:val="00F729B3"/>
    <w:rsid w:val="00F73017"/>
    <w:rsid w:val="00F73D18"/>
    <w:rsid w:val="00F74A19"/>
    <w:rsid w:val="00F74F41"/>
    <w:rsid w:val="00F751EC"/>
    <w:rsid w:val="00F76D65"/>
    <w:rsid w:val="00F82DE2"/>
    <w:rsid w:val="00F82F25"/>
    <w:rsid w:val="00F847DE"/>
    <w:rsid w:val="00F85932"/>
    <w:rsid w:val="00F86807"/>
    <w:rsid w:val="00F9116D"/>
    <w:rsid w:val="00F92759"/>
    <w:rsid w:val="00F94742"/>
    <w:rsid w:val="00F94A2D"/>
    <w:rsid w:val="00F95F74"/>
    <w:rsid w:val="00F97331"/>
    <w:rsid w:val="00F974AE"/>
    <w:rsid w:val="00FA08A8"/>
    <w:rsid w:val="00FA0C28"/>
    <w:rsid w:val="00FA148B"/>
    <w:rsid w:val="00FA1DBF"/>
    <w:rsid w:val="00FA2502"/>
    <w:rsid w:val="00FA31EC"/>
    <w:rsid w:val="00FA3C2C"/>
    <w:rsid w:val="00FA6FA2"/>
    <w:rsid w:val="00FA7932"/>
    <w:rsid w:val="00FB070A"/>
    <w:rsid w:val="00FB23CC"/>
    <w:rsid w:val="00FB2EC3"/>
    <w:rsid w:val="00FB60AB"/>
    <w:rsid w:val="00FC03C1"/>
    <w:rsid w:val="00FC1F55"/>
    <w:rsid w:val="00FC2296"/>
    <w:rsid w:val="00FC320D"/>
    <w:rsid w:val="00FC3CD5"/>
    <w:rsid w:val="00FD3E2F"/>
    <w:rsid w:val="00FD4634"/>
    <w:rsid w:val="00FD5467"/>
    <w:rsid w:val="00FD58AF"/>
    <w:rsid w:val="00FD70EE"/>
    <w:rsid w:val="00FD79DB"/>
    <w:rsid w:val="00FE6E31"/>
    <w:rsid w:val="00FF04C0"/>
    <w:rsid w:val="00FF2D0B"/>
    <w:rsid w:val="00FF4245"/>
    <w:rsid w:val="00FF465A"/>
    <w:rsid w:val="00FF4A53"/>
    <w:rsid w:val="00FF4AC3"/>
    <w:rsid w:val="00FF5AB8"/>
    <w:rsid w:val="00FF67D6"/>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4B9"/>
    <w:pPr>
      <w:suppressAutoHyphens/>
    </w:pPr>
    <w:rPr>
      <w:sz w:val="24"/>
      <w:lang w:val="en-GB" w:eastAsia="fr-FR"/>
    </w:rPr>
  </w:style>
  <w:style w:type="paragraph" w:styleId="Heading1">
    <w:name w:val="heading 1"/>
    <w:basedOn w:val="Normal"/>
    <w:next w:val="Normal"/>
    <w:qFormat/>
    <w:rsid w:val="008824B9"/>
    <w:pPr>
      <w:keepNext/>
      <w:spacing w:before="360" w:after="240"/>
      <w:jc w:val="center"/>
      <w:outlineLvl w:val="0"/>
    </w:pPr>
    <w:rPr>
      <w:b/>
      <w:sz w:val="28"/>
    </w:rPr>
  </w:style>
  <w:style w:type="paragraph" w:styleId="Heading2">
    <w:name w:val="heading 2"/>
    <w:basedOn w:val="Normal"/>
    <w:next w:val="Normal"/>
    <w:qFormat/>
    <w:rsid w:val="008824B9"/>
    <w:pPr>
      <w:keepNext/>
      <w:spacing w:before="240" w:after="120"/>
      <w:ind w:left="284" w:hanging="284"/>
      <w:outlineLvl w:val="1"/>
    </w:pPr>
    <w:rPr>
      <w:b/>
    </w:rPr>
  </w:style>
  <w:style w:type="paragraph" w:styleId="Heading3">
    <w:name w:val="heading 3"/>
    <w:basedOn w:val="Normal"/>
    <w:next w:val="Normal"/>
    <w:qFormat/>
    <w:rsid w:val="008824B9"/>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8824B9"/>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8824B9"/>
  </w:style>
  <w:style w:type="paragraph" w:customStyle="1" w:styleId="OpiHA">
    <w:name w:val="Opi_H_A"/>
    <w:basedOn w:val="JuHIRoman"/>
    <w:next w:val="OpiPara"/>
    <w:rsid w:val="00302008"/>
    <w:pPr>
      <w:tabs>
        <w:tab w:val="clear" w:pos="357"/>
      </w:tabs>
    </w:pPr>
    <w:rPr>
      <w:b/>
    </w:rPr>
  </w:style>
  <w:style w:type="paragraph" w:customStyle="1" w:styleId="JuHIRoman">
    <w:name w:val="Ju_H_I_Roman"/>
    <w:basedOn w:val="JuHHead"/>
    <w:next w:val="JuPara"/>
    <w:rsid w:val="00302008"/>
    <w:pPr>
      <w:tabs>
        <w:tab w:val="left" w:pos="357"/>
      </w:tabs>
      <w:spacing w:before="360"/>
      <w:ind w:left="357" w:hanging="357"/>
      <w:outlineLvl w:val="1"/>
    </w:pPr>
    <w:rPr>
      <w:sz w:val="24"/>
    </w:rPr>
  </w:style>
  <w:style w:type="paragraph" w:customStyle="1" w:styleId="JuHHead">
    <w:name w:val="Ju_H_Head"/>
    <w:basedOn w:val="NormalTimesNewRoman"/>
    <w:next w:val="JuPara"/>
    <w:rsid w:val="00302008"/>
    <w:pPr>
      <w:keepNext/>
      <w:keepLines/>
      <w:spacing w:before="720" w:after="240"/>
      <w:jc w:val="both"/>
      <w:outlineLvl w:val="0"/>
    </w:pPr>
    <w:rPr>
      <w:sz w:val="28"/>
    </w:rPr>
  </w:style>
  <w:style w:type="paragraph" w:customStyle="1" w:styleId="NormalTimesNewRoman">
    <w:name w:val="Normal_TimesNewRoman"/>
    <w:rsid w:val="00302008"/>
    <w:rPr>
      <w:sz w:val="24"/>
      <w:lang w:val="en-GB" w:eastAsia="fr-FR"/>
    </w:rPr>
  </w:style>
  <w:style w:type="paragraph" w:customStyle="1" w:styleId="JuPara">
    <w:name w:val="Ju_Para"/>
    <w:aliases w:val="Left,First line:  0 cm"/>
    <w:basedOn w:val="NormalTimesNewRoman"/>
    <w:link w:val="JuParaChar"/>
    <w:rsid w:val="00302008"/>
    <w:pPr>
      <w:ind w:firstLine="284"/>
      <w:jc w:val="both"/>
    </w:pPr>
  </w:style>
  <w:style w:type="character" w:customStyle="1" w:styleId="JuParaChar">
    <w:name w:val="Ju_Para Char"/>
    <w:basedOn w:val="DefaultParagraphFont"/>
    <w:link w:val="JuPara"/>
    <w:rsid w:val="00B921A8"/>
    <w:rPr>
      <w:sz w:val="24"/>
      <w:lang w:val="en-GB" w:eastAsia="fr-FR" w:bidi="ar-SA"/>
    </w:rPr>
  </w:style>
  <w:style w:type="paragraph" w:customStyle="1" w:styleId="OpiPara">
    <w:name w:val="Opi_Para"/>
    <w:basedOn w:val="JuPara"/>
    <w:rsid w:val="00302008"/>
  </w:style>
  <w:style w:type="paragraph" w:customStyle="1" w:styleId="OpiH1">
    <w:name w:val="Opi_H_1."/>
    <w:basedOn w:val="OpiHA"/>
    <w:next w:val="OpiPara"/>
    <w:rsid w:val="00302008"/>
    <w:pPr>
      <w:spacing w:before="240" w:after="120"/>
      <w:ind w:left="635"/>
      <w:outlineLvl w:val="2"/>
    </w:pPr>
    <w:rPr>
      <w:b w:val="0"/>
      <w:i/>
    </w:rPr>
  </w:style>
  <w:style w:type="paragraph" w:customStyle="1" w:styleId="OpiHa0">
    <w:name w:val="Opi_H_a"/>
    <w:basedOn w:val="OpiH1"/>
    <w:next w:val="OpiPara"/>
    <w:rsid w:val="00302008"/>
    <w:pPr>
      <w:ind w:left="833"/>
      <w:outlineLvl w:val="3"/>
    </w:pPr>
    <w:rPr>
      <w:b/>
      <w:i w:val="0"/>
      <w:sz w:val="20"/>
    </w:rPr>
  </w:style>
  <w:style w:type="paragraph" w:customStyle="1" w:styleId="OpiHHead">
    <w:name w:val="Opi_H_Head"/>
    <w:basedOn w:val="JuHHead"/>
    <w:next w:val="OpiPara"/>
    <w:rsid w:val="00302008"/>
    <w:pPr>
      <w:spacing w:before="0"/>
      <w:jc w:val="center"/>
    </w:pPr>
  </w:style>
  <w:style w:type="paragraph" w:customStyle="1" w:styleId="OpiHi">
    <w:name w:val="Opi_H_i"/>
    <w:basedOn w:val="OpiHa0"/>
    <w:next w:val="OpiPara"/>
    <w:rsid w:val="00302008"/>
    <w:pPr>
      <w:ind w:left="1037"/>
      <w:outlineLvl w:val="4"/>
    </w:pPr>
    <w:rPr>
      <w:b w:val="0"/>
      <w:i/>
    </w:rPr>
  </w:style>
  <w:style w:type="paragraph" w:styleId="Footer">
    <w:name w:val="footer"/>
    <w:basedOn w:val="NormalTimesNewRoman"/>
    <w:rsid w:val="00302008"/>
    <w:pPr>
      <w:tabs>
        <w:tab w:val="center" w:pos="3686"/>
        <w:tab w:val="right" w:pos="7371"/>
      </w:tabs>
    </w:pPr>
    <w:rPr>
      <w:sz w:val="18"/>
    </w:rPr>
  </w:style>
  <w:style w:type="paragraph" w:customStyle="1" w:styleId="JuJudges">
    <w:name w:val="Ju_Judges"/>
    <w:basedOn w:val="NormalTimesNewRoman"/>
    <w:link w:val="JuJudgesChar"/>
    <w:rsid w:val="00302008"/>
    <w:pPr>
      <w:tabs>
        <w:tab w:val="left" w:pos="567"/>
        <w:tab w:val="left" w:pos="1134"/>
      </w:tabs>
    </w:pPr>
  </w:style>
  <w:style w:type="character" w:customStyle="1" w:styleId="JuJudgesChar">
    <w:name w:val="Ju_Judges Char"/>
    <w:basedOn w:val="DefaultParagraphFont"/>
    <w:link w:val="JuJudges"/>
    <w:locked/>
    <w:rsid w:val="00D15473"/>
    <w:rPr>
      <w:sz w:val="24"/>
      <w:lang w:val="en-GB" w:eastAsia="fr-FR" w:bidi="ar-SA"/>
    </w:rPr>
  </w:style>
  <w:style w:type="paragraph" w:customStyle="1" w:styleId="JuHA">
    <w:name w:val="Ju_H_A"/>
    <w:basedOn w:val="JuHIRoman"/>
    <w:next w:val="JuPara"/>
    <w:rsid w:val="00302008"/>
    <w:pPr>
      <w:tabs>
        <w:tab w:val="clear" w:pos="357"/>
        <w:tab w:val="left" w:pos="584"/>
      </w:tabs>
      <w:ind w:left="584" w:hanging="352"/>
      <w:outlineLvl w:val="2"/>
    </w:pPr>
    <w:rPr>
      <w:b/>
    </w:rPr>
  </w:style>
  <w:style w:type="paragraph" w:customStyle="1" w:styleId="JuQuot">
    <w:name w:val="Ju_Quot"/>
    <w:basedOn w:val="JuPara"/>
    <w:rsid w:val="00302008"/>
    <w:pPr>
      <w:spacing w:before="120" w:after="120"/>
      <w:ind w:left="425" w:firstLine="142"/>
    </w:pPr>
    <w:rPr>
      <w:sz w:val="20"/>
    </w:rPr>
  </w:style>
  <w:style w:type="paragraph" w:customStyle="1" w:styleId="JuSigned">
    <w:name w:val="Ju_Signed"/>
    <w:basedOn w:val="NormalTimesNewRoman"/>
    <w:next w:val="JuParaLast"/>
    <w:link w:val="JuSignedChar"/>
    <w:rsid w:val="00302008"/>
    <w:pPr>
      <w:tabs>
        <w:tab w:val="center" w:pos="851"/>
        <w:tab w:val="center" w:pos="6407"/>
      </w:tabs>
      <w:spacing w:before="720"/>
    </w:pPr>
  </w:style>
  <w:style w:type="paragraph" w:customStyle="1" w:styleId="JuParaLast">
    <w:name w:val="Ju_Para_Last"/>
    <w:basedOn w:val="JuPara"/>
    <w:next w:val="JuPara"/>
    <w:rsid w:val="00302008"/>
    <w:pPr>
      <w:keepNext/>
      <w:keepLines/>
      <w:spacing w:before="240"/>
    </w:pPr>
  </w:style>
  <w:style w:type="character" w:customStyle="1" w:styleId="JuSignedChar">
    <w:name w:val="Ju_Signed Char"/>
    <w:basedOn w:val="DefaultParagraphFont"/>
    <w:link w:val="JuSigned"/>
    <w:rsid w:val="000726F6"/>
    <w:rPr>
      <w:sz w:val="24"/>
      <w:lang w:val="en-GB" w:eastAsia="fr-FR" w:bidi="ar-SA"/>
    </w:rPr>
  </w:style>
  <w:style w:type="paragraph" w:customStyle="1" w:styleId="JuCase">
    <w:name w:val="Ju_Case"/>
    <w:basedOn w:val="JuPara"/>
    <w:next w:val="JuPara"/>
    <w:link w:val="JuCaseChar"/>
    <w:rsid w:val="00302008"/>
    <w:rPr>
      <w:b/>
    </w:rPr>
  </w:style>
  <w:style w:type="character" w:customStyle="1" w:styleId="JuCaseChar">
    <w:name w:val="Ju_Case Char"/>
    <w:basedOn w:val="JuParaChar"/>
    <w:link w:val="JuCase"/>
    <w:rsid w:val="00B921A8"/>
    <w:rPr>
      <w:b/>
      <w:sz w:val="24"/>
      <w:lang w:val="en-GB" w:eastAsia="fr-FR" w:bidi="ar-SA"/>
    </w:rPr>
  </w:style>
  <w:style w:type="paragraph" w:customStyle="1" w:styleId="JuList">
    <w:name w:val="Ju_List"/>
    <w:basedOn w:val="JuPara"/>
    <w:link w:val="JuListChar"/>
    <w:rsid w:val="00302008"/>
    <w:pPr>
      <w:ind w:left="340" w:hanging="340"/>
    </w:pPr>
  </w:style>
  <w:style w:type="character" w:customStyle="1" w:styleId="JuListChar">
    <w:name w:val="Ju_List Char"/>
    <w:basedOn w:val="DefaultParagraphFont"/>
    <w:link w:val="JuList"/>
    <w:rsid w:val="00930CD7"/>
    <w:rPr>
      <w:sz w:val="24"/>
      <w:lang w:val="en-GB" w:eastAsia="fr-FR" w:bidi="ar-SA"/>
    </w:rPr>
  </w:style>
  <w:style w:type="paragraph" w:customStyle="1" w:styleId="JuHArticle">
    <w:name w:val="Ju_H_Article"/>
    <w:basedOn w:val="JuHa0"/>
    <w:next w:val="JuQuot"/>
    <w:rsid w:val="00302008"/>
    <w:pPr>
      <w:ind w:left="0" w:firstLine="0"/>
      <w:jc w:val="center"/>
    </w:pPr>
  </w:style>
  <w:style w:type="paragraph" w:customStyle="1" w:styleId="JuHa0">
    <w:name w:val="Ju_H_a"/>
    <w:basedOn w:val="JuH1"/>
    <w:next w:val="JuPara"/>
    <w:rsid w:val="00302008"/>
    <w:pPr>
      <w:tabs>
        <w:tab w:val="clear" w:pos="731"/>
        <w:tab w:val="left" w:pos="975"/>
      </w:tabs>
      <w:ind w:left="975" w:hanging="340"/>
      <w:outlineLvl w:val="4"/>
    </w:pPr>
    <w:rPr>
      <w:b/>
      <w:i w:val="0"/>
      <w:sz w:val="20"/>
    </w:rPr>
  </w:style>
  <w:style w:type="paragraph" w:customStyle="1" w:styleId="JuH1">
    <w:name w:val="Ju_H_1."/>
    <w:basedOn w:val="JuHA"/>
    <w:next w:val="JuPara"/>
    <w:rsid w:val="00302008"/>
    <w:pPr>
      <w:tabs>
        <w:tab w:val="clear" w:pos="584"/>
        <w:tab w:val="left" w:pos="731"/>
      </w:tabs>
      <w:spacing w:before="240" w:after="120"/>
      <w:ind w:left="732" w:hanging="301"/>
      <w:outlineLvl w:val="3"/>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302008"/>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302008"/>
  </w:style>
  <w:style w:type="paragraph" w:customStyle="1" w:styleId="OpiTranslation">
    <w:name w:val="Opi_Translation"/>
    <w:basedOn w:val="OpiHHead"/>
    <w:next w:val="OpiPara"/>
    <w:rsid w:val="00302008"/>
    <w:rPr>
      <w:i/>
      <w:sz w:val="24"/>
    </w:rPr>
  </w:style>
  <w:style w:type="paragraph" w:styleId="FootnoteText">
    <w:name w:val="footnote text"/>
    <w:basedOn w:val="Normal"/>
    <w:semiHidden/>
    <w:rsid w:val="00302008"/>
    <w:pPr>
      <w:jc w:val="both"/>
    </w:pPr>
    <w:rPr>
      <w:sz w:val="20"/>
    </w:rPr>
  </w:style>
  <w:style w:type="character" w:styleId="FootnoteReference">
    <w:name w:val="footnote reference"/>
    <w:basedOn w:val="DefaultParagraphFont"/>
    <w:semiHidden/>
    <w:rsid w:val="00302008"/>
    <w:rPr>
      <w:vertAlign w:val="superscript"/>
    </w:rPr>
  </w:style>
  <w:style w:type="paragraph" w:customStyle="1" w:styleId="JuHi">
    <w:name w:val="Ju_H_i"/>
    <w:basedOn w:val="JuHa0"/>
    <w:next w:val="JuPara"/>
    <w:rsid w:val="00302008"/>
    <w:pPr>
      <w:tabs>
        <w:tab w:val="clear" w:pos="975"/>
        <w:tab w:val="left" w:pos="1191"/>
      </w:tabs>
      <w:ind w:left="1190" w:hanging="357"/>
      <w:outlineLvl w:val="5"/>
    </w:pPr>
    <w:rPr>
      <w:b w:val="0"/>
      <w:i/>
    </w:rPr>
  </w:style>
  <w:style w:type="paragraph" w:styleId="Header">
    <w:name w:val="header"/>
    <w:basedOn w:val="NormalTimesNewRoman"/>
    <w:rsid w:val="00302008"/>
    <w:pPr>
      <w:tabs>
        <w:tab w:val="center" w:pos="3686"/>
        <w:tab w:val="right" w:pos="7371"/>
      </w:tabs>
    </w:pPr>
    <w:rPr>
      <w:sz w:val="18"/>
    </w:rPr>
  </w:style>
  <w:style w:type="character" w:styleId="PageNumber">
    <w:name w:val="page number"/>
    <w:basedOn w:val="DefaultParagraphFont"/>
    <w:rsid w:val="00302008"/>
    <w:rPr>
      <w:sz w:val="18"/>
    </w:rPr>
  </w:style>
  <w:style w:type="paragraph" w:customStyle="1" w:styleId="JuH">
    <w:name w:val="Ju_H_–"/>
    <w:basedOn w:val="JuHalpha"/>
    <w:next w:val="JuPara"/>
    <w:rsid w:val="00302008"/>
    <w:pPr>
      <w:tabs>
        <w:tab w:val="clear" w:pos="1372"/>
      </w:tabs>
      <w:ind w:left="1236" w:firstLine="0"/>
    </w:pPr>
    <w:rPr>
      <w:i/>
    </w:rPr>
  </w:style>
  <w:style w:type="paragraph" w:customStyle="1" w:styleId="JuHalpha">
    <w:name w:val="Ju_H_alpha"/>
    <w:basedOn w:val="JuHi"/>
    <w:next w:val="JuPara"/>
    <w:rsid w:val="00302008"/>
    <w:pPr>
      <w:tabs>
        <w:tab w:val="clear" w:pos="1191"/>
        <w:tab w:val="left" w:pos="1372"/>
      </w:tabs>
      <w:ind w:left="1373" w:hanging="335"/>
    </w:pPr>
    <w:rPr>
      <w:i w:val="0"/>
    </w:rPr>
  </w:style>
  <w:style w:type="paragraph" w:customStyle="1" w:styleId="JuLista">
    <w:name w:val="Ju_List_a"/>
    <w:basedOn w:val="JuList"/>
    <w:rsid w:val="00302008"/>
    <w:pPr>
      <w:ind w:left="346" w:firstLine="0"/>
    </w:pPr>
  </w:style>
  <w:style w:type="paragraph" w:customStyle="1" w:styleId="JuListi">
    <w:name w:val="Ju_List_i"/>
    <w:basedOn w:val="JuLista"/>
    <w:rsid w:val="00302008"/>
    <w:pPr>
      <w:ind w:left="794"/>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302008"/>
    <w:pPr>
      <w:tabs>
        <w:tab w:val="clear" w:pos="851"/>
      </w:tabs>
      <w:jc w:val="right"/>
    </w:pPr>
  </w:style>
  <w:style w:type="paragraph" w:customStyle="1" w:styleId="JuHeader">
    <w:name w:val="Ju_Header"/>
    <w:basedOn w:val="Header"/>
    <w:rsid w:val="00302008"/>
  </w:style>
  <w:style w:type="paragraph" w:customStyle="1" w:styleId="DecHTitle">
    <w:name w:val="Dec_H_Title"/>
    <w:basedOn w:val="NormalTimesNewRoman"/>
    <w:rsid w:val="00302008"/>
    <w:pPr>
      <w:spacing w:after="240"/>
      <w:jc w:val="center"/>
      <w:outlineLvl w:val="0"/>
    </w:pPr>
    <w:rPr>
      <w:sz w:val="28"/>
    </w:rPr>
  </w:style>
  <w:style w:type="paragraph" w:customStyle="1" w:styleId="DecHCase">
    <w:name w:val="Dec_H_Case"/>
    <w:basedOn w:val="DecHTitle"/>
    <w:next w:val="JuPara"/>
    <w:rsid w:val="00302008"/>
    <w:rPr>
      <w:sz w:val="24"/>
    </w:rPr>
  </w:style>
  <w:style w:type="paragraph" w:customStyle="1" w:styleId="DecList">
    <w:name w:val="Dec_List"/>
    <w:basedOn w:val="NormalTimesNewRoman"/>
    <w:rsid w:val="00302008"/>
    <w:pPr>
      <w:spacing w:before="240"/>
      <w:ind w:left="284"/>
      <w:jc w:val="both"/>
    </w:pPr>
  </w:style>
  <w:style w:type="paragraph" w:customStyle="1" w:styleId="JuParaSub">
    <w:name w:val="Ju_Para_Sub"/>
    <w:basedOn w:val="JuPara"/>
    <w:rsid w:val="00302008"/>
    <w:pPr>
      <w:ind w:left="284"/>
    </w:pPr>
    <w:rPr>
      <w:szCs w:val="24"/>
    </w:rPr>
  </w:style>
  <w:style w:type="paragraph" w:customStyle="1" w:styleId="JuQuotSub">
    <w:name w:val="Ju_Quot_Sub"/>
    <w:basedOn w:val="JuQuot"/>
    <w:rsid w:val="00302008"/>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character" w:styleId="EndnoteReference">
    <w:name w:val="endnote reference"/>
    <w:basedOn w:val="DefaultParagraphFont"/>
    <w:semiHidden/>
    <w:rsid w:val="00302008"/>
    <w:rPr>
      <w:vertAlign w:val="superscript"/>
    </w:rPr>
  </w:style>
  <w:style w:type="paragraph" w:styleId="EndnoteText">
    <w:name w:val="endnote text"/>
    <w:basedOn w:val="Normal"/>
    <w:semiHidden/>
    <w:rsid w:val="00302008"/>
    <w:rPr>
      <w:sz w:val="20"/>
    </w:rPr>
  </w:style>
  <w:style w:type="character" w:styleId="FollowedHyperlink">
    <w:name w:val="FollowedHyperlink"/>
    <w:basedOn w:val="DefaultParagraphFont"/>
    <w:rsid w:val="00302008"/>
    <w:rPr>
      <w:color w:val="800080"/>
      <w:u w:val="single"/>
    </w:rPr>
  </w:style>
  <w:style w:type="paragraph" w:customStyle="1" w:styleId="SuCoverTitle1">
    <w:name w:val="Su_Cover_Title1"/>
    <w:basedOn w:val="NormalTimesNewRoman"/>
    <w:next w:val="SuCoverTitle2"/>
    <w:rsid w:val="00864209"/>
    <w:pPr>
      <w:spacing w:before="2500"/>
      <w:jc w:val="center"/>
    </w:pPr>
    <w:rPr>
      <w:sz w:val="22"/>
    </w:rPr>
  </w:style>
  <w:style w:type="paragraph" w:customStyle="1" w:styleId="SuCoverTitle2">
    <w:name w:val="Su_Cover_Title2"/>
    <w:basedOn w:val="SuCoverTitle1"/>
    <w:next w:val="Normal"/>
    <w:rsid w:val="00864209"/>
    <w:pPr>
      <w:spacing w:before="240"/>
    </w:pPr>
    <w:rPr>
      <w:sz w:val="18"/>
    </w:rPr>
  </w:style>
  <w:style w:type="paragraph" w:customStyle="1" w:styleId="SuPara">
    <w:name w:val="Su_Para"/>
    <w:basedOn w:val="SuKeywords"/>
    <w:rsid w:val="00864209"/>
    <w:pPr>
      <w:spacing w:before="0" w:after="0"/>
    </w:pPr>
    <w:rPr>
      <w:i w:val="0"/>
    </w:rPr>
  </w:style>
  <w:style w:type="paragraph" w:customStyle="1" w:styleId="SuKeywords">
    <w:name w:val="Su_Keywords"/>
    <w:basedOn w:val="SuHHead"/>
    <w:rsid w:val="00864209"/>
    <w:pPr>
      <w:spacing w:before="120"/>
    </w:pPr>
    <w:rPr>
      <w:b w:val="0"/>
      <w:i/>
    </w:rPr>
  </w:style>
  <w:style w:type="paragraph" w:customStyle="1" w:styleId="SuHHead">
    <w:name w:val="Su_H_Head"/>
    <w:basedOn w:val="SuSubject"/>
    <w:rsid w:val="00864209"/>
    <w:pPr>
      <w:spacing w:after="120"/>
    </w:pPr>
  </w:style>
  <w:style w:type="paragraph" w:customStyle="1" w:styleId="SuSubject">
    <w:name w:val="Su_Subject"/>
    <w:basedOn w:val="SuSummary"/>
    <w:rsid w:val="00864209"/>
    <w:pPr>
      <w:spacing w:before="360"/>
      <w:jc w:val="both"/>
    </w:pPr>
    <w:rPr>
      <w:b/>
      <w:sz w:val="22"/>
    </w:rPr>
  </w:style>
  <w:style w:type="paragraph" w:customStyle="1" w:styleId="SuSummary">
    <w:name w:val="Su_Summary"/>
    <w:basedOn w:val="NormalTimesNewRoman"/>
    <w:next w:val="SuSubject"/>
    <w:rsid w:val="00864209"/>
    <w:pPr>
      <w:spacing w:after="240"/>
      <w:jc w:val="center"/>
    </w:pPr>
  </w:style>
  <w:style w:type="paragraph" w:customStyle="1" w:styleId="OpiParaSub">
    <w:name w:val="Opi_Para_Sub"/>
    <w:basedOn w:val="JuParaSub"/>
    <w:rsid w:val="00302008"/>
  </w:style>
  <w:style w:type="paragraph" w:customStyle="1" w:styleId="OpiQuotSub">
    <w:name w:val="Opi_Quot_Sub"/>
    <w:basedOn w:val="JuQuotSub"/>
    <w:rsid w:val="00302008"/>
  </w:style>
  <w:style w:type="character" w:styleId="Hyperlink">
    <w:name w:val="Hyperlink"/>
    <w:basedOn w:val="DefaultParagraphFont"/>
    <w:rsid w:val="00302008"/>
    <w:rPr>
      <w:color w:val="0000FF"/>
      <w:u w:val="single"/>
    </w:rPr>
  </w:style>
  <w:style w:type="character" w:styleId="Strong">
    <w:name w:val="Strong"/>
    <w:basedOn w:val="DefaultParagraphFont"/>
    <w:qFormat/>
    <w:rsid w:val="00AA7CA2"/>
    <w:rPr>
      <w:b/>
      <w:bCs/>
    </w:rPr>
  </w:style>
  <w:style w:type="paragraph" w:styleId="DocumentMap">
    <w:name w:val="Document Map"/>
    <w:basedOn w:val="Normal"/>
    <w:semiHidden/>
    <w:rsid w:val="008824B9"/>
    <w:pPr>
      <w:shd w:val="clear" w:color="auto" w:fill="000080"/>
    </w:pPr>
    <w:rPr>
      <w:rFonts w:ascii="Tahoma" w:hAnsi="Tahoma" w:cs="Tahoma"/>
      <w:sz w:val="20"/>
    </w:rPr>
  </w:style>
  <w:style w:type="character" w:customStyle="1" w:styleId="JuNames">
    <w:name w:val="Ju_Names"/>
    <w:basedOn w:val="DefaultParagraphFont"/>
    <w:rsid w:val="00302008"/>
    <w:rPr>
      <w:smallCaps/>
    </w:rPr>
  </w:style>
  <w:style w:type="paragraph" w:customStyle="1" w:styleId="NormalJustified">
    <w:name w:val="Normal_Justified"/>
    <w:basedOn w:val="Normal"/>
    <w:rsid w:val="008824B9"/>
    <w:pPr>
      <w:jc w:val="both"/>
    </w:pPr>
  </w:style>
  <w:style w:type="paragraph" w:customStyle="1" w:styleId="JuAppQuestion">
    <w:name w:val="Ju_App_Question"/>
    <w:basedOn w:val="ListBullet"/>
    <w:rsid w:val="00302008"/>
    <w:pPr>
      <w:numPr>
        <w:numId w:val="5"/>
      </w:numPr>
      <w:suppressAutoHyphens w:val="0"/>
    </w:pPr>
    <w:rPr>
      <w:b/>
      <w:color w:val="333333"/>
    </w:rPr>
  </w:style>
  <w:style w:type="paragraph" w:styleId="ListBullet">
    <w:name w:val="List Bullet"/>
    <w:basedOn w:val="Normal"/>
    <w:rsid w:val="008824B9"/>
    <w:pPr>
      <w:numPr>
        <w:numId w:val="2"/>
      </w:numPr>
    </w:pPr>
  </w:style>
  <w:style w:type="paragraph" w:customStyle="1" w:styleId="ju-005fpara-002cleft-002cfirst-0020line-003a-0020-00200-0020cm">
    <w:name w:val="ju-005fpara-002cleft-002cfirst-0020line-003a-0020-00200-0020cm"/>
    <w:basedOn w:val="Normal"/>
    <w:rsid w:val="007B5A88"/>
    <w:pPr>
      <w:suppressAutoHyphens w:val="0"/>
      <w:spacing w:before="100" w:beforeAutospacing="1" w:after="100" w:afterAutospacing="1"/>
    </w:pPr>
    <w:rPr>
      <w:szCs w:val="24"/>
      <w:lang w:eastAsia="en-GB"/>
    </w:rPr>
  </w:style>
  <w:style w:type="character" w:customStyle="1" w:styleId="ju-005fpara-002cleft-002cfirst-0020line-003a-0020-00200-0020cm--char">
    <w:name w:val="ju-005fpara-002cleft-002cfirst-0020line-003a-0020-00200-0020cm--char"/>
    <w:basedOn w:val="DefaultParagraphFont"/>
    <w:rsid w:val="007B5A88"/>
  </w:style>
  <w:style w:type="character" w:customStyle="1" w:styleId="JuParaCar">
    <w:name w:val="Ju_Para Car"/>
    <w:basedOn w:val="DefaultParagraphFont"/>
    <w:rsid w:val="00540209"/>
    <w:rPr>
      <w:sz w:val="24"/>
      <w:lang w:val="en-GB" w:eastAsia="en-US" w:bidi="ar-SA"/>
    </w:rPr>
  </w:style>
  <w:style w:type="paragraph" w:customStyle="1" w:styleId="ju-005fpara">
    <w:name w:val="ju-005fpara"/>
    <w:basedOn w:val="Normal"/>
    <w:rsid w:val="009B39B4"/>
    <w:pPr>
      <w:suppressAutoHyphens w:val="0"/>
      <w:spacing w:before="100" w:beforeAutospacing="1" w:after="100" w:afterAutospacing="1"/>
    </w:pPr>
    <w:rPr>
      <w:szCs w:val="24"/>
      <w:lang w:eastAsia="en-GB"/>
    </w:rPr>
  </w:style>
  <w:style w:type="character" w:customStyle="1" w:styleId="ju-005fpara--char">
    <w:name w:val="ju-005fpara--char"/>
    <w:basedOn w:val="DefaultParagraphFont"/>
    <w:rsid w:val="009B39B4"/>
  </w:style>
  <w:style w:type="paragraph" w:customStyle="1" w:styleId="Default">
    <w:name w:val="Default"/>
    <w:rsid w:val="00EA5041"/>
    <w:pPr>
      <w:autoSpaceDE w:val="0"/>
      <w:autoSpaceDN w:val="0"/>
      <w:adjustRightInd w:val="0"/>
    </w:pPr>
    <w:rPr>
      <w:color w:val="000000"/>
      <w:sz w:val="24"/>
      <w:szCs w:val="24"/>
      <w:lang w:val="en-GB" w:eastAsia="en-GB"/>
    </w:rPr>
  </w:style>
  <w:style w:type="character" w:customStyle="1" w:styleId="normal--char">
    <w:name w:val="normal--char"/>
    <w:basedOn w:val="DefaultParagraphFont"/>
    <w:rsid w:val="000D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03678">
      <w:bodyDiv w:val="1"/>
      <w:marLeft w:val="0"/>
      <w:marRight w:val="0"/>
      <w:marTop w:val="0"/>
      <w:marBottom w:val="0"/>
      <w:divBdr>
        <w:top w:val="none" w:sz="0" w:space="0" w:color="auto"/>
        <w:left w:val="none" w:sz="0" w:space="0" w:color="auto"/>
        <w:bottom w:val="none" w:sz="0" w:space="0" w:color="auto"/>
        <w:right w:val="none" w:sz="0" w:space="0" w:color="auto"/>
      </w:divBdr>
      <w:divsChild>
        <w:div w:id="527571934">
          <w:marLeft w:val="0"/>
          <w:marRight w:val="0"/>
          <w:marTop w:val="210"/>
          <w:marBottom w:val="210"/>
          <w:divBdr>
            <w:top w:val="none" w:sz="0" w:space="0" w:color="auto"/>
            <w:left w:val="none" w:sz="0" w:space="0" w:color="auto"/>
            <w:bottom w:val="none" w:sz="0" w:space="0" w:color="auto"/>
            <w:right w:val="none" w:sz="0" w:space="0" w:color="auto"/>
          </w:divBdr>
          <w:divsChild>
            <w:div w:id="1893692925">
              <w:marLeft w:val="0"/>
              <w:marRight w:val="0"/>
              <w:marTop w:val="0"/>
              <w:marBottom w:val="0"/>
              <w:divBdr>
                <w:top w:val="single" w:sz="6" w:space="0" w:color="BBBBBB"/>
                <w:left w:val="single" w:sz="6" w:space="0" w:color="BBBBBB"/>
                <w:bottom w:val="single" w:sz="6" w:space="0" w:color="BBBBBB"/>
                <w:right w:val="single" w:sz="6" w:space="0" w:color="BBBBBB"/>
              </w:divBdr>
              <w:divsChild>
                <w:div w:id="1693873510">
                  <w:marLeft w:val="150"/>
                  <w:marRight w:val="150"/>
                  <w:marTop w:val="150"/>
                  <w:marBottom w:val="150"/>
                  <w:divBdr>
                    <w:top w:val="single" w:sz="6" w:space="12" w:color="DFDFDF"/>
                    <w:left w:val="single" w:sz="6" w:space="12" w:color="DFDFDF"/>
                    <w:bottom w:val="single" w:sz="6" w:space="12" w:color="DFDFDF"/>
                    <w:right w:val="single" w:sz="6" w:space="12" w:color="DFDFDF"/>
                  </w:divBdr>
                  <w:divsChild>
                    <w:div w:id="677121534">
                      <w:marLeft w:val="0"/>
                      <w:marRight w:val="0"/>
                      <w:marTop w:val="45"/>
                      <w:marBottom w:val="0"/>
                      <w:divBdr>
                        <w:top w:val="single" w:sz="6" w:space="15" w:color="D1D1D1"/>
                        <w:left w:val="none" w:sz="0" w:space="0" w:color="auto"/>
                        <w:bottom w:val="single" w:sz="6" w:space="19" w:color="D1D1D1"/>
                        <w:right w:val="none" w:sz="0" w:space="0" w:color="auto"/>
                      </w:divBdr>
                      <w:divsChild>
                        <w:div w:id="9221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51601">
      <w:bodyDiv w:val="1"/>
      <w:marLeft w:val="0"/>
      <w:marRight w:val="0"/>
      <w:marTop w:val="0"/>
      <w:marBottom w:val="0"/>
      <w:divBdr>
        <w:top w:val="none" w:sz="0" w:space="0" w:color="auto"/>
        <w:left w:val="none" w:sz="0" w:space="0" w:color="auto"/>
        <w:bottom w:val="none" w:sz="0" w:space="0" w:color="auto"/>
        <w:right w:val="none" w:sz="0" w:space="0" w:color="auto"/>
      </w:divBdr>
    </w:div>
    <w:div w:id="517504311">
      <w:bodyDiv w:val="1"/>
      <w:marLeft w:val="0"/>
      <w:marRight w:val="0"/>
      <w:marTop w:val="0"/>
      <w:marBottom w:val="0"/>
      <w:divBdr>
        <w:top w:val="none" w:sz="0" w:space="0" w:color="auto"/>
        <w:left w:val="none" w:sz="0" w:space="0" w:color="auto"/>
        <w:bottom w:val="none" w:sz="0" w:space="0" w:color="auto"/>
        <w:right w:val="none" w:sz="0" w:space="0" w:color="auto"/>
      </w:divBdr>
    </w:div>
    <w:div w:id="1289778670">
      <w:bodyDiv w:val="1"/>
      <w:marLeft w:val="0"/>
      <w:marRight w:val="0"/>
      <w:marTop w:val="0"/>
      <w:marBottom w:val="0"/>
      <w:divBdr>
        <w:top w:val="none" w:sz="0" w:space="0" w:color="auto"/>
        <w:left w:val="none" w:sz="0" w:space="0" w:color="auto"/>
        <w:bottom w:val="none" w:sz="0" w:space="0" w:color="auto"/>
        <w:right w:val="none" w:sz="0" w:space="0" w:color="auto"/>
      </w:divBdr>
    </w:div>
    <w:div w:id="1391997363">
      <w:bodyDiv w:val="1"/>
      <w:marLeft w:val="0"/>
      <w:marRight w:val="0"/>
      <w:marTop w:val="0"/>
      <w:marBottom w:val="0"/>
      <w:divBdr>
        <w:top w:val="none" w:sz="0" w:space="0" w:color="auto"/>
        <w:left w:val="none" w:sz="0" w:space="0" w:color="auto"/>
        <w:bottom w:val="none" w:sz="0" w:space="0" w:color="auto"/>
        <w:right w:val="none" w:sz="0" w:space="0" w:color="auto"/>
      </w:divBdr>
    </w:div>
    <w:div w:id="1404257641">
      <w:bodyDiv w:val="1"/>
      <w:marLeft w:val="0"/>
      <w:marRight w:val="0"/>
      <w:marTop w:val="0"/>
      <w:marBottom w:val="0"/>
      <w:divBdr>
        <w:top w:val="none" w:sz="0" w:space="0" w:color="auto"/>
        <w:left w:val="none" w:sz="0" w:space="0" w:color="auto"/>
        <w:bottom w:val="none" w:sz="0" w:space="0" w:color="auto"/>
        <w:right w:val="none" w:sz="0" w:space="0" w:color="auto"/>
      </w:divBdr>
    </w:div>
    <w:div w:id="1881237089">
      <w:bodyDiv w:val="1"/>
      <w:marLeft w:val="0"/>
      <w:marRight w:val="0"/>
      <w:marTop w:val="0"/>
      <w:marBottom w:val="0"/>
      <w:divBdr>
        <w:top w:val="none" w:sz="0" w:space="0" w:color="auto"/>
        <w:left w:val="none" w:sz="0" w:space="0" w:color="auto"/>
        <w:bottom w:val="none" w:sz="0" w:space="0" w:color="auto"/>
        <w:right w:val="none" w:sz="0" w:space="0" w:color="auto"/>
      </w:divBdr>
    </w:div>
    <w:div w:id="1962034636">
      <w:bodyDiv w:val="1"/>
      <w:marLeft w:val="0"/>
      <w:marRight w:val="0"/>
      <w:marTop w:val="0"/>
      <w:marBottom w:val="0"/>
      <w:divBdr>
        <w:top w:val="none" w:sz="0" w:space="0" w:color="auto"/>
        <w:left w:val="none" w:sz="0" w:space="0" w:color="auto"/>
        <w:bottom w:val="none" w:sz="0" w:space="0" w:color="auto"/>
        <w:right w:val="none" w:sz="0" w:space="0" w:color="auto"/>
      </w:divBdr>
      <w:divsChild>
        <w:div w:id="1331562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politika.lv/temas/cilvektiesibas/10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50967-5251-42CA-A0A8-F52B12C1F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38D1EA-01E3-4FC6-98F6-CD72760BB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7200</Words>
  <Characters>41042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48146</CharactersWithSpaces>
  <SharedDoc>false</SharedDoc>
  <HLinks>
    <vt:vector size="6" baseType="variant">
      <vt:variant>
        <vt:i4>6815856</vt:i4>
      </vt:variant>
      <vt:variant>
        <vt:i4>0</vt:i4>
      </vt:variant>
      <vt:variant>
        <vt:i4>0</vt:i4>
      </vt:variant>
      <vt:variant>
        <vt:i4>5</vt:i4>
      </vt:variant>
      <vt:variant>
        <vt:lpwstr>http://www.politika.lv/temas/cilvektiesibas/10018/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7</cp:revision>
  <cp:lastPrinted>2012-02-21T09:07:00Z</cp:lastPrinted>
  <dcterms:created xsi:type="dcterms:W3CDTF">2012-07-19T09:42:00Z</dcterms:created>
  <dcterms:modified xsi:type="dcterms:W3CDTF">2012-07-19T09:42:00Z</dcterms:modified>
  <cp:category>ECHR Template</cp:category>
</cp:coreProperties>
</file>