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AD9" w:rsidRDefault="00406AD9" w:rsidP="00042867">
      <w:pPr>
        <w:jc w:val="center"/>
        <w:rPr>
          <w:lang w:val="en-GB"/>
        </w:rPr>
      </w:pPr>
    </w:p>
    <w:p w:rsidR="00406AD9" w:rsidRDefault="00406AD9" w:rsidP="00042867">
      <w:pPr>
        <w:jc w:val="center"/>
        <w:rPr>
          <w:lang w:val="en-GB"/>
        </w:rPr>
      </w:pPr>
    </w:p>
    <w:p w:rsidR="00406AD9" w:rsidRPr="004218BE" w:rsidRDefault="00406AD9" w:rsidP="00042867">
      <w:pPr>
        <w:jc w:val="center"/>
        <w:rPr>
          <w:lang w:val="en-GB"/>
        </w:rPr>
      </w:pPr>
    </w:p>
    <w:p w:rsidR="00406AD9" w:rsidRPr="004218BE" w:rsidRDefault="00406AD9" w:rsidP="00042867">
      <w:pPr>
        <w:jc w:val="center"/>
        <w:rPr>
          <w:lang w:val="en-GB"/>
        </w:rPr>
      </w:pPr>
      <w:r>
        <w:rPr>
          <w:lang w:val="en-GB"/>
        </w:rPr>
        <w:t>FOURTH SECTION</w:t>
      </w:r>
    </w:p>
    <w:p w:rsidR="00406AD9" w:rsidRDefault="00406AD9" w:rsidP="00042867">
      <w:pPr>
        <w:jc w:val="center"/>
        <w:rPr>
          <w:lang w:val="en-GB"/>
        </w:rPr>
      </w:pPr>
    </w:p>
    <w:p w:rsidR="00406AD9" w:rsidRDefault="00406AD9" w:rsidP="00042867">
      <w:pPr>
        <w:jc w:val="center"/>
        <w:rPr>
          <w:lang w:val="en-GB"/>
        </w:rPr>
      </w:pPr>
    </w:p>
    <w:p w:rsidR="00406AD9" w:rsidRDefault="00406AD9" w:rsidP="00042867">
      <w:pPr>
        <w:jc w:val="center"/>
        <w:rPr>
          <w:lang w:val="en-GB"/>
        </w:rPr>
      </w:pPr>
    </w:p>
    <w:p w:rsidR="00406AD9" w:rsidRDefault="00406AD9" w:rsidP="00042867">
      <w:pPr>
        <w:jc w:val="center"/>
        <w:rPr>
          <w:lang w:val="en-GB"/>
        </w:rPr>
      </w:pPr>
    </w:p>
    <w:p w:rsidR="00406AD9" w:rsidRDefault="00406AD9" w:rsidP="00042867">
      <w:pPr>
        <w:jc w:val="center"/>
        <w:rPr>
          <w:lang w:val="en-GB"/>
        </w:rPr>
      </w:pPr>
    </w:p>
    <w:p w:rsidR="00406AD9" w:rsidRPr="004218BE" w:rsidRDefault="00406AD9" w:rsidP="00042867">
      <w:pPr>
        <w:jc w:val="center"/>
        <w:rPr>
          <w:lang w:val="en-GB"/>
        </w:rPr>
      </w:pPr>
    </w:p>
    <w:p w:rsidR="00406AD9" w:rsidRPr="004218BE" w:rsidRDefault="00406AD9" w:rsidP="00042867">
      <w:pPr>
        <w:jc w:val="center"/>
        <w:rPr>
          <w:b/>
          <w:lang w:val="en-GB"/>
        </w:rPr>
      </w:pPr>
      <w:bookmarkStart w:id="0" w:name="To"/>
      <w:r w:rsidRPr="004218BE">
        <w:rPr>
          <w:b/>
          <w:lang w:val="en-GB"/>
        </w:rPr>
        <w:t xml:space="preserve">CASE OF </w:t>
      </w:r>
      <w:bookmarkEnd w:id="0"/>
      <w:r>
        <w:rPr>
          <w:b/>
          <w:lang w:val="en-GB"/>
        </w:rPr>
        <w:t>CĒSNIEKS v. LATVIA</w:t>
      </w:r>
    </w:p>
    <w:p w:rsidR="00406AD9" w:rsidRPr="004218BE" w:rsidRDefault="00406AD9" w:rsidP="00042867">
      <w:pPr>
        <w:jc w:val="center"/>
        <w:rPr>
          <w:lang w:val="en-GB"/>
        </w:rPr>
      </w:pPr>
    </w:p>
    <w:p w:rsidR="00406AD9" w:rsidRPr="004218BE" w:rsidRDefault="00406AD9" w:rsidP="00042867">
      <w:pPr>
        <w:jc w:val="center"/>
        <w:rPr>
          <w:i/>
          <w:lang w:val="en-GB"/>
        </w:rPr>
      </w:pPr>
      <w:r w:rsidRPr="004218BE">
        <w:rPr>
          <w:i/>
          <w:lang w:val="en-GB"/>
        </w:rPr>
        <w:t>(</w:t>
      </w:r>
      <w:r w:rsidRPr="004218BE">
        <w:rPr>
          <w:i/>
          <w:noProof/>
          <w:lang w:val="en-GB"/>
        </w:rPr>
        <w:t xml:space="preserve">Application no. </w:t>
      </w:r>
      <w:r>
        <w:rPr>
          <w:i/>
          <w:noProof/>
          <w:lang w:val="en-GB"/>
        </w:rPr>
        <w:t>9278/06</w:t>
      </w:r>
      <w:r w:rsidRPr="004218BE">
        <w:rPr>
          <w:i/>
          <w:lang w:val="en-GB"/>
        </w:rPr>
        <w:t>)</w:t>
      </w:r>
    </w:p>
    <w:p w:rsidR="00406AD9" w:rsidRPr="004218BE" w:rsidRDefault="00406AD9" w:rsidP="00042867">
      <w:pPr>
        <w:jc w:val="center"/>
        <w:rPr>
          <w:lang w:val="en-GB"/>
        </w:rPr>
      </w:pPr>
    </w:p>
    <w:p w:rsidR="00406AD9" w:rsidRPr="004218BE" w:rsidRDefault="00406AD9" w:rsidP="00042867">
      <w:pPr>
        <w:jc w:val="center"/>
        <w:rPr>
          <w:lang w:val="en-GB"/>
        </w:rPr>
      </w:pPr>
    </w:p>
    <w:p w:rsidR="00406AD9" w:rsidRPr="004218BE" w:rsidRDefault="00406AD9" w:rsidP="00042867">
      <w:pPr>
        <w:jc w:val="center"/>
        <w:rPr>
          <w:lang w:val="en-GB"/>
        </w:rPr>
      </w:pPr>
    </w:p>
    <w:p w:rsidR="00406AD9" w:rsidRPr="004218BE" w:rsidRDefault="00406AD9" w:rsidP="00042867">
      <w:pPr>
        <w:jc w:val="center"/>
        <w:rPr>
          <w:lang w:val="en-GB"/>
        </w:rPr>
      </w:pPr>
    </w:p>
    <w:p w:rsidR="00406AD9" w:rsidRPr="004218BE" w:rsidRDefault="00406AD9" w:rsidP="00042867">
      <w:pPr>
        <w:jc w:val="center"/>
        <w:rPr>
          <w:lang w:val="en-GB"/>
        </w:rPr>
      </w:pPr>
    </w:p>
    <w:p w:rsidR="00406AD9" w:rsidRPr="004218BE" w:rsidRDefault="00406AD9" w:rsidP="00042867">
      <w:pPr>
        <w:jc w:val="center"/>
        <w:rPr>
          <w:lang w:val="en-GB"/>
        </w:rPr>
      </w:pPr>
    </w:p>
    <w:p w:rsidR="00406AD9" w:rsidRPr="00DB7D0C" w:rsidRDefault="00406AD9" w:rsidP="00DB7D0C">
      <w:pPr>
        <w:jc w:val="center"/>
        <w:rPr>
          <w:szCs w:val="24"/>
          <w:lang w:val="en-GB"/>
        </w:rPr>
      </w:pPr>
      <w:r>
        <w:rPr>
          <w:noProof/>
          <w:szCs w:val="24"/>
          <w:lang w:val="en-GB"/>
        </w:rPr>
        <w:t>JUDGMENT</w:t>
      </w:r>
    </w:p>
    <w:p w:rsidR="00406AD9" w:rsidRPr="004218BE" w:rsidRDefault="00406AD9" w:rsidP="00042867">
      <w:pPr>
        <w:rPr>
          <w:szCs w:val="24"/>
          <w:lang w:val="en-GB"/>
        </w:rPr>
      </w:pPr>
    </w:p>
    <w:p w:rsidR="00406AD9" w:rsidRPr="00142C42" w:rsidRDefault="00406AD9" w:rsidP="00562B63">
      <w:pPr>
        <w:rPr>
          <w:rFonts w:eastAsia="Times New Roman"/>
          <w:lang w:val="en-GB"/>
        </w:rPr>
      </w:pPr>
    </w:p>
    <w:p w:rsidR="00406AD9" w:rsidRDefault="00406AD9" w:rsidP="00DB7D0C">
      <w:pPr>
        <w:pStyle w:val="JuCase"/>
        <w:ind w:firstLine="0"/>
        <w:jc w:val="center"/>
        <w:rPr>
          <w:b w:val="0"/>
          <w:lang w:val="en-GB"/>
        </w:rPr>
      </w:pPr>
    </w:p>
    <w:p w:rsidR="00406AD9" w:rsidRDefault="00406AD9" w:rsidP="00DB7D0C">
      <w:pPr>
        <w:pStyle w:val="JuCase"/>
        <w:ind w:firstLine="0"/>
        <w:jc w:val="center"/>
        <w:rPr>
          <w:b w:val="0"/>
          <w:lang w:val="en-GB"/>
        </w:rPr>
      </w:pPr>
    </w:p>
    <w:p w:rsidR="00406AD9" w:rsidRDefault="00406AD9" w:rsidP="00DB7D0C">
      <w:pPr>
        <w:pStyle w:val="JuCase"/>
        <w:ind w:firstLine="0"/>
        <w:jc w:val="center"/>
        <w:rPr>
          <w:b w:val="0"/>
          <w:lang w:val="en-GB"/>
        </w:rPr>
      </w:pPr>
      <w:r>
        <w:rPr>
          <w:b w:val="0"/>
          <w:lang w:val="en-GB"/>
        </w:rPr>
        <w:t>STRASBOURG</w:t>
      </w:r>
    </w:p>
    <w:p w:rsidR="00406AD9" w:rsidRDefault="00406AD9" w:rsidP="00DB7D0C">
      <w:pPr>
        <w:pStyle w:val="JuCase"/>
        <w:ind w:firstLine="0"/>
        <w:jc w:val="center"/>
        <w:rPr>
          <w:b w:val="0"/>
          <w:lang w:val="en-GB"/>
        </w:rPr>
      </w:pPr>
    </w:p>
    <w:p w:rsidR="00406AD9" w:rsidRDefault="00406AD9" w:rsidP="00DB7D0C">
      <w:pPr>
        <w:pStyle w:val="JuCase"/>
        <w:ind w:firstLine="0"/>
        <w:jc w:val="center"/>
        <w:rPr>
          <w:b w:val="0"/>
          <w:lang w:val="en-GB"/>
        </w:rPr>
      </w:pPr>
      <w:r>
        <w:rPr>
          <w:b w:val="0"/>
          <w:lang w:val="en-GB"/>
        </w:rPr>
        <w:t>11 February 2014</w:t>
      </w:r>
    </w:p>
    <w:p w:rsidR="00406AD9" w:rsidRDefault="00406AD9" w:rsidP="00DB7D0C">
      <w:pPr>
        <w:pStyle w:val="JuCase"/>
        <w:ind w:firstLine="0"/>
        <w:jc w:val="center"/>
        <w:rPr>
          <w:b w:val="0"/>
          <w:lang w:val="en-GB"/>
        </w:rPr>
      </w:pPr>
    </w:p>
    <w:p w:rsidR="00406AD9" w:rsidRDefault="00406AD9" w:rsidP="00DB7D0C">
      <w:pPr>
        <w:pStyle w:val="JuCase"/>
        <w:ind w:firstLine="0"/>
        <w:jc w:val="center"/>
        <w:rPr>
          <w:b w:val="0"/>
          <w:lang w:val="en-GB"/>
        </w:rPr>
      </w:pPr>
    </w:p>
    <w:p w:rsidR="00406AD9" w:rsidRPr="00DB7D0C" w:rsidRDefault="00406AD9" w:rsidP="00DB7D0C">
      <w:pPr>
        <w:pStyle w:val="JuCase"/>
        <w:ind w:firstLine="0"/>
        <w:jc w:val="left"/>
        <w:rPr>
          <w:b w:val="0"/>
          <w:lang w:val="en-GB"/>
        </w:rPr>
        <w:sectPr w:rsidR="00406AD9" w:rsidRPr="00DB7D0C" w:rsidSect="00DB7D0C">
          <w:headerReference w:type="default" r:id="rId7"/>
          <w:headerReference w:type="first" r:id="rId8"/>
          <w:footerReference w:type="first" r:id="rId9"/>
          <w:pgSz w:w="11906" w:h="16838" w:code="9"/>
          <w:pgMar w:top="2274" w:right="2274" w:bottom="2274" w:left="2274" w:header="1701" w:footer="720" w:gutter="0"/>
          <w:pgNumType w:start="1"/>
          <w:cols w:space="720"/>
          <w:titlePg/>
          <w:docGrid w:linePitch="326"/>
        </w:sectPr>
      </w:pPr>
      <w:r>
        <w:rPr>
          <w:b w:val="0"/>
          <w:i/>
          <w:sz w:val="22"/>
          <w:lang w:val="en-GB"/>
        </w:rPr>
        <w:t>This judgment will become final in the circumstances set out in Article 44 § 2 of the Convention. It may be subject to editorial revision.</w:t>
      </w:r>
    </w:p>
    <w:p w:rsidR="00406AD9" w:rsidRPr="004218BE" w:rsidRDefault="00406AD9" w:rsidP="00B030BE">
      <w:pPr>
        <w:pStyle w:val="JuCase"/>
        <w:rPr>
          <w:b w:val="0"/>
          <w:bCs/>
          <w:lang w:val="en-GB"/>
        </w:rPr>
      </w:pPr>
      <w:r w:rsidRPr="004218BE">
        <w:rPr>
          <w:lang w:val="en-GB"/>
        </w:rPr>
        <w:t xml:space="preserve">In the case of </w:t>
      </w:r>
      <w:r>
        <w:rPr>
          <w:lang w:val="en-GB"/>
        </w:rPr>
        <w:t>Cēsnieks v. Latvia</w:t>
      </w:r>
      <w:r w:rsidRPr="004218BE">
        <w:rPr>
          <w:lang w:val="en-GB"/>
        </w:rPr>
        <w:t>,</w:t>
      </w:r>
    </w:p>
    <w:p w:rsidR="00406AD9" w:rsidRPr="00562B63" w:rsidRDefault="00406AD9" w:rsidP="00562B63">
      <w:pPr>
        <w:pStyle w:val="ECHRPara"/>
        <w:rPr>
          <w:lang w:val="en-GB" w:eastAsia="fr-FR"/>
        </w:rPr>
      </w:pPr>
      <w:r w:rsidRPr="00562B63">
        <w:rPr>
          <w:lang w:val="en-GB" w:eastAsia="fr-FR"/>
        </w:rPr>
        <w:t>The European Court of Human Rights (Fourth Section), sitting as a Chamber composed of:</w:t>
      </w:r>
    </w:p>
    <w:p w:rsidR="00406AD9" w:rsidRPr="00DB7D0C" w:rsidRDefault="00406AD9" w:rsidP="008824B9">
      <w:pPr>
        <w:pStyle w:val="ECHRDecisionBody"/>
        <w:rPr>
          <w:lang w:val="en-US"/>
        </w:rPr>
      </w:pPr>
      <w:r w:rsidRPr="00DB7D0C">
        <w:rPr>
          <w:lang w:val="en-US"/>
        </w:rPr>
        <w:tab/>
        <w:t>Päivi Hirvelä,</w:t>
      </w:r>
      <w:r w:rsidRPr="00DB7D0C">
        <w:rPr>
          <w:i/>
          <w:lang w:val="en-US"/>
        </w:rPr>
        <w:t xml:space="preserve"> President,</w:t>
      </w:r>
      <w:r w:rsidRPr="00DB7D0C">
        <w:rPr>
          <w:i/>
          <w:lang w:val="en-US"/>
        </w:rPr>
        <w:br/>
      </w:r>
      <w:r w:rsidRPr="00DB7D0C">
        <w:rPr>
          <w:lang w:val="en-US"/>
        </w:rPr>
        <w:tab/>
        <w:t>Ineta Ziemele,</w:t>
      </w:r>
      <w:r w:rsidRPr="00DB7D0C">
        <w:rPr>
          <w:i/>
          <w:lang w:val="en-US"/>
        </w:rPr>
        <w:br/>
      </w:r>
      <w:r w:rsidRPr="00DB7D0C">
        <w:rPr>
          <w:lang w:val="en-US"/>
        </w:rPr>
        <w:tab/>
        <w:t>Ledi Bianku,</w:t>
      </w:r>
      <w:r w:rsidRPr="00DB7D0C">
        <w:rPr>
          <w:i/>
          <w:lang w:val="en-US"/>
        </w:rPr>
        <w:br/>
      </w:r>
      <w:r>
        <w:rPr>
          <w:lang w:val="en-US"/>
        </w:rPr>
        <w:tab/>
        <w:t>Vincent A. D</w:t>
      </w:r>
      <w:r w:rsidRPr="00DB7D0C">
        <w:rPr>
          <w:lang w:val="en-US"/>
        </w:rPr>
        <w:t>e Gaetano,</w:t>
      </w:r>
      <w:r w:rsidRPr="00DB7D0C">
        <w:rPr>
          <w:i/>
          <w:lang w:val="en-US"/>
        </w:rPr>
        <w:br/>
      </w:r>
      <w:r w:rsidRPr="00DB7D0C">
        <w:rPr>
          <w:lang w:val="en-US"/>
        </w:rPr>
        <w:tab/>
        <w:t>Paul Mahoney,</w:t>
      </w:r>
      <w:r w:rsidRPr="00DB7D0C">
        <w:rPr>
          <w:i/>
          <w:lang w:val="en-US"/>
        </w:rPr>
        <w:br/>
      </w:r>
      <w:r w:rsidRPr="00DB7D0C">
        <w:rPr>
          <w:lang w:val="en-US"/>
        </w:rPr>
        <w:tab/>
        <w:t>Faris Vehabović,</w:t>
      </w:r>
      <w:r w:rsidRPr="00DB7D0C">
        <w:rPr>
          <w:i/>
          <w:lang w:val="en-US"/>
        </w:rPr>
        <w:br/>
      </w:r>
      <w:r w:rsidRPr="00DB7D0C">
        <w:rPr>
          <w:lang w:val="en-US"/>
        </w:rPr>
        <w:tab/>
        <w:t>Robert Spano,</w:t>
      </w:r>
      <w:r w:rsidRPr="00DB7D0C">
        <w:rPr>
          <w:i/>
          <w:lang w:val="en-US"/>
        </w:rPr>
        <w:t xml:space="preserve"> judges,</w:t>
      </w:r>
      <w:r w:rsidRPr="00DB7D0C">
        <w:rPr>
          <w:szCs w:val="24"/>
          <w:lang w:val="en-US"/>
        </w:rPr>
        <w:br/>
      </w:r>
      <w:r w:rsidRPr="00DB7D0C">
        <w:rPr>
          <w:lang w:val="en-US"/>
        </w:rPr>
        <w:t xml:space="preserve">and </w:t>
      </w:r>
      <w:r w:rsidRPr="00DB7D0C">
        <w:rPr>
          <w:noProof/>
          <w:lang w:val="en-US"/>
        </w:rPr>
        <w:t>Françoise Elens-Passos</w:t>
      </w:r>
      <w:r w:rsidRPr="00DB7D0C">
        <w:rPr>
          <w:rStyle w:val="JuJudgesChar"/>
          <w:lang w:val="en-US"/>
        </w:rPr>
        <w:t xml:space="preserve">, </w:t>
      </w:r>
      <w:r w:rsidRPr="00DB7D0C">
        <w:rPr>
          <w:i/>
          <w:noProof/>
          <w:lang w:val="en-US"/>
        </w:rPr>
        <w:t xml:space="preserve">Section </w:t>
      </w:r>
      <w:r w:rsidRPr="00DB7D0C">
        <w:rPr>
          <w:i/>
          <w:iCs/>
          <w:noProof/>
          <w:lang w:val="en-US"/>
        </w:rPr>
        <w:t>Registrar</w:t>
      </w:r>
      <w:r w:rsidRPr="00DB7D0C">
        <w:rPr>
          <w:lang w:val="en-US"/>
        </w:rPr>
        <w:t>,</w:t>
      </w:r>
    </w:p>
    <w:p w:rsidR="00406AD9" w:rsidRPr="004218BE" w:rsidRDefault="00406AD9" w:rsidP="002F4BCF">
      <w:pPr>
        <w:pStyle w:val="ECHRPara"/>
        <w:rPr>
          <w:lang w:val="en-GB"/>
        </w:rPr>
      </w:pPr>
      <w:r w:rsidRPr="004218BE">
        <w:rPr>
          <w:lang w:val="en-GB"/>
        </w:rPr>
        <w:t xml:space="preserve">Having deliberated in private on </w:t>
      </w:r>
      <w:r>
        <w:rPr>
          <w:lang w:val="en-GB"/>
        </w:rPr>
        <w:t>21 January 2014</w:t>
      </w:r>
      <w:r w:rsidRPr="004218BE">
        <w:rPr>
          <w:lang w:val="en-GB"/>
        </w:rPr>
        <w:t>,</w:t>
      </w:r>
    </w:p>
    <w:p w:rsidR="00406AD9" w:rsidRPr="004218BE" w:rsidRDefault="00406AD9" w:rsidP="002F4BCF">
      <w:pPr>
        <w:pStyle w:val="ECHRPara"/>
        <w:rPr>
          <w:lang w:val="en-GB"/>
        </w:rPr>
      </w:pPr>
      <w:r w:rsidRPr="004218BE">
        <w:rPr>
          <w:lang w:val="en-GB"/>
        </w:rPr>
        <w:t>Delivers the following judgment, which was adopted on that date:</w:t>
      </w:r>
    </w:p>
    <w:p w:rsidR="00406AD9" w:rsidRPr="004218BE" w:rsidRDefault="00406AD9" w:rsidP="008824B9">
      <w:pPr>
        <w:pStyle w:val="ECHRTitle1"/>
        <w:rPr>
          <w:lang w:val="en-GB"/>
        </w:rPr>
      </w:pPr>
      <w:r w:rsidRPr="004218BE">
        <w:rPr>
          <w:lang w:val="en-GB"/>
        </w:rPr>
        <w:t>PROCEDURE</w:t>
      </w:r>
    </w:p>
    <w:p w:rsidR="00406AD9" w:rsidRDefault="00406AD9" w:rsidP="00893782">
      <w:pPr>
        <w:pStyle w:val="ECHRPara"/>
        <w:rPr>
          <w:lang w:val="en-GB"/>
        </w:rPr>
      </w:pPr>
      <w:r>
        <w:rPr>
          <w:lang w:val="en-GB"/>
        </w:rPr>
        <w:fldChar w:fldCharType="begin"/>
      </w:r>
      <w:r>
        <w:rPr>
          <w:lang w:val="en-GB"/>
        </w:rPr>
        <w:instrText xml:space="preserve"> SEQ level0 \*arabic </w:instrText>
      </w:r>
      <w:r>
        <w:rPr>
          <w:lang w:val="en-GB"/>
        </w:rPr>
        <w:fldChar w:fldCharType="separate"/>
      </w:r>
      <w:r>
        <w:rPr>
          <w:noProof/>
          <w:lang w:val="en-GB"/>
        </w:rPr>
        <w:t>1</w:t>
      </w:r>
      <w:r>
        <w:rPr>
          <w:lang w:val="en-GB"/>
        </w:rPr>
        <w:fldChar w:fldCharType="end"/>
      </w:r>
      <w:r w:rsidRPr="004218BE">
        <w:rPr>
          <w:lang w:val="en-GB"/>
        </w:rPr>
        <w:t xml:space="preserve">.  The case originated in </w:t>
      </w:r>
      <w:r w:rsidRPr="004218BE">
        <w:rPr>
          <w:noProof/>
          <w:lang w:val="en-GB"/>
        </w:rPr>
        <w:t xml:space="preserve">an application (no. </w:t>
      </w:r>
      <w:r>
        <w:rPr>
          <w:noProof/>
          <w:lang w:val="en-GB"/>
        </w:rPr>
        <w:t>9278/06</w:t>
      </w:r>
      <w:r w:rsidRPr="004218BE">
        <w:rPr>
          <w:noProof/>
          <w:lang w:val="en-GB"/>
        </w:rPr>
        <w:t>)</w:t>
      </w:r>
      <w:r w:rsidRPr="004218BE">
        <w:rPr>
          <w:lang w:val="en-GB"/>
        </w:rPr>
        <w:t xml:space="preserve"> against </w:t>
      </w:r>
      <w:r>
        <w:rPr>
          <w:lang w:val="en-GB"/>
        </w:rPr>
        <w:t>the Republic of Latvia</w:t>
      </w:r>
      <w:r w:rsidRPr="004218BE">
        <w:rPr>
          <w:lang w:val="en-GB"/>
        </w:rPr>
        <w:t xml:space="preserve"> lodged with the </w:t>
      </w:r>
      <w:r w:rsidRPr="004218BE">
        <w:rPr>
          <w:noProof/>
          <w:lang w:val="en-GB"/>
        </w:rPr>
        <w:t>Court under Article 34</w:t>
      </w:r>
      <w:r w:rsidRPr="004218BE">
        <w:rPr>
          <w:lang w:val="en-GB"/>
        </w:rPr>
        <w:t xml:space="preserve"> of the Convention for the Protection of Human Rights and Fundamental Freedoms (“the Convention”) by </w:t>
      </w:r>
      <w:r w:rsidRPr="004218BE">
        <w:rPr>
          <w:noProof/>
          <w:lang w:val="en-GB"/>
        </w:rPr>
        <w:t xml:space="preserve">a </w:t>
      </w:r>
      <w:r>
        <w:rPr>
          <w:noProof/>
          <w:lang w:val="en-GB"/>
        </w:rPr>
        <w:t>Latvian</w:t>
      </w:r>
      <w:r w:rsidRPr="00B134ED">
        <w:rPr>
          <w:noProof/>
        </w:rPr>
        <w:t xml:space="preserve"> </w:t>
      </w:r>
      <w:r w:rsidRPr="004218BE">
        <w:rPr>
          <w:noProof/>
          <w:lang w:val="en-GB"/>
        </w:rPr>
        <w:t xml:space="preserve">national, </w:t>
      </w:r>
      <w:r>
        <w:rPr>
          <w:noProof/>
          <w:lang w:val="en-GB"/>
        </w:rPr>
        <w:t>Mr</w:t>
      </w:r>
      <w:r w:rsidRPr="004218BE">
        <w:rPr>
          <w:noProof/>
          <w:lang w:val="en-GB"/>
        </w:rPr>
        <w:t xml:space="preserve"> </w:t>
      </w:r>
      <w:r>
        <w:rPr>
          <w:noProof/>
          <w:lang w:val="en-GB"/>
        </w:rPr>
        <w:t>Valters</w:t>
      </w:r>
      <w:r w:rsidRPr="004218BE">
        <w:rPr>
          <w:noProof/>
          <w:lang w:val="en-GB"/>
        </w:rPr>
        <w:t xml:space="preserve"> </w:t>
      </w:r>
      <w:r>
        <w:rPr>
          <w:noProof/>
          <w:lang w:val="en-GB"/>
        </w:rPr>
        <w:t>Cēsnieks</w:t>
      </w:r>
      <w:r w:rsidRPr="004218BE">
        <w:rPr>
          <w:noProof/>
          <w:lang w:val="en-GB"/>
        </w:rPr>
        <w:t xml:space="preserve"> (“the applicant”), on </w:t>
      </w:r>
      <w:r>
        <w:rPr>
          <w:noProof/>
          <w:lang w:val="en-GB"/>
        </w:rPr>
        <w:t>26 January 2006</w:t>
      </w:r>
      <w:r w:rsidRPr="004218BE">
        <w:rPr>
          <w:lang w:val="en-GB"/>
        </w:rPr>
        <w:t>.</w:t>
      </w:r>
    </w:p>
    <w:p w:rsidR="00406AD9" w:rsidRPr="004218BE" w:rsidRDefault="00406AD9" w:rsidP="002F4BCF">
      <w:pPr>
        <w:pStyle w:val="ECHRPara"/>
        <w:rPr>
          <w:noProof/>
          <w:lang w:val="en-GB"/>
        </w:rPr>
      </w:pPr>
      <w:r>
        <w:rPr>
          <w:lang w:val="en-GB"/>
        </w:rPr>
        <w:fldChar w:fldCharType="begin"/>
      </w:r>
      <w:r>
        <w:rPr>
          <w:lang w:val="en-GB"/>
        </w:rPr>
        <w:instrText xml:space="preserve"> SEQ level0 \*arabic </w:instrText>
      </w:r>
      <w:r>
        <w:rPr>
          <w:lang w:val="en-GB"/>
        </w:rPr>
        <w:fldChar w:fldCharType="separate"/>
      </w:r>
      <w:r>
        <w:rPr>
          <w:noProof/>
          <w:lang w:val="en-GB"/>
        </w:rPr>
        <w:t>2</w:t>
      </w:r>
      <w:r>
        <w:rPr>
          <w:lang w:val="en-GB"/>
        </w:rPr>
        <w:fldChar w:fldCharType="end"/>
      </w:r>
      <w:r w:rsidRPr="004218BE">
        <w:rPr>
          <w:lang w:val="en-GB"/>
        </w:rPr>
        <w:t>.  </w:t>
      </w:r>
      <w:r w:rsidRPr="004218BE">
        <w:rPr>
          <w:noProof/>
          <w:lang w:val="en-GB"/>
        </w:rPr>
        <w:t xml:space="preserve">The applicant was represented by </w:t>
      </w:r>
      <w:r>
        <w:rPr>
          <w:noProof/>
          <w:lang w:val="en-GB"/>
        </w:rPr>
        <w:t>Ms</w:t>
      </w:r>
      <w:r w:rsidRPr="004218BE">
        <w:rPr>
          <w:noProof/>
          <w:lang w:val="en-GB"/>
        </w:rPr>
        <w:t xml:space="preserve"> </w:t>
      </w:r>
      <w:r>
        <w:rPr>
          <w:noProof/>
          <w:lang w:val="en-GB"/>
        </w:rPr>
        <w:t>J.</w:t>
      </w:r>
      <w:r w:rsidRPr="004218BE">
        <w:rPr>
          <w:noProof/>
          <w:lang w:val="en-GB"/>
        </w:rPr>
        <w:t xml:space="preserve"> </w:t>
      </w:r>
      <w:r>
        <w:rPr>
          <w:noProof/>
          <w:lang w:val="en-GB"/>
        </w:rPr>
        <w:t>Kvjatkovska</w:t>
      </w:r>
      <w:r w:rsidRPr="004218BE">
        <w:rPr>
          <w:noProof/>
          <w:lang w:val="en-GB"/>
        </w:rPr>
        <w:t xml:space="preserve">, a lawyer practising in </w:t>
      </w:r>
      <w:r>
        <w:rPr>
          <w:noProof/>
          <w:lang w:val="en-GB"/>
        </w:rPr>
        <w:t>Riga</w:t>
      </w:r>
      <w:r w:rsidRPr="004218BE">
        <w:rPr>
          <w:noProof/>
          <w:lang w:val="en-GB"/>
        </w:rPr>
        <w:t xml:space="preserve">. </w:t>
      </w:r>
      <w:r w:rsidRPr="004218BE">
        <w:rPr>
          <w:lang w:val="en-GB"/>
        </w:rPr>
        <w:t xml:space="preserve">The </w:t>
      </w:r>
      <w:r>
        <w:rPr>
          <w:lang w:val="en-GB"/>
        </w:rPr>
        <w:t>Latvian</w:t>
      </w:r>
      <w:r w:rsidRPr="004218BE">
        <w:rPr>
          <w:lang w:val="en-GB"/>
        </w:rPr>
        <w:t xml:space="preserve"> Government (“the Government”) </w:t>
      </w:r>
      <w:r>
        <w:rPr>
          <w:lang w:val="en-GB"/>
        </w:rPr>
        <w:t>were represented by their Agent at the time</w:t>
      </w:r>
      <w:r w:rsidRPr="004218BE">
        <w:rPr>
          <w:lang w:val="en-GB"/>
        </w:rPr>
        <w:t xml:space="preserve"> Ms </w:t>
      </w:r>
      <w:r w:rsidRPr="00990976">
        <w:t>I. Reine</w:t>
      </w:r>
      <w:r>
        <w:t xml:space="preserve"> and </w:t>
      </w:r>
      <w:r w:rsidRPr="000B5890">
        <w:t>subsequently by Ms</w:t>
      </w:r>
      <w:r>
        <w:t> </w:t>
      </w:r>
      <w:r w:rsidRPr="000B5890">
        <w:t>K. Līce</w:t>
      </w:r>
      <w:r w:rsidRPr="004218BE">
        <w:rPr>
          <w:lang w:val="en-GB"/>
        </w:rPr>
        <w:t>.</w:t>
      </w:r>
    </w:p>
    <w:p w:rsidR="00406AD9" w:rsidRDefault="00406AD9" w:rsidP="00ED2594">
      <w:pPr>
        <w:pStyle w:val="ECHRPara"/>
      </w:pPr>
      <w:r>
        <w:rPr>
          <w:noProof/>
          <w:lang w:val="en-GB"/>
        </w:rPr>
        <w:fldChar w:fldCharType="begin"/>
      </w:r>
      <w:r>
        <w:rPr>
          <w:noProof/>
          <w:lang w:val="en-GB"/>
        </w:rPr>
        <w:instrText xml:space="preserve"> SEQ level0 \*arabic </w:instrText>
      </w:r>
      <w:r>
        <w:rPr>
          <w:noProof/>
          <w:lang w:val="en-GB"/>
        </w:rPr>
        <w:fldChar w:fldCharType="separate"/>
      </w:r>
      <w:r>
        <w:rPr>
          <w:noProof/>
          <w:lang w:val="en-GB"/>
        </w:rPr>
        <w:t>3</w:t>
      </w:r>
      <w:r>
        <w:rPr>
          <w:noProof/>
          <w:lang w:val="en-GB"/>
        </w:rPr>
        <w:fldChar w:fldCharType="end"/>
      </w:r>
      <w:r w:rsidRPr="004218BE">
        <w:rPr>
          <w:noProof/>
          <w:lang w:val="en-GB"/>
        </w:rPr>
        <w:t>.  The applicant alleged, in particular,</w:t>
      </w:r>
      <w:r>
        <w:rPr>
          <w:noProof/>
          <w:lang w:val="en-GB"/>
        </w:rPr>
        <w:t xml:space="preserve"> </w:t>
      </w:r>
      <w:r w:rsidRPr="007C0735">
        <w:t xml:space="preserve">that </w:t>
      </w:r>
      <w:r>
        <w:t>after he had appeared at the State Police station on</w:t>
      </w:r>
      <w:r w:rsidRPr="007C0735">
        <w:t xml:space="preserve"> </w:t>
      </w:r>
      <w:r>
        <w:t>21</w:t>
      </w:r>
      <w:r w:rsidRPr="007C0735">
        <w:t xml:space="preserve"> </w:t>
      </w:r>
      <w:r>
        <w:t>March</w:t>
      </w:r>
      <w:r w:rsidRPr="007C0735">
        <w:t xml:space="preserve"> 200</w:t>
      </w:r>
      <w:r>
        <w:t xml:space="preserve">2 police officers had subjected him to treatment in violation of Article 3 of the Convention, and </w:t>
      </w:r>
      <w:r w:rsidRPr="007C0735">
        <w:t>that there had been no effecti</w:t>
      </w:r>
      <w:r>
        <w:t xml:space="preserve">ve investigation into the alleged ill-treatment, </w:t>
      </w:r>
      <w:r w:rsidRPr="00980DB0">
        <w:t>in breach of Article 13 of the Convention. The applicant further claimed that evidence obtained in violation of Article 3 had been used at</w:t>
      </w:r>
      <w:r w:rsidRPr="00DF568B">
        <w:t xml:space="preserve"> his trial</w:t>
      </w:r>
      <w:r>
        <w:t>,</w:t>
      </w:r>
      <w:r w:rsidRPr="00DF568B">
        <w:t xml:space="preserve"> </w:t>
      </w:r>
      <w:r>
        <w:t>in breach of</w:t>
      </w:r>
      <w:r w:rsidRPr="00DF568B">
        <w:t xml:space="preserve"> his right to a fair trial guaranteed by Article 6</w:t>
      </w:r>
      <w:r>
        <w:t xml:space="preserve"> § 1.</w:t>
      </w:r>
    </w:p>
    <w:p w:rsidR="00406AD9" w:rsidRDefault="00406AD9" w:rsidP="00ED2594">
      <w:pPr>
        <w:pStyle w:val="ECHRPara"/>
      </w:pPr>
      <w:fldSimple w:instr=" SEQ level0 \*arabic ">
        <w:r>
          <w:rPr>
            <w:noProof/>
          </w:rPr>
          <w:t>4</w:t>
        </w:r>
      </w:fldSimple>
      <w:r>
        <w:t>.  </w:t>
      </w:r>
      <w:r w:rsidRPr="004218BE">
        <w:rPr>
          <w:lang w:val="en-GB"/>
        </w:rPr>
        <w:t xml:space="preserve">On </w:t>
      </w:r>
      <w:r>
        <w:rPr>
          <w:noProof/>
          <w:szCs w:val="24"/>
          <w:lang w:val="en-GB"/>
        </w:rPr>
        <w:t>8 March 2010</w:t>
      </w:r>
      <w:r w:rsidRPr="004218BE">
        <w:rPr>
          <w:lang w:val="en-GB"/>
        </w:rPr>
        <w:t xml:space="preserve"> the </w:t>
      </w:r>
      <w:r w:rsidRPr="004218BE">
        <w:rPr>
          <w:noProof/>
          <w:lang w:val="en-GB"/>
        </w:rPr>
        <w:t xml:space="preserve">application was </w:t>
      </w:r>
      <w:r w:rsidRPr="004218BE">
        <w:rPr>
          <w:lang w:val="en-GB"/>
        </w:rPr>
        <w:t>communicated to the Government.</w:t>
      </w:r>
    </w:p>
    <w:p w:rsidR="00406AD9" w:rsidRPr="00DF568B" w:rsidRDefault="00406AD9" w:rsidP="00BD05AF">
      <w:pPr>
        <w:pStyle w:val="ECHRPara"/>
      </w:pPr>
      <w:r>
        <w:rPr>
          <w:lang w:val="en-GB"/>
        </w:rPr>
        <w:fldChar w:fldCharType="begin"/>
      </w:r>
      <w:r>
        <w:rPr>
          <w:lang w:val="en-GB"/>
        </w:rPr>
        <w:instrText xml:space="preserve"> SEQ level0 \*arabic </w:instrText>
      </w:r>
      <w:r>
        <w:rPr>
          <w:lang w:val="en-GB"/>
        </w:rPr>
        <w:fldChar w:fldCharType="separate"/>
      </w:r>
      <w:r>
        <w:rPr>
          <w:noProof/>
          <w:lang w:val="en-GB"/>
        </w:rPr>
        <w:t>5</w:t>
      </w:r>
      <w:r>
        <w:rPr>
          <w:lang w:val="en-GB"/>
        </w:rPr>
        <w:fldChar w:fldCharType="end"/>
      </w:r>
      <w:r w:rsidRPr="004218BE">
        <w:rPr>
          <w:lang w:val="en-GB"/>
        </w:rPr>
        <w:t>.  </w:t>
      </w:r>
      <w:r>
        <w:t xml:space="preserve">On 6 March 2012 the Court took </w:t>
      </w:r>
      <w:r w:rsidRPr="004418ED">
        <w:t>note of the</w:t>
      </w:r>
      <w:r>
        <w:t xml:space="preserve"> unilateral declaration submitted by the respondent Government and the applicant’s acceptance of its terms and decided </w:t>
      </w:r>
      <w:r w:rsidRPr="008F1E1E">
        <w:t>to strike the complaints under Articles 3 and 13 out of the list</w:t>
      </w:r>
      <w:r>
        <w:t xml:space="preserve"> (see </w:t>
      </w:r>
      <w:r w:rsidRPr="0009289F">
        <w:rPr>
          <w:i/>
          <w:lang w:val="en-GB"/>
        </w:rPr>
        <w:t>Cesnieks v. Latvia</w:t>
      </w:r>
      <w:r w:rsidRPr="0009289F">
        <w:rPr>
          <w:lang w:val="en-GB"/>
        </w:rPr>
        <w:t xml:space="preserve"> </w:t>
      </w:r>
      <w:r>
        <w:rPr>
          <w:lang w:val="en-GB"/>
        </w:rPr>
        <w:t xml:space="preserve">(dec.) </w:t>
      </w:r>
      <w:r w:rsidRPr="0009289F">
        <w:rPr>
          <w:lang w:val="en-GB"/>
        </w:rPr>
        <w:t>(par</w:t>
      </w:r>
      <w:r>
        <w:rPr>
          <w:lang w:val="en-GB"/>
        </w:rPr>
        <w:t>tial</w:t>
      </w:r>
      <w:r w:rsidRPr="0009289F">
        <w:rPr>
          <w:lang w:val="en-GB"/>
        </w:rPr>
        <w:t xml:space="preserve"> striking out), no.</w:t>
      </w:r>
      <w:r>
        <w:rPr>
          <w:lang w:val="en-GB"/>
        </w:rPr>
        <w:t> 9278/06, §§ 2-25, 30 and 38, 6 </w:t>
      </w:r>
      <w:r w:rsidRPr="0009289F">
        <w:rPr>
          <w:lang w:val="en-GB"/>
        </w:rPr>
        <w:t>March 2012)</w:t>
      </w:r>
      <w:r w:rsidRPr="008F1E1E">
        <w:t>.</w:t>
      </w:r>
      <w:r>
        <w:t xml:space="preserve"> </w:t>
      </w:r>
      <w:r w:rsidRPr="008F1E1E">
        <w:t xml:space="preserve">The examination of the remainder of the application </w:t>
      </w:r>
      <w:r>
        <w:t>under</w:t>
      </w:r>
      <w:r w:rsidRPr="00534E48">
        <w:t xml:space="preserve"> Article 6 </w:t>
      </w:r>
      <w:r>
        <w:t>§ 1 was adjourned. This part of the application is examined in the present judgment.</w:t>
      </w:r>
    </w:p>
    <w:p w:rsidR="00406AD9" w:rsidRPr="004218BE" w:rsidRDefault="00406AD9" w:rsidP="008824B9">
      <w:pPr>
        <w:pStyle w:val="ECHRTitle1"/>
        <w:rPr>
          <w:lang w:val="en-GB"/>
        </w:rPr>
      </w:pPr>
      <w:r w:rsidRPr="004218BE">
        <w:rPr>
          <w:lang w:val="en-GB"/>
        </w:rPr>
        <w:t>THE FACTS</w:t>
      </w:r>
    </w:p>
    <w:p w:rsidR="00406AD9" w:rsidRPr="004218BE" w:rsidRDefault="00406AD9" w:rsidP="008824B9">
      <w:pPr>
        <w:pStyle w:val="ECHRHeading1"/>
        <w:rPr>
          <w:lang w:val="en-GB"/>
        </w:rPr>
      </w:pPr>
      <w:r w:rsidRPr="004218BE">
        <w:rPr>
          <w:lang w:val="en-GB"/>
        </w:rPr>
        <w:t>I.  THE CIRCUMSTANCES OF THE CASE</w:t>
      </w:r>
    </w:p>
    <w:p w:rsidR="00406AD9" w:rsidRDefault="00406AD9" w:rsidP="002F4BCF">
      <w:pPr>
        <w:pStyle w:val="ECHRPara"/>
        <w:rPr>
          <w:lang w:val="en-GB"/>
        </w:rPr>
      </w:pPr>
      <w:r>
        <w:rPr>
          <w:lang w:val="en-GB"/>
        </w:rPr>
        <w:fldChar w:fldCharType="begin"/>
      </w:r>
      <w:r>
        <w:rPr>
          <w:lang w:val="en-GB"/>
        </w:rPr>
        <w:instrText xml:space="preserve"> SEQ level0 \*arabic </w:instrText>
      </w:r>
      <w:r>
        <w:rPr>
          <w:lang w:val="en-GB"/>
        </w:rPr>
        <w:fldChar w:fldCharType="separate"/>
      </w:r>
      <w:r>
        <w:rPr>
          <w:noProof/>
          <w:lang w:val="en-GB"/>
        </w:rPr>
        <w:t>6</w:t>
      </w:r>
      <w:r>
        <w:rPr>
          <w:lang w:val="en-GB"/>
        </w:rPr>
        <w:fldChar w:fldCharType="end"/>
      </w:r>
      <w:r w:rsidRPr="004218BE">
        <w:rPr>
          <w:lang w:val="en-GB"/>
        </w:rPr>
        <w:t xml:space="preserve">.  The </w:t>
      </w:r>
      <w:r w:rsidRPr="004218BE">
        <w:rPr>
          <w:noProof/>
          <w:lang w:val="en-GB"/>
        </w:rPr>
        <w:t xml:space="preserve">applicant was born in </w:t>
      </w:r>
      <w:r>
        <w:rPr>
          <w:noProof/>
          <w:lang w:val="en-GB"/>
        </w:rPr>
        <w:t>1975</w:t>
      </w:r>
      <w:r w:rsidRPr="004218BE">
        <w:rPr>
          <w:noProof/>
          <w:lang w:val="en-GB"/>
        </w:rPr>
        <w:t xml:space="preserve"> and </w:t>
      </w:r>
      <w:r>
        <w:rPr>
          <w:noProof/>
          <w:lang w:val="en-GB"/>
        </w:rPr>
        <w:t xml:space="preserve">is detained currently in </w:t>
      </w:r>
      <w:r w:rsidRPr="00B50FC2">
        <w:rPr>
          <w:noProof/>
          <w:lang w:val="en-GB"/>
        </w:rPr>
        <w:t>Matīsa Prison</w:t>
      </w:r>
      <w:r w:rsidRPr="004218BE">
        <w:rPr>
          <w:lang w:val="en-GB"/>
        </w:rPr>
        <w:t>.</w:t>
      </w:r>
      <w:r>
        <w:rPr>
          <w:lang w:val="en-GB"/>
        </w:rPr>
        <w:t xml:space="preserve"> The relevant facts of the case, as submitted by the parties, may be summarised as follows.</w:t>
      </w:r>
    </w:p>
    <w:p w:rsidR="00406AD9" w:rsidRPr="006C6A19" w:rsidRDefault="00406AD9" w:rsidP="00410754">
      <w:pPr>
        <w:pStyle w:val="ECHRHeading2"/>
        <w:rPr>
          <w:lang w:val="en-GB"/>
        </w:rPr>
      </w:pPr>
      <w:r w:rsidRPr="006C6A19">
        <w:rPr>
          <w:lang w:val="en-GB"/>
        </w:rPr>
        <w:t>A.  </w:t>
      </w:r>
      <w:r>
        <w:rPr>
          <w:lang w:val="en-GB"/>
        </w:rPr>
        <w:t>Ill-treatment</w:t>
      </w:r>
    </w:p>
    <w:p w:rsidR="00406AD9" w:rsidRPr="0009289F" w:rsidRDefault="00406AD9" w:rsidP="0009289F">
      <w:pPr>
        <w:pStyle w:val="ECHRPara"/>
        <w:rPr>
          <w:lang w:val="en-GB"/>
        </w:rPr>
      </w:pPr>
      <w:r>
        <w:rPr>
          <w:lang w:val="en-GB"/>
        </w:rPr>
        <w:fldChar w:fldCharType="begin"/>
      </w:r>
      <w:r>
        <w:rPr>
          <w:lang w:val="en-GB"/>
        </w:rPr>
        <w:instrText xml:space="preserve"> SEQ level0 \*arabic </w:instrText>
      </w:r>
      <w:r>
        <w:rPr>
          <w:lang w:val="en-GB"/>
        </w:rPr>
        <w:fldChar w:fldCharType="separate"/>
      </w:r>
      <w:r>
        <w:rPr>
          <w:noProof/>
          <w:lang w:val="en-GB"/>
        </w:rPr>
        <w:t>7</w:t>
      </w:r>
      <w:r>
        <w:rPr>
          <w:lang w:val="en-GB"/>
        </w:rPr>
        <w:fldChar w:fldCharType="end"/>
      </w:r>
      <w:r>
        <w:rPr>
          <w:lang w:val="en-GB"/>
        </w:rPr>
        <w:t>.  </w:t>
      </w:r>
      <w:r w:rsidRPr="0009289F">
        <w:rPr>
          <w:lang w:val="en-GB"/>
        </w:rPr>
        <w:t xml:space="preserve">On 21 March 2002 the State Police </w:t>
      </w:r>
      <w:r>
        <w:rPr>
          <w:lang w:val="en-GB"/>
        </w:rPr>
        <w:t>telephoned</w:t>
      </w:r>
      <w:r w:rsidRPr="0009289F">
        <w:rPr>
          <w:lang w:val="en-GB"/>
        </w:rPr>
        <w:t xml:space="preserve"> the applicant and asked </w:t>
      </w:r>
      <w:r>
        <w:rPr>
          <w:lang w:val="en-GB"/>
        </w:rPr>
        <w:t xml:space="preserve">him </w:t>
      </w:r>
      <w:r w:rsidRPr="0009289F">
        <w:rPr>
          <w:lang w:val="en-GB"/>
        </w:rPr>
        <w:t xml:space="preserve">to appear at their </w:t>
      </w:r>
      <w:r>
        <w:rPr>
          <w:lang w:val="en-GB"/>
        </w:rPr>
        <w:t>station</w:t>
      </w:r>
      <w:r w:rsidRPr="0009289F">
        <w:rPr>
          <w:lang w:val="en-GB"/>
        </w:rPr>
        <w:t xml:space="preserve">. </w:t>
      </w:r>
      <w:r>
        <w:rPr>
          <w:lang w:val="en-GB"/>
        </w:rPr>
        <w:t>According to the applicant, at</w:t>
      </w:r>
      <w:r w:rsidRPr="0009289F">
        <w:rPr>
          <w:lang w:val="en-GB"/>
        </w:rPr>
        <w:t xml:space="preserve"> the State Police</w:t>
      </w:r>
      <w:r>
        <w:rPr>
          <w:lang w:val="en-GB"/>
        </w:rPr>
        <w:t xml:space="preserve"> station</w:t>
      </w:r>
      <w:r w:rsidRPr="0009289F">
        <w:rPr>
          <w:lang w:val="en-GB"/>
        </w:rPr>
        <w:t xml:space="preserve">, prior to any formal charges being laid against </w:t>
      </w:r>
      <w:r>
        <w:rPr>
          <w:lang w:val="en-GB"/>
        </w:rPr>
        <w:t>him</w:t>
      </w:r>
      <w:r w:rsidRPr="0009289F">
        <w:rPr>
          <w:lang w:val="en-GB"/>
        </w:rPr>
        <w:t>, he was accused of murder</w:t>
      </w:r>
      <w:r>
        <w:rPr>
          <w:lang w:val="en-GB"/>
        </w:rPr>
        <w:t>ing</w:t>
      </w:r>
      <w:r w:rsidRPr="0009289F">
        <w:rPr>
          <w:lang w:val="en-GB"/>
        </w:rPr>
        <w:t xml:space="preserve"> Ģ</w:t>
      </w:r>
      <w:r>
        <w:rPr>
          <w:lang w:val="en-GB"/>
        </w:rPr>
        <w:t>.</w:t>
      </w:r>
      <w:r w:rsidRPr="0009289F">
        <w:rPr>
          <w:lang w:val="en-GB"/>
        </w:rPr>
        <w:t xml:space="preserve">Č. The police officers used physical force </w:t>
      </w:r>
      <w:r>
        <w:rPr>
          <w:lang w:val="en-GB"/>
        </w:rPr>
        <w:t>against</w:t>
      </w:r>
      <w:r w:rsidRPr="0009289F">
        <w:rPr>
          <w:lang w:val="en-GB"/>
        </w:rPr>
        <w:t xml:space="preserve"> him in order to obtain a confession to the crime.</w:t>
      </w:r>
      <w:r>
        <w:rPr>
          <w:lang w:val="en-GB"/>
        </w:rPr>
        <w:t xml:space="preserve"> </w:t>
      </w:r>
      <w:r w:rsidRPr="0009289F">
        <w:rPr>
          <w:lang w:val="en-GB"/>
        </w:rPr>
        <w:t>As a result of the duress</w:t>
      </w:r>
      <w:r>
        <w:rPr>
          <w:lang w:val="en-GB"/>
        </w:rPr>
        <w:t xml:space="preserve"> brought to bear upon him,</w:t>
      </w:r>
      <w:r w:rsidRPr="0009289F">
        <w:rPr>
          <w:lang w:val="en-GB"/>
        </w:rPr>
        <w:t xml:space="preserve"> the applicant </w:t>
      </w:r>
      <w:r>
        <w:rPr>
          <w:lang w:val="en-GB"/>
        </w:rPr>
        <w:t>made a written</w:t>
      </w:r>
      <w:r w:rsidRPr="0009289F">
        <w:rPr>
          <w:lang w:val="en-GB"/>
        </w:rPr>
        <w:t xml:space="preserve"> confession.</w:t>
      </w:r>
    </w:p>
    <w:p w:rsidR="00406AD9" w:rsidRPr="0009289F" w:rsidRDefault="00406AD9" w:rsidP="0009289F">
      <w:pPr>
        <w:pStyle w:val="ECHRPara"/>
        <w:rPr>
          <w:lang w:val="en-GB"/>
        </w:rPr>
      </w:pPr>
      <w:r>
        <w:rPr>
          <w:lang w:val="en-GB"/>
        </w:rPr>
        <w:fldChar w:fldCharType="begin"/>
      </w:r>
      <w:r>
        <w:rPr>
          <w:lang w:val="en-GB"/>
        </w:rPr>
        <w:instrText xml:space="preserve"> SEQ level0 \*arabic </w:instrText>
      </w:r>
      <w:r>
        <w:rPr>
          <w:lang w:val="en-GB"/>
        </w:rPr>
        <w:fldChar w:fldCharType="separate"/>
      </w:r>
      <w:r>
        <w:rPr>
          <w:noProof/>
          <w:lang w:val="en-GB"/>
        </w:rPr>
        <w:t>8</w:t>
      </w:r>
      <w:r>
        <w:rPr>
          <w:lang w:val="en-GB"/>
        </w:rPr>
        <w:fldChar w:fldCharType="end"/>
      </w:r>
      <w:r>
        <w:rPr>
          <w:lang w:val="en-GB"/>
        </w:rPr>
        <w:t>.  </w:t>
      </w:r>
      <w:r w:rsidRPr="0009289F">
        <w:rPr>
          <w:lang w:val="en-GB"/>
        </w:rPr>
        <w:t>On 23 March 2002 the applicant was transferred to a short-term detention facility.</w:t>
      </w:r>
    </w:p>
    <w:p w:rsidR="00406AD9" w:rsidRPr="0009289F" w:rsidRDefault="00406AD9" w:rsidP="0009289F">
      <w:pPr>
        <w:pStyle w:val="ECHRPara"/>
        <w:rPr>
          <w:lang w:val="en-GB"/>
        </w:rPr>
      </w:pPr>
      <w:r>
        <w:rPr>
          <w:lang w:val="en-GB"/>
        </w:rPr>
        <w:fldChar w:fldCharType="begin"/>
      </w:r>
      <w:r>
        <w:rPr>
          <w:lang w:val="en-GB"/>
        </w:rPr>
        <w:instrText xml:space="preserve"> SEQ level0 \*arabic </w:instrText>
      </w:r>
      <w:r>
        <w:rPr>
          <w:lang w:val="en-GB"/>
        </w:rPr>
        <w:fldChar w:fldCharType="separate"/>
      </w:r>
      <w:r>
        <w:rPr>
          <w:noProof/>
          <w:lang w:val="en-GB"/>
        </w:rPr>
        <w:t>9</w:t>
      </w:r>
      <w:r>
        <w:rPr>
          <w:lang w:val="en-GB"/>
        </w:rPr>
        <w:fldChar w:fldCharType="end"/>
      </w:r>
      <w:r>
        <w:rPr>
          <w:lang w:val="en-GB"/>
        </w:rPr>
        <w:t>.  </w:t>
      </w:r>
      <w:r w:rsidRPr="0009289F">
        <w:rPr>
          <w:lang w:val="en-GB"/>
        </w:rPr>
        <w:t>On 23 May 2002 the police opened an investigation into the alleged misconduct of police officers at the time of the applicant</w:t>
      </w:r>
      <w:r>
        <w:rPr>
          <w:lang w:val="en-GB"/>
        </w:rPr>
        <w:t>’</w:t>
      </w:r>
      <w:r w:rsidRPr="0009289F">
        <w:rPr>
          <w:lang w:val="en-GB"/>
        </w:rPr>
        <w:t xml:space="preserve">s </w:t>
      </w:r>
      <w:r>
        <w:rPr>
          <w:lang w:val="en-GB"/>
        </w:rPr>
        <w:t>questioning</w:t>
      </w:r>
      <w:r w:rsidRPr="0009289F">
        <w:rPr>
          <w:lang w:val="en-GB"/>
        </w:rPr>
        <w:t>. On 25 June 2005 a prosecutor concluded that the complaint</w:t>
      </w:r>
      <w:r>
        <w:rPr>
          <w:lang w:val="en-GB"/>
        </w:rPr>
        <w:t xml:space="preserve"> </w:t>
      </w:r>
      <w:r w:rsidRPr="0009289F">
        <w:rPr>
          <w:lang w:val="en-GB"/>
        </w:rPr>
        <w:t>was no longer subject to the prosecutor</w:t>
      </w:r>
      <w:r>
        <w:rPr>
          <w:lang w:val="en-GB"/>
        </w:rPr>
        <w:t>’</w:t>
      </w:r>
      <w:r w:rsidRPr="0009289F">
        <w:rPr>
          <w:lang w:val="en-GB"/>
        </w:rPr>
        <w:t xml:space="preserve">s review. The prosecutor referred to the judgment of the Supreme Court of 26 April 2005 </w:t>
      </w:r>
      <w:r w:rsidRPr="00BE1933">
        <w:rPr>
          <w:lang w:val="en-GB"/>
        </w:rPr>
        <w:t>(see paragraph 4</w:t>
      </w:r>
      <w:r>
        <w:rPr>
          <w:lang w:val="en-GB"/>
        </w:rPr>
        <w:t>0</w:t>
      </w:r>
      <w:r w:rsidRPr="00BE1933">
        <w:rPr>
          <w:lang w:val="en-GB"/>
        </w:rPr>
        <w:t xml:space="preserve"> below</w:t>
      </w:r>
      <w:r w:rsidRPr="0009289F">
        <w:rPr>
          <w:lang w:val="en-GB"/>
        </w:rPr>
        <w:t>) dismissing the allegation of ill-treatment.</w:t>
      </w:r>
    </w:p>
    <w:p w:rsidR="00406AD9" w:rsidRDefault="00406AD9" w:rsidP="0009289F">
      <w:pPr>
        <w:pStyle w:val="ECHRPara"/>
        <w:rPr>
          <w:lang w:val="en-GB"/>
        </w:rPr>
      </w:pPr>
      <w:r>
        <w:rPr>
          <w:lang w:val="en-GB"/>
        </w:rPr>
        <w:fldChar w:fldCharType="begin"/>
      </w:r>
      <w:r>
        <w:rPr>
          <w:lang w:val="en-GB"/>
        </w:rPr>
        <w:instrText xml:space="preserve"> SEQ level0 \*arabic </w:instrText>
      </w:r>
      <w:r>
        <w:rPr>
          <w:lang w:val="en-GB"/>
        </w:rPr>
        <w:fldChar w:fldCharType="separate"/>
      </w:r>
      <w:r>
        <w:rPr>
          <w:noProof/>
          <w:lang w:val="en-GB"/>
        </w:rPr>
        <w:t>10</w:t>
      </w:r>
      <w:r>
        <w:rPr>
          <w:lang w:val="en-GB"/>
        </w:rPr>
        <w:fldChar w:fldCharType="end"/>
      </w:r>
      <w:r>
        <w:rPr>
          <w:lang w:val="en-GB"/>
        </w:rPr>
        <w:t>.  </w:t>
      </w:r>
      <w:r w:rsidRPr="0009289F">
        <w:rPr>
          <w:lang w:val="en-GB"/>
        </w:rPr>
        <w:t>Further details in relation to the</w:t>
      </w:r>
      <w:r>
        <w:rPr>
          <w:lang w:val="en-GB"/>
        </w:rPr>
        <w:t xml:space="preserve"> </w:t>
      </w:r>
      <w:r w:rsidRPr="0009289F">
        <w:rPr>
          <w:lang w:val="en-GB"/>
        </w:rPr>
        <w:t xml:space="preserve">events </w:t>
      </w:r>
      <w:r>
        <w:rPr>
          <w:lang w:val="en-GB"/>
        </w:rPr>
        <w:t>following the applicant’s appearance on</w:t>
      </w:r>
      <w:r w:rsidRPr="0009289F">
        <w:rPr>
          <w:lang w:val="en-GB"/>
        </w:rPr>
        <w:t xml:space="preserve"> 21 March 2002 </w:t>
      </w:r>
      <w:r>
        <w:rPr>
          <w:lang w:val="en-GB"/>
        </w:rPr>
        <w:t xml:space="preserve">at the State Police station </w:t>
      </w:r>
      <w:r w:rsidRPr="0009289F">
        <w:rPr>
          <w:lang w:val="en-GB"/>
        </w:rPr>
        <w:t>are set out in</w:t>
      </w:r>
      <w:r>
        <w:rPr>
          <w:lang w:val="en-GB"/>
        </w:rPr>
        <w:t xml:space="preserve"> the decision in </w:t>
      </w:r>
      <w:r w:rsidRPr="0009289F">
        <w:rPr>
          <w:i/>
          <w:lang w:val="en-GB"/>
        </w:rPr>
        <w:t xml:space="preserve">Cesnieks </w:t>
      </w:r>
      <w:r>
        <w:rPr>
          <w:lang w:val="en-GB"/>
        </w:rPr>
        <w:t xml:space="preserve">(cited above), </w:t>
      </w:r>
      <w:r w:rsidRPr="0009289F">
        <w:rPr>
          <w:lang w:val="en-GB"/>
        </w:rPr>
        <w:t xml:space="preserve">where the Government acknowledged, </w:t>
      </w:r>
      <w:r w:rsidRPr="00B03CD7">
        <w:rPr>
          <w:i/>
          <w:lang w:val="en-GB"/>
        </w:rPr>
        <w:t>inter alia</w:t>
      </w:r>
      <w:r w:rsidRPr="0009289F">
        <w:rPr>
          <w:lang w:val="en-GB"/>
        </w:rPr>
        <w:t>, that the applicant had been ill-treated</w:t>
      </w:r>
      <w:r>
        <w:rPr>
          <w:lang w:val="en-GB"/>
        </w:rPr>
        <w:t xml:space="preserve"> while in police custody</w:t>
      </w:r>
      <w:r w:rsidRPr="0009289F">
        <w:rPr>
          <w:lang w:val="en-GB"/>
        </w:rPr>
        <w:t xml:space="preserve"> and there had been </w:t>
      </w:r>
      <w:r>
        <w:rPr>
          <w:lang w:val="en-GB"/>
        </w:rPr>
        <w:t>a</w:t>
      </w:r>
      <w:r w:rsidRPr="0009289F">
        <w:rPr>
          <w:lang w:val="en-GB"/>
        </w:rPr>
        <w:t xml:space="preserve"> lack of effective investigation of the applicant</w:t>
      </w:r>
      <w:r>
        <w:rPr>
          <w:lang w:val="en-GB"/>
        </w:rPr>
        <w:t>’</w:t>
      </w:r>
      <w:r w:rsidRPr="0009289F">
        <w:rPr>
          <w:lang w:val="en-GB"/>
        </w:rPr>
        <w:t>s complaint</w:t>
      </w:r>
      <w:r>
        <w:rPr>
          <w:lang w:val="en-GB"/>
        </w:rPr>
        <w:t xml:space="preserve"> of a</w:t>
      </w:r>
      <w:r w:rsidRPr="0009289F">
        <w:rPr>
          <w:lang w:val="en-GB"/>
        </w:rPr>
        <w:t xml:space="preserve"> violation of Article 3 of the Convention (ibid., §§ </w:t>
      </w:r>
      <w:r>
        <w:rPr>
          <w:lang w:val="en-GB"/>
        </w:rPr>
        <w:t xml:space="preserve">30, </w:t>
      </w:r>
      <w:r w:rsidRPr="0009289F">
        <w:rPr>
          <w:lang w:val="en-GB"/>
        </w:rPr>
        <w:t>32 and 36).</w:t>
      </w:r>
    </w:p>
    <w:p w:rsidR="00406AD9" w:rsidRPr="006C6A19" w:rsidRDefault="00406AD9" w:rsidP="00524DD2">
      <w:pPr>
        <w:pStyle w:val="ECHRHeading2"/>
        <w:rPr>
          <w:lang w:val="en-GB"/>
        </w:rPr>
      </w:pPr>
      <w:r>
        <w:rPr>
          <w:lang w:val="en-GB"/>
        </w:rPr>
        <w:t>B</w:t>
      </w:r>
      <w:r w:rsidRPr="006C6A19">
        <w:rPr>
          <w:lang w:val="en-GB"/>
        </w:rPr>
        <w:t>.  </w:t>
      </w:r>
      <w:r>
        <w:rPr>
          <w:lang w:val="en-GB"/>
        </w:rPr>
        <w:t>The applicant’s pre-trial statements</w:t>
      </w:r>
    </w:p>
    <w:p w:rsidR="00406AD9" w:rsidRPr="00A2290E" w:rsidRDefault="00406AD9" w:rsidP="006F1346">
      <w:pPr>
        <w:pStyle w:val="ECHRHeading3"/>
        <w:rPr>
          <w:rFonts w:eastAsia="Times New Roman"/>
          <w:lang w:val="en-US"/>
        </w:rPr>
      </w:pPr>
      <w:r w:rsidRPr="00A2290E">
        <w:rPr>
          <w:rFonts w:eastAsia="Times New Roman"/>
          <w:lang w:val="en-US"/>
        </w:rPr>
        <w:t>1.  </w:t>
      </w:r>
      <w:r>
        <w:rPr>
          <w:rFonts w:eastAsia="Times New Roman"/>
          <w:lang w:val="en-US"/>
        </w:rPr>
        <w:t>Questioning as</w:t>
      </w:r>
      <w:r w:rsidRPr="00A2290E">
        <w:rPr>
          <w:rFonts w:eastAsia="Times New Roman"/>
          <w:lang w:val="en-US"/>
        </w:rPr>
        <w:t xml:space="preserve"> a witness</w:t>
      </w:r>
    </w:p>
    <w:p w:rsidR="00406AD9" w:rsidRPr="00D7211B" w:rsidRDefault="00406AD9" w:rsidP="00D7211B">
      <w:pPr>
        <w:pStyle w:val="ECHRPara"/>
        <w:rPr>
          <w:lang w:val="en-GB"/>
        </w:rPr>
      </w:pPr>
      <w:r w:rsidRPr="00D7211B">
        <w:rPr>
          <w:lang w:val="en-GB"/>
        </w:rPr>
        <w:fldChar w:fldCharType="begin"/>
      </w:r>
      <w:r w:rsidRPr="00D7211B">
        <w:rPr>
          <w:lang w:val="en-GB"/>
        </w:rPr>
        <w:instrText xml:space="preserve"> SEQ level0 \*arabic </w:instrText>
      </w:r>
      <w:r w:rsidRPr="00D7211B">
        <w:rPr>
          <w:lang w:val="en-GB"/>
        </w:rPr>
        <w:fldChar w:fldCharType="separate"/>
      </w:r>
      <w:r>
        <w:rPr>
          <w:noProof/>
          <w:lang w:val="en-GB"/>
        </w:rPr>
        <w:t>11</w:t>
      </w:r>
      <w:r w:rsidRPr="00D7211B">
        <w:rPr>
          <w:lang w:val="en-GB"/>
        </w:rPr>
        <w:fldChar w:fldCharType="end"/>
      </w:r>
      <w:r w:rsidRPr="00D7211B">
        <w:rPr>
          <w:lang w:val="en-GB"/>
        </w:rPr>
        <w:t xml:space="preserve">.  The typewritten </w:t>
      </w:r>
      <w:r>
        <w:rPr>
          <w:lang w:val="en-GB"/>
        </w:rPr>
        <w:t>transcript of</w:t>
      </w:r>
      <w:r w:rsidRPr="00D7211B">
        <w:rPr>
          <w:lang w:val="en-GB"/>
        </w:rPr>
        <w:t xml:space="preserve"> the applicant</w:t>
      </w:r>
      <w:r>
        <w:rPr>
          <w:lang w:val="en-GB"/>
        </w:rPr>
        <w:t>’</w:t>
      </w:r>
      <w:r w:rsidRPr="00D7211B">
        <w:rPr>
          <w:lang w:val="en-GB"/>
        </w:rPr>
        <w:t xml:space="preserve">s </w:t>
      </w:r>
      <w:r>
        <w:rPr>
          <w:lang w:val="en-GB"/>
        </w:rPr>
        <w:t>questioning as</w:t>
      </w:r>
      <w:r w:rsidRPr="00D7211B">
        <w:rPr>
          <w:lang w:val="en-GB"/>
        </w:rPr>
        <w:t xml:space="preserve"> a witness dated 21 March 2002 from 5.20 p.m. to 6.40 p.m.</w:t>
      </w:r>
      <w:r>
        <w:rPr>
          <w:rStyle w:val="FootnoteReference"/>
          <w:lang w:val="en-GB"/>
        </w:rPr>
        <w:footnoteReference w:id="1"/>
      </w:r>
      <w:r>
        <w:rPr>
          <w:lang w:val="en-GB"/>
        </w:rPr>
        <w:t xml:space="preserve"> </w:t>
      </w:r>
      <w:r w:rsidRPr="00D7211B">
        <w:rPr>
          <w:lang w:val="en-GB"/>
        </w:rPr>
        <w:t>recorded the applicant</w:t>
      </w:r>
      <w:r>
        <w:rPr>
          <w:lang w:val="en-GB"/>
        </w:rPr>
        <w:t>’</w:t>
      </w:r>
      <w:r w:rsidRPr="00D7211B">
        <w:rPr>
          <w:lang w:val="en-GB"/>
        </w:rPr>
        <w:t xml:space="preserve">s </w:t>
      </w:r>
      <w:r>
        <w:rPr>
          <w:lang w:val="en-GB"/>
        </w:rPr>
        <w:t>statement to the police</w:t>
      </w:r>
      <w:r w:rsidRPr="00D7211B">
        <w:rPr>
          <w:lang w:val="en-GB"/>
        </w:rPr>
        <w:t>.</w:t>
      </w:r>
    </w:p>
    <w:p w:rsidR="00406AD9" w:rsidRPr="00D7211B" w:rsidRDefault="00406AD9" w:rsidP="00D7211B">
      <w:pPr>
        <w:pStyle w:val="ECHRPara"/>
        <w:rPr>
          <w:lang w:val="en-GB"/>
        </w:rPr>
      </w:pPr>
      <w:r w:rsidRPr="00D7211B">
        <w:rPr>
          <w:lang w:val="en-GB"/>
        </w:rPr>
        <w:fldChar w:fldCharType="begin"/>
      </w:r>
      <w:r w:rsidRPr="00D7211B">
        <w:rPr>
          <w:lang w:val="en-GB"/>
        </w:rPr>
        <w:instrText xml:space="preserve"> SEQ level0 \*arabic </w:instrText>
      </w:r>
      <w:r w:rsidRPr="00D7211B">
        <w:rPr>
          <w:lang w:val="en-GB"/>
        </w:rPr>
        <w:fldChar w:fldCharType="separate"/>
      </w:r>
      <w:r>
        <w:rPr>
          <w:noProof/>
          <w:lang w:val="en-GB"/>
        </w:rPr>
        <w:t>12</w:t>
      </w:r>
      <w:r w:rsidRPr="00D7211B">
        <w:rPr>
          <w:lang w:val="en-GB"/>
        </w:rPr>
        <w:fldChar w:fldCharType="end"/>
      </w:r>
      <w:r w:rsidRPr="00D7211B">
        <w:rPr>
          <w:lang w:val="en-GB"/>
        </w:rPr>
        <w:t>.  The applicant declared that he had given Ģ</w:t>
      </w:r>
      <w:r>
        <w:rPr>
          <w:lang w:val="en-GB"/>
        </w:rPr>
        <w:t>.</w:t>
      </w:r>
      <w:r w:rsidRPr="00D7211B">
        <w:rPr>
          <w:lang w:val="en-GB"/>
        </w:rPr>
        <w:t>Č</w:t>
      </w:r>
      <w:r>
        <w:rPr>
          <w:lang w:val="en-GB"/>
        </w:rPr>
        <w:t>.</w:t>
      </w:r>
      <w:r w:rsidRPr="00D7211B">
        <w:rPr>
          <w:lang w:val="en-GB"/>
        </w:rPr>
        <w:t xml:space="preserve"> documents </w:t>
      </w:r>
      <w:r>
        <w:rPr>
          <w:lang w:val="en-GB"/>
        </w:rPr>
        <w:t xml:space="preserve">concerning </w:t>
      </w:r>
      <w:r w:rsidRPr="00D7211B">
        <w:rPr>
          <w:lang w:val="en-GB"/>
        </w:rPr>
        <w:t>his late father</w:t>
      </w:r>
      <w:r>
        <w:rPr>
          <w:lang w:val="en-GB"/>
        </w:rPr>
        <w:t>’</w:t>
      </w:r>
      <w:r w:rsidRPr="00D7211B">
        <w:rPr>
          <w:lang w:val="en-GB"/>
        </w:rPr>
        <w:t>s company</w:t>
      </w:r>
      <w:r>
        <w:rPr>
          <w:lang w:val="en-GB"/>
        </w:rPr>
        <w:t>,</w:t>
      </w:r>
      <w:r w:rsidRPr="00D7211B">
        <w:rPr>
          <w:lang w:val="en-GB"/>
        </w:rPr>
        <w:t xml:space="preserve"> T</w:t>
      </w:r>
      <w:r>
        <w:rPr>
          <w:lang w:val="en-GB"/>
        </w:rPr>
        <w:t>.</w:t>
      </w:r>
      <w:r w:rsidRPr="00D7211B">
        <w:rPr>
          <w:lang w:val="en-GB"/>
        </w:rPr>
        <w:t>S</w:t>
      </w:r>
      <w:r>
        <w:rPr>
          <w:lang w:val="en-GB"/>
        </w:rPr>
        <w:t>.</w:t>
      </w:r>
      <w:r w:rsidRPr="00D7211B">
        <w:rPr>
          <w:lang w:val="en-GB"/>
        </w:rPr>
        <w:t>C</w:t>
      </w:r>
      <w:r>
        <w:rPr>
          <w:lang w:val="en-GB"/>
        </w:rPr>
        <w:t xml:space="preserve">., because </w:t>
      </w:r>
      <w:r w:rsidRPr="00D7211B">
        <w:rPr>
          <w:lang w:val="en-GB"/>
        </w:rPr>
        <w:t>Ģ</w:t>
      </w:r>
      <w:r>
        <w:rPr>
          <w:lang w:val="en-GB"/>
        </w:rPr>
        <w:t>.</w:t>
      </w:r>
      <w:r w:rsidRPr="00D7211B">
        <w:rPr>
          <w:lang w:val="en-GB"/>
        </w:rPr>
        <w:t>Č</w:t>
      </w:r>
      <w:r>
        <w:rPr>
          <w:lang w:val="en-GB"/>
        </w:rPr>
        <w:t>.</w:t>
      </w:r>
      <w:r w:rsidRPr="00D7211B">
        <w:rPr>
          <w:lang w:val="en-GB"/>
        </w:rPr>
        <w:t xml:space="preserve"> had been looking for a company to carry out the leasing of motor vehicles. Later</w:t>
      </w:r>
      <w:r>
        <w:rPr>
          <w:lang w:val="en-GB"/>
        </w:rPr>
        <w:t>,</w:t>
      </w:r>
      <w:r w:rsidRPr="00D7211B">
        <w:rPr>
          <w:lang w:val="en-GB"/>
        </w:rPr>
        <w:t xml:space="preserve"> Ģ</w:t>
      </w:r>
      <w:r>
        <w:rPr>
          <w:lang w:val="en-GB"/>
        </w:rPr>
        <w:t>.</w:t>
      </w:r>
      <w:r w:rsidRPr="00D7211B">
        <w:rPr>
          <w:lang w:val="en-GB"/>
        </w:rPr>
        <w:t>Č</w:t>
      </w:r>
      <w:r>
        <w:rPr>
          <w:lang w:val="en-GB"/>
        </w:rPr>
        <w:t>.</w:t>
      </w:r>
      <w:r w:rsidRPr="00D7211B">
        <w:rPr>
          <w:lang w:val="en-GB"/>
        </w:rPr>
        <w:t xml:space="preserve"> had asked the applicant </w:t>
      </w:r>
      <w:r>
        <w:rPr>
          <w:lang w:val="en-GB"/>
        </w:rPr>
        <w:t>whether</w:t>
      </w:r>
      <w:r w:rsidRPr="00D7211B">
        <w:rPr>
          <w:lang w:val="en-GB"/>
        </w:rPr>
        <w:t xml:space="preserve"> he knew anyone who could make withdrawals at the bank. The applicant had suggested his acquaintance Z</w:t>
      </w:r>
      <w:r>
        <w:rPr>
          <w:lang w:val="en-GB"/>
        </w:rPr>
        <w:t>.</w:t>
      </w:r>
      <w:r w:rsidRPr="00D7211B">
        <w:rPr>
          <w:lang w:val="en-GB"/>
        </w:rPr>
        <w:t>K.</w:t>
      </w:r>
      <w:r>
        <w:rPr>
          <w:lang w:val="en-GB"/>
        </w:rPr>
        <w:t xml:space="preserve"> </w:t>
      </w:r>
      <w:r w:rsidRPr="00D7211B">
        <w:rPr>
          <w:lang w:val="en-GB"/>
        </w:rPr>
        <w:t>Occasionally Z</w:t>
      </w:r>
      <w:r>
        <w:rPr>
          <w:lang w:val="en-GB"/>
        </w:rPr>
        <w:t>.</w:t>
      </w:r>
      <w:r w:rsidRPr="00D7211B">
        <w:rPr>
          <w:lang w:val="en-GB"/>
        </w:rPr>
        <w:t>K</w:t>
      </w:r>
      <w:r>
        <w:rPr>
          <w:lang w:val="en-GB"/>
        </w:rPr>
        <w:t>.</w:t>
      </w:r>
      <w:r w:rsidRPr="00D7211B">
        <w:rPr>
          <w:lang w:val="en-GB"/>
        </w:rPr>
        <w:t xml:space="preserve"> had </w:t>
      </w:r>
      <w:r>
        <w:rPr>
          <w:lang w:val="en-GB"/>
        </w:rPr>
        <w:t xml:space="preserve">sent </w:t>
      </w:r>
      <w:r w:rsidRPr="00D7211B">
        <w:rPr>
          <w:lang w:val="en-GB"/>
        </w:rPr>
        <w:t>Ģ</w:t>
      </w:r>
      <w:r>
        <w:rPr>
          <w:lang w:val="en-GB"/>
        </w:rPr>
        <w:t>.</w:t>
      </w:r>
      <w:r w:rsidRPr="00D7211B">
        <w:rPr>
          <w:lang w:val="en-GB"/>
        </w:rPr>
        <w:t>Č</w:t>
      </w:r>
      <w:r>
        <w:rPr>
          <w:lang w:val="en-GB"/>
        </w:rPr>
        <w:t>. sums of money that he had withdrawn from the bank via the applicant</w:t>
      </w:r>
      <w:r w:rsidRPr="00D7211B">
        <w:rPr>
          <w:lang w:val="en-GB"/>
        </w:rPr>
        <w:t>.</w:t>
      </w:r>
    </w:p>
    <w:p w:rsidR="00406AD9" w:rsidRPr="00D7211B" w:rsidRDefault="00406AD9" w:rsidP="00D7211B">
      <w:pPr>
        <w:pStyle w:val="ECHRPara"/>
        <w:rPr>
          <w:lang w:val="en-GB"/>
        </w:rPr>
      </w:pPr>
      <w:r w:rsidRPr="00D7211B">
        <w:rPr>
          <w:lang w:val="en-GB"/>
        </w:rPr>
        <w:fldChar w:fldCharType="begin"/>
      </w:r>
      <w:r w:rsidRPr="00D7211B">
        <w:rPr>
          <w:lang w:val="en-GB"/>
        </w:rPr>
        <w:instrText xml:space="preserve"> SEQ level0 \*arabic </w:instrText>
      </w:r>
      <w:r w:rsidRPr="00D7211B">
        <w:rPr>
          <w:lang w:val="en-GB"/>
        </w:rPr>
        <w:fldChar w:fldCharType="separate"/>
      </w:r>
      <w:r>
        <w:rPr>
          <w:noProof/>
          <w:lang w:val="en-GB"/>
        </w:rPr>
        <w:t>13</w:t>
      </w:r>
      <w:r w:rsidRPr="00D7211B">
        <w:rPr>
          <w:lang w:val="en-GB"/>
        </w:rPr>
        <w:fldChar w:fldCharType="end"/>
      </w:r>
      <w:r w:rsidRPr="00D7211B">
        <w:rPr>
          <w:lang w:val="en-GB"/>
        </w:rPr>
        <w:t>.  On the applicant</w:t>
      </w:r>
      <w:r>
        <w:rPr>
          <w:lang w:val="en-GB"/>
        </w:rPr>
        <w:t>’</w:t>
      </w:r>
      <w:r w:rsidRPr="00D7211B">
        <w:rPr>
          <w:lang w:val="en-GB"/>
        </w:rPr>
        <w:t>s evidence at the end of January 2002 he travelled to Moscow. While there Ģ</w:t>
      </w:r>
      <w:r>
        <w:rPr>
          <w:lang w:val="en-GB"/>
        </w:rPr>
        <w:t>.</w:t>
      </w:r>
      <w:r w:rsidRPr="00D7211B">
        <w:rPr>
          <w:lang w:val="en-GB"/>
        </w:rPr>
        <w:t>Č</w:t>
      </w:r>
      <w:r>
        <w:rPr>
          <w:lang w:val="en-GB"/>
        </w:rPr>
        <w:t>.</w:t>
      </w:r>
      <w:r w:rsidRPr="00D7211B">
        <w:rPr>
          <w:lang w:val="en-GB"/>
        </w:rPr>
        <w:t xml:space="preserve"> had called him looking for Z</w:t>
      </w:r>
      <w:r>
        <w:rPr>
          <w:lang w:val="en-GB"/>
        </w:rPr>
        <w:t>.</w:t>
      </w:r>
      <w:r w:rsidRPr="00D7211B">
        <w:rPr>
          <w:lang w:val="en-GB"/>
        </w:rPr>
        <w:t>K</w:t>
      </w:r>
      <w:r>
        <w:rPr>
          <w:lang w:val="en-GB"/>
        </w:rPr>
        <w:t>.,</w:t>
      </w:r>
      <w:r w:rsidRPr="00D7211B">
        <w:rPr>
          <w:lang w:val="en-GB"/>
        </w:rPr>
        <w:t xml:space="preserve"> because</w:t>
      </w:r>
      <w:r>
        <w:rPr>
          <w:lang w:val="en-GB"/>
        </w:rPr>
        <w:t xml:space="preserve"> </w:t>
      </w:r>
      <w:r w:rsidRPr="00D7211B">
        <w:rPr>
          <w:lang w:val="en-GB"/>
        </w:rPr>
        <w:t>Ģ</w:t>
      </w:r>
      <w:r>
        <w:rPr>
          <w:lang w:val="en-GB"/>
        </w:rPr>
        <w:t>.</w:t>
      </w:r>
      <w:r w:rsidRPr="00D7211B">
        <w:rPr>
          <w:lang w:val="en-GB"/>
        </w:rPr>
        <w:t>Č</w:t>
      </w:r>
      <w:r>
        <w:rPr>
          <w:lang w:val="en-GB"/>
        </w:rPr>
        <w:t xml:space="preserve">. </w:t>
      </w:r>
      <w:r w:rsidRPr="00D7211B">
        <w:rPr>
          <w:lang w:val="en-GB"/>
        </w:rPr>
        <w:t>had needed Z</w:t>
      </w:r>
      <w:r>
        <w:rPr>
          <w:lang w:val="en-GB"/>
        </w:rPr>
        <w:t>.</w:t>
      </w:r>
      <w:r w:rsidRPr="00D7211B">
        <w:rPr>
          <w:lang w:val="en-GB"/>
        </w:rPr>
        <w:t>K</w:t>
      </w:r>
      <w:r>
        <w:rPr>
          <w:lang w:val="en-GB"/>
        </w:rPr>
        <w:t>.</w:t>
      </w:r>
      <w:r w:rsidRPr="00D7211B">
        <w:rPr>
          <w:lang w:val="en-GB"/>
        </w:rPr>
        <w:t xml:space="preserve"> to collect money at the bank.</w:t>
      </w:r>
    </w:p>
    <w:p w:rsidR="00406AD9" w:rsidRPr="00D7211B" w:rsidRDefault="00406AD9" w:rsidP="00D7211B">
      <w:pPr>
        <w:pStyle w:val="ECHRPara"/>
        <w:rPr>
          <w:lang w:val="en-GB"/>
        </w:rPr>
      </w:pPr>
      <w:r w:rsidRPr="00D7211B">
        <w:rPr>
          <w:lang w:val="en-GB"/>
        </w:rPr>
        <w:fldChar w:fldCharType="begin"/>
      </w:r>
      <w:r w:rsidRPr="00D7211B">
        <w:rPr>
          <w:lang w:val="en-GB"/>
        </w:rPr>
        <w:instrText xml:space="preserve"> SEQ level0 \*arabic </w:instrText>
      </w:r>
      <w:r w:rsidRPr="00D7211B">
        <w:rPr>
          <w:lang w:val="en-GB"/>
        </w:rPr>
        <w:fldChar w:fldCharType="separate"/>
      </w:r>
      <w:r>
        <w:rPr>
          <w:noProof/>
          <w:lang w:val="en-GB"/>
        </w:rPr>
        <w:t>14</w:t>
      </w:r>
      <w:r w:rsidRPr="00D7211B">
        <w:rPr>
          <w:lang w:val="en-GB"/>
        </w:rPr>
        <w:fldChar w:fldCharType="end"/>
      </w:r>
      <w:r w:rsidRPr="00D7211B">
        <w:rPr>
          <w:lang w:val="en-GB"/>
        </w:rPr>
        <w:t>.  </w:t>
      </w:r>
      <w:r>
        <w:rPr>
          <w:lang w:val="en-GB"/>
        </w:rPr>
        <w:t>T</w:t>
      </w:r>
      <w:r w:rsidRPr="00D7211B">
        <w:rPr>
          <w:lang w:val="en-GB"/>
        </w:rPr>
        <w:t>he applicant gave further information</w:t>
      </w:r>
      <w:r>
        <w:rPr>
          <w:lang w:val="en-GB"/>
        </w:rPr>
        <w:t xml:space="preserve"> in his police statement</w:t>
      </w:r>
      <w:r w:rsidRPr="00D7211B">
        <w:rPr>
          <w:lang w:val="en-GB"/>
        </w:rPr>
        <w:t xml:space="preserve"> about meeting Z</w:t>
      </w:r>
      <w:r>
        <w:rPr>
          <w:lang w:val="en-GB"/>
        </w:rPr>
        <w:t>.</w:t>
      </w:r>
      <w:r w:rsidRPr="00D7211B">
        <w:rPr>
          <w:lang w:val="en-GB"/>
        </w:rPr>
        <w:t>K</w:t>
      </w:r>
      <w:r>
        <w:rPr>
          <w:lang w:val="en-GB"/>
        </w:rPr>
        <w:t>.</w:t>
      </w:r>
      <w:r w:rsidRPr="00D7211B">
        <w:rPr>
          <w:lang w:val="en-GB"/>
        </w:rPr>
        <w:t xml:space="preserve"> in Riga upon his return from Moscow and</w:t>
      </w:r>
      <w:r>
        <w:rPr>
          <w:lang w:val="en-GB"/>
        </w:rPr>
        <w:t xml:space="preserve"> </w:t>
      </w:r>
      <w:r w:rsidRPr="00D7211B">
        <w:rPr>
          <w:lang w:val="en-GB"/>
        </w:rPr>
        <w:t>Z</w:t>
      </w:r>
      <w:r>
        <w:rPr>
          <w:lang w:val="en-GB"/>
        </w:rPr>
        <w:t>.</w:t>
      </w:r>
      <w:r w:rsidRPr="00D7211B">
        <w:rPr>
          <w:lang w:val="en-GB"/>
        </w:rPr>
        <w:t>K</w:t>
      </w:r>
      <w:r>
        <w:rPr>
          <w:lang w:val="en-GB"/>
        </w:rPr>
        <w:t>.</w:t>
      </w:r>
      <w:r w:rsidRPr="00D7211B">
        <w:rPr>
          <w:lang w:val="en-GB"/>
        </w:rPr>
        <w:t xml:space="preserve"> telling him about </w:t>
      </w:r>
      <w:r>
        <w:rPr>
          <w:lang w:val="en-GB"/>
        </w:rPr>
        <w:t>a</w:t>
      </w:r>
      <w:r w:rsidRPr="00D7211B">
        <w:rPr>
          <w:lang w:val="en-GB"/>
        </w:rPr>
        <w:t xml:space="preserve"> withdrawal of the funds and their</w:t>
      </w:r>
      <w:r>
        <w:rPr>
          <w:lang w:val="en-GB"/>
        </w:rPr>
        <w:t xml:space="preserve"> </w:t>
      </w:r>
      <w:r w:rsidRPr="00D7211B">
        <w:rPr>
          <w:lang w:val="en-GB"/>
        </w:rPr>
        <w:t>handover to Ģ</w:t>
      </w:r>
      <w:r>
        <w:rPr>
          <w:lang w:val="en-GB"/>
        </w:rPr>
        <w:t>.</w:t>
      </w:r>
      <w:r w:rsidRPr="00D7211B">
        <w:rPr>
          <w:lang w:val="en-GB"/>
        </w:rPr>
        <w:t>Č.</w:t>
      </w:r>
    </w:p>
    <w:p w:rsidR="00406AD9" w:rsidRPr="00D7211B" w:rsidRDefault="00406AD9" w:rsidP="00D7211B">
      <w:pPr>
        <w:pStyle w:val="ECHRPara"/>
        <w:rPr>
          <w:lang w:val="en-GB"/>
        </w:rPr>
      </w:pPr>
      <w:r w:rsidRPr="00D7211B">
        <w:rPr>
          <w:lang w:val="en-GB"/>
        </w:rPr>
        <w:fldChar w:fldCharType="begin"/>
      </w:r>
      <w:r w:rsidRPr="00D7211B">
        <w:rPr>
          <w:lang w:val="en-GB"/>
        </w:rPr>
        <w:instrText xml:space="preserve"> SEQ level0 \*arabic </w:instrText>
      </w:r>
      <w:r w:rsidRPr="00D7211B">
        <w:rPr>
          <w:lang w:val="en-GB"/>
        </w:rPr>
        <w:fldChar w:fldCharType="separate"/>
      </w:r>
      <w:r>
        <w:rPr>
          <w:noProof/>
          <w:lang w:val="en-GB"/>
        </w:rPr>
        <w:t>15</w:t>
      </w:r>
      <w:r w:rsidRPr="00D7211B">
        <w:rPr>
          <w:lang w:val="en-GB"/>
        </w:rPr>
        <w:fldChar w:fldCharType="end"/>
      </w:r>
      <w:r w:rsidRPr="00D7211B">
        <w:rPr>
          <w:lang w:val="en-GB"/>
        </w:rPr>
        <w:t xml:space="preserve">.  The applicant </w:t>
      </w:r>
      <w:r>
        <w:rPr>
          <w:lang w:val="en-GB"/>
        </w:rPr>
        <w:t>stated</w:t>
      </w:r>
      <w:r w:rsidRPr="00D7211B">
        <w:rPr>
          <w:lang w:val="en-GB"/>
        </w:rPr>
        <w:t xml:space="preserve"> that he had learnt of Ģ</w:t>
      </w:r>
      <w:r>
        <w:rPr>
          <w:lang w:val="en-GB"/>
        </w:rPr>
        <w:t>.</w:t>
      </w:r>
      <w:r w:rsidRPr="00D7211B">
        <w:rPr>
          <w:lang w:val="en-GB"/>
        </w:rPr>
        <w:t>Č</w:t>
      </w:r>
      <w:r>
        <w:rPr>
          <w:lang w:val="en-GB"/>
        </w:rPr>
        <w:t>.’s</w:t>
      </w:r>
      <w:r w:rsidRPr="00D7211B" w:rsidDel="00BB5E9C">
        <w:rPr>
          <w:lang w:val="en-GB"/>
        </w:rPr>
        <w:t xml:space="preserve"> </w:t>
      </w:r>
      <w:r w:rsidRPr="00D7211B">
        <w:rPr>
          <w:lang w:val="en-GB"/>
        </w:rPr>
        <w:t xml:space="preserve">murder from the police </w:t>
      </w:r>
      <w:r>
        <w:rPr>
          <w:lang w:val="en-GB"/>
        </w:rPr>
        <w:t>officer</w:t>
      </w:r>
      <w:r w:rsidRPr="00D7211B">
        <w:rPr>
          <w:lang w:val="en-GB"/>
        </w:rPr>
        <w:t>s</w:t>
      </w:r>
      <w:r>
        <w:rPr>
          <w:lang w:val="en-GB"/>
        </w:rPr>
        <w:t xml:space="preserve"> </w:t>
      </w:r>
      <w:r w:rsidRPr="00D7211B">
        <w:rPr>
          <w:lang w:val="en-GB"/>
        </w:rPr>
        <w:t>on the day the police had contacted him.</w:t>
      </w:r>
    </w:p>
    <w:p w:rsidR="00406AD9" w:rsidRPr="00A2290E" w:rsidRDefault="00406AD9" w:rsidP="006F1346">
      <w:pPr>
        <w:pStyle w:val="ECHRHeading3"/>
        <w:rPr>
          <w:rFonts w:eastAsia="Times New Roman"/>
          <w:lang w:val="en-US"/>
        </w:rPr>
      </w:pPr>
      <w:r w:rsidRPr="00A2290E">
        <w:rPr>
          <w:rFonts w:eastAsia="Times New Roman"/>
          <w:lang w:val="en-US"/>
        </w:rPr>
        <w:t>2.  Confession</w:t>
      </w:r>
    </w:p>
    <w:p w:rsidR="00406AD9" w:rsidRPr="006F1346" w:rsidRDefault="00406AD9" w:rsidP="006F1346">
      <w:pPr>
        <w:pStyle w:val="ECHRPara"/>
        <w:rPr>
          <w:lang w:val="en-GB"/>
        </w:rPr>
      </w:pPr>
      <w:r w:rsidRPr="006F1346">
        <w:rPr>
          <w:lang w:val="en-GB"/>
        </w:rPr>
        <w:fldChar w:fldCharType="begin"/>
      </w:r>
      <w:r w:rsidRPr="006F1346">
        <w:rPr>
          <w:lang w:val="en-GB"/>
        </w:rPr>
        <w:instrText xml:space="preserve"> SEQ level0 \*arabic </w:instrText>
      </w:r>
      <w:r w:rsidRPr="006F1346">
        <w:rPr>
          <w:lang w:val="en-GB"/>
        </w:rPr>
        <w:fldChar w:fldCharType="separate"/>
      </w:r>
      <w:r>
        <w:rPr>
          <w:noProof/>
          <w:lang w:val="en-GB"/>
        </w:rPr>
        <w:t>16</w:t>
      </w:r>
      <w:r w:rsidRPr="006F1346">
        <w:rPr>
          <w:lang w:val="en-GB"/>
        </w:rPr>
        <w:fldChar w:fldCharType="end"/>
      </w:r>
      <w:r w:rsidRPr="006F1346">
        <w:rPr>
          <w:lang w:val="en-GB"/>
        </w:rPr>
        <w:t>.  </w:t>
      </w:r>
      <w:r>
        <w:rPr>
          <w:lang w:val="en-GB"/>
        </w:rPr>
        <w:t>In t</w:t>
      </w:r>
      <w:r w:rsidRPr="006F1346">
        <w:rPr>
          <w:lang w:val="en-GB"/>
        </w:rPr>
        <w:t>he applicant</w:t>
      </w:r>
      <w:r>
        <w:rPr>
          <w:lang w:val="en-GB"/>
        </w:rPr>
        <w:t>’</w:t>
      </w:r>
      <w:r w:rsidRPr="006F1346">
        <w:rPr>
          <w:lang w:val="en-GB"/>
        </w:rPr>
        <w:t xml:space="preserve">s handwritten </w:t>
      </w:r>
      <w:r>
        <w:rPr>
          <w:lang w:val="en-GB"/>
        </w:rPr>
        <w:t>confession</w:t>
      </w:r>
      <w:r w:rsidRPr="006F1346">
        <w:rPr>
          <w:lang w:val="en-GB"/>
        </w:rPr>
        <w:t xml:space="preserve"> dated 22 March 2002</w:t>
      </w:r>
      <w:r>
        <w:rPr>
          <w:rStyle w:val="FootnoteReference"/>
          <w:lang w:val="en-GB"/>
        </w:rPr>
        <w:footnoteReference w:id="2"/>
      </w:r>
      <w:r>
        <w:rPr>
          <w:lang w:val="en-GB"/>
        </w:rPr>
        <w:t>,</w:t>
      </w:r>
      <w:r w:rsidRPr="006F1346">
        <w:rPr>
          <w:lang w:val="en-GB"/>
        </w:rPr>
        <w:t xml:space="preserve"> </w:t>
      </w:r>
      <w:r>
        <w:rPr>
          <w:lang w:val="en-GB"/>
        </w:rPr>
        <w:t>he stated</w:t>
      </w:r>
      <w:r w:rsidRPr="006F1346">
        <w:rPr>
          <w:lang w:val="en-GB"/>
        </w:rPr>
        <w:t xml:space="preserve"> that in October 2001 </w:t>
      </w:r>
      <w:r>
        <w:rPr>
          <w:lang w:val="en-GB"/>
        </w:rPr>
        <w:t>he</w:t>
      </w:r>
      <w:r w:rsidRPr="006F1346">
        <w:rPr>
          <w:lang w:val="en-GB"/>
        </w:rPr>
        <w:t xml:space="preserve"> had borrowed the sum of 4,500 Latvian lati (LVL)</w:t>
      </w:r>
      <w:r>
        <w:rPr>
          <w:lang w:val="en-GB"/>
        </w:rPr>
        <w:t>,</w:t>
      </w:r>
      <w:r w:rsidRPr="006F1346">
        <w:rPr>
          <w:lang w:val="en-GB"/>
        </w:rPr>
        <w:t xml:space="preserve"> which he had been unable to </w:t>
      </w:r>
      <w:r>
        <w:rPr>
          <w:lang w:val="en-GB"/>
        </w:rPr>
        <w:t>pay back</w:t>
      </w:r>
      <w:r w:rsidRPr="006F1346">
        <w:rPr>
          <w:lang w:val="en-GB"/>
        </w:rPr>
        <w:t>.</w:t>
      </w:r>
    </w:p>
    <w:p w:rsidR="00406AD9" w:rsidRPr="006F1346" w:rsidRDefault="00406AD9" w:rsidP="006F1346">
      <w:pPr>
        <w:pStyle w:val="ECHRPara"/>
        <w:rPr>
          <w:lang w:val="en-GB"/>
        </w:rPr>
      </w:pPr>
      <w:r w:rsidRPr="006F1346">
        <w:rPr>
          <w:lang w:val="en-GB"/>
        </w:rPr>
        <w:fldChar w:fldCharType="begin"/>
      </w:r>
      <w:r w:rsidRPr="006F1346">
        <w:rPr>
          <w:lang w:val="en-GB"/>
        </w:rPr>
        <w:instrText xml:space="preserve"> SEQ level0 \*arabic </w:instrText>
      </w:r>
      <w:r w:rsidRPr="006F1346">
        <w:rPr>
          <w:lang w:val="en-GB"/>
        </w:rPr>
        <w:fldChar w:fldCharType="separate"/>
      </w:r>
      <w:r>
        <w:rPr>
          <w:noProof/>
          <w:lang w:val="en-GB"/>
        </w:rPr>
        <w:t>17</w:t>
      </w:r>
      <w:r w:rsidRPr="006F1346">
        <w:rPr>
          <w:lang w:val="en-GB"/>
        </w:rPr>
        <w:fldChar w:fldCharType="end"/>
      </w:r>
      <w:r w:rsidRPr="006F1346">
        <w:rPr>
          <w:lang w:val="en-GB"/>
        </w:rPr>
        <w:t>.  On 25 January 2002 the applicant together with his acquaintance O</w:t>
      </w:r>
      <w:r>
        <w:rPr>
          <w:lang w:val="en-GB"/>
        </w:rPr>
        <w:t>.</w:t>
      </w:r>
      <w:r w:rsidRPr="006F1346">
        <w:rPr>
          <w:lang w:val="en-GB"/>
        </w:rPr>
        <w:t>O</w:t>
      </w:r>
      <w:r>
        <w:rPr>
          <w:lang w:val="en-GB"/>
        </w:rPr>
        <w:t>.</w:t>
      </w:r>
      <w:r w:rsidRPr="006F1346">
        <w:rPr>
          <w:lang w:val="en-GB"/>
        </w:rPr>
        <w:t xml:space="preserve"> had travelled to Moscow hoping to obtain </w:t>
      </w:r>
      <w:r>
        <w:rPr>
          <w:lang w:val="en-GB"/>
        </w:rPr>
        <w:t>money</w:t>
      </w:r>
      <w:r w:rsidRPr="006F1346">
        <w:rPr>
          <w:lang w:val="en-GB"/>
        </w:rPr>
        <w:t xml:space="preserve"> there, </w:t>
      </w:r>
      <w:r>
        <w:rPr>
          <w:lang w:val="en-GB"/>
        </w:rPr>
        <w:t>but they were unsuccessful</w:t>
      </w:r>
      <w:r w:rsidRPr="006F1346">
        <w:rPr>
          <w:lang w:val="en-GB"/>
        </w:rPr>
        <w:t>.</w:t>
      </w:r>
    </w:p>
    <w:p w:rsidR="00406AD9" w:rsidRPr="006F1346" w:rsidRDefault="00406AD9" w:rsidP="006F1346">
      <w:pPr>
        <w:pStyle w:val="ECHRPara"/>
        <w:rPr>
          <w:lang w:val="en-GB"/>
        </w:rPr>
      </w:pPr>
      <w:r w:rsidRPr="006F1346">
        <w:rPr>
          <w:lang w:val="en-GB"/>
        </w:rPr>
        <w:fldChar w:fldCharType="begin"/>
      </w:r>
      <w:r w:rsidRPr="006F1346">
        <w:rPr>
          <w:lang w:val="en-GB"/>
        </w:rPr>
        <w:instrText xml:space="preserve"> SEQ level0 \*arabic </w:instrText>
      </w:r>
      <w:r w:rsidRPr="006F1346">
        <w:rPr>
          <w:lang w:val="en-GB"/>
        </w:rPr>
        <w:fldChar w:fldCharType="separate"/>
      </w:r>
      <w:r>
        <w:rPr>
          <w:noProof/>
          <w:lang w:val="en-GB"/>
        </w:rPr>
        <w:t>18</w:t>
      </w:r>
      <w:r w:rsidRPr="006F1346">
        <w:rPr>
          <w:lang w:val="en-GB"/>
        </w:rPr>
        <w:fldChar w:fldCharType="end"/>
      </w:r>
      <w:r w:rsidRPr="006F1346">
        <w:rPr>
          <w:lang w:val="en-GB"/>
        </w:rPr>
        <w:t>.  The applicant had told O</w:t>
      </w:r>
      <w:r>
        <w:rPr>
          <w:lang w:val="en-GB"/>
        </w:rPr>
        <w:t>.</w:t>
      </w:r>
      <w:r w:rsidRPr="006F1346">
        <w:rPr>
          <w:lang w:val="en-GB"/>
        </w:rPr>
        <w:t>O</w:t>
      </w:r>
      <w:r>
        <w:rPr>
          <w:lang w:val="en-GB"/>
        </w:rPr>
        <w:t>.</w:t>
      </w:r>
      <w:r w:rsidRPr="006F1346">
        <w:rPr>
          <w:lang w:val="en-GB"/>
        </w:rPr>
        <w:t xml:space="preserve"> about the transfers of mon</w:t>
      </w:r>
      <w:r>
        <w:rPr>
          <w:lang w:val="en-GB"/>
        </w:rPr>
        <w:t xml:space="preserve">ey </w:t>
      </w:r>
      <w:r w:rsidRPr="006F1346">
        <w:rPr>
          <w:lang w:val="en-GB"/>
        </w:rPr>
        <w:t>to Ģ</w:t>
      </w:r>
      <w:r>
        <w:rPr>
          <w:lang w:val="en-GB"/>
        </w:rPr>
        <w:t>.</w:t>
      </w:r>
      <w:r w:rsidRPr="006F1346">
        <w:rPr>
          <w:lang w:val="en-GB"/>
        </w:rPr>
        <w:t>Č</w:t>
      </w:r>
      <w:r>
        <w:rPr>
          <w:lang w:val="en-GB"/>
        </w:rPr>
        <w:t>.</w:t>
      </w:r>
      <w:r w:rsidRPr="006F1346">
        <w:rPr>
          <w:lang w:val="en-GB"/>
        </w:rPr>
        <w:t xml:space="preserve"> by Z</w:t>
      </w:r>
      <w:r>
        <w:rPr>
          <w:lang w:val="en-GB"/>
        </w:rPr>
        <w:t>.</w:t>
      </w:r>
      <w:r w:rsidRPr="006F1346">
        <w:rPr>
          <w:lang w:val="en-GB"/>
        </w:rPr>
        <w:t>K</w:t>
      </w:r>
      <w:r>
        <w:rPr>
          <w:lang w:val="en-GB"/>
        </w:rPr>
        <w:t>.</w:t>
      </w:r>
      <w:r w:rsidRPr="006F1346">
        <w:rPr>
          <w:lang w:val="en-GB"/>
        </w:rPr>
        <w:t xml:space="preserve"> and </w:t>
      </w:r>
      <w:r>
        <w:rPr>
          <w:lang w:val="en-GB"/>
        </w:rPr>
        <w:t>himself</w:t>
      </w:r>
      <w:r w:rsidRPr="006F1346">
        <w:rPr>
          <w:lang w:val="en-GB"/>
        </w:rPr>
        <w:t>.</w:t>
      </w:r>
      <w:r>
        <w:rPr>
          <w:lang w:val="en-GB"/>
        </w:rPr>
        <w:t xml:space="preserve"> </w:t>
      </w:r>
      <w:r w:rsidRPr="006F1346">
        <w:rPr>
          <w:lang w:val="en-GB"/>
        </w:rPr>
        <w:t>O</w:t>
      </w:r>
      <w:r>
        <w:rPr>
          <w:lang w:val="en-GB"/>
        </w:rPr>
        <w:t>.</w:t>
      </w:r>
      <w:r w:rsidRPr="006F1346">
        <w:rPr>
          <w:lang w:val="en-GB"/>
        </w:rPr>
        <w:t>O</w:t>
      </w:r>
      <w:r>
        <w:rPr>
          <w:lang w:val="en-GB"/>
        </w:rPr>
        <w:t>.</w:t>
      </w:r>
      <w:r w:rsidRPr="006F1346">
        <w:rPr>
          <w:lang w:val="en-GB"/>
        </w:rPr>
        <w:t xml:space="preserve"> had also learnt that the sum of LVL 17,000 would arrive in the </w:t>
      </w:r>
      <w:r>
        <w:rPr>
          <w:lang w:val="en-GB"/>
        </w:rPr>
        <w:t>c</w:t>
      </w:r>
      <w:r w:rsidRPr="006F1346">
        <w:rPr>
          <w:lang w:val="en-GB"/>
        </w:rPr>
        <w:t>oming days in the bank account</w:t>
      </w:r>
      <w:r>
        <w:rPr>
          <w:lang w:val="en-GB"/>
        </w:rPr>
        <w:t>,</w:t>
      </w:r>
      <w:r w:rsidRPr="006F1346">
        <w:rPr>
          <w:lang w:val="en-GB"/>
        </w:rPr>
        <w:t xml:space="preserve"> to be </w:t>
      </w:r>
      <w:r>
        <w:rPr>
          <w:lang w:val="en-GB"/>
        </w:rPr>
        <w:t>sent on</w:t>
      </w:r>
      <w:r w:rsidRPr="006F1346">
        <w:rPr>
          <w:lang w:val="en-GB"/>
        </w:rPr>
        <w:t xml:space="preserve"> to Ģ</w:t>
      </w:r>
      <w:r>
        <w:rPr>
          <w:lang w:val="en-GB"/>
        </w:rPr>
        <w:t xml:space="preserve">.Č., and </w:t>
      </w:r>
      <w:r w:rsidRPr="006F1346">
        <w:rPr>
          <w:lang w:val="en-GB"/>
        </w:rPr>
        <w:t xml:space="preserve">had told the applicant that he could </w:t>
      </w:r>
      <w:r>
        <w:rPr>
          <w:lang w:val="en-GB"/>
        </w:rPr>
        <w:t xml:space="preserve">resolve the issue of </w:t>
      </w:r>
      <w:r w:rsidRPr="006F1346">
        <w:rPr>
          <w:lang w:val="en-GB"/>
        </w:rPr>
        <w:t>the debt i</w:t>
      </w:r>
      <w:r>
        <w:rPr>
          <w:lang w:val="en-GB"/>
        </w:rPr>
        <w:t>f the</w:t>
      </w:r>
      <w:r w:rsidRPr="006F1346">
        <w:rPr>
          <w:lang w:val="en-GB"/>
        </w:rPr>
        <w:t xml:space="preserve"> applicant </w:t>
      </w:r>
      <w:r>
        <w:rPr>
          <w:lang w:val="en-GB"/>
        </w:rPr>
        <w:t>gave him</w:t>
      </w:r>
      <w:r w:rsidRPr="006F1346">
        <w:rPr>
          <w:lang w:val="en-GB"/>
        </w:rPr>
        <w:t xml:space="preserve"> full information.</w:t>
      </w:r>
    </w:p>
    <w:p w:rsidR="00406AD9" w:rsidRPr="006F1346" w:rsidRDefault="00406AD9" w:rsidP="006F1346">
      <w:pPr>
        <w:pStyle w:val="ECHRPara"/>
        <w:rPr>
          <w:lang w:val="en-GB"/>
        </w:rPr>
      </w:pPr>
      <w:r w:rsidRPr="006F1346">
        <w:rPr>
          <w:lang w:val="en-GB"/>
        </w:rPr>
        <w:fldChar w:fldCharType="begin"/>
      </w:r>
      <w:r w:rsidRPr="006F1346">
        <w:rPr>
          <w:lang w:val="en-GB"/>
        </w:rPr>
        <w:instrText xml:space="preserve"> SEQ level0 \*arabic </w:instrText>
      </w:r>
      <w:r w:rsidRPr="006F1346">
        <w:rPr>
          <w:lang w:val="en-GB"/>
        </w:rPr>
        <w:fldChar w:fldCharType="separate"/>
      </w:r>
      <w:r>
        <w:rPr>
          <w:noProof/>
          <w:lang w:val="en-GB"/>
        </w:rPr>
        <w:t>19</w:t>
      </w:r>
      <w:r w:rsidRPr="006F1346">
        <w:rPr>
          <w:lang w:val="en-GB"/>
        </w:rPr>
        <w:fldChar w:fldCharType="end"/>
      </w:r>
      <w:r w:rsidRPr="006F1346">
        <w:rPr>
          <w:lang w:val="en-GB"/>
        </w:rPr>
        <w:t xml:space="preserve">.  On 1 February 2002 they had </w:t>
      </w:r>
      <w:r>
        <w:rPr>
          <w:lang w:val="en-GB"/>
        </w:rPr>
        <w:t>left</w:t>
      </w:r>
      <w:r w:rsidRPr="006F1346">
        <w:rPr>
          <w:lang w:val="en-GB"/>
        </w:rPr>
        <w:t xml:space="preserve"> Moscow</w:t>
      </w:r>
      <w:r>
        <w:rPr>
          <w:lang w:val="en-GB"/>
        </w:rPr>
        <w:t xml:space="preserve"> </w:t>
      </w:r>
      <w:r w:rsidRPr="006F1346">
        <w:rPr>
          <w:lang w:val="en-GB"/>
        </w:rPr>
        <w:t xml:space="preserve">and </w:t>
      </w:r>
      <w:r>
        <w:rPr>
          <w:lang w:val="en-GB"/>
        </w:rPr>
        <w:t xml:space="preserve">had </w:t>
      </w:r>
      <w:r w:rsidRPr="006F1346">
        <w:rPr>
          <w:lang w:val="en-GB"/>
        </w:rPr>
        <w:t>arrived the next day in Riga. A</w:t>
      </w:r>
      <w:r>
        <w:rPr>
          <w:lang w:val="en-GB"/>
        </w:rPr>
        <w:t>t a</w:t>
      </w:r>
      <w:r w:rsidRPr="006F1346">
        <w:rPr>
          <w:lang w:val="en-GB"/>
        </w:rPr>
        <w:t>round 2 p.m. the applicant had phoned Z</w:t>
      </w:r>
      <w:r>
        <w:rPr>
          <w:lang w:val="en-GB"/>
        </w:rPr>
        <w:t>.</w:t>
      </w:r>
      <w:r w:rsidRPr="006F1346">
        <w:rPr>
          <w:lang w:val="en-GB"/>
        </w:rPr>
        <w:t>K</w:t>
      </w:r>
      <w:r>
        <w:rPr>
          <w:lang w:val="en-GB"/>
        </w:rPr>
        <w:t>.,</w:t>
      </w:r>
      <w:r w:rsidRPr="006F1346">
        <w:rPr>
          <w:lang w:val="en-GB"/>
        </w:rPr>
        <w:t xml:space="preserve"> who later g</w:t>
      </w:r>
      <w:r>
        <w:rPr>
          <w:lang w:val="en-GB"/>
        </w:rPr>
        <w:t>ave</w:t>
      </w:r>
      <w:r w:rsidRPr="006F1346">
        <w:rPr>
          <w:lang w:val="en-GB"/>
        </w:rPr>
        <w:t xml:space="preserve"> him LVL 5,600 and told</w:t>
      </w:r>
      <w:r>
        <w:rPr>
          <w:lang w:val="en-GB"/>
        </w:rPr>
        <w:t xml:space="preserve"> him</w:t>
      </w:r>
      <w:r w:rsidRPr="006F1346">
        <w:rPr>
          <w:lang w:val="en-GB"/>
        </w:rPr>
        <w:t xml:space="preserve"> that the remaining amount would be withdrawn on Monday.</w:t>
      </w:r>
      <w:r>
        <w:rPr>
          <w:lang w:val="en-GB"/>
        </w:rPr>
        <w:t xml:space="preserve"> </w:t>
      </w:r>
      <w:r w:rsidRPr="006F1346">
        <w:rPr>
          <w:lang w:val="en-GB"/>
        </w:rPr>
        <w:t>On Sunday O</w:t>
      </w:r>
      <w:r>
        <w:rPr>
          <w:lang w:val="en-GB"/>
        </w:rPr>
        <w:t>.</w:t>
      </w:r>
      <w:r w:rsidRPr="006F1346">
        <w:rPr>
          <w:lang w:val="en-GB"/>
        </w:rPr>
        <w:t>O</w:t>
      </w:r>
      <w:r>
        <w:rPr>
          <w:lang w:val="en-GB"/>
        </w:rPr>
        <w:t>.</w:t>
      </w:r>
      <w:r w:rsidRPr="006F1346">
        <w:rPr>
          <w:lang w:val="en-GB"/>
        </w:rPr>
        <w:t xml:space="preserve"> called the applicant</w:t>
      </w:r>
      <w:r>
        <w:rPr>
          <w:lang w:val="en-GB"/>
        </w:rPr>
        <w:t>,</w:t>
      </w:r>
      <w:r w:rsidRPr="006F1346">
        <w:rPr>
          <w:lang w:val="en-GB"/>
        </w:rPr>
        <w:t xml:space="preserve"> saying that everything was in order.</w:t>
      </w:r>
      <w:r>
        <w:rPr>
          <w:lang w:val="en-GB"/>
        </w:rPr>
        <w:t xml:space="preserve"> </w:t>
      </w:r>
      <w:r w:rsidRPr="006F1346">
        <w:rPr>
          <w:lang w:val="en-GB"/>
        </w:rPr>
        <w:t xml:space="preserve">Later the applicant realised that </w:t>
      </w:r>
      <w:r>
        <w:rPr>
          <w:lang w:val="en-GB"/>
        </w:rPr>
        <w:t>something terrible</w:t>
      </w:r>
      <w:r w:rsidRPr="006F1346">
        <w:rPr>
          <w:lang w:val="en-GB"/>
        </w:rPr>
        <w:t xml:space="preserve"> had occurred.</w:t>
      </w:r>
    </w:p>
    <w:p w:rsidR="00406AD9" w:rsidRPr="006F1346" w:rsidRDefault="00406AD9" w:rsidP="006F1346">
      <w:pPr>
        <w:pStyle w:val="ECHRPara"/>
        <w:rPr>
          <w:lang w:val="en-GB"/>
        </w:rPr>
      </w:pPr>
      <w:r w:rsidRPr="006F1346">
        <w:rPr>
          <w:lang w:val="en-GB"/>
        </w:rPr>
        <w:fldChar w:fldCharType="begin"/>
      </w:r>
      <w:r w:rsidRPr="006F1346">
        <w:rPr>
          <w:lang w:val="en-GB"/>
        </w:rPr>
        <w:instrText xml:space="preserve"> SEQ level0 \*arabic </w:instrText>
      </w:r>
      <w:r w:rsidRPr="006F1346">
        <w:rPr>
          <w:lang w:val="en-GB"/>
        </w:rPr>
        <w:fldChar w:fldCharType="separate"/>
      </w:r>
      <w:r>
        <w:rPr>
          <w:noProof/>
          <w:lang w:val="en-GB"/>
        </w:rPr>
        <w:t>20</w:t>
      </w:r>
      <w:r w:rsidRPr="006F1346">
        <w:rPr>
          <w:lang w:val="en-GB"/>
        </w:rPr>
        <w:fldChar w:fldCharType="end"/>
      </w:r>
      <w:r w:rsidRPr="006F1346">
        <w:rPr>
          <w:lang w:val="en-GB"/>
        </w:rPr>
        <w:t xml:space="preserve">.  The same handwritten confession contained an </w:t>
      </w:r>
      <w:r>
        <w:rPr>
          <w:lang w:val="en-GB"/>
        </w:rPr>
        <w:t>addendum to the effect</w:t>
      </w:r>
      <w:r w:rsidRPr="006F1346">
        <w:rPr>
          <w:lang w:val="en-GB"/>
        </w:rPr>
        <w:t xml:space="preserve"> that O</w:t>
      </w:r>
      <w:r>
        <w:rPr>
          <w:lang w:val="en-GB"/>
        </w:rPr>
        <w:t>.</w:t>
      </w:r>
      <w:r w:rsidRPr="006F1346">
        <w:rPr>
          <w:lang w:val="en-GB"/>
        </w:rPr>
        <w:t>O</w:t>
      </w:r>
      <w:r>
        <w:rPr>
          <w:lang w:val="en-GB"/>
        </w:rPr>
        <w:t>.</w:t>
      </w:r>
      <w:r w:rsidRPr="006F1346">
        <w:rPr>
          <w:lang w:val="en-GB"/>
        </w:rPr>
        <w:t xml:space="preserve"> had said that he would murder Ģ</w:t>
      </w:r>
      <w:r>
        <w:rPr>
          <w:lang w:val="en-GB"/>
        </w:rPr>
        <w:t>.</w:t>
      </w:r>
      <w:r w:rsidRPr="006F1346">
        <w:rPr>
          <w:lang w:val="en-GB"/>
        </w:rPr>
        <w:t>Č.</w:t>
      </w:r>
    </w:p>
    <w:p w:rsidR="00406AD9" w:rsidRPr="00A2290E" w:rsidRDefault="00406AD9" w:rsidP="00E8582F">
      <w:pPr>
        <w:pStyle w:val="ECHRHeading3"/>
        <w:rPr>
          <w:rFonts w:eastAsia="Times New Roman"/>
          <w:lang w:val="en-US"/>
        </w:rPr>
      </w:pPr>
      <w:r w:rsidRPr="00A2290E">
        <w:rPr>
          <w:rFonts w:eastAsia="Times New Roman"/>
          <w:lang w:val="en-US"/>
        </w:rPr>
        <w:t>3.  </w:t>
      </w:r>
      <w:r>
        <w:rPr>
          <w:rFonts w:eastAsia="Times New Roman"/>
          <w:lang w:val="en-US"/>
        </w:rPr>
        <w:t>Questioning as</w:t>
      </w:r>
      <w:r w:rsidRPr="00E8582F">
        <w:rPr>
          <w:rFonts w:eastAsia="Times New Roman"/>
          <w:lang w:val="en-GB"/>
        </w:rPr>
        <w:t xml:space="preserve"> a suspect</w:t>
      </w:r>
    </w:p>
    <w:p w:rsidR="00406AD9" w:rsidRPr="00E8582F" w:rsidRDefault="00406AD9" w:rsidP="00E8582F">
      <w:pPr>
        <w:pStyle w:val="ECHRPara"/>
        <w:rPr>
          <w:lang w:val="en-GB"/>
        </w:rPr>
      </w:pPr>
      <w:r w:rsidRPr="00E8582F">
        <w:rPr>
          <w:lang w:val="en-GB"/>
        </w:rPr>
        <w:fldChar w:fldCharType="begin"/>
      </w:r>
      <w:r w:rsidRPr="00E8582F">
        <w:rPr>
          <w:lang w:val="en-GB"/>
        </w:rPr>
        <w:instrText xml:space="preserve"> SEQ level0 \*arabic </w:instrText>
      </w:r>
      <w:r w:rsidRPr="00E8582F">
        <w:rPr>
          <w:lang w:val="en-GB"/>
        </w:rPr>
        <w:fldChar w:fldCharType="separate"/>
      </w:r>
      <w:r>
        <w:rPr>
          <w:noProof/>
          <w:lang w:val="en-GB"/>
        </w:rPr>
        <w:t>21</w:t>
      </w:r>
      <w:r w:rsidRPr="00E8582F">
        <w:rPr>
          <w:lang w:val="en-GB"/>
        </w:rPr>
        <w:fldChar w:fldCharType="end"/>
      </w:r>
      <w:r w:rsidRPr="00E8582F">
        <w:rPr>
          <w:lang w:val="en-GB"/>
        </w:rPr>
        <w:t xml:space="preserve">.  According to the typewritten </w:t>
      </w:r>
      <w:r>
        <w:rPr>
          <w:lang w:val="en-GB"/>
        </w:rPr>
        <w:t>transcript of</w:t>
      </w:r>
      <w:r w:rsidRPr="00E8582F">
        <w:rPr>
          <w:lang w:val="en-GB"/>
        </w:rPr>
        <w:t xml:space="preserve"> the applicant</w:t>
      </w:r>
      <w:r>
        <w:rPr>
          <w:lang w:val="en-GB"/>
        </w:rPr>
        <w:t>’</w:t>
      </w:r>
      <w:r w:rsidRPr="00E8582F">
        <w:rPr>
          <w:lang w:val="en-GB"/>
        </w:rPr>
        <w:t xml:space="preserve">s </w:t>
      </w:r>
      <w:r>
        <w:rPr>
          <w:lang w:val="en-GB"/>
        </w:rPr>
        <w:t>questioning as</w:t>
      </w:r>
      <w:r w:rsidRPr="00E8582F">
        <w:rPr>
          <w:lang w:val="en-GB"/>
        </w:rPr>
        <w:t xml:space="preserve"> a suspect dated 22 March 2002</w:t>
      </w:r>
      <w:r>
        <w:rPr>
          <w:lang w:val="en-GB"/>
        </w:rPr>
        <w:t xml:space="preserve"> </w:t>
      </w:r>
      <w:r w:rsidRPr="00E8582F">
        <w:rPr>
          <w:lang w:val="en-GB"/>
        </w:rPr>
        <w:t>from 11 a.m. to 12.30 p.m.</w:t>
      </w:r>
      <w:r>
        <w:rPr>
          <w:rStyle w:val="FootnoteReference"/>
          <w:lang w:val="en-GB"/>
        </w:rPr>
        <w:footnoteReference w:id="3"/>
      </w:r>
      <w:r>
        <w:rPr>
          <w:lang w:val="en-GB"/>
        </w:rPr>
        <w:t>,</w:t>
      </w:r>
      <w:r w:rsidRPr="00E8582F">
        <w:rPr>
          <w:lang w:val="en-GB"/>
        </w:rPr>
        <w:t xml:space="preserve"> the applicant confirmed </w:t>
      </w:r>
      <w:r>
        <w:rPr>
          <w:lang w:val="en-GB"/>
        </w:rPr>
        <w:t xml:space="preserve">the </w:t>
      </w:r>
      <w:r w:rsidRPr="00E8582F">
        <w:rPr>
          <w:lang w:val="en-GB"/>
        </w:rPr>
        <w:t xml:space="preserve">truthfulness of his </w:t>
      </w:r>
      <w:r>
        <w:rPr>
          <w:lang w:val="en-GB"/>
        </w:rPr>
        <w:t>confession</w:t>
      </w:r>
      <w:r w:rsidRPr="00E8582F">
        <w:rPr>
          <w:lang w:val="en-GB"/>
        </w:rPr>
        <w:t>.</w:t>
      </w:r>
    </w:p>
    <w:p w:rsidR="00406AD9" w:rsidRPr="00E8582F" w:rsidRDefault="00406AD9" w:rsidP="00E8582F">
      <w:pPr>
        <w:pStyle w:val="ECHRPara"/>
        <w:rPr>
          <w:lang w:val="en-GB"/>
        </w:rPr>
      </w:pPr>
      <w:r w:rsidRPr="00E8582F">
        <w:rPr>
          <w:lang w:val="en-GB"/>
        </w:rPr>
        <w:fldChar w:fldCharType="begin"/>
      </w:r>
      <w:r w:rsidRPr="00E8582F">
        <w:rPr>
          <w:lang w:val="en-GB"/>
        </w:rPr>
        <w:instrText xml:space="preserve"> SEQ level0 \*arabic </w:instrText>
      </w:r>
      <w:r w:rsidRPr="00E8582F">
        <w:rPr>
          <w:lang w:val="en-GB"/>
        </w:rPr>
        <w:fldChar w:fldCharType="separate"/>
      </w:r>
      <w:r>
        <w:rPr>
          <w:noProof/>
          <w:lang w:val="en-GB"/>
        </w:rPr>
        <w:t>22</w:t>
      </w:r>
      <w:r w:rsidRPr="00E8582F">
        <w:rPr>
          <w:lang w:val="en-GB"/>
        </w:rPr>
        <w:fldChar w:fldCharType="end"/>
      </w:r>
      <w:r w:rsidRPr="00E8582F">
        <w:rPr>
          <w:lang w:val="en-GB"/>
        </w:rPr>
        <w:t xml:space="preserve">.  He added that he had concealed the circumstances and </w:t>
      </w:r>
      <w:r>
        <w:rPr>
          <w:lang w:val="en-GB"/>
        </w:rPr>
        <w:t xml:space="preserve">the </w:t>
      </w:r>
      <w:r w:rsidRPr="00E8582F">
        <w:rPr>
          <w:lang w:val="en-GB"/>
        </w:rPr>
        <w:t>purpose of his travel to Moscow.</w:t>
      </w:r>
    </w:p>
    <w:p w:rsidR="00406AD9" w:rsidRPr="00E8582F" w:rsidRDefault="00406AD9" w:rsidP="00E8582F">
      <w:pPr>
        <w:pStyle w:val="ECHRPara"/>
        <w:rPr>
          <w:lang w:val="en-GB"/>
        </w:rPr>
      </w:pPr>
      <w:r w:rsidRPr="00E8582F">
        <w:rPr>
          <w:lang w:val="en-GB"/>
        </w:rPr>
        <w:fldChar w:fldCharType="begin"/>
      </w:r>
      <w:r w:rsidRPr="00E8582F">
        <w:rPr>
          <w:lang w:val="en-GB"/>
        </w:rPr>
        <w:instrText xml:space="preserve"> SEQ level0 \*arabic </w:instrText>
      </w:r>
      <w:r w:rsidRPr="00E8582F">
        <w:rPr>
          <w:lang w:val="en-GB"/>
        </w:rPr>
        <w:fldChar w:fldCharType="separate"/>
      </w:r>
      <w:r>
        <w:rPr>
          <w:noProof/>
          <w:lang w:val="en-GB"/>
        </w:rPr>
        <w:t>23</w:t>
      </w:r>
      <w:r w:rsidRPr="00E8582F">
        <w:rPr>
          <w:lang w:val="en-GB"/>
        </w:rPr>
        <w:fldChar w:fldCharType="end"/>
      </w:r>
      <w:r w:rsidRPr="00E8582F">
        <w:rPr>
          <w:lang w:val="en-GB"/>
        </w:rPr>
        <w:t>.  He declared that he had borrowed a sum of money from his acquaintance O</w:t>
      </w:r>
      <w:r>
        <w:rPr>
          <w:lang w:val="en-GB"/>
        </w:rPr>
        <w:t>.</w:t>
      </w:r>
      <w:r w:rsidRPr="00E8582F">
        <w:rPr>
          <w:lang w:val="en-GB"/>
        </w:rPr>
        <w:t>O</w:t>
      </w:r>
      <w:r>
        <w:rPr>
          <w:lang w:val="en-GB"/>
        </w:rPr>
        <w:t>.</w:t>
      </w:r>
      <w:r w:rsidRPr="00E8582F">
        <w:rPr>
          <w:lang w:val="en-GB"/>
        </w:rPr>
        <w:t xml:space="preserve"> which he had failed to return. O</w:t>
      </w:r>
      <w:r>
        <w:rPr>
          <w:lang w:val="en-GB"/>
        </w:rPr>
        <w:t>.</w:t>
      </w:r>
      <w:r w:rsidRPr="00E8582F">
        <w:rPr>
          <w:lang w:val="en-GB"/>
        </w:rPr>
        <w:t>O</w:t>
      </w:r>
      <w:r>
        <w:rPr>
          <w:lang w:val="en-GB"/>
        </w:rPr>
        <w:t>.</w:t>
      </w:r>
      <w:r w:rsidRPr="00E8582F">
        <w:rPr>
          <w:lang w:val="en-GB"/>
        </w:rPr>
        <w:t xml:space="preserve"> had demanded </w:t>
      </w:r>
      <w:r>
        <w:rPr>
          <w:lang w:val="en-GB"/>
        </w:rPr>
        <w:t xml:space="preserve">to be repaid </w:t>
      </w:r>
      <w:r w:rsidRPr="00E8582F">
        <w:rPr>
          <w:lang w:val="en-GB"/>
        </w:rPr>
        <w:t>in a threating manner and to go with the applicant to Moscow. O</w:t>
      </w:r>
      <w:r>
        <w:rPr>
          <w:lang w:val="en-GB"/>
        </w:rPr>
        <w:t>.</w:t>
      </w:r>
      <w:r w:rsidRPr="00E8582F">
        <w:rPr>
          <w:lang w:val="en-GB"/>
        </w:rPr>
        <w:t>O</w:t>
      </w:r>
      <w:r>
        <w:rPr>
          <w:lang w:val="en-GB"/>
        </w:rPr>
        <w:t>.</w:t>
      </w:r>
      <w:r w:rsidRPr="00E8582F">
        <w:rPr>
          <w:lang w:val="en-GB"/>
        </w:rPr>
        <w:t xml:space="preserve"> had insisted that the applicant k</w:t>
      </w:r>
      <w:r>
        <w:rPr>
          <w:lang w:val="en-GB"/>
        </w:rPr>
        <w:t>eep</w:t>
      </w:r>
      <w:r w:rsidRPr="00E8582F">
        <w:rPr>
          <w:lang w:val="en-GB"/>
        </w:rPr>
        <w:t xml:space="preserve"> the money intended for Ģ</w:t>
      </w:r>
      <w:r>
        <w:rPr>
          <w:lang w:val="en-GB"/>
        </w:rPr>
        <w:t>.</w:t>
      </w:r>
      <w:r w:rsidRPr="00E8582F">
        <w:rPr>
          <w:lang w:val="en-GB"/>
        </w:rPr>
        <w:t>Č</w:t>
      </w:r>
      <w:r>
        <w:rPr>
          <w:lang w:val="en-GB"/>
        </w:rPr>
        <w:t>.</w:t>
      </w:r>
      <w:r w:rsidRPr="00E8582F">
        <w:rPr>
          <w:lang w:val="en-GB"/>
        </w:rPr>
        <w:t xml:space="preserve"> and g</w:t>
      </w:r>
      <w:r>
        <w:rPr>
          <w:lang w:val="en-GB"/>
        </w:rPr>
        <w:t>ive</w:t>
      </w:r>
      <w:r w:rsidRPr="00E8582F">
        <w:rPr>
          <w:lang w:val="en-GB"/>
        </w:rPr>
        <w:t xml:space="preserve"> him </w:t>
      </w:r>
      <w:r>
        <w:rPr>
          <w:lang w:val="en-GB"/>
        </w:rPr>
        <w:t>some of it in</w:t>
      </w:r>
      <w:r w:rsidRPr="00E8582F">
        <w:rPr>
          <w:lang w:val="en-GB"/>
        </w:rPr>
        <w:t xml:space="preserve"> repayment of the debt</w:t>
      </w:r>
      <w:r>
        <w:rPr>
          <w:lang w:val="en-GB"/>
        </w:rPr>
        <w:t xml:space="preserve"> instead</w:t>
      </w:r>
      <w:r w:rsidRPr="00E8582F">
        <w:rPr>
          <w:lang w:val="en-GB"/>
        </w:rPr>
        <w:t>. O</w:t>
      </w:r>
      <w:r>
        <w:rPr>
          <w:lang w:val="en-GB"/>
        </w:rPr>
        <w:t>.</w:t>
      </w:r>
      <w:r w:rsidRPr="00E8582F">
        <w:rPr>
          <w:lang w:val="en-GB"/>
        </w:rPr>
        <w:t>O</w:t>
      </w:r>
      <w:r>
        <w:rPr>
          <w:lang w:val="en-GB"/>
        </w:rPr>
        <w:t>.</w:t>
      </w:r>
      <w:r w:rsidRPr="00E8582F">
        <w:rPr>
          <w:lang w:val="en-GB"/>
        </w:rPr>
        <w:t xml:space="preserve"> had told the applicant to forget about Ģ</w:t>
      </w:r>
      <w:r>
        <w:rPr>
          <w:lang w:val="en-GB"/>
        </w:rPr>
        <w:t>.</w:t>
      </w:r>
      <w:r w:rsidRPr="00E8582F">
        <w:rPr>
          <w:lang w:val="en-GB"/>
        </w:rPr>
        <w:t>Č</w:t>
      </w:r>
      <w:r>
        <w:rPr>
          <w:lang w:val="en-GB"/>
        </w:rPr>
        <w:t>.,</w:t>
      </w:r>
      <w:r w:rsidRPr="00E8582F">
        <w:rPr>
          <w:lang w:val="en-GB"/>
        </w:rPr>
        <w:t xml:space="preserve"> meaning that O</w:t>
      </w:r>
      <w:r>
        <w:rPr>
          <w:lang w:val="en-GB"/>
        </w:rPr>
        <w:t>.</w:t>
      </w:r>
      <w:r w:rsidRPr="00E8582F">
        <w:rPr>
          <w:lang w:val="en-GB"/>
        </w:rPr>
        <w:t>O</w:t>
      </w:r>
      <w:r>
        <w:rPr>
          <w:lang w:val="en-GB"/>
        </w:rPr>
        <w:t>.</w:t>
      </w:r>
      <w:r w:rsidRPr="00E8582F">
        <w:rPr>
          <w:lang w:val="en-GB"/>
        </w:rPr>
        <w:t xml:space="preserve"> had decided to kill him.</w:t>
      </w:r>
    </w:p>
    <w:p w:rsidR="00406AD9" w:rsidRPr="00E8582F" w:rsidRDefault="00406AD9" w:rsidP="00E8582F">
      <w:pPr>
        <w:pStyle w:val="ECHRPara"/>
        <w:rPr>
          <w:lang w:val="en-GB"/>
        </w:rPr>
      </w:pPr>
      <w:r w:rsidRPr="00E8582F">
        <w:rPr>
          <w:lang w:val="en-GB"/>
        </w:rPr>
        <w:fldChar w:fldCharType="begin"/>
      </w:r>
      <w:r w:rsidRPr="00E8582F">
        <w:rPr>
          <w:lang w:val="en-GB"/>
        </w:rPr>
        <w:instrText xml:space="preserve"> SEQ level0 \*arabic </w:instrText>
      </w:r>
      <w:r w:rsidRPr="00E8582F">
        <w:rPr>
          <w:lang w:val="en-GB"/>
        </w:rPr>
        <w:fldChar w:fldCharType="separate"/>
      </w:r>
      <w:r>
        <w:rPr>
          <w:noProof/>
          <w:lang w:val="en-GB"/>
        </w:rPr>
        <w:t>24</w:t>
      </w:r>
      <w:r w:rsidRPr="00E8582F">
        <w:rPr>
          <w:lang w:val="en-GB"/>
        </w:rPr>
        <w:fldChar w:fldCharType="end"/>
      </w:r>
      <w:r w:rsidRPr="00E8582F">
        <w:rPr>
          <w:lang w:val="en-GB"/>
        </w:rPr>
        <w:t>.  After their return to Riga, on 3 February 2002 O</w:t>
      </w:r>
      <w:r>
        <w:rPr>
          <w:lang w:val="en-GB"/>
        </w:rPr>
        <w:t>.</w:t>
      </w:r>
      <w:r w:rsidRPr="00E8582F">
        <w:rPr>
          <w:lang w:val="en-GB"/>
        </w:rPr>
        <w:t>O</w:t>
      </w:r>
      <w:r>
        <w:rPr>
          <w:lang w:val="en-GB"/>
        </w:rPr>
        <w:t>.</w:t>
      </w:r>
      <w:r w:rsidRPr="00E8582F">
        <w:rPr>
          <w:lang w:val="en-GB"/>
        </w:rPr>
        <w:t xml:space="preserve"> had told the applicant</w:t>
      </w:r>
      <w:r>
        <w:rPr>
          <w:lang w:val="en-GB"/>
        </w:rPr>
        <w:t xml:space="preserve"> over the phone that he</w:t>
      </w:r>
      <w:r w:rsidRPr="00E8582F">
        <w:rPr>
          <w:lang w:val="en-GB"/>
        </w:rPr>
        <w:t xml:space="preserve"> could </w:t>
      </w:r>
      <w:r>
        <w:rPr>
          <w:lang w:val="en-GB"/>
        </w:rPr>
        <w:t xml:space="preserve">now </w:t>
      </w:r>
      <w:r w:rsidRPr="00E8582F">
        <w:rPr>
          <w:lang w:val="en-GB"/>
        </w:rPr>
        <w:t>forget about Ģ</w:t>
      </w:r>
      <w:r>
        <w:rPr>
          <w:lang w:val="en-GB"/>
        </w:rPr>
        <w:t>.</w:t>
      </w:r>
      <w:r w:rsidRPr="00E8582F">
        <w:rPr>
          <w:lang w:val="en-GB"/>
        </w:rPr>
        <w:t>Č</w:t>
      </w:r>
      <w:r>
        <w:rPr>
          <w:lang w:val="en-GB"/>
        </w:rPr>
        <w:t>.</w:t>
      </w:r>
      <w:r w:rsidRPr="00E8582F">
        <w:rPr>
          <w:lang w:val="en-GB"/>
        </w:rPr>
        <w:t xml:space="preserve"> and that nobody would ever find him. The applicant had understood </w:t>
      </w:r>
      <w:r>
        <w:rPr>
          <w:lang w:val="en-GB"/>
        </w:rPr>
        <w:t xml:space="preserve">him to mean </w:t>
      </w:r>
      <w:r w:rsidRPr="00E8582F">
        <w:rPr>
          <w:lang w:val="en-GB"/>
        </w:rPr>
        <w:t>that Ģ</w:t>
      </w:r>
      <w:r>
        <w:rPr>
          <w:lang w:val="en-GB"/>
        </w:rPr>
        <w:t>.</w:t>
      </w:r>
      <w:r w:rsidRPr="00E8582F">
        <w:rPr>
          <w:lang w:val="en-GB"/>
        </w:rPr>
        <w:t>Č</w:t>
      </w:r>
      <w:r>
        <w:rPr>
          <w:lang w:val="en-GB"/>
        </w:rPr>
        <w:t>.</w:t>
      </w:r>
      <w:r w:rsidRPr="00E8582F">
        <w:rPr>
          <w:lang w:val="en-GB"/>
        </w:rPr>
        <w:t xml:space="preserve"> had been murdered.</w:t>
      </w:r>
    </w:p>
    <w:p w:rsidR="00406AD9" w:rsidRPr="00E8582F" w:rsidRDefault="00406AD9" w:rsidP="00E8582F">
      <w:pPr>
        <w:pStyle w:val="ECHRPara"/>
        <w:rPr>
          <w:lang w:val="en-GB"/>
        </w:rPr>
      </w:pPr>
      <w:r w:rsidRPr="00E8582F">
        <w:rPr>
          <w:lang w:val="en-GB"/>
        </w:rPr>
        <w:fldChar w:fldCharType="begin"/>
      </w:r>
      <w:r w:rsidRPr="00E8582F">
        <w:rPr>
          <w:lang w:val="en-GB"/>
        </w:rPr>
        <w:instrText xml:space="preserve"> SEQ level0 \*arabic </w:instrText>
      </w:r>
      <w:r w:rsidRPr="00E8582F">
        <w:rPr>
          <w:lang w:val="en-GB"/>
        </w:rPr>
        <w:fldChar w:fldCharType="separate"/>
      </w:r>
      <w:r>
        <w:rPr>
          <w:noProof/>
          <w:lang w:val="en-GB"/>
        </w:rPr>
        <w:t>25</w:t>
      </w:r>
      <w:r w:rsidRPr="00E8582F">
        <w:rPr>
          <w:lang w:val="en-GB"/>
        </w:rPr>
        <w:fldChar w:fldCharType="end"/>
      </w:r>
      <w:r w:rsidRPr="00E8582F">
        <w:rPr>
          <w:lang w:val="en-GB"/>
        </w:rPr>
        <w:t xml:space="preserve">.  A typewritten </w:t>
      </w:r>
      <w:r>
        <w:rPr>
          <w:lang w:val="en-GB"/>
        </w:rPr>
        <w:t>transcript of a further interview of the applicant as</w:t>
      </w:r>
      <w:r w:rsidRPr="00E8582F">
        <w:rPr>
          <w:lang w:val="en-GB"/>
        </w:rPr>
        <w:t xml:space="preserve"> a suspect dated 22 March 2002 from 11.30 p.m.</w:t>
      </w:r>
      <w:r>
        <w:rPr>
          <w:lang w:val="en-GB"/>
        </w:rPr>
        <w:t xml:space="preserve"> </w:t>
      </w:r>
      <w:r w:rsidRPr="00E8582F">
        <w:rPr>
          <w:lang w:val="en-GB"/>
        </w:rPr>
        <w:t>to 12.50 a.m.</w:t>
      </w:r>
      <w:r>
        <w:rPr>
          <w:rStyle w:val="FootnoteReference"/>
          <w:lang w:val="en-GB"/>
        </w:rPr>
        <w:footnoteReference w:id="4"/>
      </w:r>
      <w:r w:rsidRPr="00E8582F">
        <w:rPr>
          <w:lang w:val="en-GB"/>
        </w:rPr>
        <w:t xml:space="preserve"> indicated that the applicant wished to supplement his previous </w:t>
      </w:r>
      <w:r>
        <w:rPr>
          <w:lang w:val="en-GB"/>
        </w:rPr>
        <w:t>statement</w:t>
      </w:r>
      <w:r w:rsidRPr="00E8582F">
        <w:rPr>
          <w:lang w:val="en-GB"/>
        </w:rPr>
        <w:t>.</w:t>
      </w:r>
    </w:p>
    <w:p w:rsidR="00406AD9" w:rsidRPr="00E8582F" w:rsidRDefault="00406AD9" w:rsidP="00E8582F">
      <w:pPr>
        <w:pStyle w:val="ECHRPara"/>
        <w:rPr>
          <w:lang w:val="en-GB"/>
        </w:rPr>
      </w:pPr>
      <w:r w:rsidRPr="00E8582F">
        <w:rPr>
          <w:lang w:val="en-GB"/>
        </w:rPr>
        <w:fldChar w:fldCharType="begin"/>
      </w:r>
      <w:r w:rsidRPr="00E8582F">
        <w:rPr>
          <w:lang w:val="en-GB"/>
        </w:rPr>
        <w:instrText xml:space="preserve"> SEQ level0 \*arabic </w:instrText>
      </w:r>
      <w:r w:rsidRPr="00E8582F">
        <w:rPr>
          <w:lang w:val="en-GB"/>
        </w:rPr>
        <w:fldChar w:fldCharType="separate"/>
      </w:r>
      <w:r>
        <w:rPr>
          <w:noProof/>
          <w:lang w:val="en-GB"/>
        </w:rPr>
        <w:t>26</w:t>
      </w:r>
      <w:r w:rsidRPr="00E8582F">
        <w:rPr>
          <w:lang w:val="en-GB"/>
        </w:rPr>
        <w:fldChar w:fldCharType="end"/>
      </w:r>
      <w:r w:rsidRPr="00E8582F">
        <w:rPr>
          <w:lang w:val="en-GB"/>
        </w:rPr>
        <w:t xml:space="preserve">.  The applicant stated that he had concealed the fact that he had </w:t>
      </w:r>
      <w:r>
        <w:rPr>
          <w:lang w:val="en-GB"/>
        </w:rPr>
        <w:t>sought the killing of Ģ.</w:t>
      </w:r>
      <w:r w:rsidRPr="00E8582F">
        <w:rPr>
          <w:lang w:val="en-GB"/>
        </w:rPr>
        <w:t>Č</w:t>
      </w:r>
      <w:r>
        <w:rPr>
          <w:lang w:val="en-GB"/>
        </w:rPr>
        <w:t>.</w:t>
      </w:r>
      <w:r w:rsidRPr="00E8582F">
        <w:rPr>
          <w:lang w:val="en-GB"/>
        </w:rPr>
        <w:t xml:space="preserve"> in order to obtain </w:t>
      </w:r>
      <w:r>
        <w:rPr>
          <w:lang w:val="en-GB"/>
        </w:rPr>
        <w:t>the</w:t>
      </w:r>
      <w:r w:rsidRPr="00E8582F">
        <w:rPr>
          <w:lang w:val="en-GB"/>
        </w:rPr>
        <w:t xml:space="preserve"> LVL 17,000</w:t>
      </w:r>
      <w:r>
        <w:rPr>
          <w:lang w:val="en-GB"/>
        </w:rPr>
        <w:t xml:space="preserve"> belonging to Ģ.</w:t>
      </w:r>
      <w:r w:rsidRPr="00E8582F">
        <w:rPr>
          <w:lang w:val="en-GB"/>
        </w:rPr>
        <w:t>Č</w:t>
      </w:r>
      <w:r>
        <w:rPr>
          <w:lang w:val="en-GB"/>
        </w:rPr>
        <w:t>.</w:t>
      </w:r>
      <w:r w:rsidRPr="00E8582F">
        <w:rPr>
          <w:lang w:val="en-GB"/>
        </w:rPr>
        <w:t xml:space="preserve"> </w:t>
      </w:r>
      <w:r>
        <w:rPr>
          <w:lang w:val="en-GB"/>
        </w:rPr>
        <w:t>He had wanted Ģ.</w:t>
      </w:r>
      <w:r w:rsidRPr="00E8582F">
        <w:rPr>
          <w:lang w:val="en-GB"/>
        </w:rPr>
        <w:t>Č</w:t>
      </w:r>
      <w:r>
        <w:rPr>
          <w:lang w:val="en-GB"/>
        </w:rPr>
        <w:t xml:space="preserve">.’s money </w:t>
      </w:r>
      <w:r w:rsidRPr="00E8582F">
        <w:rPr>
          <w:lang w:val="en-GB"/>
        </w:rPr>
        <w:t xml:space="preserve">because </w:t>
      </w:r>
      <w:r>
        <w:rPr>
          <w:lang w:val="en-GB"/>
        </w:rPr>
        <w:t xml:space="preserve">he had been experiencing </w:t>
      </w:r>
      <w:r w:rsidRPr="00E8582F">
        <w:rPr>
          <w:lang w:val="en-GB"/>
        </w:rPr>
        <w:t>serious financial difficulties.</w:t>
      </w:r>
      <w:r>
        <w:rPr>
          <w:lang w:val="en-GB"/>
        </w:rPr>
        <w:t xml:space="preserve"> </w:t>
      </w:r>
      <w:r w:rsidRPr="00E8582F">
        <w:rPr>
          <w:lang w:val="en-GB"/>
        </w:rPr>
        <w:t xml:space="preserve">He had ordered parts for his sports car from Japan but did not have </w:t>
      </w:r>
      <w:r>
        <w:rPr>
          <w:lang w:val="en-GB"/>
        </w:rPr>
        <w:t xml:space="preserve">the </w:t>
      </w:r>
      <w:r w:rsidRPr="00E8582F">
        <w:rPr>
          <w:lang w:val="en-GB"/>
        </w:rPr>
        <w:t>means to pay for them.</w:t>
      </w:r>
    </w:p>
    <w:p w:rsidR="00406AD9" w:rsidRPr="00E8582F" w:rsidRDefault="00406AD9" w:rsidP="00E8582F">
      <w:pPr>
        <w:pStyle w:val="ECHRPara"/>
        <w:rPr>
          <w:lang w:val="en-GB"/>
        </w:rPr>
      </w:pPr>
      <w:r w:rsidRPr="00E8582F">
        <w:rPr>
          <w:lang w:val="en-GB"/>
        </w:rPr>
        <w:fldChar w:fldCharType="begin"/>
      </w:r>
      <w:r w:rsidRPr="00E8582F">
        <w:rPr>
          <w:lang w:val="en-GB"/>
        </w:rPr>
        <w:instrText xml:space="preserve"> SEQ level0 \*arabic </w:instrText>
      </w:r>
      <w:r w:rsidRPr="00E8582F">
        <w:rPr>
          <w:lang w:val="en-GB"/>
        </w:rPr>
        <w:fldChar w:fldCharType="separate"/>
      </w:r>
      <w:r>
        <w:rPr>
          <w:noProof/>
          <w:lang w:val="en-GB"/>
        </w:rPr>
        <w:t>27</w:t>
      </w:r>
      <w:r w:rsidRPr="00E8582F">
        <w:rPr>
          <w:lang w:val="en-GB"/>
        </w:rPr>
        <w:fldChar w:fldCharType="end"/>
      </w:r>
      <w:r w:rsidRPr="00E8582F">
        <w:rPr>
          <w:lang w:val="en-GB"/>
        </w:rPr>
        <w:t>.  The applicant added that while in Moscow Ģ</w:t>
      </w:r>
      <w:r>
        <w:rPr>
          <w:lang w:val="en-GB"/>
        </w:rPr>
        <w:t>.</w:t>
      </w:r>
      <w:r w:rsidRPr="00E8582F">
        <w:rPr>
          <w:lang w:val="en-GB"/>
        </w:rPr>
        <w:t>Č</w:t>
      </w:r>
      <w:r>
        <w:rPr>
          <w:lang w:val="en-GB"/>
        </w:rPr>
        <w:t>.</w:t>
      </w:r>
      <w:r w:rsidRPr="00E8582F">
        <w:rPr>
          <w:lang w:val="en-GB"/>
        </w:rPr>
        <w:t xml:space="preserve"> had phoned him</w:t>
      </w:r>
      <w:r>
        <w:rPr>
          <w:lang w:val="en-GB"/>
        </w:rPr>
        <w:t>,</w:t>
      </w:r>
      <w:r w:rsidRPr="00E8582F">
        <w:rPr>
          <w:lang w:val="en-GB"/>
        </w:rPr>
        <w:t xml:space="preserve"> looking for Z</w:t>
      </w:r>
      <w:r>
        <w:rPr>
          <w:lang w:val="en-GB"/>
        </w:rPr>
        <w:t>.</w:t>
      </w:r>
      <w:r w:rsidRPr="00E8582F">
        <w:rPr>
          <w:lang w:val="en-GB"/>
        </w:rPr>
        <w:t>K. The applicant then had learnt that Z</w:t>
      </w:r>
      <w:r>
        <w:rPr>
          <w:lang w:val="en-GB"/>
        </w:rPr>
        <w:t>.</w:t>
      </w:r>
      <w:r w:rsidRPr="00E8582F">
        <w:rPr>
          <w:lang w:val="en-GB"/>
        </w:rPr>
        <w:t>K</w:t>
      </w:r>
      <w:r>
        <w:rPr>
          <w:lang w:val="en-GB"/>
        </w:rPr>
        <w:t>.</w:t>
      </w:r>
      <w:r w:rsidRPr="00E8582F">
        <w:rPr>
          <w:lang w:val="en-GB"/>
        </w:rPr>
        <w:t xml:space="preserve"> </w:t>
      </w:r>
      <w:r>
        <w:rPr>
          <w:lang w:val="en-GB"/>
        </w:rPr>
        <w:t>was</w:t>
      </w:r>
      <w:r w:rsidRPr="00E8582F">
        <w:rPr>
          <w:lang w:val="en-GB"/>
        </w:rPr>
        <w:t xml:space="preserve"> to withdraw the sum of LVL 17,000</w:t>
      </w:r>
      <w:r w:rsidRPr="00B34B3F">
        <w:rPr>
          <w:lang w:val="en-GB"/>
        </w:rPr>
        <w:t xml:space="preserve"> </w:t>
      </w:r>
      <w:r w:rsidRPr="00E8582F">
        <w:rPr>
          <w:lang w:val="en-GB"/>
        </w:rPr>
        <w:t>for Ģ</w:t>
      </w:r>
      <w:r>
        <w:rPr>
          <w:lang w:val="en-GB"/>
        </w:rPr>
        <w:t>.</w:t>
      </w:r>
      <w:r w:rsidRPr="00E8582F">
        <w:rPr>
          <w:lang w:val="en-GB"/>
        </w:rPr>
        <w:t xml:space="preserve">Č. On 31 January 2002 the applicant had </w:t>
      </w:r>
      <w:r>
        <w:rPr>
          <w:lang w:val="en-GB"/>
        </w:rPr>
        <w:t>asked</w:t>
      </w:r>
      <w:r w:rsidRPr="00E8582F">
        <w:rPr>
          <w:lang w:val="en-GB"/>
        </w:rPr>
        <w:t xml:space="preserve"> O</w:t>
      </w:r>
      <w:r>
        <w:rPr>
          <w:lang w:val="en-GB"/>
        </w:rPr>
        <w:t>.</w:t>
      </w:r>
      <w:r w:rsidRPr="00E8582F">
        <w:rPr>
          <w:lang w:val="en-GB"/>
        </w:rPr>
        <w:t>O</w:t>
      </w:r>
      <w:r>
        <w:rPr>
          <w:lang w:val="en-GB"/>
        </w:rPr>
        <w:t>. to kill Ģ.</w:t>
      </w:r>
      <w:r w:rsidRPr="00E8582F">
        <w:rPr>
          <w:lang w:val="en-GB"/>
        </w:rPr>
        <w:t>Č. T</w:t>
      </w:r>
      <w:r>
        <w:rPr>
          <w:lang w:val="en-GB"/>
        </w:rPr>
        <w:t>hat</w:t>
      </w:r>
      <w:r w:rsidRPr="00E8582F">
        <w:rPr>
          <w:lang w:val="en-GB"/>
        </w:rPr>
        <w:t xml:space="preserve"> same day</w:t>
      </w:r>
      <w:r>
        <w:rPr>
          <w:lang w:val="en-GB"/>
        </w:rPr>
        <w:t>, using the applicant’s phone,</w:t>
      </w:r>
      <w:r w:rsidRPr="00E8582F">
        <w:rPr>
          <w:lang w:val="en-GB"/>
        </w:rPr>
        <w:t xml:space="preserve"> O</w:t>
      </w:r>
      <w:r>
        <w:rPr>
          <w:lang w:val="en-GB"/>
        </w:rPr>
        <w:t>.</w:t>
      </w:r>
      <w:r w:rsidRPr="00E8582F">
        <w:rPr>
          <w:lang w:val="en-GB"/>
        </w:rPr>
        <w:t>O</w:t>
      </w:r>
      <w:r>
        <w:rPr>
          <w:lang w:val="en-GB"/>
        </w:rPr>
        <w:t>.</w:t>
      </w:r>
      <w:r w:rsidRPr="00E8582F">
        <w:rPr>
          <w:lang w:val="en-GB"/>
        </w:rPr>
        <w:t xml:space="preserve"> had called </w:t>
      </w:r>
      <w:r>
        <w:rPr>
          <w:lang w:val="en-GB"/>
        </w:rPr>
        <w:t>an acquaintance in Riga</w:t>
      </w:r>
      <w:r w:rsidRPr="00E8582F">
        <w:rPr>
          <w:lang w:val="en-GB"/>
        </w:rPr>
        <w:t xml:space="preserve"> about the job and </w:t>
      </w:r>
      <w:r>
        <w:rPr>
          <w:lang w:val="en-GB"/>
        </w:rPr>
        <w:t xml:space="preserve">told his acquaintance </w:t>
      </w:r>
      <w:r w:rsidRPr="00E8582F">
        <w:rPr>
          <w:lang w:val="en-GB"/>
        </w:rPr>
        <w:t>that he would give details later. In the evening they</w:t>
      </w:r>
      <w:r>
        <w:rPr>
          <w:lang w:val="en-GB"/>
        </w:rPr>
        <w:t xml:space="preserve"> had</w:t>
      </w:r>
      <w:r w:rsidRPr="00E8582F">
        <w:rPr>
          <w:lang w:val="en-GB"/>
        </w:rPr>
        <w:t xml:space="preserve"> again phoned the same person from a hotel. </w:t>
      </w:r>
      <w:r>
        <w:rPr>
          <w:lang w:val="en-GB"/>
        </w:rPr>
        <w:t>That person</w:t>
      </w:r>
      <w:r w:rsidRPr="00E8582F">
        <w:rPr>
          <w:lang w:val="en-GB"/>
        </w:rPr>
        <w:t xml:space="preserve"> had been Latvian and had </w:t>
      </w:r>
      <w:r>
        <w:rPr>
          <w:lang w:val="en-GB"/>
        </w:rPr>
        <w:t>had</w:t>
      </w:r>
      <w:r w:rsidRPr="00E8582F">
        <w:rPr>
          <w:lang w:val="en-GB"/>
        </w:rPr>
        <w:t xml:space="preserve"> difficulty understanding Russian. O</w:t>
      </w:r>
      <w:r>
        <w:rPr>
          <w:lang w:val="en-GB"/>
        </w:rPr>
        <w:t>.</w:t>
      </w:r>
      <w:r w:rsidRPr="00E8582F">
        <w:rPr>
          <w:lang w:val="en-GB"/>
        </w:rPr>
        <w:t>O</w:t>
      </w:r>
      <w:r>
        <w:rPr>
          <w:lang w:val="en-GB"/>
        </w:rPr>
        <w:t>.</w:t>
      </w:r>
      <w:r w:rsidRPr="00E8582F">
        <w:rPr>
          <w:lang w:val="en-GB"/>
        </w:rPr>
        <w:t xml:space="preserve"> had passed the phone over to the applicant</w:t>
      </w:r>
      <w:r>
        <w:rPr>
          <w:lang w:val="en-GB"/>
        </w:rPr>
        <w:t>,</w:t>
      </w:r>
      <w:r w:rsidRPr="00E8582F">
        <w:rPr>
          <w:lang w:val="en-GB"/>
        </w:rPr>
        <w:t xml:space="preserve"> who had provided more information about Ģ</w:t>
      </w:r>
      <w:r>
        <w:rPr>
          <w:lang w:val="en-GB"/>
        </w:rPr>
        <w:t>.</w:t>
      </w:r>
      <w:r w:rsidRPr="00E8582F">
        <w:rPr>
          <w:lang w:val="en-GB"/>
        </w:rPr>
        <w:t>Č. On 1 February 2002, while on a bus to Riga, O</w:t>
      </w:r>
      <w:r>
        <w:rPr>
          <w:lang w:val="en-GB"/>
        </w:rPr>
        <w:t>.</w:t>
      </w:r>
      <w:r w:rsidRPr="00E8582F">
        <w:rPr>
          <w:lang w:val="en-GB"/>
        </w:rPr>
        <w:t>O</w:t>
      </w:r>
      <w:r>
        <w:rPr>
          <w:lang w:val="en-GB"/>
        </w:rPr>
        <w:t>.</w:t>
      </w:r>
      <w:r w:rsidRPr="00E8582F">
        <w:rPr>
          <w:lang w:val="en-GB"/>
        </w:rPr>
        <w:t xml:space="preserve"> had again called the same person.</w:t>
      </w:r>
    </w:p>
    <w:p w:rsidR="00406AD9" w:rsidRPr="00E8582F" w:rsidRDefault="00406AD9" w:rsidP="00E8582F">
      <w:pPr>
        <w:pStyle w:val="ECHRPara"/>
        <w:rPr>
          <w:lang w:val="en-GB"/>
        </w:rPr>
      </w:pPr>
      <w:r w:rsidRPr="00E8582F">
        <w:rPr>
          <w:lang w:val="en-GB"/>
        </w:rPr>
        <w:fldChar w:fldCharType="begin"/>
      </w:r>
      <w:r w:rsidRPr="00E8582F">
        <w:rPr>
          <w:lang w:val="en-GB"/>
        </w:rPr>
        <w:instrText xml:space="preserve"> SEQ level0 \*arabic </w:instrText>
      </w:r>
      <w:r w:rsidRPr="00E8582F">
        <w:rPr>
          <w:lang w:val="en-GB"/>
        </w:rPr>
        <w:fldChar w:fldCharType="separate"/>
      </w:r>
      <w:r>
        <w:rPr>
          <w:noProof/>
          <w:lang w:val="en-GB"/>
        </w:rPr>
        <w:t>28</w:t>
      </w:r>
      <w:r w:rsidRPr="00E8582F">
        <w:rPr>
          <w:lang w:val="en-GB"/>
        </w:rPr>
        <w:fldChar w:fldCharType="end"/>
      </w:r>
      <w:r w:rsidRPr="00E8582F">
        <w:rPr>
          <w:lang w:val="en-GB"/>
        </w:rPr>
        <w:t xml:space="preserve">.  Both </w:t>
      </w:r>
      <w:r>
        <w:rPr>
          <w:lang w:val="en-GB"/>
        </w:rPr>
        <w:t>transcripts</w:t>
      </w:r>
      <w:r w:rsidRPr="00E8582F">
        <w:rPr>
          <w:lang w:val="en-GB"/>
        </w:rPr>
        <w:t xml:space="preserve"> of the applicant</w:t>
      </w:r>
      <w:r>
        <w:rPr>
          <w:lang w:val="en-GB"/>
        </w:rPr>
        <w:t>’</w:t>
      </w:r>
      <w:r w:rsidRPr="00E8582F">
        <w:rPr>
          <w:lang w:val="en-GB"/>
        </w:rPr>
        <w:t xml:space="preserve">s </w:t>
      </w:r>
      <w:r>
        <w:rPr>
          <w:lang w:val="en-GB"/>
        </w:rPr>
        <w:t>questioning</w:t>
      </w:r>
      <w:r w:rsidRPr="00E8582F">
        <w:rPr>
          <w:lang w:val="en-GB"/>
        </w:rPr>
        <w:t xml:space="preserve"> recorded that he had wished to </w:t>
      </w:r>
      <w:r>
        <w:rPr>
          <w:lang w:val="en-GB"/>
        </w:rPr>
        <w:t>give a statement</w:t>
      </w:r>
      <w:r w:rsidRPr="00E8582F">
        <w:rPr>
          <w:lang w:val="en-GB"/>
        </w:rPr>
        <w:t xml:space="preserve"> in the absence of a lawyer.</w:t>
      </w:r>
    </w:p>
    <w:p w:rsidR="00406AD9" w:rsidRDefault="00406AD9" w:rsidP="00D7211B">
      <w:pPr>
        <w:pStyle w:val="ECHRHeading2"/>
        <w:rPr>
          <w:lang w:val="en-GB"/>
        </w:rPr>
      </w:pPr>
      <w:r>
        <w:rPr>
          <w:lang w:val="en-GB"/>
        </w:rPr>
        <w:t>C</w:t>
      </w:r>
      <w:r w:rsidRPr="006C6A19">
        <w:rPr>
          <w:lang w:val="en-GB"/>
        </w:rPr>
        <w:t>.  </w:t>
      </w:r>
      <w:r>
        <w:rPr>
          <w:lang w:val="en-GB"/>
        </w:rPr>
        <w:t>Trial and conviction</w:t>
      </w:r>
    </w:p>
    <w:p w:rsidR="00406AD9" w:rsidRPr="00A2290E" w:rsidRDefault="00406AD9" w:rsidP="00995900">
      <w:pPr>
        <w:pStyle w:val="ECHRHeading3"/>
        <w:rPr>
          <w:rFonts w:eastAsia="Times New Roman"/>
          <w:lang w:val="en-US"/>
        </w:rPr>
      </w:pPr>
      <w:r w:rsidRPr="00A2290E">
        <w:rPr>
          <w:rFonts w:eastAsia="Times New Roman"/>
          <w:lang w:val="en-US"/>
        </w:rPr>
        <w:t>1.  The applicant</w:t>
      </w:r>
      <w:r>
        <w:rPr>
          <w:rFonts w:eastAsia="Times New Roman"/>
          <w:lang w:val="en-US"/>
        </w:rPr>
        <w:t>’</w:t>
      </w:r>
      <w:r w:rsidRPr="00A2290E">
        <w:rPr>
          <w:rFonts w:eastAsia="Times New Roman"/>
          <w:lang w:val="en-US"/>
        </w:rPr>
        <w:t>s acquittal by the first</w:t>
      </w:r>
      <w:r>
        <w:rPr>
          <w:rFonts w:eastAsia="Times New Roman"/>
          <w:lang w:val="en-US"/>
        </w:rPr>
        <w:t>-</w:t>
      </w:r>
      <w:r w:rsidRPr="00A2290E">
        <w:rPr>
          <w:rFonts w:eastAsia="Times New Roman"/>
          <w:lang w:val="en-US"/>
        </w:rPr>
        <w:t>instance court</w:t>
      </w:r>
    </w:p>
    <w:p w:rsidR="00406AD9" w:rsidRPr="00995900" w:rsidRDefault="00406AD9" w:rsidP="00995900">
      <w:pPr>
        <w:pStyle w:val="ECHRPara"/>
        <w:rPr>
          <w:lang w:val="en-GB"/>
        </w:rPr>
      </w:pPr>
      <w:r w:rsidRPr="00995900">
        <w:rPr>
          <w:lang w:val="en-GB"/>
        </w:rPr>
        <w:fldChar w:fldCharType="begin"/>
      </w:r>
      <w:r w:rsidRPr="00995900">
        <w:rPr>
          <w:lang w:val="en-GB"/>
        </w:rPr>
        <w:instrText xml:space="preserve"> SEQ level0 \*arabic </w:instrText>
      </w:r>
      <w:r w:rsidRPr="00995900">
        <w:rPr>
          <w:lang w:val="en-GB"/>
        </w:rPr>
        <w:fldChar w:fldCharType="separate"/>
      </w:r>
      <w:r>
        <w:rPr>
          <w:noProof/>
          <w:lang w:val="en-GB"/>
        </w:rPr>
        <w:t>29</w:t>
      </w:r>
      <w:r w:rsidRPr="00995900">
        <w:rPr>
          <w:lang w:val="en-GB"/>
        </w:rPr>
        <w:fldChar w:fldCharType="end"/>
      </w:r>
      <w:r w:rsidRPr="00995900">
        <w:rPr>
          <w:lang w:val="en-GB"/>
        </w:rPr>
        <w:t>.  </w:t>
      </w:r>
      <w:r>
        <w:rPr>
          <w:lang w:val="en-GB"/>
        </w:rPr>
        <w:t>T</w:t>
      </w:r>
      <w:r w:rsidRPr="00995900">
        <w:rPr>
          <w:lang w:val="en-GB"/>
        </w:rPr>
        <w:t>he applicant and three co-accused O</w:t>
      </w:r>
      <w:r>
        <w:rPr>
          <w:lang w:val="en-GB"/>
        </w:rPr>
        <w:t>.</w:t>
      </w:r>
      <w:r w:rsidRPr="00995900">
        <w:rPr>
          <w:lang w:val="en-GB"/>
        </w:rPr>
        <w:t>O</w:t>
      </w:r>
      <w:r>
        <w:rPr>
          <w:lang w:val="en-GB"/>
        </w:rPr>
        <w:t>.</w:t>
      </w:r>
      <w:r w:rsidRPr="00995900">
        <w:rPr>
          <w:lang w:val="en-GB"/>
        </w:rPr>
        <w:t>, V</w:t>
      </w:r>
      <w:r>
        <w:rPr>
          <w:lang w:val="en-GB"/>
        </w:rPr>
        <w:t>.</w:t>
      </w:r>
      <w:r w:rsidRPr="00995900">
        <w:rPr>
          <w:lang w:val="en-GB"/>
        </w:rPr>
        <w:t>Z</w:t>
      </w:r>
      <w:r>
        <w:rPr>
          <w:lang w:val="en-GB"/>
        </w:rPr>
        <w:t>.</w:t>
      </w:r>
      <w:r w:rsidRPr="00995900">
        <w:rPr>
          <w:lang w:val="en-GB"/>
        </w:rPr>
        <w:t xml:space="preserve"> and J</w:t>
      </w:r>
      <w:r>
        <w:rPr>
          <w:lang w:val="en-GB"/>
        </w:rPr>
        <w:t>.</w:t>
      </w:r>
      <w:r w:rsidRPr="00995900">
        <w:rPr>
          <w:lang w:val="en-GB"/>
        </w:rPr>
        <w:t>G</w:t>
      </w:r>
      <w:r>
        <w:rPr>
          <w:lang w:val="en-GB"/>
        </w:rPr>
        <w:t>.</w:t>
      </w:r>
      <w:r w:rsidRPr="00995900">
        <w:rPr>
          <w:lang w:val="en-GB"/>
        </w:rPr>
        <w:t xml:space="preserve"> were brought before the Riga Regional Court (</w:t>
      </w:r>
      <w:r w:rsidRPr="00995900">
        <w:rPr>
          <w:i/>
          <w:lang w:val="lv-LV"/>
        </w:rPr>
        <w:t>Rīgas apgabaltiesa</w:t>
      </w:r>
      <w:r w:rsidRPr="00995900">
        <w:rPr>
          <w:lang w:val="en-GB"/>
        </w:rPr>
        <w:t>) to stand trial on charges related to the murder of Ģ</w:t>
      </w:r>
      <w:r>
        <w:rPr>
          <w:lang w:val="en-GB"/>
        </w:rPr>
        <w:t>.</w:t>
      </w:r>
      <w:r w:rsidRPr="00995900">
        <w:rPr>
          <w:lang w:val="en-GB"/>
        </w:rPr>
        <w:t>Č.</w:t>
      </w:r>
    </w:p>
    <w:p w:rsidR="00406AD9" w:rsidRPr="00995900" w:rsidRDefault="00406AD9" w:rsidP="00995900">
      <w:pPr>
        <w:pStyle w:val="ECHRPara"/>
        <w:rPr>
          <w:lang w:val="en-GB"/>
        </w:rPr>
      </w:pPr>
      <w:r w:rsidRPr="00995900">
        <w:rPr>
          <w:lang w:val="en-GB"/>
        </w:rPr>
        <w:fldChar w:fldCharType="begin"/>
      </w:r>
      <w:r w:rsidRPr="00995900">
        <w:rPr>
          <w:lang w:val="en-GB"/>
        </w:rPr>
        <w:instrText xml:space="preserve"> SEQ level0 \*arabic </w:instrText>
      </w:r>
      <w:r w:rsidRPr="00995900">
        <w:rPr>
          <w:lang w:val="en-GB"/>
        </w:rPr>
        <w:fldChar w:fldCharType="separate"/>
      </w:r>
      <w:r>
        <w:rPr>
          <w:noProof/>
          <w:lang w:val="en-GB"/>
        </w:rPr>
        <w:t>30</w:t>
      </w:r>
      <w:r w:rsidRPr="00995900">
        <w:rPr>
          <w:lang w:val="en-GB"/>
        </w:rPr>
        <w:fldChar w:fldCharType="end"/>
      </w:r>
      <w:r w:rsidRPr="00995900">
        <w:rPr>
          <w:lang w:val="en-GB"/>
        </w:rPr>
        <w:t>.  On 11 October 2004 the Riga Regional Court found V</w:t>
      </w:r>
      <w:r>
        <w:rPr>
          <w:lang w:val="en-GB"/>
        </w:rPr>
        <w:t>.</w:t>
      </w:r>
      <w:r w:rsidRPr="00995900">
        <w:rPr>
          <w:lang w:val="en-GB"/>
        </w:rPr>
        <w:t>Z</w:t>
      </w:r>
      <w:r>
        <w:rPr>
          <w:lang w:val="en-GB"/>
        </w:rPr>
        <w:t>.</w:t>
      </w:r>
      <w:r w:rsidRPr="00995900">
        <w:rPr>
          <w:lang w:val="en-GB"/>
        </w:rPr>
        <w:t xml:space="preserve"> and J</w:t>
      </w:r>
      <w:r>
        <w:rPr>
          <w:lang w:val="en-GB"/>
        </w:rPr>
        <w:t>.</w:t>
      </w:r>
      <w:r w:rsidRPr="00995900">
        <w:rPr>
          <w:lang w:val="en-GB"/>
        </w:rPr>
        <w:t>G</w:t>
      </w:r>
      <w:r>
        <w:rPr>
          <w:lang w:val="en-GB"/>
        </w:rPr>
        <w:t>.</w:t>
      </w:r>
      <w:r w:rsidRPr="00995900">
        <w:rPr>
          <w:lang w:val="en-GB"/>
        </w:rPr>
        <w:t xml:space="preserve"> guilty of aggravated murder. The Regional Court established that V</w:t>
      </w:r>
      <w:r>
        <w:rPr>
          <w:lang w:val="en-GB"/>
        </w:rPr>
        <w:t>.</w:t>
      </w:r>
      <w:r w:rsidRPr="00995900">
        <w:rPr>
          <w:lang w:val="en-GB"/>
        </w:rPr>
        <w:t>Z</w:t>
      </w:r>
      <w:r>
        <w:rPr>
          <w:lang w:val="en-GB"/>
        </w:rPr>
        <w:t>.</w:t>
      </w:r>
      <w:r w:rsidRPr="00995900">
        <w:rPr>
          <w:lang w:val="en-GB"/>
        </w:rPr>
        <w:t xml:space="preserve"> and J</w:t>
      </w:r>
      <w:r>
        <w:rPr>
          <w:lang w:val="en-GB"/>
        </w:rPr>
        <w:t>.</w:t>
      </w:r>
      <w:r w:rsidRPr="00995900">
        <w:rPr>
          <w:lang w:val="en-GB"/>
        </w:rPr>
        <w:t>G</w:t>
      </w:r>
      <w:r>
        <w:rPr>
          <w:lang w:val="en-GB"/>
        </w:rPr>
        <w:t>.</w:t>
      </w:r>
      <w:r w:rsidRPr="00995900">
        <w:rPr>
          <w:lang w:val="en-GB"/>
        </w:rPr>
        <w:t xml:space="preserve"> had murdered Ģ</w:t>
      </w:r>
      <w:r>
        <w:rPr>
          <w:lang w:val="en-GB"/>
        </w:rPr>
        <w:t>.</w:t>
      </w:r>
      <w:r w:rsidRPr="00995900">
        <w:rPr>
          <w:lang w:val="en-GB"/>
        </w:rPr>
        <w:t>Č</w:t>
      </w:r>
      <w:r>
        <w:rPr>
          <w:lang w:val="en-GB"/>
        </w:rPr>
        <w:t xml:space="preserve">. </w:t>
      </w:r>
      <w:r w:rsidRPr="00995900">
        <w:rPr>
          <w:lang w:val="en-GB"/>
        </w:rPr>
        <w:t>on 2 February 2002, which they</w:t>
      </w:r>
      <w:r>
        <w:rPr>
          <w:lang w:val="en-GB"/>
        </w:rPr>
        <w:t xml:space="preserve"> had</w:t>
      </w:r>
      <w:r w:rsidRPr="00995900">
        <w:rPr>
          <w:lang w:val="en-GB"/>
        </w:rPr>
        <w:t xml:space="preserve"> partly admitted in the</w:t>
      </w:r>
      <w:r>
        <w:rPr>
          <w:lang w:val="en-GB"/>
        </w:rPr>
        <w:t xml:space="preserve"> course of the</w:t>
      </w:r>
      <w:r w:rsidRPr="00995900">
        <w:rPr>
          <w:lang w:val="en-GB"/>
        </w:rPr>
        <w:t xml:space="preserve"> trial.</w:t>
      </w:r>
    </w:p>
    <w:p w:rsidR="00406AD9" w:rsidRPr="00995900" w:rsidRDefault="00406AD9" w:rsidP="00995900">
      <w:pPr>
        <w:pStyle w:val="ECHRPara"/>
        <w:rPr>
          <w:lang w:val="en-GB"/>
        </w:rPr>
      </w:pPr>
      <w:r w:rsidRPr="00995900">
        <w:rPr>
          <w:lang w:val="en-GB"/>
        </w:rPr>
        <w:fldChar w:fldCharType="begin"/>
      </w:r>
      <w:r w:rsidRPr="00995900">
        <w:rPr>
          <w:lang w:val="en-GB"/>
        </w:rPr>
        <w:instrText xml:space="preserve"> SEQ level0 \*arabic </w:instrText>
      </w:r>
      <w:r w:rsidRPr="00995900">
        <w:rPr>
          <w:lang w:val="en-GB"/>
        </w:rPr>
        <w:fldChar w:fldCharType="separate"/>
      </w:r>
      <w:r>
        <w:rPr>
          <w:noProof/>
          <w:lang w:val="en-GB"/>
        </w:rPr>
        <w:t>31</w:t>
      </w:r>
      <w:r w:rsidRPr="00995900">
        <w:rPr>
          <w:lang w:val="en-GB"/>
        </w:rPr>
        <w:fldChar w:fldCharType="end"/>
      </w:r>
      <w:r w:rsidRPr="00995900">
        <w:rPr>
          <w:lang w:val="en-GB"/>
        </w:rPr>
        <w:t>.  The Regional Court was unable to establish the guilt of the applicant and O</w:t>
      </w:r>
      <w:r>
        <w:rPr>
          <w:lang w:val="en-GB"/>
        </w:rPr>
        <w:t>.</w:t>
      </w:r>
      <w:r w:rsidRPr="00995900">
        <w:rPr>
          <w:lang w:val="en-GB"/>
        </w:rPr>
        <w:t>O.</w:t>
      </w:r>
    </w:p>
    <w:p w:rsidR="00406AD9" w:rsidRPr="00995900" w:rsidRDefault="00406AD9" w:rsidP="00995900">
      <w:pPr>
        <w:pStyle w:val="ECHRPara"/>
        <w:rPr>
          <w:lang w:val="en-GB"/>
        </w:rPr>
      </w:pPr>
      <w:r w:rsidRPr="00995900">
        <w:rPr>
          <w:lang w:val="en-GB"/>
        </w:rPr>
        <w:fldChar w:fldCharType="begin"/>
      </w:r>
      <w:r w:rsidRPr="00995900">
        <w:rPr>
          <w:lang w:val="en-GB"/>
        </w:rPr>
        <w:instrText xml:space="preserve"> SEQ level0 \*arabic </w:instrText>
      </w:r>
      <w:r w:rsidRPr="00995900">
        <w:rPr>
          <w:lang w:val="en-GB"/>
        </w:rPr>
        <w:fldChar w:fldCharType="separate"/>
      </w:r>
      <w:r>
        <w:rPr>
          <w:noProof/>
          <w:lang w:val="en-GB"/>
        </w:rPr>
        <w:t>32</w:t>
      </w:r>
      <w:r w:rsidRPr="00995900">
        <w:rPr>
          <w:lang w:val="en-GB"/>
        </w:rPr>
        <w:fldChar w:fldCharType="end"/>
      </w:r>
      <w:r w:rsidRPr="00995900">
        <w:rPr>
          <w:lang w:val="en-GB"/>
        </w:rPr>
        <w:t>.  </w:t>
      </w:r>
      <w:r>
        <w:rPr>
          <w:lang w:val="en-GB"/>
        </w:rPr>
        <w:t>W</w:t>
      </w:r>
      <w:r w:rsidRPr="00995900">
        <w:rPr>
          <w:lang w:val="en-GB"/>
        </w:rPr>
        <w:t>ith re</w:t>
      </w:r>
      <w:r>
        <w:rPr>
          <w:lang w:val="en-GB"/>
        </w:rPr>
        <w:t>ference</w:t>
      </w:r>
      <w:r w:rsidRPr="00995900">
        <w:rPr>
          <w:lang w:val="en-GB"/>
        </w:rPr>
        <w:t xml:space="preserve"> to the applicant</w:t>
      </w:r>
      <w:r>
        <w:rPr>
          <w:lang w:val="en-GB"/>
        </w:rPr>
        <w:t>,</w:t>
      </w:r>
      <w:r w:rsidRPr="00995900">
        <w:rPr>
          <w:lang w:val="en-GB"/>
        </w:rPr>
        <w:t xml:space="preserve"> the Regional Court reasoned that </w:t>
      </w:r>
      <w:r>
        <w:rPr>
          <w:lang w:val="en-GB"/>
        </w:rPr>
        <w:t>at</w:t>
      </w:r>
      <w:r w:rsidRPr="00995900">
        <w:rPr>
          <w:lang w:val="en-GB"/>
        </w:rPr>
        <w:t xml:space="preserve"> trial he</w:t>
      </w:r>
      <w:r>
        <w:rPr>
          <w:lang w:val="en-GB"/>
        </w:rPr>
        <w:t xml:space="preserve"> had</w:t>
      </w:r>
      <w:r w:rsidRPr="00995900">
        <w:rPr>
          <w:lang w:val="en-GB"/>
        </w:rPr>
        <w:t xml:space="preserve"> </w:t>
      </w:r>
      <w:r>
        <w:rPr>
          <w:lang w:val="en-GB"/>
        </w:rPr>
        <w:t>pleaded not guilty to</w:t>
      </w:r>
      <w:r w:rsidRPr="00995900">
        <w:rPr>
          <w:lang w:val="en-GB"/>
        </w:rPr>
        <w:t xml:space="preserve"> the criminal </w:t>
      </w:r>
      <w:r>
        <w:rPr>
          <w:lang w:val="en-GB"/>
        </w:rPr>
        <w:t>offences he was charged with</w:t>
      </w:r>
      <w:r w:rsidRPr="00995900">
        <w:rPr>
          <w:lang w:val="en-GB"/>
        </w:rPr>
        <w:t xml:space="preserve"> and </w:t>
      </w:r>
      <w:r>
        <w:rPr>
          <w:lang w:val="en-GB"/>
        </w:rPr>
        <w:t xml:space="preserve">recanted </w:t>
      </w:r>
      <w:r w:rsidRPr="00995900">
        <w:rPr>
          <w:lang w:val="en-GB"/>
        </w:rPr>
        <w:t xml:space="preserve">the statements </w:t>
      </w:r>
      <w:r>
        <w:rPr>
          <w:lang w:val="en-GB"/>
        </w:rPr>
        <w:t xml:space="preserve">he had </w:t>
      </w:r>
      <w:r w:rsidRPr="00995900">
        <w:rPr>
          <w:lang w:val="en-GB"/>
        </w:rPr>
        <w:t xml:space="preserve">given </w:t>
      </w:r>
      <w:r>
        <w:rPr>
          <w:lang w:val="en-GB"/>
        </w:rPr>
        <w:t>to</w:t>
      </w:r>
      <w:r w:rsidRPr="00995900">
        <w:rPr>
          <w:lang w:val="en-GB"/>
        </w:rPr>
        <w:t xml:space="preserve"> the police. According to the </w:t>
      </w:r>
      <w:r>
        <w:rPr>
          <w:lang w:val="en-GB"/>
        </w:rPr>
        <w:t xml:space="preserve">applicant, </w:t>
      </w:r>
      <w:r w:rsidRPr="00995900">
        <w:rPr>
          <w:lang w:val="en-GB"/>
        </w:rPr>
        <w:t>he had provided</w:t>
      </w:r>
      <w:r>
        <w:rPr>
          <w:lang w:val="en-GB"/>
        </w:rPr>
        <w:t xml:space="preserve"> </w:t>
      </w:r>
      <w:r w:rsidRPr="00995900">
        <w:rPr>
          <w:lang w:val="en-GB"/>
        </w:rPr>
        <w:t xml:space="preserve">these </w:t>
      </w:r>
      <w:r>
        <w:rPr>
          <w:lang w:val="en-GB"/>
        </w:rPr>
        <w:t>statements</w:t>
      </w:r>
      <w:r w:rsidRPr="00995900">
        <w:rPr>
          <w:lang w:val="en-GB"/>
        </w:rPr>
        <w:t xml:space="preserve"> as a result of ill-treatment by police </w:t>
      </w:r>
      <w:r>
        <w:rPr>
          <w:lang w:val="en-GB"/>
        </w:rPr>
        <w:t>officer</w:t>
      </w:r>
      <w:r w:rsidRPr="00995900">
        <w:rPr>
          <w:lang w:val="en-GB"/>
        </w:rPr>
        <w:t>s</w:t>
      </w:r>
      <w:r>
        <w:rPr>
          <w:lang w:val="en-GB"/>
        </w:rPr>
        <w:t>,</w:t>
      </w:r>
      <w:r w:rsidRPr="00995900">
        <w:rPr>
          <w:lang w:val="en-GB"/>
        </w:rPr>
        <w:t xml:space="preserve"> who had beaten him and broken his </w:t>
      </w:r>
      <w:r>
        <w:rPr>
          <w:lang w:val="en-GB"/>
        </w:rPr>
        <w:t>nose</w:t>
      </w:r>
      <w:r w:rsidRPr="00995900">
        <w:rPr>
          <w:lang w:val="en-GB"/>
        </w:rPr>
        <w:t>. In this regard the Regional Court reasoned:</w:t>
      </w:r>
    </w:p>
    <w:p w:rsidR="00406AD9" w:rsidRPr="00995900" w:rsidRDefault="00406AD9" w:rsidP="00995900">
      <w:pPr>
        <w:pStyle w:val="ECHRParaQuote"/>
        <w:rPr>
          <w:lang w:val="en-GB"/>
        </w:rPr>
      </w:pPr>
      <w:r w:rsidRPr="00995900">
        <w:rPr>
          <w:lang w:val="en-GB"/>
        </w:rPr>
        <w:t>“</w:t>
      </w:r>
      <w:r>
        <w:rPr>
          <w:lang w:val="en-GB"/>
        </w:rPr>
        <w:t>In a</w:t>
      </w:r>
      <w:r w:rsidRPr="00995900">
        <w:rPr>
          <w:lang w:val="en-GB"/>
        </w:rPr>
        <w:t>ssessing the [applicant</w:t>
      </w:r>
      <w:r>
        <w:rPr>
          <w:lang w:val="en-GB"/>
        </w:rPr>
        <w:t>’</w:t>
      </w:r>
      <w:r w:rsidRPr="00995900">
        <w:rPr>
          <w:lang w:val="en-GB"/>
        </w:rPr>
        <w:t>s] explanation the court does not have a reason to</w:t>
      </w:r>
      <w:r>
        <w:rPr>
          <w:lang w:val="en-GB"/>
        </w:rPr>
        <w:t xml:space="preserve"> not</w:t>
      </w:r>
      <w:r w:rsidRPr="00995900">
        <w:rPr>
          <w:lang w:val="en-GB"/>
        </w:rPr>
        <w:t xml:space="preserve"> believe it, because, as </w:t>
      </w:r>
      <w:r>
        <w:rPr>
          <w:lang w:val="en-GB"/>
        </w:rPr>
        <w:t>is evident</w:t>
      </w:r>
      <w:r w:rsidRPr="00995900">
        <w:rPr>
          <w:lang w:val="en-GB"/>
        </w:rPr>
        <w:t xml:space="preserve"> from the case material</w:t>
      </w:r>
      <w:r>
        <w:rPr>
          <w:lang w:val="en-GB"/>
        </w:rPr>
        <w:t>s</w:t>
      </w:r>
      <w:r w:rsidRPr="00995900">
        <w:rPr>
          <w:lang w:val="en-GB"/>
        </w:rPr>
        <w:t>, on 21 March 2002 from 5.20</w:t>
      </w:r>
      <w:r>
        <w:rPr>
          <w:lang w:val="en-GB"/>
        </w:rPr>
        <w:t> </w:t>
      </w:r>
      <w:r w:rsidRPr="00995900">
        <w:rPr>
          <w:lang w:val="en-GB"/>
        </w:rPr>
        <w:t xml:space="preserve">p.m. to 6.40 p.m. [the applicant] was questioned as a witness </w:t>
      </w:r>
      <w:r>
        <w:rPr>
          <w:lang w:val="en-GB"/>
        </w:rPr>
        <w:t>...</w:t>
      </w:r>
      <w:r w:rsidRPr="00995900">
        <w:rPr>
          <w:lang w:val="en-GB"/>
        </w:rPr>
        <w:t xml:space="preserve"> however </w:t>
      </w:r>
      <w:r>
        <w:rPr>
          <w:lang w:val="en-GB"/>
        </w:rPr>
        <w:t>...</w:t>
      </w:r>
      <w:r w:rsidRPr="00995900">
        <w:rPr>
          <w:lang w:val="en-GB"/>
        </w:rPr>
        <w:t xml:space="preserve"> he was taken into custody on 21 March at 8 p.m. </w:t>
      </w:r>
      <w:r>
        <w:rPr>
          <w:lang w:val="en-GB"/>
        </w:rPr>
        <w:t>... [but]</w:t>
      </w:r>
      <w:r w:rsidRPr="00995900">
        <w:rPr>
          <w:lang w:val="en-GB"/>
        </w:rPr>
        <w:t xml:space="preserve"> he was not transferred to a detention facility</w:t>
      </w:r>
      <w:r>
        <w:rPr>
          <w:lang w:val="en-GB"/>
        </w:rPr>
        <w:t xml:space="preserve"> until 1 a.m. on 23 March</w:t>
      </w:r>
      <w:r w:rsidRPr="00995900">
        <w:rPr>
          <w:lang w:val="en-GB"/>
        </w:rPr>
        <w:t>, remain</w:t>
      </w:r>
      <w:r>
        <w:rPr>
          <w:lang w:val="en-GB"/>
        </w:rPr>
        <w:t>ing</w:t>
      </w:r>
      <w:r w:rsidRPr="00995900">
        <w:rPr>
          <w:lang w:val="en-GB"/>
        </w:rPr>
        <w:t xml:space="preserve"> in the premises of the Riga police station (</w:t>
      </w:r>
      <w:r w:rsidRPr="00995900">
        <w:rPr>
          <w:i/>
          <w:lang w:val="lv-LV"/>
        </w:rPr>
        <w:t>Rīgas rajona policijas pārvalde</w:t>
      </w:r>
      <w:r w:rsidRPr="00995900">
        <w:rPr>
          <w:lang w:val="en-GB"/>
        </w:rPr>
        <w:t>)...</w:t>
      </w:r>
    </w:p>
    <w:p w:rsidR="00406AD9" w:rsidRPr="00995900" w:rsidRDefault="00406AD9" w:rsidP="00995900">
      <w:pPr>
        <w:pStyle w:val="ECHRParaQuote"/>
        <w:rPr>
          <w:lang w:val="en-GB"/>
        </w:rPr>
      </w:pPr>
      <w:r w:rsidRPr="00995900">
        <w:rPr>
          <w:lang w:val="en-GB"/>
        </w:rPr>
        <w:t xml:space="preserve">The fact that [the applicant] had been </w:t>
      </w:r>
      <w:r>
        <w:rPr>
          <w:lang w:val="en-GB"/>
        </w:rPr>
        <w:t>asked</w:t>
      </w:r>
      <w:r w:rsidRPr="00995900">
        <w:rPr>
          <w:lang w:val="en-GB"/>
        </w:rPr>
        <w:t xml:space="preserve"> </w:t>
      </w:r>
      <w:r>
        <w:rPr>
          <w:lang w:val="en-GB"/>
        </w:rPr>
        <w:t xml:space="preserve">at </w:t>
      </w:r>
      <w:r w:rsidRPr="00995900">
        <w:rPr>
          <w:lang w:val="en-GB"/>
        </w:rPr>
        <w:t>around 11 a.m.</w:t>
      </w:r>
      <w:r>
        <w:rPr>
          <w:lang w:val="en-GB"/>
        </w:rPr>
        <w:t xml:space="preserve"> on the morning [of 21 March]</w:t>
      </w:r>
      <w:r w:rsidRPr="00995900">
        <w:rPr>
          <w:lang w:val="en-GB"/>
        </w:rPr>
        <w:t xml:space="preserve"> to </w:t>
      </w:r>
      <w:r>
        <w:rPr>
          <w:lang w:val="en-GB"/>
        </w:rPr>
        <w:t xml:space="preserve">attend </w:t>
      </w:r>
      <w:r w:rsidRPr="00995900">
        <w:rPr>
          <w:lang w:val="en-GB"/>
        </w:rPr>
        <w:t>the police</w:t>
      </w:r>
      <w:r>
        <w:rPr>
          <w:lang w:val="en-GB"/>
        </w:rPr>
        <w:t xml:space="preserve"> station</w:t>
      </w:r>
      <w:r w:rsidRPr="00995900">
        <w:rPr>
          <w:lang w:val="en-GB"/>
        </w:rPr>
        <w:t xml:space="preserve"> was </w:t>
      </w:r>
      <w:r>
        <w:rPr>
          <w:lang w:val="en-GB"/>
        </w:rPr>
        <w:t>confirm</w:t>
      </w:r>
      <w:r w:rsidRPr="00995900">
        <w:rPr>
          <w:lang w:val="en-GB"/>
        </w:rPr>
        <w:t>ed by the witness [S</w:t>
      </w:r>
      <w:r>
        <w:rPr>
          <w:lang w:val="en-GB"/>
        </w:rPr>
        <w:t>.</w:t>
      </w:r>
      <w:r w:rsidRPr="00995900">
        <w:rPr>
          <w:lang w:val="en-GB"/>
        </w:rPr>
        <w:t>R</w:t>
      </w:r>
      <w:r>
        <w:rPr>
          <w:lang w:val="en-GB"/>
        </w:rPr>
        <w:t>.</w:t>
      </w:r>
      <w:r w:rsidRPr="00995900">
        <w:rPr>
          <w:lang w:val="en-GB"/>
        </w:rPr>
        <w:t>], an employee of the Department for the Combat of Organised Crime (</w:t>
      </w:r>
      <w:r w:rsidRPr="00995900">
        <w:rPr>
          <w:i/>
          <w:lang w:val="lv-LV"/>
        </w:rPr>
        <w:t>Organizētās noziedzības apkarošanas pārvalde</w:t>
      </w:r>
      <w:r w:rsidRPr="00995900">
        <w:rPr>
          <w:lang w:val="en-GB"/>
        </w:rPr>
        <w:t>)</w:t>
      </w:r>
      <w:r>
        <w:rPr>
          <w:lang w:val="en-GB"/>
        </w:rPr>
        <w:t>...</w:t>
      </w:r>
    </w:p>
    <w:p w:rsidR="00406AD9" w:rsidRPr="00995900" w:rsidRDefault="00406AD9" w:rsidP="00995900">
      <w:pPr>
        <w:pStyle w:val="ECHRParaQuote"/>
        <w:rPr>
          <w:lang w:val="en-GB"/>
        </w:rPr>
      </w:pPr>
      <w:r w:rsidRPr="00995900">
        <w:rPr>
          <w:lang w:val="en-GB"/>
        </w:rPr>
        <w:t xml:space="preserve">The foregoing was also </w:t>
      </w:r>
      <w:r>
        <w:rPr>
          <w:lang w:val="en-GB"/>
        </w:rPr>
        <w:t xml:space="preserve">confirmed </w:t>
      </w:r>
      <w:r w:rsidRPr="00995900">
        <w:rPr>
          <w:lang w:val="en-GB"/>
        </w:rPr>
        <w:t>by witnesses [A</w:t>
      </w:r>
      <w:r>
        <w:rPr>
          <w:lang w:val="en-GB"/>
        </w:rPr>
        <w:t>.</w:t>
      </w:r>
      <w:r w:rsidRPr="00995900">
        <w:rPr>
          <w:lang w:val="en-GB"/>
        </w:rPr>
        <w:t>B</w:t>
      </w:r>
      <w:r>
        <w:rPr>
          <w:lang w:val="en-GB"/>
        </w:rPr>
        <w:t>.</w:t>
      </w:r>
      <w:r w:rsidRPr="00995900">
        <w:rPr>
          <w:lang w:val="en-GB"/>
        </w:rPr>
        <w:t xml:space="preserve">], </w:t>
      </w:r>
      <w:r>
        <w:rPr>
          <w:lang w:val="en-GB"/>
        </w:rPr>
        <w:t>a</w:t>
      </w:r>
      <w:r w:rsidRPr="00995900">
        <w:rPr>
          <w:lang w:val="en-GB"/>
        </w:rPr>
        <w:t xml:space="preserve"> police</w:t>
      </w:r>
      <w:r>
        <w:rPr>
          <w:lang w:val="en-GB"/>
        </w:rPr>
        <w:t xml:space="preserve"> employee,</w:t>
      </w:r>
      <w:r w:rsidRPr="00995900">
        <w:rPr>
          <w:lang w:val="en-GB"/>
        </w:rPr>
        <w:t xml:space="preserve"> and [I</w:t>
      </w:r>
      <w:r>
        <w:rPr>
          <w:lang w:val="en-GB"/>
        </w:rPr>
        <w:t>.</w:t>
      </w:r>
      <w:r w:rsidRPr="00995900">
        <w:rPr>
          <w:lang w:val="en-GB"/>
        </w:rPr>
        <w:t>K</w:t>
      </w:r>
      <w:r>
        <w:rPr>
          <w:lang w:val="en-GB"/>
        </w:rPr>
        <w:t>.</w:t>
      </w:r>
      <w:r w:rsidRPr="00995900">
        <w:rPr>
          <w:lang w:val="en-GB"/>
        </w:rPr>
        <w:t xml:space="preserve">], an inspector, who were unable to explain to the court why [the applicant] had not been released from the police </w:t>
      </w:r>
      <w:r>
        <w:rPr>
          <w:lang w:val="en-GB"/>
        </w:rPr>
        <w:t>station</w:t>
      </w:r>
      <w:r w:rsidRPr="00995900">
        <w:rPr>
          <w:lang w:val="en-GB"/>
        </w:rPr>
        <w:t xml:space="preserve"> after having been questioned as a witness.</w:t>
      </w:r>
    </w:p>
    <w:p w:rsidR="00406AD9" w:rsidRPr="00995900" w:rsidRDefault="00406AD9" w:rsidP="00995900">
      <w:pPr>
        <w:pStyle w:val="ECHRParaQuote"/>
        <w:rPr>
          <w:lang w:val="en-GB"/>
        </w:rPr>
      </w:pPr>
      <w:r w:rsidRPr="00995900">
        <w:rPr>
          <w:lang w:val="en-GB"/>
        </w:rPr>
        <w:t xml:space="preserve">The fact that [the applicant] </w:t>
      </w:r>
      <w:r>
        <w:rPr>
          <w:lang w:val="en-GB"/>
        </w:rPr>
        <w:t>... suffered</w:t>
      </w:r>
      <w:r w:rsidRPr="00995900">
        <w:rPr>
          <w:lang w:val="en-GB"/>
        </w:rPr>
        <w:t xml:space="preserve"> bodily injuries </w:t>
      </w:r>
      <w:r>
        <w:rPr>
          <w:lang w:val="en-GB"/>
        </w:rPr>
        <w:t>while in</w:t>
      </w:r>
      <w:r w:rsidRPr="00995900">
        <w:rPr>
          <w:lang w:val="en-GB"/>
        </w:rPr>
        <w:t xml:space="preserve"> custody is </w:t>
      </w:r>
      <w:r>
        <w:rPr>
          <w:lang w:val="en-GB"/>
        </w:rPr>
        <w:t>confirmed</w:t>
      </w:r>
      <w:r w:rsidRPr="00995900">
        <w:rPr>
          <w:lang w:val="en-GB"/>
        </w:rPr>
        <w:t xml:space="preserve"> by the expert reports contained in the file</w:t>
      </w:r>
      <w:r>
        <w:rPr>
          <w:lang w:val="en-GB"/>
        </w:rPr>
        <w:t>...</w:t>
      </w:r>
      <w:r w:rsidRPr="00995900">
        <w:rPr>
          <w:lang w:val="en-GB"/>
        </w:rPr>
        <w:t>”</w:t>
      </w:r>
    </w:p>
    <w:p w:rsidR="00406AD9" w:rsidRPr="001760FA" w:rsidRDefault="00406AD9" w:rsidP="001760FA">
      <w:pPr>
        <w:pStyle w:val="ECHRPara"/>
        <w:rPr>
          <w:lang w:val="en-GB"/>
        </w:rPr>
      </w:pPr>
      <w:r w:rsidRPr="001760FA">
        <w:rPr>
          <w:lang w:val="en-GB"/>
        </w:rPr>
        <w:fldChar w:fldCharType="begin"/>
      </w:r>
      <w:r w:rsidRPr="001760FA">
        <w:rPr>
          <w:lang w:val="en-GB"/>
        </w:rPr>
        <w:instrText xml:space="preserve"> SEQ level0 \*arabic </w:instrText>
      </w:r>
      <w:r w:rsidRPr="001760FA">
        <w:rPr>
          <w:lang w:val="en-GB"/>
        </w:rPr>
        <w:fldChar w:fldCharType="separate"/>
      </w:r>
      <w:r>
        <w:rPr>
          <w:noProof/>
          <w:lang w:val="en-GB"/>
        </w:rPr>
        <w:t>33</w:t>
      </w:r>
      <w:r w:rsidRPr="001760FA">
        <w:rPr>
          <w:lang w:val="en-GB"/>
        </w:rPr>
        <w:fldChar w:fldCharType="end"/>
      </w:r>
      <w:r w:rsidRPr="001760FA">
        <w:rPr>
          <w:lang w:val="en-GB"/>
        </w:rPr>
        <w:t>.  In that light</w:t>
      </w:r>
      <w:r>
        <w:rPr>
          <w:lang w:val="en-GB"/>
        </w:rPr>
        <w:t>,</w:t>
      </w:r>
      <w:r w:rsidRPr="001760FA">
        <w:rPr>
          <w:lang w:val="en-GB"/>
        </w:rPr>
        <w:t xml:space="preserve"> the Regional Court found that Article 3 of the Convention had been violated with respect to the applicant, irrespective of the fact that the criminal case against </w:t>
      </w:r>
      <w:r>
        <w:rPr>
          <w:lang w:val="en-GB"/>
        </w:rPr>
        <w:t xml:space="preserve">the </w:t>
      </w:r>
      <w:r w:rsidRPr="001760FA">
        <w:rPr>
          <w:lang w:val="en-GB"/>
        </w:rPr>
        <w:t xml:space="preserve">police </w:t>
      </w:r>
      <w:r>
        <w:rPr>
          <w:lang w:val="en-GB"/>
        </w:rPr>
        <w:t>employees</w:t>
      </w:r>
      <w:r w:rsidRPr="001760FA">
        <w:rPr>
          <w:lang w:val="en-GB"/>
        </w:rPr>
        <w:t xml:space="preserve"> had been terminated.</w:t>
      </w:r>
    </w:p>
    <w:p w:rsidR="00406AD9" w:rsidRPr="001760FA" w:rsidRDefault="00406AD9" w:rsidP="001760FA">
      <w:pPr>
        <w:pStyle w:val="ECHRPara"/>
        <w:rPr>
          <w:lang w:val="en-GB"/>
        </w:rPr>
      </w:pPr>
      <w:r w:rsidRPr="001760FA">
        <w:rPr>
          <w:lang w:val="en-GB"/>
        </w:rPr>
        <w:fldChar w:fldCharType="begin"/>
      </w:r>
      <w:r w:rsidRPr="001760FA">
        <w:rPr>
          <w:lang w:val="en-GB"/>
        </w:rPr>
        <w:instrText xml:space="preserve"> SEQ level0 \*arabic </w:instrText>
      </w:r>
      <w:r w:rsidRPr="001760FA">
        <w:rPr>
          <w:lang w:val="en-GB"/>
        </w:rPr>
        <w:fldChar w:fldCharType="separate"/>
      </w:r>
      <w:r>
        <w:rPr>
          <w:noProof/>
          <w:lang w:val="en-GB"/>
        </w:rPr>
        <w:t>34</w:t>
      </w:r>
      <w:r w:rsidRPr="001760FA">
        <w:rPr>
          <w:lang w:val="en-GB"/>
        </w:rPr>
        <w:fldChar w:fldCharType="end"/>
      </w:r>
      <w:r w:rsidRPr="001760FA">
        <w:rPr>
          <w:lang w:val="en-GB"/>
        </w:rPr>
        <w:t xml:space="preserve">.  The Regional Court </w:t>
      </w:r>
      <w:r>
        <w:rPr>
          <w:lang w:val="en-GB"/>
        </w:rPr>
        <w:t xml:space="preserve">also </w:t>
      </w:r>
      <w:r w:rsidRPr="001760FA">
        <w:rPr>
          <w:lang w:val="en-GB"/>
        </w:rPr>
        <w:t>added that the applicant</w:t>
      </w:r>
      <w:r>
        <w:rPr>
          <w:lang w:val="en-GB"/>
        </w:rPr>
        <w:t>’</w:t>
      </w:r>
      <w:r w:rsidRPr="001760FA">
        <w:rPr>
          <w:lang w:val="en-GB"/>
        </w:rPr>
        <w:t xml:space="preserve">s </w:t>
      </w:r>
      <w:r>
        <w:rPr>
          <w:lang w:val="en-GB"/>
        </w:rPr>
        <w:t>statements</w:t>
      </w:r>
      <w:r w:rsidRPr="001760FA">
        <w:rPr>
          <w:lang w:val="en-GB"/>
        </w:rPr>
        <w:t xml:space="preserve"> of 22</w:t>
      </w:r>
      <w:r>
        <w:rPr>
          <w:lang w:val="en-GB"/>
        </w:rPr>
        <w:t> </w:t>
      </w:r>
      <w:r w:rsidRPr="001760FA">
        <w:rPr>
          <w:lang w:val="en-GB"/>
        </w:rPr>
        <w:t xml:space="preserve">March 2002 </w:t>
      </w:r>
      <w:r>
        <w:rPr>
          <w:lang w:val="en-GB"/>
        </w:rPr>
        <w:t>had been</w:t>
      </w:r>
      <w:r w:rsidRPr="001760FA">
        <w:rPr>
          <w:lang w:val="en-GB"/>
        </w:rPr>
        <w:t xml:space="preserve"> contradictory. It deemed unreliable </w:t>
      </w:r>
      <w:r>
        <w:rPr>
          <w:lang w:val="en-GB"/>
        </w:rPr>
        <w:t>an expert</w:t>
      </w:r>
      <w:r w:rsidRPr="001760FA">
        <w:rPr>
          <w:lang w:val="en-GB"/>
        </w:rPr>
        <w:t xml:space="preserve"> report </w:t>
      </w:r>
      <w:r>
        <w:rPr>
          <w:lang w:val="en-GB"/>
        </w:rPr>
        <w:t>finding that there were no</w:t>
      </w:r>
      <w:r w:rsidRPr="001760FA">
        <w:rPr>
          <w:lang w:val="en-GB"/>
        </w:rPr>
        <w:t xml:space="preserve"> signs that the applicant had written the confession </w:t>
      </w:r>
      <w:r>
        <w:rPr>
          <w:lang w:val="en-GB"/>
        </w:rPr>
        <w:t xml:space="preserve">“in the circumstances of anxiety, fear or </w:t>
      </w:r>
      <w:r w:rsidRPr="001760FA">
        <w:rPr>
          <w:lang w:val="en-GB"/>
        </w:rPr>
        <w:t>physical ill-treatment</w:t>
      </w:r>
      <w:r>
        <w:rPr>
          <w:lang w:val="en-GB"/>
        </w:rPr>
        <w:t>”</w:t>
      </w:r>
      <w:r w:rsidRPr="001760FA">
        <w:rPr>
          <w:lang w:val="en-GB"/>
        </w:rPr>
        <w:t>. Th</w:t>
      </w:r>
      <w:r>
        <w:rPr>
          <w:lang w:val="en-GB"/>
        </w:rPr>
        <w:t xml:space="preserve">e Regional Court reasoned that </w:t>
      </w:r>
      <w:r w:rsidRPr="001760FA">
        <w:rPr>
          <w:lang w:val="en-GB"/>
        </w:rPr>
        <w:t xml:space="preserve">the expert report did not contain </w:t>
      </w:r>
      <w:r>
        <w:rPr>
          <w:lang w:val="en-GB"/>
        </w:rPr>
        <w:t>“a study section” (</w:t>
      </w:r>
      <w:r w:rsidRPr="00503582">
        <w:rPr>
          <w:i/>
          <w:lang w:val="lv-LV"/>
        </w:rPr>
        <w:t>izpētes daļa</w:t>
      </w:r>
      <w:r>
        <w:rPr>
          <w:lang w:val="lv-LV"/>
        </w:rPr>
        <w:t xml:space="preserve">) </w:t>
      </w:r>
      <w:r>
        <w:rPr>
          <w:lang w:val="en-GB"/>
        </w:rPr>
        <w:t>that would</w:t>
      </w:r>
      <w:r w:rsidRPr="001760FA">
        <w:rPr>
          <w:lang w:val="en-GB"/>
        </w:rPr>
        <w:t xml:space="preserve"> allow </w:t>
      </w:r>
      <w:r>
        <w:rPr>
          <w:lang w:val="en-GB"/>
        </w:rPr>
        <w:t>it</w:t>
      </w:r>
      <w:r w:rsidRPr="001760FA">
        <w:rPr>
          <w:lang w:val="en-GB"/>
        </w:rPr>
        <w:t xml:space="preserve"> to understand </w:t>
      </w:r>
      <w:r>
        <w:rPr>
          <w:lang w:val="en-GB"/>
        </w:rPr>
        <w:t>how</w:t>
      </w:r>
      <w:r w:rsidRPr="001760FA">
        <w:rPr>
          <w:lang w:val="en-GB"/>
        </w:rPr>
        <w:t xml:space="preserve"> the expert had arrived at her conclusion.</w:t>
      </w:r>
    </w:p>
    <w:p w:rsidR="00406AD9" w:rsidRPr="001760FA" w:rsidRDefault="00406AD9" w:rsidP="001760FA">
      <w:pPr>
        <w:pStyle w:val="ECHRPara"/>
        <w:rPr>
          <w:lang w:val="en-GB"/>
        </w:rPr>
      </w:pPr>
      <w:r w:rsidRPr="001760FA">
        <w:rPr>
          <w:lang w:val="en-GB"/>
        </w:rPr>
        <w:fldChar w:fldCharType="begin"/>
      </w:r>
      <w:r w:rsidRPr="001760FA">
        <w:rPr>
          <w:lang w:val="en-GB"/>
        </w:rPr>
        <w:instrText xml:space="preserve"> SEQ level0 \*arabic </w:instrText>
      </w:r>
      <w:r w:rsidRPr="001760FA">
        <w:rPr>
          <w:lang w:val="en-GB"/>
        </w:rPr>
        <w:fldChar w:fldCharType="separate"/>
      </w:r>
      <w:r>
        <w:rPr>
          <w:noProof/>
          <w:lang w:val="en-GB"/>
        </w:rPr>
        <w:t>35</w:t>
      </w:r>
      <w:r w:rsidRPr="001760FA">
        <w:rPr>
          <w:lang w:val="en-GB"/>
        </w:rPr>
        <w:fldChar w:fldCharType="end"/>
      </w:r>
      <w:r w:rsidRPr="001760FA">
        <w:rPr>
          <w:lang w:val="en-GB"/>
        </w:rPr>
        <w:t>.  Accordingly, the Regional Court ruled that the applicant</w:t>
      </w:r>
      <w:r>
        <w:rPr>
          <w:lang w:val="en-GB"/>
        </w:rPr>
        <w:t>’</w:t>
      </w:r>
      <w:r w:rsidRPr="001760FA">
        <w:rPr>
          <w:lang w:val="en-GB"/>
        </w:rPr>
        <w:t>s statements of 22 March 2002 could not be used in the applicant</w:t>
      </w:r>
      <w:r>
        <w:rPr>
          <w:lang w:val="en-GB"/>
        </w:rPr>
        <w:t>’</w:t>
      </w:r>
      <w:r w:rsidRPr="001760FA">
        <w:rPr>
          <w:lang w:val="en-GB"/>
        </w:rPr>
        <w:t>s conviction.</w:t>
      </w:r>
    </w:p>
    <w:p w:rsidR="00406AD9" w:rsidRPr="001760FA" w:rsidRDefault="00406AD9" w:rsidP="001760FA">
      <w:pPr>
        <w:pStyle w:val="ECHRPara"/>
        <w:rPr>
          <w:lang w:val="en-GB"/>
        </w:rPr>
      </w:pPr>
      <w:r w:rsidRPr="001760FA">
        <w:rPr>
          <w:lang w:val="en-GB"/>
        </w:rPr>
        <w:fldChar w:fldCharType="begin"/>
      </w:r>
      <w:r w:rsidRPr="001760FA">
        <w:rPr>
          <w:lang w:val="en-GB"/>
        </w:rPr>
        <w:instrText xml:space="preserve"> SEQ level0 \*arabic </w:instrText>
      </w:r>
      <w:r w:rsidRPr="001760FA">
        <w:rPr>
          <w:lang w:val="en-GB"/>
        </w:rPr>
        <w:fldChar w:fldCharType="separate"/>
      </w:r>
      <w:r>
        <w:rPr>
          <w:noProof/>
          <w:lang w:val="en-GB"/>
        </w:rPr>
        <w:t>36</w:t>
      </w:r>
      <w:r w:rsidRPr="001760FA">
        <w:rPr>
          <w:lang w:val="en-GB"/>
        </w:rPr>
        <w:fldChar w:fldCharType="end"/>
      </w:r>
      <w:r w:rsidRPr="001760FA">
        <w:rPr>
          <w:lang w:val="en-GB"/>
        </w:rPr>
        <w:t xml:space="preserve">.  It further held that no other evidence </w:t>
      </w:r>
      <w:r>
        <w:rPr>
          <w:lang w:val="en-GB"/>
        </w:rPr>
        <w:t>had been</w:t>
      </w:r>
      <w:r w:rsidRPr="001760FA">
        <w:rPr>
          <w:lang w:val="en-GB"/>
        </w:rPr>
        <w:t xml:space="preserve"> obtained to the effect that the applicant had in any </w:t>
      </w:r>
      <w:r>
        <w:rPr>
          <w:lang w:val="en-GB"/>
        </w:rPr>
        <w:t>way</w:t>
      </w:r>
      <w:r w:rsidRPr="001760FA">
        <w:rPr>
          <w:lang w:val="en-GB"/>
        </w:rPr>
        <w:t xml:space="preserve"> organised, assisted or incited another person to commit Ģ</w:t>
      </w:r>
      <w:r>
        <w:rPr>
          <w:lang w:val="en-GB"/>
        </w:rPr>
        <w:t>.</w:t>
      </w:r>
      <w:r w:rsidRPr="001760FA">
        <w:rPr>
          <w:lang w:val="en-GB"/>
        </w:rPr>
        <w:t>Č</w:t>
      </w:r>
      <w:r>
        <w:rPr>
          <w:lang w:val="en-GB"/>
        </w:rPr>
        <w:t>.’</w:t>
      </w:r>
      <w:r w:rsidRPr="001760FA">
        <w:rPr>
          <w:lang w:val="en-GB"/>
        </w:rPr>
        <w:t>s murder. The evidence established that transactions involving money transfers had taken place between the applicant, Z</w:t>
      </w:r>
      <w:r>
        <w:rPr>
          <w:lang w:val="en-GB"/>
        </w:rPr>
        <w:t>.</w:t>
      </w:r>
      <w:r w:rsidRPr="001760FA">
        <w:rPr>
          <w:lang w:val="en-GB"/>
        </w:rPr>
        <w:t>K</w:t>
      </w:r>
      <w:r>
        <w:rPr>
          <w:lang w:val="en-GB"/>
        </w:rPr>
        <w:t>.</w:t>
      </w:r>
      <w:r w:rsidRPr="001760FA">
        <w:rPr>
          <w:lang w:val="en-GB"/>
        </w:rPr>
        <w:t xml:space="preserve"> and Ģ</w:t>
      </w:r>
      <w:r>
        <w:rPr>
          <w:lang w:val="en-GB"/>
        </w:rPr>
        <w:t>.</w:t>
      </w:r>
      <w:r w:rsidRPr="001760FA">
        <w:rPr>
          <w:lang w:val="en-GB"/>
        </w:rPr>
        <w:t>Č.</w:t>
      </w:r>
      <w:r>
        <w:rPr>
          <w:lang w:val="en-GB"/>
        </w:rPr>
        <w:t xml:space="preserve"> </w:t>
      </w:r>
      <w:r w:rsidRPr="001760FA">
        <w:rPr>
          <w:lang w:val="en-GB"/>
        </w:rPr>
        <w:t xml:space="preserve">This was </w:t>
      </w:r>
      <w:r>
        <w:rPr>
          <w:lang w:val="en-GB"/>
        </w:rPr>
        <w:t>corroborated</w:t>
      </w:r>
      <w:r w:rsidRPr="001760FA">
        <w:rPr>
          <w:lang w:val="en-GB"/>
        </w:rPr>
        <w:t xml:space="preserve"> by the evidence of witness I</w:t>
      </w:r>
      <w:r>
        <w:rPr>
          <w:lang w:val="en-GB"/>
        </w:rPr>
        <w:t>.</w:t>
      </w:r>
      <w:r w:rsidRPr="001760FA">
        <w:rPr>
          <w:lang w:val="en-GB"/>
        </w:rPr>
        <w:t>Š</w:t>
      </w:r>
      <w:r>
        <w:rPr>
          <w:lang w:val="en-GB"/>
        </w:rPr>
        <w:t>.</w:t>
      </w:r>
      <w:r w:rsidRPr="001760FA">
        <w:rPr>
          <w:lang w:val="en-GB"/>
        </w:rPr>
        <w:t xml:space="preserve">, a police inspector who testified about an ongoing criminal </w:t>
      </w:r>
      <w:r>
        <w:rPr>
          <w:lang w:val="en-GB"/>
        </w:rPr>
        <w:t>investigation</w:t>
      </w:r>
      <w:r w:rsidRPr="001760FA">
        <w:rPr>
          <w:lang w:val="en-GB"/>
        </w:rPr>
        <w:t xml:space="preserve"> into illegal transactions involving all three individuals.</w:t>
      </w:r>
    </w:p>
    <w:p w:rsidR="00406AD9" w:rsidRDefault="00406AD9" w:rsidP="009D6443">
      <w:pPr>
        <w:pStyle w:val="ECHRPara"/>
        <w:rPr>
          <w:lang w:val="en-GB"/>
        </w:rPr>
      </w:pPr>
      <w:r w:rsidRPr="001760FA">
        <w:rPr>
          <w:lang w:val="en-GB"/>
        </w:rPr>
        <w:fldChar w:fldCharType="begin"/>
      </w:r>
      <w:r w:rsidRPr="001760FA">
        <w:rPr>
          <w:lang w:val="en-GB"/>
        </w:rPr>
        <w:instrText xml:space="preserve"> SEQ level0 \*arabic </w:instrText>
      </w:r>
      <w:r w:rsidRPr="001760FA">
        <w:rPr>
          <w:lang w:val="en-GB"/>
        </w:rPr>
        <w:fldChar w:fldCharType="separate"/>
      </w:r>
      <w:r>
        <w:rPr>
          <w:noProof/>
          <w:lang w:val="en-GB"/>
        </w:rPr>
        <w:t>37</w:t>
      </w:r>
      <w:r w:rsidRPr="001760FA">
        <w:rPr>
          <w:lang w:val="en-GB"/>
        </w:rPr>
        <w:fldChar w:fldCharType="end"/>
      </w:r>
      <w:r w:rsidRPr="001760FA">
        <w:rPr>
          <w:lang w:val="en-GB"/>
        </w:rPr>
        <w:t xml:space="preserve">.  The Regional Court in its judgment referred to </w:t>
      </w:r>
      <w:r>
        <w:rPr>
          <w:lang w:val="en-GB"/>
        </w:rPr>
        <w:t>telephone call records admitted in</w:t>
      </w:r>
      <w:r w:rsidRPr="001760FA">
        <w:rPr>
          <w:lang w:val="en-GB"/>
        </w:rPr>
        <w:t xml:space="preserve"> evidence</w:t>
      </w:r>
      <w:r>
        <w:rPr>
          <w:lang w:val="en-GB"/>
        </w:rPr>
        <w:t>. O</w:t>
      </w:r>
      <w:r w:rsidRPr="001760FA">
        <w:rPr>
          <w:lang w:val="en-GB"/>
        </w:rPr>
        <w:t xml:space="preserve">n 1 February 2002 at 5.27 p.m. a phone call </w:t>
      </w:r>
      <w:r>
        <w:rPr>
          <w:lang w:val="en-GB"/>
        </w:rPr>
        <w:t>had been</w:t>
      </w:r>
      <w:r w:rsidRPr="001760FA">
        <w:rPr>
          <w:lang w:val="en-GB"/>
        </w:rPr>
        <w:t xml:space="preserve"> made from the</w:t>
      </w:r>
      <w:r>
        <w:rPr>
          <w:lang w:val="en-GB"/>
        </w:rPr>
        <w:t xml:space="preserve"> applicant’s mobile number to V.</w:t>
      </w:r>
      <w:r w:rsidRPr="001760FA">
        <w:rPr>
          <w:lang w:val="en-GB"/>
        </w:rPr>
        <w:t>Z</w:t>
      </w:r>
      <w:r>
        <w:rPr>
          <w:lang w:val="en-GB"/>
        </w:rPr>
        <w:t>.’</w:t>
      </w:r>
      <w:r w:rsidRPr="001760FA">
        <w:rPr>
          <w:lang w:val="en-GB"/>
        </w:rPr>
        <w:t>s mobile number. At the same time, it reasoned that V</w:t>
      </w:r>
      <w:r>
        <w:rPr>
          <w:lang w:val="en-GB"/>
        </w:rPr>
        <w:t>.</w:t>
      </w:r>
      <w:r w:rsidRPr="001760FA">
        <w:rPr>
          <w:lang w:val="en-GB"/>
        </w:rPr>
        <w:t>Z</w:t>
      </w:r>
      <w:r>
        <w:rPr>
          <w:lang w:val="en-GB"/>
        </w:rPr>
        <w:t>. had</w:t>
      </w:r>
      <w:r w:rsidRPr="001760FA">
        <w:rPr>
          <w:lang w:val="en-GB"/>
        </w:rPr>
        <w:t xml:space="preserve"> never testified </w:t>
      </w:r>
      <w:r>
        <w:rPr>
          <w:lang w:val="en-GB"/>
        </w:rPr>
        <w:t>having</w:t>
      </w:r>
      <w:r w:rsidRPr="001760FA">
        <w:rPr>
          <w:lang w:val="en-GB"/>
        </w:rPr>
        <w:t xml:space="preserve"> spoken on the phone to the applicant or </w:t>
      </w:r>
      <w:r>
        <w:rPr>
          <w:lang w:val="en-GB"/>
        </w:rPr>
        <w:t>having previously known him</w:t>
      </w:r>
      <w:r w:rsidRPr="001760FA">
        <w:rPr>
          <w:lang w:val="en-GB"/>
        </w:rPr>
        <w:t>.</w:t>
      </w:r>
      <w:r>
        <w:rPr>
          <w:lang w:val="en-GB"/>
        </w:rPr>
        <w:t xml:space="preserve"> In addition</w:t>
      </w:r>
      <w:r w:rsidRPr="001760FA">
        <w:rPr>
          <w:lang w:val="en-GB"/>
        </w:rPr>
        <w:t xml:space="preserve">, the Regional Court </w:t>
      </w:r>
      <w:r>
        <w:rPr>
          <w:lang w:val="en-GB"/>
        </w:rPr>
        <w:t>considered that it had no</w:t>
      </w:r>
      <w:r w:rsidRPr="001760FA">
        <w:rPr>
          <w:lang w:val="en-GB"/>
        </w:rPr>
        <w:t xml:space="preserve"> reason to conclude that O</w:t>
      </w:r>
      <w:r>
        <w:rPr>
          <w:lang w:val="en-GB"/>
        </w:rPr>
        <w:t>.</w:t>
      </w:r>
      <w:r w:rsidRPr="001760FA">
        <w:rPr>
          <w:lang w:val="en-GB"/>
        </w:rPr>
        <w:t>O</w:t>
      </w:r>
      <w:r>
        <w:rPr>
          <w:lang w:val="en-GB"/>
        </w:rPr>
        <w:t>.’</w:t>
      </w:r>
      <w:r w:rsidRPr="001760FA">
        <w:rPr>
          <w:lang w:val="en-GB"/>
        </w:rPr>
        <w:t>s testimony that he had used the applicant</w:t>
      </w:r>
      <w:r>
        <w:rPr>
          <w:lang w:val="en-GB"/>
        </w:rPr>
        <w:t>’</w:t>
      </w:r>
      <w:r w:rsidRPr="001760FA">
        <w:rPr>
          <w:lang w:val="en-GB"/>
        </w:rPr>
        <w:t>s phone in order to contact V</w:t>
      </w:r>
      <w:r>
        <w:rPr>
          <w:lang w:val="en-GB"/>
        </w:rPr>
        <w:t>.</w:t>
      </w:r>
      <w:r w:rsidRPr="001760FA">
        <w:rPr>
          <w:lang w:val="en-GB"/>
        </w:rPr>
        <w:t>Z</w:t>
      </w:r>
      <w:r>
        <w:rPr>
          <w:lang w:val="en-GB"/>
        </w:rPr>
        <w:t>.</w:t>
      </w:r>
      <w:r w:rsidRPr="001760FA">
        <w:rPr>
          <w:lang w:val="en-GB"/>
        </w:rPr>
        <w:t xml:space="preserve"> </w:t>
      </w:r>
      <w:r>
        <w:rPr>
          <w:lang w:val="en-GB"/>
        </w:rPr>
        <w:t>about</w:t>
      </w:r>
      <w:r w:rsidRPr="001760FA">
        <w:rPr>
          <w:lang w:val="en-GB"/>
        </w:rPr>
        <w:t xml:space="preserve"> a vehicle </w:t>
      </w:r>
      <w:r>
        <w:rPr>
          <w:lang w:val="en-GB"/>
        </w:rPr>
        <w:t>had been</w:t>
      </w:r>
      <w:r w:rsidRPr="001760FA">
        <w:rPr>
          <w:lang w:val="en-GB"/>
        </w:rPr>
        <w:t xml:space="preserve"> false. It </w:t>
      </w:r>
      <w:r>
        <w:rPr>
          <w:lang w:val="en-GB"/>
        </w:rPr>
        <w:t xml:space="preserve">was evident </w:t>
      </w:r>
      <w:r w:rsidRPr="001760FA">
        <w:rPr>
          <w:lang w:val="en-GB"/>
        </w:rPr>
        <w:t>from the telephone call</w:t>
      </w:r>
      <w:r>
        <w:rPr>
          <w:lang w:val="en-GB"/>
        </w:rPr>
        <w:t xml:space="preserve"> records</w:t>
      </w:r>
      <w:r w:rsidRPr="001760FA">
        <w:rPr>
          <w:lang w:val="en-GB"/>
        </w:rPr>
        <w:t xml:space="preserve"> that on several occasions between 20 January and 18 March</w:t>
      </w:r>
      <w:r>
        <w:rPr>
          <w:lang w:val="en-GB"/>
        </w:rPr>
        <w:t xml:space="preserve"> </w:t>
      </w:r>
      <w:r w:rsidRPr="001760FA">
        <w:rPr>
          <w:lang w:val="en-GB"/>
        </w:rPr>
        <w:t>V</w:t>
      </w:r>
      <w:r>
        <w:rPr>
          <w:lang w:val="en-GB"/>
        </w:rPr>
        <w:t>.</w:t>
      </w:r>
      <w:r w:rsidRPr="001760FA">
        <w:rPr>
          <w:lang w:val="en-GB"/>
        </w:rPr>
        <w:t>Z</w:t>
      </w:r>
      <w:r>
        <w:rPr>
          <w:lang w:val="en-GB"/>
        </w:rPr>
        <w:t>.</w:t>
      </w:r>
      <w:r w:rsidRPr="001760FA">
        <w:rPr>
          <w:lang w:val="en-GB"/>
        </w:rPr>
        <w:t xml:space="preserve"> had been contacted from a number which</w:t>
      </w:r>
      <w:r>
        <w:rPr>
          <w:lang w:val="en-GB"/>
        </w:rPr>
        <w:t xml:space="preserve"> according to</w:t>
      </w:r>
      <w:r w:rsidRPr="001760FA">
        <w:rPr>
          <w:lang w:val="en-GB"/>
        </w:rPr>
        <w:t xml:space="preserve"> O</w:t>
      </w:r>
      <w:r>
        <w:rPr>
          <w:lang w:val="en-GB"/>
        </w:rPr>
        <w:t>.</w:t>
      </w:r>
      <w:r w:rsidRPr="001760FA">
        <w:rPr>
          <w:lang w:val="en-GB"/>
        </w:rPr>
        <w:t>O</w:t>
      </w:r>
      <w:r>
        <w:rPr>
          <w:lang w:val="en-GB"/>
        </w:rPr>
        <w:t>.</w:t>
      </w:r>
      <w:r w:rsidRPr="001760FA">
        <w:rPr>
          <w:lang w:val="en-GB"/>
        </w:rPr>
        <w:t xml:space="preserve"> was his.</w:t>
      </w:r>
    </w:p>
    <w:p w:rsidR="00406AD9" w:rsidRPr="00A2290E" w:rsidRDefault="00406AD9" w:rsidP="001760FA">
      <w:pPr>
        <w:pStyle w:val="ECHRHeading3"/>
        <w:rPr>
          <w:rFonts w:eastAsia="Times New Roman"/>
          <w:lang w:val="en-US"/>
        </w:rPr>
      </w:pPr>
      <w:r w:rsidRPr="00A2290E">
        <w:rPr>
          <w:rFonts w:eastAsia="Times New Roman"/>
          <w:lang w:val="en-US"/>
        </w:rPr>
        <w:t>2.  The applicant</w:t>
      </w:r>
      <w:r>
        <w:rPr>
          <w:rFonts w:eastAsia="Times New Roman"/>
          <w:lang w:val="en-US"/>
        </w:rPr>
        <w:t>’</w:t>
      </w:r>
      <w:r w:rsidRPr="00A2290E">
        <w:rPr>
          <w:rFonts w:eastAsia="Times New Roman"/>
          <w:lang w:val="en-US"/>
        </w:rPr>
        <w:t>s conviction upon appeal</w:t>
      </w:r>
    </w:p>
    <w:p w:rsidR="00406AD9" w:rsidRPr="001760FA" w:rsidRDefault="00406AD9" w:rsidP="001760FA">
      <w:pPr>
        <w:pStyle w:val="ECHRPara"/>
        <w:rPr>
          <w:lang w:val="en-GB"/>
        </w:rPr>
      </w:pPr>
      <w:r w:rsidRPr="001760FA">
        <w:rPr>
          <w:lang w:val="en-GB"/>
        </w:rPr>
        <w:fldChar w:fldCharType="begin"/>
      </w:r>
      <w:r w:rsidRPr="001760FA">
        <w:rPr>
          <w:lang w:val="en-GB"/>
        </w:rPr>
        <w:instrText xml:space="preserve"> SEQ level0 \*arabic </w:instrText>
      </w:r>
      <w:r w:rsidRPr="001760FA">
        <w:rPr>
          <w:lang w:val="en-GB"/>
        </w:rPr>
        <w:fldChar w:fldCharType="separate"/>
      </w:r>
      <w:r>
        <w:rPr>
          <w:noProof/>
          <w:lang w:val="en-GB"/>
        </w:rPr>
        <w:t>38</w:t>
      </w:r>
      <w:r w:rsidRPr="001760FA">
        <w:rPr>
          <w:lang w:val="en-GB"/>
        </w:rPr>
        <w:fldChar w:fldCharType="end"/>
      </w:r>
      <w:r w:rsidRPr="001760FA">
        <w:rPr>
          <w:lang w:val="en-GB"/>
        </w:rPr>
        <w:t>.  The first</w:t>
      </w:r>
      <w:r>
        <w:rPr>
          <w:lang w:val="en-GB"/>
        </w:rPr>
        <w:t>-</w:t>
      </w:r>
      <w:r w:rsidRPr="001760FA">
        <w:rPr>
          <w:lang w:val="en-GB"/>
        </w:rPr>
        <w:t xml:space="preserve">instance judgment was appealed </w:t>
      </w:r>
      <w:r>
        <w:rPr>
          <w:lang w:val="en-GB"/>
        </w:rPr>
        <w:t xml:space="preserve">against </w:t>
      </w:r>
      <w:r w:rsidRPr="001760FA">
        <w:rPr>
          <w:lang w:val="en-GB"/>
        </w:rPr>
        <w:t>to the Criminal Cases Chamber of the Supreme Court (</w:t>
      </w:r>
      <w:r w:rsidRPr="001760FA">
        <w:rPr>
          <w:i/>
          <w:lang w:val="lv-LV"/>
        </w:rPr>
        <w:t>Augstākās tiesas Krimināllietu tiesu palāta</w:t>
      </w:r>
      <w:r w:rsidRPr="001760FA">
        <w:rPr>
          <w:lang w:val="en-GB"/>
        </w:rPr>
        <w:t>) on behalf of the prosecution, the victim and both co-accused convicted at first instance.</w:t>
      </w:r>
    </w:p>
    <w:p w:rsidR="00406AD9" w:rsidRPr="001760FA" w:rsidRDefault="00406AD9" w:rsidP="001760FA">
      <w:pPr>
        <w:pStyle w:val="ECHRPara"/>
        <w:rPr>
          <w:lang w:val="en-GB"/>
        </w:rPr>
      </w:pPr>
      <w:r w:rsidRPr="001760FA">
        <w:rPr>
          <w:lang w:val="en-GB"/>
        </w:rPr>
        <w:fldChar w:fldCharType="begin"/>
      </w:r>
      <w:r w:rsidRPr="001760FA">
        <w:rPr>
          <w:lang w:val="en-GB"/>
        </w:rPr>
        <w:instrText xml:space="preserve"> SEQ level0 \*arabic </w:instrText>
      </w:r>
      <w:r w:rsidRPr="001760FA">
        <w:rPr>
          <w:lang w:val="en-GB"/>
        </w:rPr>
        <w:fldChar w:fldCharType="separate"/>
      </w:r>
      <w:r>
        <w:rPr>
          <w:noProof/>
          <w:lang w:val="en-GB"/>
        </w:rPr>
        <w:t>39</w:t>
      </w:r>
      <w:r w:rsidRPr="001760FA">
        <w:rPr>
          <w:lang w:val="en-GB"/>
        </w:rPr>
        <w:fldChar w:fldCharType="end"/>
      </w:r>
      <w:r w:rsidRPr="001760FA">
        <w:rPr>
          <w:lang w:val="en-GB"/>
        </w:rPr>
        <w:t xml:space="preserve">.  On 26 April 2005 the Supreme Court </w:t>
      </w:r>
      <w:r>
        <w:rPr>
          <w:lang w:val="en-GB"/>
        </w:rPr>
        <w:t>overturn</w:t>
      </w:r>
      <w:r w:rsidRPr="001760FA">
        <w:rPr>
          <w:lang w:val="en-GB"/>
        </w:rPr>
        <w:t>ed the applicant</w:t>
      </w:r>
      <w:r>
        <w:rPr>
          <w:lang w:val="en-GB"/>
        </w:rPr>
        <w:t>’</w:t>
      </w:r>
      <w:r w:rsidRPr="001760FA">
        <w:rPr>
          <w:lang w:val="en-GB"/>
        </w:rPr>
        <w:t xml:space="preserve">s acquittal and found him guilty of </w:t>
      </w:r>
      <w:r>
        <w:rPr>
          <w:lang w:val="en-GB"/>
        </w:rPr>
        <w:t xml:space="preserve">the </w:t>
      </w:r>
      <w:r w:rsidRPr="001760FA">
        <w:rPr>
          <w:lang w:val="en-GB"/>
        </w:rPr>
        <w:t>aggravated murder of Ģ</w:t>
      </w:r>
      <w:r>
        <w:rPr>
          <w:lang w:val="en-GB"/>
        </w:rPr>
        <w:t>.</w:t>
      </w:r>
      <w:r w:rsidRPr="001760FA">
        <w:rPr>
          <w:lang w:val="en-GB"/>
        </w:rPr>
        <w:t>Č.</w:t>
      </w:r>
    </w:p>
    <w:p w:rsidR="00406AD9" w:rsidRPr="001760FA" w:rsidRDefault="00406AD9" w:rsidP="001760FA">
      <w:pPr>
        <w:pStyle w:val="ECHRPara"/>
        <w:rPr>
          <w:lang w:val="en-GB"/>
        </w:rPr>
      </w:pPr>
      <w:r w:rsidRPr="001760FA">
        <w:rPr>
          <w:lang w:val="en-GB"/>
        </w:rPr>
        <w:fldChar w:fldCharType="begin"/>
      </w:r>
      <w:r w:rsidRPr="001760FA">
        <w:rPr>
          <w:lang w:val="en-GB"/>
        </w:rPr>
        <w:instrText xml:space="preserve"> SEQ level0 \*arabic </w:instrText>
      </w:r>
      <w:r w:rsidRPr="001760FA">
        <w:rPr>
          <w:lang w:val="en-GB"/>
        </w:rPr>
        <w:fldChar w:fldCharType="separate"/>
      </w:r>
      <w:r>
        <w:rPr>
          <w:noProof/>
          <w:lang w:val="en-GB"/>
        </w:rPr>
        <w:t>40</w:t>
      </w:r>
      <w:r w:rsidRPr="001760FA">
        <w:rPr>
          <w:lang w:val="en-GB"/>
        </w:rPr>
        <w:fldChar w:fldCharType="end"/>
      </w:r>
      <w:r w:rsidRPr="001760FA">
        <w:rPr>
          <w:lang w:val="en-GB"/>
        </w:rPr>
        <w:t>.  </w:t>
      </w:r>
      <w:r>
        <w:rPr>
          <w:lang w:val="en-GB"/>
        </w:rPr>
        <w:t>T</w:t>
      </w:r>
      <w:r w:rsidRPr="001760FA">
        <w:rPr>
          <w:lang w:val="en-GB"/>
        </w:rPr>
        <w:t xml:space="preserve">he judgment of the Supreme Court </w:t>
      </w:r>
      <w:r>
        <w:rPr>
          <w:lang w:val="en-GB"/>
        </w:rPr>
        <w:t>noted that in the appeal proceedings</w:t>
      </w:r>
      <w:r w:rsidRPr="001760FA">
        <w:rPr>
          <w:lang w:val="en-GB"/>
        </w:rPr>
        <w:t xml:space="preserve"> the applicant </w:t>
      </w:r>
      <w:r>
        <w:rPr>
          <w:lang w:val="en-GB"/>
        </w:rPr>
        <w:t xml:space="preserve">had </w:t>
      </w:r>
      <w:r w:rsidRPr="001760FA">
        <w:rPr>
          <w:lang w:val="en-GB"/>
        </w:rPr>
        <w:t xml:space="preserve">continued to </w:t>
      </w:r>
      <w:r>
        <w:rPr>
          <w:lang w:val="en-GB"/>
        </w:rPr>
        <w:t>deny</w:t>
      </w:r>
      <w:r w:rsidRPr="001760FA">
        <w:rPr>
          <w:lang w:val="en-GB"/>
        </w:rPr>
        <w:t xml:space="preserve"> his initial statements and maintain that he had given them as a result of ill-treatment by police employees. In that regard</w:t>
      </w:r>
      <w:r>
        <w:rPr>
          <w:lang w:val="en-GB"/>
        </w:rPr>
        <w:t>,</w:t>
      </w:r>
      <w:r w:rsidRPr="001760FA">
        <w:rPr>
          <w:lang w:val="en-GB"/>
        </w:rPr>
        <w:t xml:space="preserve"> the Supreme Court reasoned</w:t>
      </w:r>
      <w:r>
        <w:rPr>
          <w:lang w:val="en-GB"/>
        </w:rPr>
        <w:t xml:space="preserve"> as follows</w:t>
      </w:r>
      <w:r w:rsidRPr="001760FA">
        <w:rPr>
          <w:lang w:val="en-GB"/>
        </w:rPr>
        <w:t>:</w:t>
      </w:r>
    </w:p>
    <w:p w:rsidR="00406AD9" w:rsidRPr="001760FA" w:rsidRDefault="00406AD9" w:rsidP="001760FA">
      <w:pPr>
        <w:pStyle w:val="ECHRParaQuote"/>
        <w:rPr>
          <w:lang w:val="en-GB"/>
        </w:rPr>
      </w:pPr>
      <w:r w:rsidRPr="001760FA">
        <w:rPr>
          <w:lang w:val="en-GB"/>
        </w:rPr>
        <w:t>“The Regional Court groundlessly</w:t>
      </w:r>
      <w:r>
        <w:rPr>
          <w:lang w:val="en-GB"/>
        </w:rPr>
        <w:t xml:space="preserve"> (</w:t>
      </w:r>
      <w:r w:rsidRPr="00E95504">
        <w:rPr>
          <w:i/>
          <w:lang w:val="lv-LV"/>
        </w:rPr>
        <w:t>nepamatoti</w:t>
      </w:r>
      <w:r>
        <w:rPr>
          <w:lang w:val="en-GB"/>
        </w:rPr>
        <w:t>)</w:t>
      </w:r>
      <w:r w:rsidRPr="001760FA">
        <w:rPr>
          <w:lang w:val="en-GB"/>
        </w:rPr>
        <w:t xml:space="preserve"> accepted that [the applicant</w:t>
      </w:r>
      <w:r>
        <w:rPr>
          <w:lang w:val="en-GB"/>
        </w:rPr>
        <w:t>’</w:t>
      </w:r>
      <w:r w:rsidRPr="001760FA">
        <w:rPr>
          <w:lang w:val="en-GB"/>
        </w:rPr>
        <w:t xml:space="preserve">s] </w:t>
      </w:r>
      <w:r>
        <w:rPr>
          <w:lang w:val="en-GB"/>
        </w:rPr>
        <w:t>statement</w:t>
      </w:r>
      <w:r w:rsidRPr="001760FA">
        <w:rPr>
          <w:lang w:val="en-GB"/>
        </w:rPr>
        <w:t xml:space="preserve">s and </w:t>
      </w:r>
      <w:r>
        <w:rPr>
          <w:lang w:val="en-GB"/>
        </w:rPr>
        <w:t>[his]</w:t>
      </w:r>
      <w:r w:rsidRPr="001760FA">
        <w:rPr>
          <w:lang w:val="en-GB"/>
        </w:rPr>
        <w:t xml:space="preserve"> confession given </w:t>
      </w:r>
      <w:r>
        <w:rPr>
          <w:lang w:val="en-GB"/>
        </w:rPr>
        <w:t>during</w:t>
      </w:r>
      <w:r w:rsidRPr="001760FA">
        <w:rPr>
          <w:lang w:val="en-GB"/>
        </w:rPr>
        <w:t xml:space="preserve"> the pre-trial investigation were not truthful.</w:t>
      </w:r>
    </w:p>
    <w:p w:rsidR="00406AD9" w:rsidRPr="001760FA" w:rsidRDefault="00406AD9" w:rsidP="001760FA">
      <w:pPr>
        <w:pStyle w:val="ECHRParaQuote"/>
        <w:rPr>
          <w:lang w:val="en-GB"/>
        </w:rPr>
      </w:pPr>
      <w:r w:rsidRPr="001760FA">
        <w:rPr>
          <w:lang w:val="en-GB"/>
        </w:rPr>
        <w:t>The file does not contain impartial evidence affirming [the applicant</w:t>
      </w:r>
      <w:r>
        <w:rPr>
          <w:lang w:val="en-GB"/>
        </w:rPr>
        <w:t>’</w:t>
      </w:r>
      <w:r w:rsidRPr="001760FA">
        <w:rPr>
          <w:lang w:val="en-GB"/>
        </w:rPr>
        <w:t xml:space="preserve">s] assertion that he gave these </w:t>
      </w:r>
      <w:r>
        <w:rPr>
          <w:lang w:val="en-GB"/>
        </w:rPr>
        <w:t>statement</w:t>
      </w:r>
      <w:r w:rsidRPr="001760FA">
        <w:rPr>
          <w:lang w:val="en-GB"/>
        </w:rPr>
        <w:t xml:space="preserve">s as a result of physical and psychological ill-treatment by police employees, </w:t>
      </w:r>
      <w:r>
        <w:rPr>
          <w:lang w:val="en-GB"/>
        </w:rPr>
        <w:t xml:space="preserve">[and] </w:t>
      </w:r>
      <w:r w:rsidRPr="001760FA">
        <w:rPr>
          <w:lang w:val="en-GB"/>
        </w:rPr>
        <w:t>that police employees dictated the testimonies</w:t>
      </w:r>
      <w:r>
        <w:rPr>
          <w:lang w:val="en-GB"/>
        </w:rPr>
        <w:t xml:space="preserve"> [to him]</w:t>
      </w:r>
      <w:r w:rsidRPr="001760FA">
        <w:rPr>
          <w:lang w:val="en-GB"/>
        </w:rPr>
        <w:t xml:space="preserve">. That it was merely a coincidence that during the commission of the crime [the </w:t>
      </w:r>
      <w:r>
        <w:rPr>
          <w:lang w:val="en-GB"/>
        </w:rPr>
        <w:t>applicant] was together with [O.</w:t>
      </w:r>
      <w:r w:rsidRPr="001760FA">
        <w:rPr>
          <w:lang w:val="en-GB"/>
        </w:rPr>
        <w:t>O</w:t>
      </w:r>
      <w:r>
        <w:rPr>
          <w:lang w:val="en-GB"/>
        </w:rPr>
        <w:t>.] ...</w:t>
      </w:r>
      <w:r w:rsidRPr="001760FA">
        <w:rPr>
          <w:lang w:val="en-GB"/>
        </w:rPr>
        <w:t xml:space="preserve"> </w:t>
      </w:r>
      <w:r>
        <w:rPr>
          <w:lang w:val="en-GB"/>
        </w:rPr>
        <w:t xml:space="preserve">[and] </w:t>
      </w:r>
      <w:r w:rsidRPr="001760FA">
        <w:rPr>
          <w:lang w:val="en-GB"/>
        </w:rPr>
        <w:t xml:space="preserve">that a call </w:t>
      </w:r>
      <w:r>
        <w:rPr>
          <w:lang w:val="en-GB"/>
        </w:rPr>
        <w:t xml:space="preserve">was made </w:t>
      </w:r>
      <w:r w:rsidRPr="001760FA">
        <w:rPr>
          <w:lang w:val="en-GB"/>
        </w:rPr>
        <w:t xml:space="preserve">from his phone </w:t>
      </w:r>
      <w:r>
        <w:rPr>
          <w:lang w:val="en-GB"/>
        </w:rPr>
        <w:t>at that time to [V.</w:t>
      </w:r>
      <w:r w:rsidRPr="001760FA">
        <w:rPr>
          <w:lang w:val="en-GB"/>
        </w:rPr>
        <w:t>Z</w:t>
      </w:r>
      <w:r>
        <w:rPr>
          <w:lang w:val="en-GB"/>
        </w:rPr>
        <w:t>.</w:t>
      </w:r>
      <w:r w:rsidRPr="001760FA">
        <w:rPr>
          <w:lang w:val="en-GB"/>
        </w:rPr>
        <w:t>]</w:t>
      </w:r>
      <w:r>
        <w:rPr>
          <w:lang w:val="en-GB"/>
        </w:rPr>
        <w:t>.</w:t>
      </w:r>
    </w:p>
    <w:p w:rsidR="00406AD9" w:rsidRPr="001760FA" w:rsidRDefault="00406AD9" w:rsidP="001760FA">
      <w:pPr>
        <w:pStyle w:val="ECHRParaQuote"/>
        <w:rPr>
          <w:lang w:val="en-GB"/>
        </w:rPr>
      </w:pPr>
      <w:r w:rsidRPr="001760FA">
        <w:rPr>
          <w:lang w:val="en-GB"/>
        </w:rPr>
        <w:t xml:space="preserve">The criminal case </w:t>
      </w:r>
      <w:r>
        <w:rPr>
          <w:lang w:val="en-GB"/>
        </w:rPr>
        <w:t>...</w:t>
      </w:r>
      <w:r w:rsidRPr="001760FA">
        <w:rPr>
          <w:lang w:val="en-GB"/>
        </w:rPr>
        <w:t xml:space="preserve"> against police employees that they possibly had exceeded their powers and inflicted injuries on [the applicant] has been terminated and [the applicant</w:t>
      </w:r>
      <w:r>
        <w:rPr>
          <w:lang w:val="en-GB"/>
        </w:rPr>
        <w:t>’</w:t>
      </w:r>
      <w:r w:rsidRPr="001760FA">
        <w:rPr>
          <w:lang w:val="en-GB"/>
        </w:rPr>
        <w:t>s] defence has not disputed this decision</w:t>
      </w:r>
      <w:r>
        <w:rPr>
          <w:lang w:val="en-GB"/>
        </w:rPr>
        <w:t>...</w:t>
      </w:r>
    </w:p>
    <w:p w:rsidR="00406AD9" w:rsidRPr="001760FA" w:rsidRDefault="00406AD9" w:rsidP="001760FA">
      <w:pPr>
        <w:pStyle w:val="ECHRParaQuote"/>
        <w:rPr>
          <w:lang w:val="en-GB"/>
        </w:rPr>
      </w:pPr>
      <w:r w:rsidRPr="001760FA">
        <w:rPr>
          <w:lang w:val="en-GB"/>
        </w:rPr>
        <w:t xml:space="preserve">The Regional Court groundlessly rejected the expert report </w:t>
      </w:r>
      <w:r>
        <w:rPr>
          <w:lang w:val="en-GB"/>
        </w:rPr>
        <w:t>...</w:t>
      </w:r>
      <w:r w:rsidRPr="001760FA">
        <w:rPr>
          <w:lang w:val="en-GB"/>
        </w:rPr>
        <w:t xml:space="preserve"> which concluded that the confession had been written by [the applicant] and </w:t>
      </w:r>
      <w:r>
        <w:rPr>
          <w:lang w:val="en-GB"/>
        </w:rPr>
        <w:t xml:space="preserve">[that there was] </w:t>
      </w:r>
      <w:r w:rsidRPr="001760FA">
        <w:rPr>
          <w:lang w:val="en-GB"/>
        </w:rPr>
        <w:t xml:space="preserve">no indication </w:t>
      </w:r>
      <w:r>
        <w:rPr>
          <w:lang w:val="en-GB"/>
        </w:rPr>
        <w:t>... of</w:t>
      </w:r>
      <w:r w:rsidRPr="001760FA">
        <w:rPr>
          <w:lang w:val="en-GB"/>
        </w:rPr>
        <w:t xml:space="preserve"> it being written in </w:t>
      </w:r>
      <w:r>
        <w:rPr>
          <w:lang w:val="en-GB"/>
        </w:rPr>
        <w:t>the circumstances of anxiety, fear or physical ill-treatment ...</w:t>
      </w:r>
      <w:r w:rsidRPr="001760FA">
        <w:rPr>
          <w:lang w:val="en-GB"/>
        </w:rPr>
        <w:t xml:space="preserve"> because the said expert report provides answers to the questions put to the expert. The expert report contains a study section providing the manner in which the expert reached the conclusion.</w:t>
      </w:r>
    </w:p>
    <w:p w:rsidR="00406AD9" w:rsidRPr="001760FA" w:rsidRDefault="00406AD9" w:rsidP="001760FA">
      <w:pPr>
        <w:pStyle w:val="ECHRParaQuote"/>
        <w:rPr>
          <w:lang w:val="en-GB"/>
        </w:rPr>
      </w:pPr>
      <w:r>
        <w:rPr>
          <w:lang w:val="en-GB"/>
        </w:rPr>
        <w:t>Furthermore</w:t>
      </w:r>
      <w:r w:rsidRPr="001760FA">
        <w:rPr>
          <w:lang w:val="en-GB"/>
        </w:rPr>
        <w:t xml:space="preserve"> </w:t>
      </w:r>
      <w:r>
        <w:rPr>
          <w:lang w:val="en-GB"/>
        </w:rPr>
        <w:t>...</w:t>
      </w:r>
      <w:r w:rsidRPr="001760FA">
        <w:rPr>
          <w:lang w:val="en-GB"/>
        </w:rPr>
        <w:t xml:space="preserve"> in comparing [the applicant</w:t>
      </w:r>
      <w:r>
        <w:rPr>
          <w:lang w:val="en-GB"/>
        </w:rPr>
        <w:t>’</w:t>
      </w:r>
      <w:r w:rsidRPr="001760FA">
        <w:rPr>
          <w:lang w:val="en-GB"/>
        </w:rPr>
        <w:t xml:space="preserve">s] complaint of 25 March 2002 </w:t>
      </w:r>
      <w:r>
        <w:rPr>
          <w:lang w:val="en-GB"/>
        </w:rPr>
        <w:t>...</w:t>
      </w:r>
      <w:r w:rsidRPr="001760FA">
        <w:rPr>
          <w:lang w:val="en-GB"/>
        </w:rPr>
        <w:t xml:space="preserve"> and the confession written on 22 March 2002 </w:t>
      </w:r>
      <w:r>
        <w:rPr>
          <w:lang w:val="en-GB"/>
        </w:rPr>
        <w:t>...</w:t>
      </w:r>
      <w:r w:rsidRPr="001760FA">
        <w:rPr>
          <w:lang w:val="en-GB"/>
        </w:rPr>
        <w:t xml:space="preserve"> </w:t>
      </w:r>
      <w:r>
        <w:rPr>
          <w:lang w:val="en-GB"/>
        </w:rPr>
        <w:t xml:space="preserve">[there can be] </w:t>
      </w:r>
      <w:r w:rsidRPr="001760FA">
        <w:rPr>
          <w:lang w:val="en-GB"/>
        </w:rPr>
        <w:t xml:space="preserve">no doubt </w:t>
      </w:r>
      <w:r>
        <w:rPr>
          <w:lang w:val="en-GB"/>
        </w:rPr>
        <w:t>...</w:t>
      </w:r>
      <w:r w:rsidRPr="001760FA">
        <w:rPr>
          <w:lang w:val="en-GB"/>
        </w:rPr>
        <w:t xml:space="preserve"> that it is [the applicant</w:t>
      </w:r>
      <w:r>
        <w:rPr>
          <w:lang w:val="en-GB"/>
        </w:rPr>
        <w:t>’</w:t>
      </w:r>
      <w:r w:rsidRPr="001760FA">
        <w:rPr>
          <w:lang w:val="en-GB"/>
        </w:rPr>
        <w:t>s] free style</w:t>
      </w:r>
      <w:r>
        <w:rPr>
          <w:lang w:val="en-GB"/>
        </w:rPr>
        <w:t xml:space="preserve"> (</w:t>
      </w:r>
      <w:r w:rsidRPr="001751BA">
        <w:rPr>
          <w:i/>
          <w:lang w:val="lv-LV"/>
        </w:rPr>
        <w:t>brīvais stils</w:t>
      </w:r>
      <w:r>
        <w:rPr>
          <w:lang w:val="en-GB"/>
        </w:rPr>
        <w:t>)</w:t>
      </w:r>
      <w:r w:rsidRPr="001760FA">
        <w:rPr>
          <w:lang w:val="en-GB"/>
        </w:rPr>
        <w:t xml:space="preserve"> [of handwriting].”</w:t>
      </w:r>
    </w:p>
    <w:p w:rsidR="00406AD9" w:rsidRPr="001760FA" w:rsidRDefault="00406AD9" w:rsidP="001760FA">
      <w:pPr>
        <w:pStyle w:val="ECHRPara"/>
        <w:rPr>
          <w:lang w:val="en-GB"/>
        </w:rPr>
      </w:pPr>
      <w:r w:rsidRPr="001760FA">
        <w:rPr>
          <w:lang w:val="en-GB"/>
        </w:rPr>
        <w:fldChar w:fldCharType="begin"/>
      </w:r>
      <w:r w:rsidRPr="001760FA">
        <w:rPr>
          <w:lang w:val="en-GB"/>
        </w:rPr>
        <w:instrText xml:space="preserve"> SEQ level0 \*arabic </w:instrText>
      </w:r>
      <w:r w:rsidRPr="001760FA">
        <w:rPr>
          <w:lang w:val="en-GB"/>
        </w:rPr>
        <w:fldChar w:fldCharType="separate"/>
      </w:r>
      <w:r>
        <w:rPr>
          <w:noProof/>
          <w:lang w:val="en-GB"/>
        </w:rPr>
        <w:t>41</w:t>
      </w:r>
      <w:r w:rsidRPr="001760FA">
        <w:rPr>
          <w:lang w:val="en-GB"/>
        </w:rPr>
        <w:fldChar w:fldCharType="end"/>
      </w:r>
      <w:r w:rsidRPr="001760FA">
        <w:rPr>
          <w:lang w:val="en-GB"/>
        </w:rPr>
        <w:t>.  The Supreme Court allowed the applicant</w:t>
      </w:r>
      <w:r>
        <w:rPr>
          <w:lang w:val="en-GB"/>
        </w:rPr>
        <w:t>’</w:t>
      </w:r>
      <w:r w:rsidRPr="001760FA">
        <w:rPr>
          <w:lang w:val="en-GB"/>
        </w:rPr>
        <w:t xml:space="preserve">s </w:t>
      </w:r>
      <w:r>
        <w:rPr>
          <w:lang w:val="en-GB"/>
        </w:rPr>
        <w:t>statement</w:t>
      </w:r>
      <w:r w:rsidRPr="001760FA">
        <w:rPr>
          <w:lang w:val="en-GB"/>
        </w:rPr>
        <w:t xml:space="preserve"> of 22</w:t>
      </w:r>
      <w:r>
        <w:rPr>
          <w:lang w:val="en-GB"/>
        </w:rPr>
        <w:t> </w:t>
      </w:r>
      <w:r w:rsidRPr="001760FA">
        <w:rPr>
          <w:lang w:val="en-GB"/>
        </w:rPr>
        <w:t>March</w:t>
      </w:r>
      <w:r>
        <w:rPr>
          <w:lang w:val="en-GB"/>
        </w:rPr>
        <w:t> </w:t>
      </w:r>
      <w:r w:rsidRPr="001760FA">
        <w:rPr>
          <w:lang w:val="en-GB"/>
        </w:rPr>
        <w:t xml:space="preserve">2002 </w:t>
      </w:r>
      <w:r>
        <w:rPr>
          <w:lang w:val="en-GB"/>
        </w:rPr>
        <w:t xml:space="preserve">to be admitted in evidence </w:t>
      </w:r>
      <w:r w:rsidRPr="001760FA">
        <w:rPr>
          <w:lang w:val="en-GB"/>
        </w:rPr>
        <w:t xml:space="preserve">and relied on </w:t>
      </w:r>
      <w:r>
        <w:rPr>
          <w:lang w:val="en-GB"/>
        </w:rPr>
        <w:t>it</w:t>
      </w:r>
      <w:r w:rsidRPr="001760FA">
        <w:rPr>
          <w:lang w:val="en-GB"/>
        </w:rPr>
        <w:t xml:space="preserve"> in its judgment.</w:t>
      </w:r>
    </w:p>
    <w:p w:rsidR="00406AD9" w:rsidRPr="001760FA" w:rsidRDefault="00406AD9" w:rsidP="001760FA">
      <w:pPr>
        <w:pStyle w:val="ECHRPara"/>
        <w:rPr>
          <w:lang w:val="en-GB"/>
        </w:rPr>
      </w:pPr>
      <w:r w:rsidRPr="001760FA">
        <w:rPr>
          <w:lang w:val="en-GB"/>
        </w:rPr>
        <w:fldChar w:fldCharType="begin"/>
      </w:r>
      <w:r w:rsidRPr="001760FA">
        <w:rPr>
          <w:lang w:val="en-GB"/>
        </w:rPr>
        <w:instrText xml:space="preserve"> SEQ level0 \*arabic </w:instrText>
      </w:r>
      <w:r w:rsidRPr="001760FA">
        <w:rPr>
          <w:lang w:val="en-GB"/>
        </w:rPr>
        <w:fldChar w:fldCharType="separate"/>
      </w:r>
      <w:r>
        <w:rPr>
          <w:noProof/>
          <w:lang w:val="en-GB"/>
        </w:rPr>
        <w:t>42</w:t>
      </w:r>
      <w:r w:rsidRPr="001760FA">
        <w:rPr>
          <w:lang w:val="en-GB"/>
        </w:rPr>
        <w:fldChar w:fldCharType="end"/>
      </w:r>
      <w:r w:rsidRPr="001760FA">
        <w:rPr>
          <w:lang w:val="en-GB"/>
        </w:rPr>
        <w:t xml:space="preserve">.  The applicant was </w:t>
      </w:r>
      <w:r>
        <w:rPr>
          <w:lang w:val="en-GB"/>
        </w:rPr>
        <w:t>sentenc</w:t>
      </w:r>
      <w:r w:rsidRPr="001760FA">
        <w:rPr>
          <w:lang w:val="en-GB"/>
        </w:rPr>
        <w:t>ed to eleven years</w:t>
      </w:r>
      <w:r>
        <w:rPr>
          <w:lang w:val="en-GB"/>
        </w:rPr>
        <w:t>’</w:t>
      </w:r>
      <w:r w:rsidRPr="001760FA">
        <w:rPr>
          <w:lang w:val="en-GB"/>
        </w:rPr>
        <w:t xml:space="preserve"> imprisonment</w:t>
      </w:r>
      <w:r>
        <w:rPr>
          <w:lang w:val="en-GB"/>
        </w:rPr>
        <w:t>,</w:t>
      </w:r>
      <w:r w:rsidRPr="001760FA">
        <w:rPr>
          <w:lang w:val="en-GB"/>
        </w:rPr>
        <w:t xml:space="preserve"> with confiscation of property and police control for two years. The applicant was </w:t>
      </w:r>
      <w:r>
        <w:rPr>
          <w:lang w:val="en-GB"/>
        </w:rPr>
        <w:t xml:space="preserve">immediately </w:t>
      </w:r>
      <w:r w:rsidRPr="001760FA">
        <w:rPr>
          <w:lang w:val="en-GB"/>
        </w:rPr>
        <w:t>taken into custody.</w:t>
      </w:r>
    </w:p>
    <w:p w:rsidR="00406AD9" w:rsidRPr="00A2290E" w:rsidRDefault="00406AD9" w:rsidP="001760FA">
      <w:pPr>
        <w:pStyle w:val="ECHRHeading3"/>
        <w:rPr>
          <w:rFonts w:eastAsia="Times New Roman"/>
          <w:lang w:val="en-US"/>
        </w:rPr>
      </w:pPr>
      <w:r w:rsidRPr="00A2290E">
        <w:rPr>
          <w:rFonts w:eastAsia="Times New Roman"/>
          <w:lang w:val="en-US"/>
        </w:rPr>
        <w:t>3.  Decision upon appeal on points of law</w:t>
      </w:r>
    </w:p>
    <w:p w:rsidR="00406AD9" w:rsidRDefault="00406AD9" w:rsidP="001760FA">
      <w:pPr>
        <w:pStyle w:val="ECHRPara"/>
        <w:rPr>
          <w:lang w:val="en-GB"/>
        </w:rPr>
      </w:pPr>
      <w:r w:rsidRPr="001760FA">
        <w:rPr>
          <w:lang w:val="en-GB"/>
        </w:rPr>
        <w:fldChar w:fldCharType="begin"/>
      </w:r>
      <w:r w:rsidRPr="001760FA">
        <w:rPr>
          <w:lang w:val="en-GB"/>
        </w:rPr>
        <w:instrText xml:space="preserve"> SEQ level0 \*arabic </w:instrText>
      </w:r>
      <w:r w:rsidRPr="001760FA">
        <w:rPr>
          <w:lang w:val="en-GB"/>
        </w:rPr>
        <w:fldChar w:fldCharType="separate"/>
      </w:r>
      <w:r>
        <w:rPr>
          <w:noProof/>
          <w:lang w:val="en-GB"/>
        </w:rPr>
        <w:t>43</w:t>
      </w:r>
      <w:r w:rsidRPr="001760FA">
        <w:rPr>
          <w:lang w:val="en-GB"/>
        </w:rPr>
        <w:fldChar w:fldCharType="end"/>
      </w:r>
      <w:r w:rsidRPr="001760FA">
        <w:rPr>
          <w:lang w:val="en-GB"/>
        </w:rPr>
        <w:t xml:space="preserve">.  The defence </w:t>
      </w:r>
      <w:r>
        <w:rPr>
          <w:lang w:val="en-GB"/>
        </w:rPr>
        <w:t>lodged an</w:t>
      </w:r>
      <w:r w:rsidRPr="001760FA">
        <w:rPr>
          <w:lang w:val="en-GB"/>
        </w:rPr>
        <w:t xml:space="preserve"> appeal on points of law </w:t>
      </w:r>
      <w:r>
        <w:rPr>
          <w:lang w:val="en-GB"/>
        </w:rPr>
        <w:t>with</w:t>
      </w:r>
      <w:r w:rsidRPr="001760FA">
        <w:rPr>
          <w:lang w:val="en-GB"/>
        </w:rPr>
        <w:t xml:space="preserve"> the Criminal Cases D</w:t>
      </w:r>
      <w:r>
        <w:rPr>
          <w:lang w:val="en-GB"/>
        </w:rPr>
        <w:t>epartment</w:t>
      </w:r>
      <w:r w:rsidRPr="001760FA">
        <w:rPr>
          <w:lang w:val="en-GB"/>
        </w:rPr>
        <w:t xml:space="preserve"> of the Senate of the Supreme Court (</w:t>
      </w:r>
      <w:r w:rsidRPr="001760FA">
        <w:rPr>
          <w:i/>
          <w:lang w:val="lv-LV"/>
        </w:rPr>
        <w:t>Augstākās tiesas Senāta Krimināllietu departaments</w:t>
      </w:r>
      <w:r w:rsidRPr="001760FA">
        <w:rPr>
          <w:lang w:val="en-GB"/>
        </w:rPr>
        <w:t>)</w:t>
      </w:r>
      <w:r>
        <w:rPr>
          <w:lang w:val="en-GB"/>
        </w:rPr>
        <w:t xml:space="preserve">, </w:t>
      </w:r>
      <w:r w:rsidRPr="001760FA">
        <w:rPr>
          <w:lang w:val="en-GB"/>
        </w:rPr>
        <w:t>argu</w:t>
      </w:r>
      <w:r>
        <w:rPr>
          <w:lang w:val="en-GB"/>
        </w:rPr>
        <w:t xml:space="preserve">ing </w:t>
      </w:r>
      <w:r w:rsidRPr="001760FA">
        <w:rPr>
          <w:lang w:val="en-GB"/>
        </w:rPr>
        <w:t xml:space="preserve">that the Supreme Court had convicted the applicant in violation of Articles 3 and 6 of the Convention </w:t>
      </w:r>
      <w:r>
        <w:rPr>
          <w:lang w:val="en-GB"/>
        </w:rPr>
        <w:t>because</w:t>
      </w:r>
      <w:r w:rsidRPr="001760FA">
        <w:rPr>
          <w:lang w:val="en-GB"/>
        </w:rPr>
        <w:t xml:space="preserve"> he had given the pre-trial </w:t>
      </w:r>
      <w:r>
        <w:rPr>
          <w:lang w:val="en-GB"/>
        </w:rPr>
        <w:t>confession and other statements</w:t>
      </w:r>
      <w:r w:rsidRPr="001760FA">
        <w:rPr>
          <w:lang w:val="en-GB"/>
        </w:rPr>
        <w:t xml:space="preserve"> relied upon by the </w:t>
      </w:r>
      <w:r>
        <w:rPr>
          <w:lang w:val="en-GB"/>
        </w:rPr>
        <w:t>c</w:t>
      </w:r>
      <w:r w:rsidRPr="001760FA">
        <w:rPr>
          <w:lang w:val="en-GB"/>
        </w:rPr>
        <w:t xml:space="preserve">ourt as a result of ill-treatment by police employees. The defence </w:t>
      </w:r>
      <w:r>
        <w:rPr>
          <w:lang w:val="en-GB"/>
        </w:rPr>
        <w:t>presented</w:t>
      </w:r>
      <w:r w:rsidRPr="001760FA">
        <w:rPr>
          <w:lang w:val="en-GB"/>
        </w:rPr>
        <w:t xml:space="preserve"> an extensive volume of evidence and pointed out that the applicant had been injur</w:t>
      </w:r>
      <w:r>
        <w:rPr>
          <w:lang w:val="en-GB"/>
        </w:rPr>
        <w:t>ed</w:t>
      </w:r>
      <w:r w:rsidRPr="001760FA">
        <w:rPr>
          <w:lang w:val="en-GB"/>
        </w:rPr>
        <w:t xml:space="preserve"> while in police custody and the circumstances of the injuries had not been explained. </w:t>
      </w:r>
      <w:r>
        <w:rPr>
          <w:lang w:val="en-GB"/>
        </w:rPr>
        <w:t>They submitted that t</w:t>
      </w:r>
      <w:r w:rsidRPr="001760FA">
        <w:rPr>
          <w:lang w:val="en-GB"/>
        </w:rPr>
        <w:t xml:space="preserve">here </w:t>
      </w:r>
      <w:r>
        <w:rPr>
          <w:lang w:val="en-GB"/>
        </w:rPr>
        <w:t>had been</w:t>
      </w:r>
      <w:r w:rsidRPr="001760FA">
        <w:rPr>
          <w:lang w:val="en-GB"/>
        </w:rPr>
        <w:t xml:space="preserve"> no other evidence in the file attesting to the applicant</w:t>
      </w:r>
      <w:r>
        <w:rPr>
          <w:lang w:val="en-GB"/>
        </w:rPr>
        <w:t>’</w:t>
      </w:r>
      <w:r w:rsidRPr="001760FA">
        <w:rPr>
          <w:lang w:val="en-GB"/>
        </w:rPr>
        <w:t xml:space="preserve">s guilt. The </w:t>
      </w:r>
      <w:r>
        <w:rPr>
          <w:lang w:val="en-GB"/>
        </w:rPr>
        <w:t>c</w:t>
      </w:r>
      <w:r w:rsidRPr="001760FA">
        <w:rPr>
          <w:lang w:val="en-GB"/>
        </w:rPr>
        <w:t xml:space="preserve">ourt </w:t>
      </w:r>
      <w:r>
        <w:rPr>
          <w:lang w:val="en-GB"/>
        </w:rPr>
        <w:t xml:space="preserve">had been </w:t>
      </w:r>
      <w:r w:rsidRPr="001760FA">
        <w:rPr>
          <w:lang w:val="en-GB"/>
        </w:rPr>
        <w:t>under an obligation to assess the material in the criminal case against the police employees and not merely</w:t>
      </w:r>
      <w:r>
        <w:rPr>
          <w:lang w:val="en-GB"/>
        </w:rPr>
        <w:t xml:space="preserve"> to</w:t>
      </w:r>
      <w:r w:rsidRPr="001760FA">
        <w:rPr>
          <w:lang w:val="en-GB"/>
        </w:rPr>
        <w:t xml:space="preserve"> rely on the fact that </w:t>
      </w:r>
      <w:r>
        <w:rPr>
          <w:lang w:val="en-GB"/>
        </w:rPr>
        <w:t>the case against them had been terminated</w:t>
      </w:r>
      <w:r w:rsidRPr="001760FA">
        <w:rPr>
          <w:lang w:val="en-GB"/>
        </w:rPr>
        <w:t xml:space="preserve">. </w:t>
      </w:r>
      <w:r>
        <w:rPr>
          <w:lang w:val="en-GB"/>
        </w:rPr>
        <w:t>In the defence’s submission,</w:t>
      </w:r>
      <w:r w:rsidRPr="001760FA">
        <w:rPr>
          <w:lang w:val="en-GB"/>
        </w:rPr>
        <w:t xml:space="preserve"> on 7 April 2004</w:t>
      </w:r>
      <w:r>
        <w:rPr>
          <w:lang w:val="en-GB"/>
        </w:rPr>
        <w:t xml:space="preserve"> </w:t>
      </w:r>
      <w:r w:rsidRPr="001760FA">
        <w:rPr>
          <w:lang w:val="en-GB"/>
        </w:rPr>
        <w:t xml:space="preserve">they had appealed </w:t>
      </w:r>
      <w:r>
        <w:rPr>
          <w:lang w:val="en-GB"/>
        </w:rPr>
        <w:t xml:space="preserve">against </w:t>
      </w:r>
      <w:r w:rsidRPr="001760FA">
        <w:rPr>
          <w:lang w:val="en-GB"/>
        </w:rPr>
        <w:t>the decision terminating th</w:t>
      </w:r>
      <w:r>
        <w:rPr>
          <w:lang w:val="en-GB"/>
        </w:rPr>
        <w:t>at</w:t>
      </w:r>
      <w:r w:rsidRPr="001760FA">
        <w:rPr>
          <w:lang w:val="en-GB"/>
        </w:rPr>
        <w:t xml:space="preserve"> criminal case</w:t>
      </w:r>
      <w:r>
        <w:rPr>
          <w:lang w:val="en-GB"/>
        </w:rPr>
        <w:t>.</w:t>
      </w:r>
      <w:r w:rsidRPr="001760FA">
        <w:rPr>
          <w:lang w:val="en-GB"/>
        </w:rPr>
        <w:t xml:space="preserve"> </w:t>
      </w:r>
      <w:r>
        <w:rPr>
          <w:lang w:val="en-GB"/>
        </w:rPr>
        <w:t>Pursuing appeal had</w:t>
      </w:r>
      <w:r w:rsidRPr="001760FA">
        <w:rPr>
          <w:lang w:val="en-GB"/>
        </w:rPr>
        <w:t xml:space="preserve"> </w:t>
      </w:r>
      <w:r>
        <w:rPr>
          <w:lang w:val="en-GB"/>
        </w:rPr>
        <w:t>subsequently become</w:t>
      </w:r>
      <w:r w:rsidRPr="001760FA">
        <w:rPr>
          <w:lang w:val="en-GB"/>
        </w:rPr>
        <w:t xml:space="preserve"> imp</w:t>
      </w:r>
      <w:r>
        <w:rPr>
          <w:lang w:val="en-GB"/>
        </w:rPr>
        <w:t>ractica</w:t>
      </w:r>
      <w:r w:rsidRPr="001760FA">
        <w:rPr>
          <w:lang w:val="en-GB"/>
        </w:rPr>
        <w:t xml:space="preserve">ble </w:t>
      </w:r>
      <w:r>
        <w:rPr>
          <w:lang w:val="en-GB"/>
        </w:rPr>
        <w:t>“</w:t>
      </w:r>
      <w:r w:rsidRPr="001760FA">
        <w:rPr>
          <w:lang w:val="en-GB"/>
        </w:rPr>
        <w:t>because the</w:t>
      </w:r>
      <w:r>
        <w:rPr>
          <w:lang w:val="en-GB"/>
        </w:rPr>
        <w:t xml:space="preserve"> criminal case regarding the [applicant’s] beating had been joined, as evidence, to the criminal case concerning [</w:t>
      </w:r>
      <w:r w:rsidRPr="001F3696">
        <w:rPr>
          <w:lang w:val="en-GB"/>
        </w:rPr>
        <w:t>Ģ</w:t>
      </w:r>
      <w:r>
        <w:rPr>
          <w:lang w:val="en-GB"/>
        </w:rPr>
        <w:t>.</w:t>
      </w:r>
      <w:r w:rsidRPr="001F3696">
        <w:rPr>
          <w:lang w:val="en-GB"/>
        </w:rPr>
        <w:t>Č</w:t>
      </w:r>
      <w:r>
        <w:rPr>
          <w:lang w:val="en-GB"/>
        </w:rPr>
        <w:t>.’s] murder”.</w:t>
      </w:r>
    </w:p>
    <w:p w:rsidR="00406AD9" w:rsidRPr="001760FA" w:rsidRDefault="00406AD9" w:rsidP="001760FA">
      <w:pPr>
        <w:pStyle w:val="ECHRPara"/>
        <w:rPr>
          <w:lang w:val="en-GB"/>
        </w:rPr>
      </w:pPr>
      <w:r w:rsidRPr="001760FA">
        <w:rPr>
          <w:lang w:val="en-GB"/>
        </w:rPr>
        <w:fldChar w:fldCharType="begin"/>
      </w:r>
      <w:r w:rsidRPr="001760FA">
        <w:rPr>
          <w:lang w:val="en-GB"/>
        </w:rPr>
        <w:instrText xml:space="preserve"> SEQ level0 \*arabic </w:instrText>
      </w:r>
      <w:r w:rsidRPr="001760FA">
        <w:rPr>
          <w:lang w:val="en-GB"/>
        </w:rPr>
        <w:fldChar w:fldCharType="separate"/>
      </w:r>
      <w:r>
        <w:rPr>
          <w:noProof/>
          <w:lang w:val="en-GB"/>
        </w:rPr>
        <w:t>44</w:t>
      </w:r>
      <w:r w:rsidRPr="001760FA">
        <w:rPr>
          <w:lang w:val="en-GB"/>
        </w:rPr>
        <w:fldChar w:fldCharType="end"/>
      </w:r>
      <w:r w:rsidRPr="001760FA">
        <w:rPr>
          <w:lang w:val="en-GB"/>
        </w:rPr>
        <w:t>.  On 26 August 2005 the Senate of the Supreme Court decided to dismiss the appeal without holding a hearing.</w:t>
      </w:r>
    </w:p>
    <w:p w:rsidR="00406AD9" w:rsidRPr="001760FA" w:rsidRDefault="00406AD9" w:rsidP="001760FA">
      <w:pPr>
        <w:pStyle w:val="ECHRPara"/>
        <w:rPr>
          <w:lang w:val="en-GB"/>
        </w:rPr>
      </w:pPr>
      <w:r w:rsidRPr="001760FA">
        <w:rPr>
          <w:lang w:val="en-GB"/>
        </w:rPr>
        <w:fldChar w:fldCharType="begin"/>
      </w:r>
      <w:r w:rsidRPr="001760FA">
        <w:rPr>
          <w:lang w:val="en-GB"/>
        </w:rPr>
        <w:instrText xml:space="preserve"> SEQ level0 \*arabic </w:instrText>
      </w:r>
      <w:r w:rsidRPr="001760FA">
        <w:rPr>
          <w:lang w:val="en-GB"/>
        </w:rPr>
        <w:fldChar w:fldCharType="separate"/>
      </w:r>
      <w:r>
        <w:rPr>
          <w:noProof/>
          <w:lang w:val="en-GB"/>
        </w:rPr>
        <w:t>45</w:t>
      </w:r>
      <w:r w:rsidRPr="001760FA">
        <w:rPr>
          <w:lang w:val="en-GB"/>
        </w:rPr>
        <w:fldChar w:fldCharType="end"/>
      </w:r>
      <w:r w:rsidRPr="001760FA">
        <w:rPr>
          <w:lang w:val="en-GB"/>
        </w:rPr>
        <w:t xml:space="preserve">.  The decision of the Senate of the Supreme Court in </w:t>
      </w:r>
      <w:r>
        <w:rPr>
          <w:lang w:val="en-GB"/>
        </w:rPr>
        <w:t>its</w:t>
      </w:r>
      <w:r w:rsidRPr="001760FA">
        <w:rPr>
          <w:lang w:val="en-GB"/>
        </w:rPr>
        <w:t xml:space="preserve"> relevant part read as follows:</w:t>
      </w:r>
    </w:p>
    <w:p w:rsidR="00406AD9" w:rsidRPr="00F810FF" w:rsidRDefault="00406AD9" w:rsidP="00F810FF">
      <w:pPr>
        <w:pStyle w:val="ECHRParaQuote"/>
        <w:rPr>
          <w:lang w:val="en-GB"/>
        </w:rPr>
      </w:pPr>
      <w:r w:rsidRPr="00F810FF">
        <w:rPr>
          <w:lang w:val="en-GB"/>
        </w:rPr>
        <w:t>“</w:t>
      </w:r>
      <w:r>
        <w:rPr>
          <w:lang w:val="en-GB"/>
        </w:rPr>
        <w:t>...</w:t>
      </w:r>
      <w:r w:rsidRPr="00F810FF">
        <w:rPr>
          <w:lang w:val="en-GB"/>
        </w:rPr>
        <w:t xml:space="preserve"> contrary to the</w:t>
      </w:r>
      <w:r>
        <w:rPr>
          <w:lang w:val="en-GB"/>
        </w:rPr>
        <w:t xml:space="preserve"> [requirements of the]</w:t>
      </w:r>
      <w:r w:rsidRPr="00F810FF">
        <w:rPr>
          <w:lang w:val="en-GB"/>
        </w:rPr>
        <w:t xml:space="preserve"> Criminal Procedure Code</w:t>
      </w:r>
      <w:r>
        <w:rPr>
          <w:lang w:val="en-GB"/>
        </w:rPr>
        <w:t>, the appeals filed</w:t>
      </w:r>
      <w:r w:rsidRPr="00F810FF">
        <w:rPr>
          <w:lang w:val="en-GB"/>
        </w:rPr>
        <w:t xml:space="preserve"> </w:t>
      </w:r>
      <w:r>
        <w:rPr>
          <w:lang w:val="en-GB"/>
        </w:rPr>
        <w:t>...</w:t>
      </w:r>
      <w:r w:rsidRPr="00F810FF">
        <w:rPr>
          <w:lang w:val="en-GB"/>
        </w:rPr>
        <w:t xml:space="preserve"> are not substantiated with </w:t>
      </w:r>
      <w:r>
        <w:rPr>
          <w:lang w:val="en-GB"/>
        </w:rPr>
        <w:t xml:space="preserve">[submissions as to] </w:t>
      </w:r>
      <w:r w:rsidRPr="00F810FF">
        <w:rPr>
          <w:lang w:val="en-GB"/>
        </w:rPr>
        <w:t xml:space="preserve">a violation of the said provisions of the law, but </w:t>
      </w:r>
      <w:r>
        <w:rPr>
          <w:lang w:val="en-GB"/>
        </w:rPr>
        <w:t>[rather] factual submissions are</w:t>
      </w:r>
      <w:r w:rsidRPr="00F810FF">
        <w:rPr>
          <w:lang w:val="en-GB"/>
        </w:rPr>
        <w:t xml:space="preserve"> put forward </w:t>
      </w:r>
      <w:r>
        <w:rPr>
          <w:lang w:val="en-GB"/>
        </w:rPr>
        <w:t>[with the aim of obtaining] a</w:t>
      </w:r>
      <w:r w:rsidRPr="00F810FF">
        <w:rPr>
          <w:lang w:val="en-GB"/>
        </w:rPr>
        <w:t xml:space="preserve"> re-evaluation of the evidence on which the appeals </w:t>
      </w:r>
      <w:r>
        <w:rPr>
          <w:lang w:val="en-GB"/>
        </w:rPr>
        <w:t>court’</w:t>
      </w:r>
      <w:r w:rsidRPr="00F810FF">
        <w:rPr>
          <w:lang w:val="en-GB"/>
        </w:rPr>
        <w:t xml:space="preserve">s guilty verdict </w:t>
      </w:r>
      <w:r>
        <w:rPr>
          <w:lang w:val="en-GB"/>
        </w:rPr>
        <w:t>is</w:t>
      </w:r>
      <w:r w:rsidRPr="00F810FF">
        <w:rPr>
          <w:lang w:val="en-GB"/>
        </w:rPr>
        <w:t xml:space="preserve"> based.</w:t>
      </w:r>
    </w:p>
    <w:p w:rsidR="00406AD9" w:rsidRPr="00F810FF" w:rsidRDefault="00406AD9" w:rsidP="00F810FF">
      <w:pPr>
        <w:pStyle w:val="ECHRParaQuote"/>
        <w:rPr>
          <w:lang w:val="en-GB"/>
        </w:rPr>
      </w:pPr>
      <w:r>
        <w:rPr>
          <w:lang w:val="en-GB"/>
        </w:rPr>
        <w:t>...</w:t>
      </w:r>
    </w:p>
    <w:p w:rsidR="00406AD9" w:rsidRPr="00F810FF" w:rsidRDefault="00406AD9" w:rsidP="00F810FF">
      <w:pPr>
        <w:pStyle w:val="ECHRParaQuote"/>
        <w:rPr>
          <w:lang w:val="en-GB"/>
        </w:rPr>
      </w:pPr>
      <w:r w:rsidRPr="00F810FF">
        <w:rPr>
          <w:lang w:val="en-GB"/>
        </w:rPr>
        <w:t xml:space="preserve">Pursuant to the Criminal Procedure Code </w:t>
      </w:r>
      <w:r>
        <w:rPr>
          <w:lang w:val="en-GB"/>
        </w:rPr>
        <w:t>...</w:t>
      </w:r>
      <w:r w:rsidRPr="00F810FF">
        <w:rPr>
          <w:lang w:val="en-GB"/>
        </w:rPr>
        <w:t xml:space="preserve"> the re-evaluation of evidence and establishment of new facts </w:t>
      </w:r>
      <w:r>
        <w:rPr>
          <w:lang w:val="en-GB"/>
        </w:rPr>
        <w:t>...</w:t>
      </w:r>
      <w:r w:rsidRPr="00F810FF">
        <w:rPr>
          <w:lang w:val="en-GB"/>
        </w:rPr>
        <w:t xml:space="preserve"> is not within the competence of the cassation court.</w:t>
      </w:r>
    </w:p>
    <w:p w:rsidR="00406AD9" w:rsidRPr="00F810FF" w:rsidRDefault="00406AD9" w:rsidP="00F810FF">
      <w:pPr>
        <w:pStyle w:val="ECHRParaQuote"/>
        <w:rPr>
          <w:lang w:val="en-GB"/>
        </w:rPr>
      </w:pPr>
      <w:r w:rsidRPr="00F810FF">
        <w:rPr>
          <w:lang w:val="en-GB"/>
        </w:rPr>
        <w:t xml:space="preserve">The reference in the appeal on points of law </w:t>
      </w:r>
      <w:r>
        <w:rPr>
          <w:lang w:val="en-GB"/>
        </w:rPr>
        <w:t>to a</w:t>
      </w:r>
      <w:r w:rsidRPr="00F810FF">
        <w:rPr>
          <w:lang w:val="en-GB"/>
        </w:rPr>
        <w:t xml:space="preserve"> violation of </w:t>
      </w:r>
      <w:r>
        <w:rPr>
          <w:lang w:val="en-GB"/>
        </w:rPr>
        <w:t>...</w:t>
      </w:r>
      <w:r w:rsidRPr="00F810FF">
        <w:rPr>
          <w:lang w:val="en-GB"/>
        </w:rPr>
        <w:t xml:space="preserve"> the re</w:t>
      </w:r>
      <w:r>
        <w:rPr>
          <w:lang w:val="en-GB"/>
        </w:rPr>
        <w:t>levant</w:t>
      </w:r>
      <w:r w:rsidRPr="00F810FF">
        <w:rPr>
          <w:lang w:val="en-GB"/>
        </w:rPr>
        <w:t xml:space="preserve"> international Convention in the course of </w:t>
      </w:r>
      <w:r>
        <w:rPr>
          <w:lang w:val="en-GB"/>
        </w:rPr>
        <w:t xml:space="preserve">[the lower court’s] </w:t>
      </w:r>
      <w:r w:rsidRPr="00F810FF">
        <w:rPr>
          <w:lang w:val="en-GB"/>
        </w:rPr>
        <w:t xml:space="preserve">adjudication is not based on the materials of this case and </w:t>
      </w:r>
      <w:r>
        <w:rPr>
          <w:lang w:val="en-GB"/>
        </w:rPr>
        <w:t xml:space="preserve">is </w:t>
      </w:r>
      <w:r w:rsidRPr="00F810FF">
        <w:rPr>
          <w:lang w:val="en-GB"/>
        </w:rPr>
        <w:t xml:space="preserve">therefore </w:t>
      </w:r>
      <w:r>
        <w:rPr>
          <w:lang w:val="en-GB"/>
        </w:rPr>
        <w:t>[purely]</w:t>
      </w:r>
      <w:r w:rsidRPr="00F810FF">
        <w:rPr>
          <w:lang w:val="en-GB"/>
        </w:rPr>
        <w:t xml:space="preserve"> formal </w:t>
      </w:r>
      <w:r>
        <w:rPr>
          <w:lang w:val="en-GB"/>
        </w:rPr>
        <w:t xml:space="preserve">in </w:t>
      </w:r>
      <w:r w:rsidRPr="00F810FF">
        <w:rPr>
          <w:lang w:val="en-GB"/>
        </w:rPr>
        <w:t>nature.”</w:t>
      </w:r>
    </w:p>
    <w:p w:rsidR="00406AD9" w:rsidRPr="00A2290E" w:rsidRDefault="00406AD9" w:rsidP="00A2290E">
      <w:pPr>
        <w:pStyle w:val="ECHRPara"/>
        <w:rPr>
          <w:lang w:val="en-GB"/>
        </w:rPr>
      </w:pPr>
      <w:r w:rsidRPr="00A2290E">
        <w:rPr>
          <w:lang w:val="en-GB"/>
        </w:rPr>
        <w:fldChar w:fldCharType="begin"/>
      </w:r>
      <w:r w:rsidRPr="00A2290E">
        <w:rPr>
          <w:lang w:val="en-GB"/>
        </w:rPr>
        <w:instrText xml:space="preserve"> SEQ level0 \*arabic </w:instrText>
      </w:r>
      <w:r w:rsidRPr="00A2290E">
        <w:rPr>
          <w:lang w:val="en-GB"/>
        </w:rPr>
        <w:fldChar w:fldCharType="separate"/>
      </w:r>
      <w:r>
        <w:rPr>
          <w:noProof/>
          <w:lang w:val="en-GB"/>
        </w:rPr>
        <w:t>46</w:t>
      </w:r>
      <w:r w:rsidRPr="00A2290E">
        <w:rPr>
          <w:lang w:val="en-GB"/>
        </w:rPr>
        <w:fldChar w:fldCharType="end"/>
      </w:r>
      <w:r w:rsidRPr="00A2290E">
        <w:rPr>
          <w:lang w:val="en-GB"/>
        </w:rPr>
        <w:t>.  The decision of the Senate of the Supreme Court was not subject to appeal.</w:t>
      </w:r>
    </w:p>
    <w:p w:rsidR="00406AD9" w:rsidRPr="004218BE" w:rsidRDefault="00406AD9" w:rsidP="00D7211B">
      <w:pPr>
        <w:pStyle w:val="ECHRHeading1"/>
        <w:rPr>
          <w:lang w:val="en-GB"/>
        </w:rPr>
      </w:pPr>
      <w:r>
        <w:rPr>
          <w:lang w:val="en-GB"/>
        </w:rPr>
        <w:t>II.  RELEVANT DOMESTIC LAW</w:t>
      </w:r>
    </w:p>
    <w:bookmarkStart w:id="1" w:name="_Toc16396646"/>
    <w:bookmarkStart w:id="2" w:name="_Toc16582634"/>
    <w:bookmarkStart w:id="3" w:name="PN18"/>
    <w:bookmarkEnd w:id="1"/>
    <w:bookmarkEnd w:id="2"/>
    <w:p w:rsidR="00406AD9" w:rsidRPr="00562B63" w:rsidRDefault="00406AD9" w:rsidP="00562B63">
      <w:pPr>
        <w:pStyle w:val="ECHRPara"/>
        <w:rPr>
          <w:noProof/>
          <w:lang w:val="en-GB"/>
        </w:rPr>
      </w:pPr>
      <w:r w:rsidRPr="00562B63">
        <w:rPr>
          <w:noProof/>
          <w:lang w:val="en-GB"/>
        </w:rPr>
        <w:fldChar w:fldCharType="begin"/>
      </w:r>
      <w:r w:rsidRPr="00562B63">
        <w:rPr>
          <w:noProof/>
          <w:lang w:val="en-GB"/>
        </w:rPr>
        <w:instrText xml:space="preserve"> SEQ level0 \*arabic </w:instrText>
      </w:r>
      <w:r w:rsidRPr="00562B63">
        <w:rPr>
          <w:noProof/>
          <w:lang w:val="en-GB"/>
        </w:rPr>
        <w:fldChar w:fldCharType="separate"/>
      </w:r>
      <w:r>
        <w:rPr>
          <w:noProof/>
          <w:lang w:val="en-GB"/>
        </w:rPr>
        <w:t>47</w:t>
      </w:r>
      <w:r w:rsidRPr="00562B63">
        <w:rPr>
          <w:noProof/>
          <w:lang w:val="en-GB"/>
        </w:rPr>
        <w:fldChar w:fldCharType="end"/>
      </w:r>
      <w:r w:rsidRPr="00562B63">
        <w:rPr>
          <w:noProof/>
          <w:lang w:val="en-GB"/>
        </w:rPr>
        <w:t>.  </w:t>
      </w:r>
      <w:bookmarkEnd w:id="3"/>
      <w:r w:rsidRPr="00562B63">
        <w:rPr>
          <w:noProof/>
          <w:lang w:val="en-GB"/>
        </w:rPr>
        <w:t>Article 92 of the Constitution (Satversme) enshrines everyone</w:t>
      </w:r>
      <w:r>
        <w:rPr>
          <w:noProof/>
          <w:lang w:val="en-GB"/>
        </w:rPr>
        <w:t>’</w:t>
      </w:r>
      <w:r w:rsidRPr="00562B63">
        <w:rPr>
          <w:noProof/>
          <w:lang w:val="en-GB"/>
        </w:rPr>
        <w:t>s right to defend his or her rights and lawful interests before a fair court.</w:t>
      </w:r>
    </w:p>
    <w:p w:rsidR="00406AD9" w:rsidRDefault="00406AD9" w:rsidP="00562B63">
      <w:pPr>
        <w:pStyle w:val="ECHRPara"/>
        <w:rPr>
          <w:noProof/>
          <w:lang w:val="en-GB"/>
        </w:rPr>
      </w:pPr>
      <w:r w:rsidRPr="00562B63">
        <w:rPr>
          <w:noProof/>
          <w:lang w:val="en-GB"/>
        </w:rPr>
        <w:fldChar w:fldCharType="begin"/>
      </w:r>
      <w:r w:rsidRPr="00562B63">
        <w:rPr>
          <w:noProof/>
          <w:lang w:val="en-GB"/>
        </w:rPr>
        <w:instrText xml:space="preserve"> SEQ level0 \*arabic </w:instrText>
      </w:r>
      <w:r w:rsidRPr="00562B63">
        <w:rPr>
          <w:noProof/>
          <w:lang w:val="en-GB"/>
        </w:rPr>
        <w:fldChar w:fldCharType="separate"/>
      </w:r>
      <w:r>
        <w:rPr>
          <w:noProof/>
          <w:lang w:val="en-GB"/>
        </w:rPr>
        <w:t>48</w:t>
      </w:r>
      <w:r w:rsidRPr="00562B63">
        <w:rPr>
          <w:noProof/>
          <w:lang w:val="en-GB"/>
        </w:rPr>
        <w:fldChar w:fldCharType="end"/>
      </w:r>
      <w:r w:rsidRPr="00562B63">
        <w:rPr>
          <w:noProof/>
          <w:lang w:val="en-GB"/>
        </w:rPr>
        <w:t xml:space="preserve">.  Article 95 of the Constitution </w:t>
      </w:r>
      <w:r w:rsidRPr="0072366D">
        <w:rPr>
          <w:noProof/>
          <w:lang w:val="en-GB"/>
        </w:rPr>
        <w:t xml:space="preserve">provides that the State has a duty to protect human honour and dignity. Torture or cruel or degrading treatment of </w:t>
      </w:r>
      <w:r>
        <w:rPr>
          <w:noProof/>
          <w:lang w:val="en-GB"/>
        </w:rPr>
        <w:t>a person</w:t>
      </w:r>
      <w:r w:rsidRPr="0072366D">
        <w:rPr>
          <w:noProof/>
          <w:lang w:val="en-GB"/>
        </w:rPr>
        <w:t xml:space="preserve"> is prohibited. No one can be subjected to inhuman or degrading punishment.</w:t>
      </w:r>
    </w:p>
    <w:p w:rsidR="00406AD9" w:rsidRPr="00807A0F" w:rsidRDefault="00406AD9" w:rsidP="008D6A83">
      <w:pPr>
        <w:pStyle w:val="ECHRPara"/>
        <w:rPr>
          <w:i/>
          <w:szCs w:val="24"/>
        </w:rPr>
      </w:pPr>
      <w:r>
        <w:rPr>
          <w:lang w:val="en-GB"/>
        </w:rPr>
        <w:fldChar w:fldCharType="begin"/>
      </w:r>
      <w:r>
        <w:rPr>
          <w:lang w:val="en-GB"/>
        </w:rPr>
        <w:instrText xml:space="preserve"> SEQ level0 \*arabic </w:instrText>
      </w:r>
      <w:r>
        <w:rPr>
          <w:lang w:val="en-GB"/>
        </w:rPr>
        <w:fldChar w:fldCharType="separate"/>
      </w:r>
      <w:r>
        <w:rPr>
          <w:noProof/>
          <w:lang w:val="en-GB"/>
        </w:rPr>
        <w:t>49</w:t>
      </w:r>
      <w:r>
        <w:rPr>
          <w:lang w:val="en-GB"/>
        </w:rPr>
        <w:fldChar w:fldCharType="end"/>
      </w:r>
      <w:r>
        <w:rPr>
          <w:lang w:val="en-GB"/>
        </w:rPr>
        <w:t>.  </w:t>
      </w:r>
      <w:r w:rsidRPr="00807A0F">
        <w:rPr>
          <w:szCs w:val="24"/>
        </w:rPr>
        <w:t xml:space="preserve">In accordance with section 130(2)1) of the </w:t>
      </w:r>
      <w:r>
        <w:rPr>
          <w:szCs w:val="24"/>
        </w:rPr>
        <w:t xml:space="preserve">2005 </w:t>
      </w:r>
      <w:r w:rsidRPr="00807A0F">
        <w:rPr>
          <w:szCs w:val="24"/>
        </w:rPr>
        <w:t xml:space="preserve">Criminal Procedure Law evidence obtained through ill-treatment shall be inadmissible (see </w:t>
      </w:r>
      <w:r w:rsidRPr="001A5EAA">
        <w:rPr>
          <w:i/>
          <w:szCs w:val="24"/>
          <w:lang w:val="en-GB"/>
        </w:rPr>
        <w:t>Baltiņš v. Latvia</w:t>
      </w:r>
      <w:r w:rsidRPr="001A5EAA">
        <w:rPr>
          <w:szCs w:val="24"/>
          <w:lang w:val="en-GB"/>
        </w:rPr>
        <w:t>, no. 25282/07</w:t>
      </w:r>
      <w:r w:rsidRPr="001A5EAA">
        <w:rPr>
          <w:snapToGrid w:val="0"/>
          <w:szCs w:val="24"/>
          <w:lang w:val="en-GB"/>
        </w:rPr>
        <w:t xml:space="preserve">, § </w:t>
      </w:r>
      <w:r w:rsidRPr="00807A0F">
        <w:rPr>
          <w:snapToGrid w:val="0"/>
          <w:szCs w:val="24"/>
        </w:rPr>
        <w:t>35</w:t>
      </w:r>
      <w:r w:rsidRPr="001A5EAA">
        <w:rPr>
          <w:snapToGrid w:val="0"/>
          <w:szCs w:val="24"/>
          <w:lang w:val="en-GB"/>
        </w:rPr>
        <w:t>, 8</w:t>
      </w:r>
      <w:r w:rsidRPr="00807A0F">
        <w:rPr>
          <w:snapToGrid w:val="0"/>
        </w:rPr>
        <w:t> </w:t>
      </w:r>
      <w:r w:rsidRPr="001A5EAA">
        <w:rPr>
          <w:snapToGrid w:val="0"/>
          <w:szCs w:val="24"/>
          <w:lang w:val="en-GB"/>
        </w:rPr>
        <w:t>January 2013</w:t>
      </w:r>
      <w:r w:rsidRPr="00807A0F">
        <w:rPr>
          <w:snapToGrid w:val="0"/>
          <w:szCs w:val="24"/>
        </w:rPr>
        <w:t>).</w:t>
      </w:r>
      <w:r w:rsidRPr="00807A0F">
        <w:rPr>
          <w:snapToGrid w:val="0"/>
        </w:rPr>
        <w:t xml:space="preserve"> There was not a similar provision contained in the Criminal Procedure Code, effective at the material time.</w:t>
      </w:r>
    </w:p>
    <w:p w:rsidR="00406AD9" w:rsidRDefault="00406AD9" w:rsidP="00EC4A1C">
      <w:pPr>
        <w:pStyle w:val="OpiPara"/>
        <w:rPr>
          <w:lang w:val="en-GB"/>
        </w:rPr>
      </w:pPr>
      <w:r>
        <w:rPr>
          <w:lang w:val="en-GB"/>
        </w:rPr>
        <w:fldChar w:fldCharType="begin"/>
      </w:r>
      <w:r>
        <w:rPr>
          <w:lang w:val="en-GB"/>
        </w:rPr>
        <w:instrText xml:space="preserve"> SEQ level0 \*arabic </w:instrText>
      </w:r>
      <w:r>
        <w:rPr>
          <w:lang w:val="en-GB"/>
        </w:rPr>
        <w:fldChar w:fldCharType="separate"/>
      </w:r>
      <w:r>
        <w:rPr>
          <w:noProof/>
          <w:lang w:val="en-GB"/>
        </w:rPr>
        <w:t>50</w:t>
      </w:r>
      <w:r>
        <w:rPr>
          <w:lang w:val="en-GB"/>
        </w:rPr>
        <w:fldChar w:fldCharType="end"/>
      </w:r>
      <w:r>
        <w:rPr>
          <w:lang w:val="en-GB"/>
        </w:rPr>
        <w:t>.  The provisions of the 2005 Criminal Procedure Law with regard to reopening of the criminal proceedings read as follows:</w:t>
      </w:r>
    </w:p>
    <w:p w:rsidR="00406AD9" w:rsidRPr="00807A0F" w:rsidRDefault="00406AD9" w:rsidP="00E8544C">
      <w:pPr>
        <w:pStyle w:val="ECHRTitleCentre3"/>
        <w:rPr>
          <w:szCs w:val="20"/>
          <w:lang w:val="en-US"/>
        </w:rPr>
      </w:pPr>
      <w:r w:rsidRPr="00807A0F">
        <w:rPr>
          <w:szCs w:val="20"/>
          <w:lang w:val="en-US"/>
        </w:rPr>
        <w:t>Section 655</w:t>
      </w:r>
      <w:r>
        <w:rPr>
          <w:szCs w:val="20"/>
          <w:lang w:val="en-US"/>
        </w:rPr>
        <w:t xml:space="preserve"> </w:t>
      </w:r>
      <w:r w:rsidRPr="00807A0F">
        <w:rPr>
          <w:szCs w:val="20"/>
          <w:lang w:val="en-US"/>
        </w:rPr>
        <w:t>– Basis for the reopening of criminal proceedings in connection with newly discovered circumstances</w:t>
      </w:r>
    </w:p>
    <w:p w:rsidR="00406AD9" w:rsidRPr="00807A0F" w:rsidRDefault="00406AD9" w:rsidP="00E8544C">
      <w:pPr>
        <w:pStyle w:val="ECHRParaQuote"/>
        <w:rPr>
          <w:szCs w:val="20"/>
          <w:lang w:val="en-US"/>
        </w:rPr>
      </w:pPr>
      <w:r w:rsidRPr="00807A0F">
        <w:rPr>
          <w:szCs w:val="20"/>
          <w:lang w:val="en-US"/>
        </w:rPr>
        <w:t xml:space="preserve">“(1) Criminal proceedings in respect of which a court judgment </w:t>
      </w:r>
      <w:r>
        <w:rPr>
          <w:szCs w:val="20"/>
          <w:lang w:val="en-US"/>
        </w:rPr>
        <w:t>...</w:t>
      </w:r>
      <w:r w:rsidRPr="00807A0F">
        <w:rPr>
          <w:szCs w:val="20"/>
          <w:lang w:val="en-US"/>
        </w:rPr>
        <w:t xml:space="preserve"> has become final may be reopened in connection with newly discovered circumstances.</w:t>
      </w:r>
    </w:p>
    <w:p w:rsidR="00406AD9" w:rsidRPr="00807A0F" w:rsidRDefault="00406AD9" w:rsidP="00E8544C">
      <w:pPr>
        <w:pStyle w:val="ECHRParaQuote"/>
        <w:rPr>
          <w:szCs w:val="20"/>
          <w:lang w:val="en-US"/>
        </w:rPr>
      </w:pPr>
      <w:r w:rsidRPr="00807A0F">
        <w:rPr>
          <w:szCs w:val="20"/>
          <w:lang w:val="en-US"/>
        </w:rPr>
        <w:t>(2) The following shall be deemed as circumstances newly discovered:</w:t>
      </w:r>
    </w:p>
    <w:p w:rsidR="00406AD9" w:rsidRPr="00807A0F" w:rsidRDefault="00406AD9" w:rsidP="00E8544C">
      <w:pPr>
        <w:pStyle w:val="ECHRParaQuote"/>
        <w:rPr>
          <w:szCs w:val="20"/>
          <w:lang w:val="en-US"/>
        </w:rPr>
      </w:pPr>
      <w:r>
        <w:rPr>
          <w:szCs w:val="20"/>
          <w:lang w:val="en-US"/>
        </w:rPr>
        <w:t>...</w:t>
      </w:r>
    </w:p>
    <w:p w:rsidR="00406AD9" w:rsidRPr="00807A0F" w:rsidRDefault="00406AD9" w:rsidP="00E8544C">
      <w:pPr>
        <w:pStyle w:val="ECHRParaQuote"/>
        <w:rPr>
          <w:szCs w:val="20"/>
          <w:lang w:val="en-US"/>
        </w:rPr>
      </w:pPr>
      <w:r w:rsidRPr="00807A0F">
        <w:rPr>
          <w:szCs w:val="20"/>
          <w:lang w:val="en-US"/>
        </w:rPr>
        <w:t>5) a determination by an international judicial institution that a decision</w:t>
      </w:r>
      <w:r w:rsidRPr="008D2387">
        <w:rPr>
          <w:szCs w:val="20"/>
          <w:lang w:val="en-US"/>
        </w:rPr>
        <w:t xml:space="preserve"> (</w:t>
      </w:r>
      <w:r w:rsidRPr="00807A0F">
        <w:rPr>
          <w:i/>
          <w:szCs w:val="20"/>
          <w:lang w:val="en-US"/>
        </w:rPr>
        <w:t>nol</w:t>
      </w:r>
      <w:r w:rsidRPr="00807A0F">
        <w:rPr>
          <w:i/>
          <w:szCs w:val="20"/>
          <w:lang w:val="lv-LV"/>
        </w:rPr>
        <w:t>ēmums</w:t>
      </w:r>
      <w:r w:rsidRPr="008D2387">
        <w:rPr>
          <w:szCs w:val="20"/>
          <w:lang w:val="lv-LV"/>
        </w:rPr>
        <w:t>)</w:t>
      </w:r>
      <w:r>
        <w:rPr>
          <w:szCs w:val="20"/>
          <w:lang w:val="lv-LV"/>
        </w:rPr>
        <w:t xml:space="preserve"> of Latvia</w:t>
      </w:r>
      <w:r w:rsidRPr="00807A0F">
        <w:rPr>
          <w:szCs w:val="20"/>
          <w:lang w:val="en-US"/>
        </w:rPr>
        <w:t xml:space="preserve"> which has become final contravenes an international norm binding upon Latvia</w:t>
      </w:r>
      <w:r w:rsidRPr="008D2387">
        <w:rPr>
          <w:szCs w:val="20"/>
          <w:lang w:val="en-US"/>
        </w:rPr>
        <w:t xml:space="preserve"> (</w:t>
      </w:r>
      <w:r w:rsidRPr="00807A0F">
        <w:rPr>
          <w:i/>
          <w:szCs w:val="20"/>
          <w:lang w:val="en-US"/>
        </w:rPr>
        <w:t>neatbilst Latvijai saistošiem starptautiskajiem normatīvajiem aktiem</w:t>
      </w:r>
      <w:r w:rsidRPr="008D2387">
        <w:rPr>
          <w:szCs w:val="20"/>
          <w:lang w:val="en-US"/>
        </w:rPr>
        <w:t>)</w:t>
      </w:r>
      <w:r w:rsidRPr="00807A0F">
        <w:rPr>
          <w:szCs w:val="20"/>
          <w:lang w:val="en-US"/>
        </w:rPr>
        <w:t>.</w:t>
      </w:r>
    </w:p>
    <w:p w:rsidR="00406AD9" w:rsidRPr="00562B63" w:rsidRDefault="00406AD9" w:rsidP="00562B63">
      <w:pPr>
        <w:pStyle w:val="ECHRParaQuote"/>
        <w:rPr>
          <w:szCs w:val="20"/>
          <w:lang w:val="en-US"/>
        </w:rPr>
      </w:pPr>
      <w:r>
        <w:rPr>
          <w:szCs w:val="20"/>
          <w:lang w:val="en-US"/>
        </w:rPr>
        <w:t>...</w:t>
      </w:r>
      <w:r w:rsidRPr="00807A0F">
        <w:rPr>
          <w:szCs w:val="20"/>
          <w:lang w:val="en-US"/>
        </w:rPr>
        <w:t>”</w:t>
      </w:r>
    </w:p>
    <w:p w:rsidR="00406AD9" w:rsidRPr="004218BE" w:rsidRDefault="00406AD9" w:rsidP="00D7211B">
      <w:pPr>
        <w:pStyle w:val="ECHRTitle1"/>
        <w:rPr>
          <w:lang w:val="en-GB"/>
        </w:rPr>
      </w:pPr>
      <w:r w:rsidRPr="004218BE">
        <w:rPr>
          <w:lang w:val="en-GB"/>
        </w:rPr>
        <w:t>THE LAW</w:t>
      </w:r>
    </w:p>
    <w:p w:rsidR="00406AD9" w:rsidRPr="004218BE" w:rsidRDefault="00406AD9" w:rsidP="00D7211B">
      <w:pPr>
        <w:pStyle w:val="ECHRHeading1"/>
        <w:rPr>
          <w:lang w:val="en-GB"/>
        </w:rPr>
      </w:pPr>
      <w:r w:rsidRPr="004218BE">
        <w:rPr>
          <w:lang w:val="en-GB"/>
        </w:rPr>
        <w:t xml:space="preserve">I.  ALLEGED VIOLATION OF </w:t>
      </w:r>
      <w:r w:rsidRPr="00452D08">
        <w:rPr>
          <w:lang w:val="en-GB"/>
        </w:rPr>
        <w:t>ARTICLE 6 § 1 OF THE</w:t>
      </w:r>
      <w:r w:rsidRPr="004218BE">
        <w:rPr>
          <w:lang w:val="en-GB"/>
        </w:rPr>
        <w:t xml:space="preserve"> CONVENTION</w:t>
      </w:r>
    </w:p>
    <w:p w:rsidR="00406AD9" w:rsidRPr="00A2290E" w:rsidRDefault="00406AD9" w:rsidP="00562B63">
      <w:pPr>
        <w:pStyle w:val="ECHRPara"/>
        <w:rPr>
          <w:rStyle w:val="JuParaChar"/>
          <w:lang w:val="en-GB"/>
        </w:rPr>
      </w:pPr>
      <w:r>
        <w:rPr>
          <w:lang w:val="en-GB"/>
        </w:rPr>
        <w:fldChar w:fldCharType="begin"/>
      </w:r>
      <w:r>
        <w:rPr>
          <w:lang w:val="en-GB"/>
        </w:rPr>
        <w:instrText xml:space="preserve"> SEQ level0 \*arabic </w:instrText>
      </w:r>
      <w:r>
        <w:rPr>
          <w:lang w:val="en-GB"/>
        </w:rPr>
        <w:fldChar w:fldCharType="separate"/>
      </w:r>
      <w:r>
        <w:rPr>
          <w:noProof/>
          <w:lang w:val="en-GB"/>
        </w:rPr>
        <w:t>51</w:t>
      </w:r>
      <w:r>
        <w:rPr>
          <w:lang w:val="en-GB"/>
        </w:rPr>
        <w:fldChar w:fldCharType="end"/>
      </w:r>
      <w:r w:rsidRPr="004218BE">
        <w:rPr>
          <w:lang w:val="en-GB"/>
        </w:rPr>
        <w:t>.  </w:t>
      </w:r>
      <w:r w:rsidRPr="00A2290E">
        <w:rPr>
          <w:rStyle w:val="JuParaChar"/>
          <w:lang w:val="en-GB"/>
        </w:rPr>
        <w:t>The applicant submitted that his right to a fair trial had been violated</w:t>
      </w:r>
      <w:r>
        <w:rPr>
          <w:rStyle w:val="JuParaChar"/>
          <w:lang w:val="en-GB"/>
        </w:rPr>
        <w:t>.</w:t>
      </w:r>
      <w:r w:rsidRPr="00A2290E">
        <w:rPr>
          <w:rStyle w:val="JuParaChar"/>
          <w:lang w:val="en-GB"/>
        </w:rPr>
        <w:t xml:space="preserve"> </w:t>
      </w:r>
      <w:r>
        <w:rPr>
          <w:rStyle w:val="JuParaChar"/>
          <w:lang w:val="en-GB"/>
        </w:rPr>
        <w:t>I</w:t>
      </w:r>
      <w:r w:rsidRPr="00A2290E">
        <w:rPr>
          <w:rStyle w:val="JuParaChar"/>
          <w:lang w:val="en-GB"/>
        </w:rPr>
        <w:t xml:space="preserve">n </w:t>
      </w:r>
      <w:r w:rsidRPr="00562B63">
        <w:rPr>
          <w:noProof/>
        </w:rPr>
        <w:t>particular</w:t>
      </w:r>
      <w:r w:rsidRPr="00A2290E">
        <w:rPr>
          <w:rStyle w:val="JuParaChar"/>
          <w:lang w:val="en-GB"/>
        </w:rPr>
        <w:t xml:space="preserve">, </w:t>
      </w:r>
      <w:r>
        <w:rPr>
          <w:rStyle w:val="JuParaChar"/>
          <w:lang w:val="en-GB"/>
        </w:rPr>
        <w:t xml:space="preserve">he asserted </w:t>
      </w:r>
      <w:r w:rsidRPr="00A2290E">
        <w:rPr>
          <w:rStyle w:val="JuParaChar"/>
          <w:lang w:val="en-GB"/>
        </w:rPr>
        <w:t xml:space="preserve">that his guilt had been established on the basis of inadmissible evidence, namely </w:t>
      </w:r>
      <w:r>
        <w:rPr>
          <w:rStyle w:val="JuParaChar"/>
          <w:lang w:val="en-GB"/>
        </w:rPr>
        <w:t>statements obtained in breach of Article </w:t>
      </w:r>
      <w:r w:rsidRPr="00A2290E">
        <w:rPr>
          <w:rStyle w:val="JuParaChar"/>
          <w:lang w:val="en-GB"/>
        </w:rPr>
        <w:t>3 of the Convention. Article 6 § 1 of the Convention provides:</w:t>
      </w:r>
    </w:p>
    <w:p w:rsidR="00406AD9" w:rsidRPr="00A2290E" w:rsidRDefault="00406AD9" w:rsidP="00A2290E">
      <w:pPr>
        <w:pStyle w:val="ECHRParaQuote"/>
        <w:rPr>
          <w:lang w:val="en-GB"/>
        </w:rPr>
      </w:pPr>
      <w:r w:rsidRPr="00A2290E">
        <w:rPr>
          <w:color w:val="000000"/>
          <w:lang w:val="en-GB"/>
        </w:rPr>
        <w:t>“1.  In the determination ... of any criminal charge against him, everyone is entitled to a fair ... hearing ... by [a] ... tribunal ...”</w:t>
      </w:r>
    </w:p>
    <w:p w:rsidR="00406AD9" w:rsidRPr="00A2290E" w:rsidRDefault="00406AD9" w:rsidP="00A2290E">
      <w:pPr>
        <w:pStyle w:val="ECHRPara"/>
        <w:rPr>
          <w:lang w:val="en-GB"/>
        </w:rPr>
      </w:pPr>
      <w:r w:rsidRPr="00A2290E">
        <w:rPr>
          <w:lang w:val="en-GB"/>
        </w:rPr>
        <w:fldChar w:fldCharType="begin"/>
      </w:r>
      <w:r w:rsidRPr="00A2290E">
        <w:rPr>
          <w:lang w:val="en-GB"/>
        </w:rPr>
        <w:instrText xml:space="preserve"> SEQ level0 \*arabic </w:instrText>
      </w:r>
      <w:r w:rsidRPr="00A2290E">
        <w:rPr>
          <w:lang w:val="en-GB"/>
        </w:rPr>
        <w:fldChar w:fldCharType="separate"/>
      </w:r>
      <w:r>
        <w:rPr>
          <w:noProof/>
          <w:lang w:val="en-GB"/>
        </w:rPr>
        <w:t>52</w:t>
      </w:r>
      <w:r w:rsidRPr="00A2290E">
        <w:rPr>
          <w:lang w:val="en-GB"/>
        </w:rPr>
        <w:fldChar w:fldCharType="end"/>
      </w:r>
      <w:r w:rsidRPr="00A2290E">
        <w:rPr>
          <w:lang w:val="en-GB"/>
        </w:rPr>
        <w:t>.  The Government contested that argument.</w:t>
      </w:r>
    </w:p>
    <w:p w:rsidR="00406AD9" w:rsidRPr="00D07DC5" w:rsidRDefault="00406AD9" w:rsidP="0031109E">
      <w:pPr>
        <w:pStyle w:val="ECHRHeading2"/>
        <w:rPr>
          <w:lang w:val="en-US"/>
        </w:rPr>
      </w:pPr>
      <w:r>
        <w:rPr>
          <w:lang w:val="en-US"/>
        </w:rPr>
        <w:t>A.  </w:t>
      </w:r>
      <w:r w:rsidRPr="00D07DC5">
        <w:rPr>
          <w:lang w:val="en-US"/>
        </w:rPr>
        <w:t>Admissibility</w:t>
      </w:r>
    </w:p>
    <w:p w:rsidR="00406AD9" w:rsidRPr="00A2290E" w:rsidRDefault="00406AD9" w:rsidP="00A2290E">
      <w:pPr>
        <w:pStyle w:val="ECHRPara"/>
        <w:rPr>
          <w:lang w:val="en-GB"/>
        </w:rPr>
      </w:pPr>
      <w:r>
        <w:rPr>
          <w:lang w:val="en-GB"/>
        </w:rPr>
        <w:fldChar w:fldCharType="begin"/>
      </w:r>
      <w:r>
        <w:rPr>
          <w:lang w:val="en-GB"/>
        </w:rPr>
        <w:instrText xml:space="preserve"> SEQ level0 \*arabic </w:instrText>
      </w:r>
      <w:r>
        <w:rPr>
          <w:lang w:val="en-GB"/>
        </w:rPr>
        <w:fldChar w:fldCharType="separate"/>
      </w:r>
      <w:r>
        <w:rPr>
          <w:noProof/>
          <w:lang w:val="en-GB"/>
        </w:rPr>
        <w:t>53</w:t>
      </w:r>
      <w:r>
        <w:rPr>
          <w:lang w:val="en-GB"/>
        </w:rPr>
        <w:fldChar w:fldCharType="end"/>
      </w:r>
      <w:r>
        <w:rPr>
          <w:lang w:val="en-GB"/>
        </w:rPr>
        <w:t>.  </w:t>
      </w:r>
      <w:r w:rsidRPr="00A2290E">
        <w:rPr>
          <w:lang w:val="en-GB"/>
        </w:rPr>
        <w:t>The Government did not dispute the admissibility of this part of the application. The Court finds that</w:t>
      </w:r>
      <w:r>
        <w:rPr>
          <w:lang w:val="en-GB"/>
        </w:rPr>
        <w:t xml:space="preserve"> it</w:t>
      </w:r>
      <w:r w:rsidRPr="00A2290E">
        <w:rPr>
          <w:lang w:val="en-GB"/>
        </w:rPr>
        <w:t xml:space="preserve"> is not manifestly ill</w:t>
      </w:r>
      <w:r w:rsidRPr="00A2290E">
        <w:rPr>
          <w:lang w:val="en-GB"/>
        </w:rPr>
        <w:noBreakHyphen/>
        <w:t>founded within the meaning of Article 35 § 3 (a) of the Convention. It further notes that it is not inadmissible on any other grounds.</w:t>
      </w:r>
    </w:p>
    <w:p w:rsidR="00406AD9" w:rsidRPr="00A2290E" w:rsidRDefault="00406AD9" w:rsidP="00A2290E">
      <w:pPr>
        <w:pStyle w:val="ECHRPara"/>
        <w:rPr>
          <w:lang w:val="en-GB"/>
        </w:rPr>
      </w:pPr>
      <w:r>
        <w:rPr>
          <w:lang w:val="en-GB"/>
        </w:rPr>
        <w:fldChar w:fldCharType="begin"/>
      </w:r>
      <w:r>
        <w:rPr>
          <w:lang w:val="en-GB"/>
        </w:rPr>
        <w:instrText xml:space="preserve"> SEQ level0 \*arabic </w:instrText>
      </w:r>
      <w:r>
        <w:rPr>
          <w:lang w:val="en-GB"/>
        </w:rPr>
        <w:fldChar w:fldCharType="separate"/>
      </w:r>
      <w:r>
        <w:rPr>
          <w:noProof/>
          <w:lang w:val="en-GB"/>
        </w:rPr>
        <w:t>54</w:t>
      </w:r>
      <w:r>
        <w:rPr>
          <w:lang w:val="en-GB"/>
        </w:rPr>
        <w:fldChar w:fldCharType="end"/>
      </w:r>
      <w:r>
        <w:rPr>
          <w:lang w:val="en-GB"/>
        </w:rPr>
        <w:t>.  </w:t>
      </w:r>
      <w:r w:rsidRPr="00A2290E">
        <w:rPr>
          <w:lang w:val="en-GB"/>
        </w:rPr>
        <w:t>It must therefore be declared admissible.</w:t>
      </w:r>
    </w:p>
    <w:p w:rsidR="00406AD9" w:rsidRPr="005B355C" w:rsidRDefault="00406AD9" w:rsidP="0031109E">
      <w:pPr>
        <w:pStyle w:val="ECHRHeading2"/>
        <w:rPr>
          <w:lang w:val="en-GB"/>
        </w:rPr>
      </w:pPr>
      <w:r w:rsidRPr="005B355C">
        <w:rPr>
          <w:lang w:val="en-GB"/>
        </w:rPr>
        <w:t>B.  Merits</w:t>
      </w:r>
    </w:p>
    <w:p w:rsidR="00406AD9" w:rsidRPr="00F94747" w:rsidRDefault="00406AD9" w:rsidP="0031109E">
      <w:pPr>
        <w:pStyle w:val="ECHRHeading3"/>
        <w:rPr>
          <w:shd w:val="clear" w:color="auto" w:fill="FFFFFF"/>
          <w:lang w:val="en-US"/>
        </w:rPr>
      </w:pPr>
      <w:r w:rsidRPr="00F94747">
        <w:rPr>
          <w:shd w:val="clear" w:color="auto" w:fill="FFFFFF"/>
          <w:lang w:val="en-US"/>
        </w:rPr>
        <w:t>1.  The applicant</w:t>
      </w:r>
      <w:r>
        <w:rPr>
          <w:shd w:val="clear" w:color="auto" w:fill="FFFFFF"/>
          <w:lang w:val="en-US"/>
        </w:rPr>
        <w:t>’</w:t>
      </w:r>
      <w:r w:rsidRPr="00F94747">
        <w:rPr>
          <w:shd w:val="clear" w:color="auto" w:fill="FFFFFF"/>
          <w:lang w:val="en-US"/>
        </w:rPr>
        <w:t>s submissions</w:t>
      </w:r>
    </w:p>
    <w:p w:rsidR="00406AD9" w:rsidRPr="00560C52" w:rsidRDefault="00406AD9" w:rsidP="00560C52">
      <w:pPr>
        <w:pStyle w:val="ECHRPara"/>
        <w:rPr>
          <w:lang w:val="en-GB"/>
        </w:rPr>
      </w:pPr>
      <w:r w:rsidRPr="00560C52">
        <w:rPr>
          <w:lang w:val="en-GB"/>
        </w:rPr>
        <w:fldChar w:fldCharType="begin"/>
      </w:r>
      <w:r w:rsidRPr="00560C52">
        <w:rPr>
          <w:lang w:val="en-GB"/>
        </w:rPr>
        <w:instrText xml:space="preserve"> SEQ level0 \*arabic </w:instrText>
      </w:r>
      <w:r w:rsidRPr="00560C52">
        <w:rPr>
          <w:lang w:val="en-GB"/>
        </w:rPr>
        <w:fldChar w:fldCharType="separate"/>
      </w:r>
      <w:r>
        <w:rPr>
          <w:noProof/>
          <w:lang w:val="en-GB"/>
        </w:rPr>
        <w:t>55</w:t>
      </w:r>
      <w:r w:rsidRPr="00560C52">
        <w:rPr>
          <w:lang w:val="en-GB"/>
        </w:rPr>
        <w:fldChar w:fldCharType="end"/>
      </w:r>
      <w:r w:rsidRPr="00560C52">
        <w:rPr>
          <w:lang w:val="en-GB"/>
        </w:rPr>
        <w:t xml:space="preserve">.  The applicant </w:t>
      </w:r>
      <w:r>
        <w:rPr>
          <w:lang w:val="en-GB"/>
        </w:rPr>
        <w:t>highlighted</w:t>
      </w:r>
      <w:r w:rsidRPr="00560C52">
        <w:rPr>
          <w:lang w:val="en-GB"/>
        </w:rPr>
        <w:t xml:space="preserve"> that in submitting their unilateral declaration the Government had admitted to the violation of the applicant</w:t>
      </w:r>
      <w:r>
        <w:rPr>
          <w:lang w:val="en-GB"/>
        </w:rPr>
        <w:t>’</w:t>
      </w:r>
      <w:r w:rsidRPr="00560C52">
        <w:rPr>
          <w:lang w:val="en-GB"/>
        </w:rPr>
        <w:t>s rights under Article 3 of the Convention, namely that he had been ill-treated by police officials while in custody.</w:t>
      </w:r>
    </w:p>
    <w:p w:rsidR="00406AD9" w:rsidRPr="00560C52" w:rsidRDefault="00406AD9" w:rsidP="00560C52">
      <w:pPr>
        <w:pStyle w:val="ECHRPara"/>
        <w:rPr>
          <w:lang w:val="en-GB"/>
        </w:rPr>
      </w:pPr>
      <w:r w:rsidRPr="00560C52">
        <w:rPr>
          <w:lang w:val="en-GB"/>
        </w:rPr>
        <w:fldChar w:fldCharType="begin"/>
      </w:r>
      <w:r w:rsidRPr="00560C52">
        <w:rPr>
          <w:lang w:val="en-GB"/>
        </w:rPr>
        <w:instrText xml:space="preserve"> SEQ level0 \*arabic </w:instrText>
      </w:r>
      <w:r w:rsidRPr="00560C52">
        <w:rPr>
          <w:lang w:val="en-GB"/>
        </w:rPr>
        <w:fldChar w:fldCharType="separate"/>
      </w:r>
      <w:r>
        <w:rPr>
          <w:noProof/>
          <w:lang w:val="en-GB"/>
        </w:rPr>
        <w:t>56</w:t>
      </w:r>
      <w:r w:rsidRPr="00560C52">
        <w:rPr>
          <w:lang w:val="en-GB"/>
        </w:rPr>
        <w:fldChar w:fldCharType="end"/>
      </w:r>
      <w:r w:rsidRPr="00560C52">
        <w:rPr>
          <w:lang w:val="en-GB"/>
        </w:rPr>
        <w:t xml:space="preserve">.  Referring to </w:t>
      </w:r>
      <w:r w:rsidRPr="00560C52">
        <w:rPr>
          <w:i/>
          <w:lang w:val="en-GB"/>
        </w:rPr>
        <w:t xml:space="preserve">Jalloh v. Germany </w:t>
      </w:r>
      <w:r>
        <w:rPr>
          <w:lang w:val="en-GB"/>
        </w:rPr>
        <w:t>([GC], no. 54810/00, ECHR </w:t>
      </w:r>
      <w:r w:rsidRPr="00560C52">
        <w:rPr>
          <w:lang w:val="en-GB"/>
        </w:rPr>
        <w:t>2006</w:t>
      </w:r>
      <w:r w:rsidRPr="00560C52">
        <w:rPr>
          <w:lang w:val="en-GB"/>
        </w:rPr>
        <w:noBreakHyphen/>
        <w:t>IX)</w:t>
      </w:r>
      <w:r>
        <w:rPr>
          <w:lang w:val="en-GB"/>
        </w:rPr>
        <w:t>,</w:t>
      </w:r>
      <w:r w:rsidRPr="00560C52">
        <w:rPr>
          <w:lang w:val="en-GB"/>
        </w:rPr>
        <w:t xml:space="preserve"> he pointed out that the Court has distinguished between cases where disputed evidence was obtained in breach of Article 8 and </w:t>
      </w:r>
      <w:r>
        <w:rPr>
          <w:lang w:val="en-GB"/>
        </w:rPr>
        <w:t>where</w:t>
      </w:r>
      <w:r w:rsidRPr="00560C52">
        <w:rPr>
          <w:lang w:val="en-GB"/>
        </w:rPr>
        <w:t xml:space="preserve"> evidence was obtained in breach of Article 3 of the Convention, </w:t>
      </w:r>
      <w:r>
        <w:rPr>
          <w:lang w:val="en-GB"/>
        </w:rPr>
        <w:t xml:space="preserve">ruling that </w:t>
      </w:r>
      <w:r w:rsidRPr="00560C52">
        <w:rPr>
          <w:lang w:val="en-GB"/>
        </w:rPr>
        <w:t xml:space="preserve">different considerations apply to evidence recovered by a measure found to </w:t>
      </w:r>
      <w:r>
        <w:rPr>
          <w:lang w:val="en-GB"/>
        </w:rPr>
        <w:t xml:space="preserve">have </w:t>
      </w:r>
      <w:r w:rsidRPr="00560C52">
        <w:rPr>
          <w:lang w:val="en-GB"/>
        </w:rPr>
        <w:t>violate</w:t>
      </w:r>
      <w:r>
        <w:rPr>
          <w:lang w:val="en-GB"/>
        </w:rPr>
        <w:t>d</w:t>
      </w:r>
      <w:r w:rsidRPr="00560C52">
        <w:rPr>
          <w:lang w:val="en-GB"/>
        </w:rPr>
        <w:t xml:space="preserve"> Article 3. An issue may arise under Article</w:t>
      </w:r>
      <w:r>
        <w:rPr>
          <w:lang w:val="en-GB"/>
        </w:rPr>
        <w:t> </w:t>
      </w:r>
      <w:r w:rsidRPr="00560C52">
        <w:rPr>
          <w:lang w:val="en-GB"/>
        </w:rPr>
        <w:t>6 § 1 in respect of evidence obtained in violation of Article 3 of the Convention, even if the admission of such evidence was not decisive in securing the conviction (</w:t>
      </w:r>
      <w:r w:rsidRPr="00560C52">
        <w:rPr>
          <w:i/>
          <w:lang w:val="en-GB"/>
        </w:rPr>
        <w:t>Jalloh</w:t>
      </w:r>
      <w:r w:rsidRPr="00560C52">
        <w:rPr>
          <w:lang w:val="en-GB"/>
        </w:rPr>
        <w:t>, cited above</w:t>
      </w:r>
      <w:r>
        <w:rPr>
          <w:lang w:val="en-GB"/>
        </w:rPr>
        <w:t>,</w:t>
      </w:r>
      <w:r w:rsidRPr="00560C52">
        <w:rPr>
          <w:lang w:val="en-GB"/>
        </w:rPr>
        <w:t xml:space="preserve"> § 99). In this regard the applicant reiterated that the violence by the police officers had been particularly targeted at extracting self-incriminating evidence</w:t>
      </w:r>
      <w:r w:rsidRPr="00F7557A">
        <w:rPr>
          <w:lang w:val="en-GB"/>
        </w:rPr>
        <w:t xml:space="preserve"> </w:t>
      </w:r>
      <w:r w:rsidRPr="00560C52">
        <w:rPr>
          <w:lang w:val="en-GB"/>
        </w:rPr>
        <w:t xml:space="preserve">from him. Therefore, the use of that evidence </w:t>
      </w:r>
      <w:r>
        <w:rPr>
          <w:lang w:val="en-GB"/>
        </w:rPr>
        <w:t xml:space="preserve">had in </w:t>
      </w:r>
      <w:r w:rsidRPr="00560C52">
        <w:rPr>
          <w:lang w:val="en-GB"/>
        </w:rPr>
        <w:t>itself rendered the trial unfair.</w:t>
      </w:r>
    </w:p>
    <w:p w:rsidR="00406AD9" w:rsidRPr="00560C52" w:rsidRDefault="00406AD9" w:rsidP="00560C52">
      <w:pPr>
        <w:pStyle w:val="ECHRPara"/>
        <w:rPr>
          <w:lang w:val="en-GB"/>
        </w:rPr>
      </w:pPr>
      <w:r w:rsidRPr="00560C52">
        <w:rPr>
          <w:lang w:val="en-GB"/>
        </w:rPr>
        <w:fldChar w:fldCharType="begin"/>
      </w:r>
      <w:r w:rsidRPr="00560C52">
        <w:rPr>
          <w:lang w:val="en-GB"/>
        </w:rPr>
        <w:instrText xml:space="preserve"> SEQ level0 \*arabic </w:instrText>
      </w:r>
      <w:r w:rsidRPr="00560C52">
        <w:rPr>
          <w:lang w:val="en-GB"/>
        </w:rPr>
        <w:fldChar w:fldCharType="separate"/>
      </w:r>
      <w:r>
        <w:rPr>
          <w:noProof/>
          <w:lang w:val="en-GB"/>
        </w:rPr>
        <w:t>57</w:t>
      </w:r>
      <w:r w:rsidRPr="00560C52">
        <w:rPr>
          <w:lang w:val="en-GB"/>
        </w:rPr>
        <w:fldChar w:fldCharType="end"/>
      </w:r>
      <w:r w:rsidRPr="00560C52">
        <w:rPr>
          <w:lang w:val="en-GB"/>
        </w:rPr>
        <w:t>.  Further, the applicant disagreed with the Government</w:t>
      </w:r>
      <w:r>
        <w:rPr>
          <w:lang w:val="en-GB"/>
        </w:rPr>
        <w:t>’s assertion</w:t>
      </w:r>
      <w:r w:rsidRPr="00560C52">
        <w:rPr>
          <w:lang w:val="en-GB"/>
        </w:rPr>
        <w:t xml:space="preserve"> that apart from the evidence obtained in breach of Article 3 of the Convention there had been other evidence </w:t>
      </w:r>
      <w:r>
        <w:rPr>
          <w:lang w:val="en-GB"/>
        </w:rPr>
        <w:t xml:space="preserve">providing a </w:t>
      </w:r>
      <w:r w:rsidRPr="00560C52">
        <w:rPr>
          <w:lang w:val="en-GB"/>
        </w:rPr>
        <w:t xml:space="preserve">sufficient </w:t>
      </w:r>
      <w:r>
        <w:rPr>
          <w:lang w:val="en-GB"/>
        </w:rPr>
        <w:t>basis for</w:t>
      </w:r>
      <w:r w:rsidRPr="00560C52">
        <w:rPr>
          <w:lang w:val="en-GB"/>
        </w:rPr>
        <w:t xml:space="preserve"> the applicant</w:t>
      </w:r>
      <w:r>
        <w:rPr>
          <w:lang w:val="en-GB"/>
        </w:rPr>
        <w:t>’</w:t>
      </w:r>
      <w:r w:rsidRPr="00560C52">
        <w:rPr>
          <w:lang w:val="en-GB"/>
        </w:rPr>
        <w:t>s conviction. He underlined that the first</w:t>
      </w:r>
      <w:r>
        <w:rPr>
          <w:lang w:val="en-GB"/>
        </w:rPr>
        <w:t>-</w:t>
      </w:r>
      <w:r w:rsidRPr="00560C52">
        <w:rPr>
          <w:lang w:val="en-GB"/>
        </w:rPr>
        <w:t>instance court had acquitted him. The appeal court had considered the same evidence. It ha</w:t>
      </w:r>
      <w:r>
        <w:rPr>
          <w:lang w:val="en-GB"/>
        </w:rPr>
        <w:t>d</w:t>
      </w:r>
      <w:r w:rsidRPr="00560C52">
        <w:rPr>
          <w:lang w:val="en-GB"/>
        </w:rPr>
        <w:t xml:space="preserve"> been the applicant</w:t>
      </w:r>
      <w:r>
        <w:rPr>
          <w:lang w:val="en-GB"/>
        </w:rPr>
        <w:t>’</w:t>
      </w:r>
      <w:r w:rsidRPr="00560C52">
        <w:rPr>
          <w:lang w:val="en-GB"/>
        </w:rPr>
        <w:t xml:space="preserve">s confession and </w:t>
      </w:r>
      <w:r>
        <w:rPr>
          <w:lang w:val="en-GB"/>
        </w:rPr>
        <w:t>other statements</w:t>
      </w:r>
      <w:r w:rsidRPr="00560C52">
        <w:rPr>
          <w:lang w:val="en-GB"/>
        </w:rPr>
        <w:t xml:space="preserve"> </w:t>
      </w:r>
      <w:r>
        <w:rPr>
          <w:lang w:val="en-GB"/>
        </w:rPr>
        <w:t>admitted in</w:t>
      </w:r>
      <w:r w:rsidRPr="00560C52">
        <w:rPr>
          <w:lang w:val="en-GB"/>
        </w:rPr>
        <w:t xml:space="preserve"> evidence by the appeal court that had led to his conviction. In that respect the present case differed from </w:t>
      </w:r>
      <w:r w:rsidRPr="00560C52">
        <w:rPr>
          <w:i/>
          <w:lang w:val="en-GB"/>
        </w:rPr>
        <w:t>Bykov v. Russia</w:t>
      </w:r>
      <w:r w:rsidRPr="00560C52">
        <w:rPr>
          <w:lang w:val="en-GB"/>
        </w:rPr>
        <w:t xml:space="preserve"> ([GC], no. 4378/02, 10 March 2009).</w:t>
      </w:r>
    </w:p>
    <w:p w:rsidR="00406AD9" w:rsidRDefault="00406AD9" w:rsidP="00560C52">
      <w:pPr>
        <w:pStyle w:val="ECHRHeading3"/>
        <w:rPr>
          <w:i w:val="0"/>
          <w:iCs/>
          <w:color w:val="000000"/>
          <w:szCs w:val="24"/>
          <w:shd w:val="clear" w:color="auto" w:fill="FFFFFF"/>
          <w:lang w:val="en-GB"/>
        </w:rPr>
      </w:pPr>
      <w:r w:rsidRPr="007C166D">
        <w:rPr>
          <w:iCs/>
          <w:color w:val="000000"/>
          <w:szCs w:val="24"/>
          <w:shd w:val="clear" w:color="auto" w:fill="FFFFFF"/>
          <w:lang w:val="en-GB"/>
        </w:rPr>
        <w:t>2.  The Government</w:t>
      </w:r>
    </w:p>
    <w:p w:rsidR="00406AD9" w:rsidRPr="00B93E20" w:rsidRDefault="00406AD9" w:rsidP="00B93E20">
      <w:pPr>
        <w:pStyle w:val="ECHRPara"/>
        <w:rPr>
          <w:lang w:val="en-GB"/>
        </w:rPr>
      </w:pPr>
      <w:r w:rsidRPr="00560C52">
        <w:rPr>
          <w:lang w:val="en-GB"/>
        </w:rPr>
        <w:fldChar w:fldCharType="begin"/>
      </w:r>
      <w:r w:rsidRPr="00560C52">
        <w:rPr>
          <w:lang w:val="en-GB"/>
        </w:rPr>
        <w:instrText xml:space="preserve"> SEQ level0 \*arabic </w:instrText>
      </w:r>
      <w:r w:rsidRPr="00560C52">
        <w:rPr>
          <w:lang w:val="en-GB"/>
        </w:rPr>
        <w:fldChar w:fldCharType="separate"/>
      </w:r>
      <w:r>
        <w:rPr>
          <w:noProof/>
          <w:lang w:val="en-GB"/>
        </w:rPr>
        <w:t>58</w:t>
      </w:r>
      <w:r w:rsidRPr="00560C52">
        <w:rPr>
          <w:lang w:val="en-GB"/>
        </w:rPr>
        <w:fldChar w:fldCharType="end"/>
      </w:r>
      <w:r w:rsidRPr="00560C52">
        <w:rPr>
          <w:lang w:val="en-GB"/>
        </w:rPr>
        <w:t>.  </w:t>
      </w:r>
      <w:r w:rsidRPr="00475D82">
        <w:rPr>
          <w:lang w:val="en-GB"/>
        </w:rPr>
        <w:t xml:space="preserve">Drawing on the judgment </w:t>
      </w:r>
      <w:r>
        <w:rPr>
          <w:lang w:val="en-GB"/>
        </w:rPr>
        <w:t xml:space="preserve">in </w:t>
      </w:r>
      <w:r w:rsidRPr="00B668D2">
        <w:rPr>
          <w:i/>
          <w:lang w:val="en-GB"/>
        </w:rPr>
        <w:t>Schenk v. Switzerland</w:t>
      </w:r>
      <w:r>
        <w:rPr>
          <w:lang w:val="en-GB"/>
        </w:rPr>
        <w:t xml:space="preserve"> (12 July 1988, §§ 45 and 46</w:t>
      </w:r>
      <w:r w:rsidRPr="00B668D2">
        <w:rPr>
          <w:lang w:val="en-GB"/>
        </w:rPr>
        <w:t>, Series A no. 140</w:t>
      </w:r>
      <w:r>
        <w:rPr>
          <w:lang w:val="en-GB"/>
        </w:rPr>
        <w:t>),</w:t>
      </w:r>
      <w:r w:rsidRPr="00560C52">
        <w:rPr>
          <w:lang w:val="en-GB"/>
        </w:rPr>
        <w:t xml:space="preserve"> the Government </w:t>
      </w:r>
      <w:r>
        <w:rPr>
          <w:lang w:val="en-GB"/>
        </w:rPr>
        <w:t>noted</w:t>
      </w:r>
      <w:r w:rsidRPr="00560C52">
        <w:rPr>
          <w:lang w:val="en-GB"/>
        </w:rPr>
        <w:t xml:space="preserve"> that </w:t>
      </w:r>
      <w:r w:rsidRPr="00560C52">
        <w:rPr>
          <w:color w:val="000000"/>
          <w:lang w:val="en-GB"/>
        </w:rPr>
        <w:t xml:space="preserve">while Article 6 of the Convention guarantees the right to a fair trial, it does not lay down any rules on the admissibility of evidence as such, which is therefore primarily a matter for regulation under national law. </w:t>
      </w:r>
      <w:r>
        <w:rPr>
          <w:color w:val="000000"/>
          <w:lang w:val="en-GB"/>
        </w:rPr>
        <w:t>In any given case t</w:t>
      </w:r>
      <w:r w:rsidRPr="00560C52">
        <w:rPr>
          <w:color w:val="000000"/>
          <w:lang w:val="en-GB"/>
        </w:rPr>
        <w:t>he Court has only to ascertain wheth</w:t>
      </w:r>
      <w:r>
        <w:rPr>
          <w:color w:val="000000"/>
          <w:lang w:val="en-GB"/>
        </w:rPr>
        <w:t>er the trial as a whole was fair.</w:t>
      </w:r>
    </w:p>
    <w:p w:rsidR="00406AD9" w:rsidRPr="00450310" w:rsidRDefault="00406AD9" w:rsidP="00450310">
      <w:pPr>
        <w:pStyle w:val="ECHRPara"/>
        <w:tabs>
          <w:tab w:val="left" w:pos="6312"/>
        </w:tabs>
        <w:rPr>
          <w:i/>
          <w:szCs w:val="24"/>
          <w:lang w:val="en-GB"/>
        </w:rPr>
      </w:pPr>
      <w:r w:rsidRPr="00560C52">
        <w:rPr>
          <w:color w:val="000000"/>
          <w:lang w:val="en-GB"/>
        </w:rPr>
        <w:fldChar w:fldCharType="begin"/>
      </w:r>
      <w:r w:rsidRPr="00560C52">
        <w:rPr>
          <w:color w:val="000000"/>
          <w:lang w:val="en-GB"/>
        </w:rPr>
        <w:instrText xml:space="preserve"> SEQ level0 \*arabic </w:instrText>
      </w:r>
      <w:r w:rsidRPr="00560C52">
        <w:rPr>
          <w:color w:val="000000"/>
          <w:lang w:val="en-GB"/>
        </w:rPr>
        <w:fldChar w:fldCharType="separate"/>
      </w:r>
      <w:r>
        <w:rPr>
          <w:noProof/>
          <w:color w:val="000000"/>
          <w:lang w:val="en-GB"/>
        </w:rPr>
        <w:t>59</w:t>
      </w:r>
      <w:r w:rsidRPr="00560C52">
        <w:rPr>
          <w:color w:val="000000"/>
          <w:lang w:val="en-GB"/>
        </w:rPr>
        <w:fldChar w:fldCharType="end"/>
      </w:r>
      <w:r w:rsidRPr="00560C52">
        <w:rPr>
          <w:color w:val="000000"/>
          <w:lang w:val="en-GB"/>
        </w:rPr>
        <w:t>.  </w:t>
      </w:r>
      <w:r>
        <w:rPr>
          <w:color w:val="000000"/>
          <w:lang w:val="en-GB"/>
        </w:rPr>
        <w:t>T</w:t>
      </w:r>
      <w:r w:rsidRPr="00560C52">
        <w:rPr>
          <w:color w:val="000000"/>
          <w:lang w:val="en-GB"/>
        </w:rPr>
        <w:t xml:space="preserve">he Government </w:t>
      </w:r>
      <w:r>
        <w:rPr>
          <w:color w:val="000000"/>
          <w:lang w:val="en-GB"/>
        </w:rPr>
        <w:t xml:space="preserve">further </w:t>
      </w:r>
      <w:r w:rsidRPr="00560C52">
        <w:rPr>
          <w:color w:val="000000"/>
          <w:lang w:val="en-GB"/>
        </w:rPr>
        <w:t>relied on</w:t>
      </w:r>
      <w:r>
        <w:rPr>
          <w:color w:val="000000"/>
          <w:lang w:val="en-GB"/>
        </w:rPr>
        <w:t xml:space="preserve"> </w:t>
      </w:r>
      <w:r w:rsidRPr="00081659">
        <w:rPr>
          <w:i/>
          <w:lang w:val="en-GB"/>
        </w:rPr>
        <w:t>Gäfgen v. Germany</w:t>
      </w:r>
      <w:r w:rsidRPr="00081659">
        <w:rPr>
          <w:lang w:val="en-GB"/>
        </w:rPr>
        <w:t xml:space="preserve"> </w:t>
      </w:r>
      <w:r>
        <w:rPr>
          <w:lang w:val="en-GB"/>
        </w:rPr>
        <w:t>([GC], no. </w:t>
      </w:r>
      <w:r w:rsidRPr="00081659">
        <w:rPr>
          <w:lang w:val="en-GB"/>
        </w:rPr>
        <w:t xml:space="preserve">22978/05, § </w:t>
      </w:r>
      <w:r>
        <w:rPr>
          <w:lang w:val="en-GB"/>
        </w:rPr>
        <w:t>164</w:t>
      </w:r>
      <w:r w:rsidRPr="00081659">
        <w:rPr>
          <w:lang w:val="en-GB"/>
        </w:rPr>
        <w:t>, ECHR 2010</w:t>
      </w:r>
      <w:r>
        <w:rPr>
          <w:lang w:val="en-GB"/>
        </w:rPr>
        <w:t xml:space="preserve">), observing </w:t>
      </w:r>
      <w:r w:rsidRPr="00560C52">
        <w:rPr>
          <w:color w:val="000000"/>
          <w:lang w:val="en-GB"/>
        </w:rPr>
        <w:t xml:space="preserve">that </w:t>
      </w:r>
      <w:r w:rsidRPr="00560C52">
        <w:rPr>
          <w:color w:val="000000"/>
          <w:shd w:val="clear" w:color="auto" w:fill="FFFFFF"/>
          <w:lang w:val="en-GB"/>
        </w:rPr>
        <w:t xml:space="preserve">in determining whether the proceedings as a whole were fair, regard must also be had to whether the rights of the defence </w:t>
      </w:r>
      <w:r>
        <w:rPr>
          <w:color w:val="000000"/>
          <w:shd w:val="clear" w:color="auto" w:fill="FFFFFF"/>
          <w:lang w:val="en-GB"/>
        </w:rPr>
        <w:t>were</w:t>
      </w:r>
      <w:r w:rsidRPr="00560C52">
        <w:rPr>
          <w:color w:val="000000"/>
          <w:shd w:val="clear" w:color="auto" w:fill="FFFFFF"/>
          <w:lang w:val="en-GB"/>
        </w:rPr>
        <w:t xml:space="preserve"> respected. In particular, it must be examined whether the applicant was given an opportunity to challenge the authenticity of the evidence and to oppose its use. In this connection, weight is attached to whether the evidence in question was or was not decisive for the outcome of the proceedings</w:t>
      </w:r>
      <w:r>
        <w:rPr>
          <w:color w:val="000000"/>
          <w:shd w:val="clear" w:color="auto" w:fill="FFFFFF"/>
          <w:lang w:val="en-GB"/>
        </w:rPr>
        <w:t xml:space="preserve"> </w:t>
      </w:r>
      <w:r w:rsidRPr="00560C52">
        <w:rPr>
          <w:color w:val="000000"/>
          <w:shd w:val="clear" w:color="auto" w:fill="FFFFFF"/>
          <w:lang w:val="en-GB"/>
        </w:rPr>
        <w:t>(</w:t>
      </w:r>
      <w:r>
        <w:rPr>
          <w:color w:val="000000"/>
          <w:shd w:val="clear" w:color="auto" w:fill="FFFFFF"/>
          <w:lang w:val="en-GB"/>
        </w:rPr>
        <w:t>ibid.</w:t>
      </w:r>
      <w:r w:rsidRPr="00560C52">
        <w:rPr>
          <w:color w:val="000000"/>
          <w:shd w:val="clear" w:color="auto" w:fill="FFFFFF"/>
          <w:lang w:val="en-GB"/>
        </w:rPr>
        <w:t>)</w:t>
      </w:r>
      <w:r>
        <w:rPr>
          <w:color w:val="000000"/>
          <w:shd w:val="clear" w:color="auto" w:fill="FFFFFF"/>
          <w:lang w:val="en-GB"/>
        </w:rPr>
        <w:t>.</w:t>
      </w:r>
    </w:p>
    <w:p w:rsidR="00406AD9" w:rsidRPr="00562B63" w:rsidRDefault="00406AD9" w:rsidP="00562B63">
      <w:pPr>
        <w:pStyle w:val="ECHRPara"/>
        <w:tabs>
          <w:tab w:val="left" w:pos="6312"/>
        </w:tabs>
        <w:rPr>
          <w:noProof/>
          <w:color w:val="000000"/>
          <w:lang w:val="en-GB"/>
        </w:rPr>
      </w:pPr>
      <w:r w:rsidRPr="00562B63">
        <w:rPr>
          <w:noProof/>
          <w:color w:val="000000"/>
          <w:lang w:val="en-GB"/>
        </w:rPr>
        <w:fldChar w:fldCharType="begin"/>
      </w:r>
      <w:r w:rsidRPr="00562B63">
        <w:rPr>
          <w:noProof/>
          <w:color w:val="000000"/>
          <w:lang w:val="en-GB"/>
        </w:rPr>
        <w:instrText xml:space="preserve"> SEQ level0 \*arabic </w:instrText>
      </w:r>
      <w:r w:rsidRPr="00562B63">
        <w:rPr>
          <w:noProof/>
          <w:color w:val="000000"/>
          <w:lang w:val="en-GB"/>
        </w:rPr>
        <w:fldChar w:fldCharType="separate"/>
      </w:r>
      <w:r>
        <w:rPr>
          <w:noProof/>
          <w:color w:val="000000"/>
          <w:lang w:val="en-GB"/>
        </w:rPr>
        <w:t>60</w:t>
      </w:r>
      <w:r w:rsidRPr="00562B63">
        <w:rPr>
          <w:noProof/>
          <w:color w:val="000000"/>
          <w:lang w:val="en-GB"/>
        </w:rPr>
        <w:fldChar w:fldCharType="end"/>
      </w:r>
      <w:r w:rsidRPr="00562B63">
        <w:rPr>
          <w:noProof/>
          <w:color w:val="000000"/>
          <w:lang w:val="en-GB"/>
        </w:rPr>
        <w:t>.  In the Government</w:t>
      </w:r>
      <w:r>
        <w:rPr>
          <w:noProof/>
          <w:color w:val="000000"/>
          <w:lang w:val="en-GB"/>
        </w:rPr>
        <w:t>’</w:t>
      </w:r>
      <w:r w:rsidRPr="00562B63">
        <w:rPr>
          <w:noProof/>
          <w:color w:val="000000"/>
          <w:lang w:val="en-GB"/>
        </w:rPr>
        <w:t>s view the applicant</w:t>
      </w:r>
      <w:r>
        <w:rPr>
          <w:noProof/>
          <w:color w:val="000000"/>
          <w:lang w:val="en-GB"/>
        </w:rPr>
        <w:t>’</w:t>
      </w:r>
      <w:r w:rsidRPr="00562B63">
        <w:rPr>
          <w:noProof/>
          <w:color w:val="000000"/>
          <w:lang w:val="en-GB"/>
        </w:rPr>
        <w:t>s pre-trial statements had not been the only evidence relied upon by the national courts in reaching his conviction.</w:t>
      </w:r>
    </w:p>
    <w:p w:rsidR="00406AD9" w:rsidRPr="00562B63" w:rsidRDefault="00406AD9" w:rsidP="00562B63">
      <w:pPr>
        <w:pStyle w:val="ECHRPara"/>
        <w:tabs>
          <w:tab w:val="left" w:pos="6312"/>
        </w:tabs>
        <w:rPr>
          <w:noProof/>
          <w:color w:val="000000"/>
          <w:lang w:val="en-GB"/>
        </w:rPr>
      </w:pPr>
      <w:r w:rsidRPr="00562B63">
        <w:rPr>
          <w:noProof/>
          <w:color w:val="000000"/>
          <w:lang w:val="en-GB"/>
        </w:rPr>
        <w:fldChar w:fldCharType="begin"/>
      </w:r>
      <w:r w:rsidRPr="00562B63">
        <w:rPr>
          <w:noProof/>
          <w:color w:val="000000"/>
          <w:lang w:val="en-GB"/>
        </w:rPr>
        <w:instrText xml:space="preserve"> SEQ level0 \*arabic </w:instrText>
      </w:r>
      <w:r w:rsidRPr="00562B63">
        <w:rPr>
          <w:noProof/>
          <w:color w:val="000000"/>
          <w:lang w:val="en-GB"/>
        </w:rPr>
        <w:fldChar w:fldCharType="separate"/>
      </w:r>
      <w:r>
        <w:rPr>
          <w:noProof/>
          <w:color w:val="000000"/>
          <w:lang w:val="en-GB"/>
        </w:rPr>
        <w:t>61</w:t>
      </w:r>
      <w:r w:rsidRPr="00562B63">
        <w:rPr>
          <w:noProof/>
          <w:color w:val="000000"/>
          <w:lang w:val="en-GB"/>
        </w:rPr>
        <w:fldChar w:fldCharType="end"/>
      </w:r>
      <w:r w:rsidRPr="00562B63">
        <w:rPr>
          <w:noProof/>
          <w:color w:val="000000"/>
          <w:lang w:val="en-GB"/>
        </w:rPr>
        <w:t>.  In response to the Court</w:t>
      </w:r>
      <w:r>
        <w:rPr>
          <w:noProof/>
          <w:color w:val="000000"/>
          <w:lang w:val="en-GB"/>
        </w:rPr>
        <w:t>’</w:t>
      </w:r>
      <w:r w:rsidRPr="00562B63">
        <w:rPr>
          <w:noProof/>
          <w:color w:val="000000"/>
          <w:lang w:val="en-GB"/>
        </w:rPr>
        <w:t>s question concerning the possibility of reopening the criminal proceedings against the applicant in the light of the Government</w:t>
      </w:r>
      <w:r>
        <w:rPr>
          <w:noProof/>
          <w:color w:val="000000"/>
          <w:lang w:val="en-GB"/>
        </w:rPr>
        <w:t>’</w:t>
      </w:r>
      <w:r w:rsidRPr="00562B63">
        <w:rPr>
          <w:noProof/>
          <w:color w:val="000000"/>
          <w:lang w:val="en-GB"/>
        </w:rPr>
        <w:t>s admission of his ill-treatment and the Court</w:t>
      </w:r>
      <w:r>
        <w:rPr>
          <w:noProof/>
          <w:color w:val="000000"/>
          <w:lang w:val="en-GB"/>
        </w:rPr>
        <w:t>’</w:t>
      </w:r>
      <w:r w:rsidRPr="00562B63">
        <w:rPr>
          <w:noProof/>
          <w:color w:val="000000"/>
          <w:lang w:val="en-GB"/>
        </w:rPr>
        <w:t>s decision in Cesnieks, the Government opined that the Court</w:t>
      </w:r>
      <w:r>
        <w:rPr>
          <w:noProof/>
          <w:color w:val="000000"/>
          <w:lang w:val="en-GB"/>
        </w:rPr>
        <w:t>’</w:t>
      </w:r>
      <w:r w:rsidRPr="00562B63">
        <w:rPr>
          <w:noProof/>
          <w:color w:val="000000"/>
          <w:lang w:val="en-GB"/>
        </w:rPr>
        <w:t>s decision could not be considered as falling within the grounds listed in section 655(2)5) of the Criminal Procedure Law (see paragraph 50 above) warranting the reopening of the criminal proceedings against the applicant.</w:t>
      </w:r>
    </w:p>
    <w:p w:rsidR="00406AD9" w:rsidRPr="00860B26" w:rsidRDefault="00406AD9" w:rsidP="00860B26">
      <w:pPr>
        <w:pStyle w:val="ECHRHeading3"/>
        <w:rPr>
          <w:i w:val="0"/>
          <w:iCs/>
          <w:color w:val="000000"/>
          <w:shd w:val="clear" w:color="auto" w:fill="FFFFFF"/>
          <w:lang w:val="en-US"/>
        </w:rPr>
      </w:pPr>
      <w:r w:rsidRPr="00860B26">
        <w:rPr>
          <w:iCs/>
          <w:color w:val="000000"/>
          <w:shd w:val="clear" w:color="auto" w:fill="FFFFFF"/>
          <w:lang w:val="en-US"/>
        </w:rPr>
        <w:t>3.  The Court</w:t>
      </w:r>
      <w:r>
        <w:rPr>
          <w:iCs/>
          <w:color w:val="000000"/>
          <w:shd w:val="clear" w:color="auto" w:fill="FFFFFF"/>
          <w:lang w:val="en-US"/>
        </w:rPr>
        <w:t>’</w:t>
      </w:r>
      <w:r w:rsidRPr="00860B26">
        <w:rPr>
          <w:iCs/>
          <w:color w:val="000000"/>
          <w:shd w:val="clear" w:color="auto" w:fill="FFFFFF"/>
          <w:lang w:val="en-US"/>
        </w:rPr>
        <w:t>s assessment</w:t>
      </w:r>
    </w:p>
    <w:p w:rsidR="00406AD9" w:rsidRPr="00860B26" w:rsidRDefault="00406AD9" w:rsidP="00860B26">
      <w:pPr>
        <w:pStyle w:val="ECHRPara"/>
        <w:rPr>
          <w:szCs w:val="24"/>
          <w:shd w:val="clear" w:color="auto" w:fill="FFFFFF"/>
          <w:lang w:val="en-GB"/>
        </w:rPr>
      </w:pPr>
      <w:r w:rsidRPr="008F0120">
        <w:rPr>
          <w:shd w:val="clear" w:color="auto" w:fill="FFFFFF"/>
        </w:rPr>
        <w:fldChar w:fldCharType="begin"/>
      </w:r>
      <w:r w:rsidRPr="008F0120">
        <w:rPr>
          <w:shd w:val="clear" w:color="auto" w:fill="FFFFFF"/>
        </w:rPr>
        <w:instrText xml:space="preserve"> SEQ level0 \*arabic </w:instrText>
      </w:r>
      <w:r w:rsidRPr="008F0120">
        <w:rPr>
          <w:shd w:val="clear" w:color="auto" w:fill="FFFFFF"/>
        </w:rPr>
        <w:fldChar w:fldCharType="separate"/>
      </w:r>
      <w:r>
        <w:rPr>
          <w:noProof/>
          <w:shd w:val="clear" w:color="auto" w:fill="FFFFFF"/>
        </w:rPr>
        <w:t>62</w:t>
      </w:r>
      <w:r w:rsidRPr="008F0120">
        <w:rPr>
          <w:shd w:val="clear" w:color="auto" w:fill="FFFFFF"/>
        </w:rPr>
        <w:fldChar w:fldCharType="end"/>
      </w:r>
      <w:r w:rsidRPr="008F0120">
        <w:rPr>
          <w:shd w:val="clear" w:color="auto" w:fill="FFFFFF"/>
        </w:rPr>
        <w:t>.  </w:t>
      </w:r>
      <w:r w:rsidRPr="00860B26">
        <w:rPr>
          <w:szCs w:val="24"/>
          <w:shd w:val="clear" w:color="auto" w:fill="FFFFFF"/>
          <w:lang w:val="en-GB"/>
        </w:rPr>
        <w:t>The Court reiterates that its duty, pursuant to Article 19 of the Convention, is to ensure the observance of the engagements undertaken by the Contracting States to the Convention. In particular, it is not its function to deal with errors of fact or of law allegedly committed by a national court unless and in so far as they may have infringed rights and freedoms protected by the Convention (</w:t>
      </w:r>
      <w:r>
        <w:rPr>
          <w:szCs w:val="24"/>
          <w:shd w:val="clear" w:color="auto" w:fill="FFFFFF"/>
          <w:lang w:val="en-GB"/>
        </w:rPr>
        <w:t xml:space="preserve">see </w:t>
      </w:r>
      <w:r w:rsidRPr="00081659">
        <w:rPr>
          <w:i/>
          <w:lang w:val="en-GB"/>
        </w:rPr>
        <w:t>Gäfgen</w:t>
      </w:r>
      <w:r w:rsidRPr="00860B26">
        <w:rPr>
          <w:szCs w:val="24"/>
          <w:shd w:val="clear" w:color="auto" w:fill="FFFFFF"/>
          <w:lang w:val="en-GB"/>
        </w:rPr>
        <w:t>,</w:t>
      </w:r>
      <w:r>
        <w:rPr>
          <w:szCs w:val="24"/>
          <w:shd w:val="clear" w:color="auto" w:fill="FFFFFF"/>
          <w:lang w:val="en-GB"/>
        </w:rPr>
        <w:t xml:space="preserve"> cited above, § </w:t>
      </w:r>
      <w:r w:rsidRPr="00860B26">
        <w:rPr>
          <w:szCs w:val="24"/>
          <w:shd w:val="clear" w:color="auto" w:fill="FFFFFF"/>
          <w:lang w:val="en-GB"/>
        </w:rPr>
        <w:t>162). While Article</w:t>
      </w:r>
      <w:r>
        <w:rPr>
          <w:szCs w:val="24"/>
          <w:shd w:val="clear" w:color="auto" w:fill="FFFFFF"/>
          <w:lang w:val="en-GB"/>
        </w:rPr>
        <w:t> </w:t>
      </w:r>
      <w:r w:rsidRPr="00860B26">
        <w:rPr>
          <w:szCs w:val="24"/>
          <w:shd w:val="clear" w:color="auto" w:fill="FFFFFF"/>
          <w:lang w:val="en-GB"/>
        </w:rPr>
        <w:t>6 guarantees the right to a fair hearing, it does not</w:t>
      </w:r>
      <w:r>
        <w:rPr>
          <w:szCs w:val="24"/>
          <w:shd w:val="clear" w:color="auto" w:fill="FFFFFF"/>
          <w:lang w:val="en-GB"/>
        </w:rPr>
        <w:t>, as the Government submitted,</w:t>
      </w:r>
      <w:r w:rsidRPr="00860B26">
        <w:rPr>
          <w:szCs w:val="24"/>
          <w:shd w:val="clear" w:color="auto" w:fill="FFFFFF"/>
          <w:lang w:val="en-GB"/>
        </w:rPr>
        <w:t xml:space="preserve"> lay down any rules on the admissibility of evidence as such, which is primarily a matter for regulation under national law (</w:t>
      </w:r>
      <w:r>
        <w:rPr>
          <w:szCs w:val="24"/>
          <w:shd w:val="clear" w:color="auto" w:fill="FFFFFF"/>
          <w:lang w:val="en-GB"/>
        </w:rPr>
        <w:t>ibid.</w:t>
      </w:r>
      <w:r w:rsidRPr="00860B26">
        <w:rPr>
          <w:szCs w:val="24"/>
          <w:shd w:val="clear" w:color="auto" w:fill="FFFFFF"/>
          <w:lang w:val="en-GB"/>
        </w:rPr>
        <w:t>).</w:t>
      </w:r>
    </w:p>
    <w:p w:rsidR="00406AD9" w:rsidRPr="00860B26" w:rsidRDefault="00406AD9" w:rsidP="00860B26">
      <w:pPr>
        <w:pStyle w:val="ECHRPara"/>
        <w:rPr>
          <w:color w:val="000000"/>
          <w:szCs w:val="24"/>
          <w:shd w:val="clear" w:color="auto" w:fill="FFFFFF"/>
          <w:lang w:val="en-GB"/>
        </w:rPr>
      </w:pPr>
      <w:r w:rsidRPr="00860B26">
        <w:rPr>
          <w:color w:val="000000"/>
          <w:szCs w:val="24"/>
          <w:shd w:val="clear" w:color="auto" w:fill="FFFFFF"/>
          <w:lang w:val="en-GB"/>
        </w:rPr>
        <w:fldChar w:fldCharType="begin"/>
      </w:r>
      <w:r w:rsidRPr="00860B26">
        <w:rPr>
          <w:color w:val="000000"/>
          <w:szCs w:val="24"/>
          <w:shd w:val="clear" w:color="auto" w:fill="FFFFFF"/>
          <w:lang w:val="en-GB"/>
        </w:rPr>
        <w:instrText xml:space="preserve"> SEQ level0 \*arabic </w:instrText>
      </w:r>
      <w:r w:rsidRPr="00860B26">
        <w:rPr>
          <w:color w:val="000000"/>
          <w:szCs w:val="24"/>
          <w:shd w:val="clear" w:color="auto" w:fill="FFFFFF"/>
          <w:lang w:val="en-GB"/>
        </w:rPr>
        <w:fldChar w:fldCharType="separate"/>
      </w:r>
      <w:r>
        <w:rPr>
          <w:noProof/>
          <w:color w:val="000000"/>
          <w:szCs w:val="24"/>
          <w:shd w:val="clear" w:color="auto" w:fill="FFFFFF"/>
          <w:lang w:val="en-GB"/>
        </w:rPr>
        <w:t>63</w:t>
      </w:r>
      <w:r w:rsidRPr="00860B26">
        <w:rPr>
          <w:color w:val="000000"/>
          <w:szCs w:val="24"/>
          <w:shd w:val="clear" w:color="auto" w:fill="FFFFFF"/>
          <w:lang w:val="en-GB"/>
        </w:rPr>
        <w:fldChar w:fldCharType="end"/>
      </w:r>
      <w:r w:rsidRPr="00860B26">
        <w:rPr>
          <w:color w:val="000000"/>
          <w:szCs w:val="24"/>
          <w:shd w:val="clear" w:color="auto" w:fill="FFFFFF"/>
          <w:lang w:val="en-GB"/>
        </w:rPr>
        <w:t>.  It is</w:t>
      </w:r>
      <w:r>
        <w:rPr>
          <w:color w:val="000000"/>
          <w:szCs w:val="24"/>
          <w:shd w:val="clear" w:color="auto" w:fill="FFFFFF"/>
          <w:lang w:val="en-GB"/>
        </w:rPr>
        <w:t xml:space="preserve"> not</w:t>
      </w:r>
      <w:r w:rsidRPr="00860B26">
        <w:rPr>
          <w:color w:val="000000"/>
          <w:szCs w:val="24"/>
          <w:shd w:val="clear" w:color="auto" w:fill="FFFFFF"/>
          <w:lang w:val="en-GB"/>
        </w:rPr>
        <w:t xml:space="preserve">, therefore, the role of the Court to determine, as a matter of principle, whether particular types of evidence – for example, evidence obtained unlawfully in terms of domestic law – may be admissible. The question which must be answered is whether the proceedings as a whole, including the way in which the evidence was obtained, were fair. This involves an examination of the </w:t>
      </w:r>
      <w:r>
        <w:rPr>
          <w:color w:val="000000"/>
          <w:szCs w:val="24"/>
          <w:shd w:val="clear" w:color="auto" w:fill="FFFFFF"/>
          <w:lang w:val="en-GB"/>
        </w:rPr>
        <w:t xml:space="preserve">alleged </w:t>
      </w:r>
      <w:r w:rsidRPr="00860B26">
        <w:rPr>
          <w:color w:val="000000"/>
          <w:szCs w:val="24"/>
          <w:shd w:val="clear" w:color="auto" w:fill="FFFFFF"/>
          <w:lang w:val="en-GB"/>
        </w:rPr>
        <w:t>unlawfulness in question and, where the violation of another Convention right is concerned, the nature of the violation found (</w:t>
      </w:r>
      <w:r>
        <w:rPr>
          <w:szCs w:val="24"/>
          <w:shd w:val="clear" w:color="auto" w:fill="FFFFFF"/>
          <w:lang w:val="en-GB"/>
        </w:rPr>
        <w:t>ibid.</w:t>
      </w:r>
      <w:r w:rsidRPr="00860B26">
        <w:rPr>
          <w:szCs w:val="24"/>
          <w:shd w:val="clear" w:color="auto" w:fill="FFFFFF"/>
          <w:lang w:val="en-GB"/>
        </w:rPr>
        <w:t xml:space="preserve">, </w:t>
      </w:r>
      <w:r>
        <w:rPr>
          <w:szCs w:val="24"/>
          <w:shd w:val="clear" w:color="auto" w:fill="FFFFFF"/>
          <w:lang w:val="en-GB"/>
        </w:rPr>
        <w:t xml:space="preserve">§ </w:t>
      </w:r>
      <w:r w:rsidRPr="00860B26">
        <w:rPr>
          <w:szCs w:val="24"/>
          <w:shd w:val="clear" w:color="auto" w:fill="FFFFFF"/>
          <w:lang w:val="en-GB"/>
        </w:rPr>
        <w:t>163</w:t>
      </w:r>
      <w:r w:rsidRPr="00860B26">
        <w:rPr>
          <w:color w:val="000000"/>
          <w:szCs w:val="24"/>
          <w:shd w:val="clear" w:color="auto" w:fill="FFFFFF"/>
          <w:lang w:val="en-GB"/>
        </w:rPr>
        <w:t>).</w:t>
      </w:r>
    </w:p>
    <w:p w:rsidR="00406AD9" w:rsidRPr="00860B26" w:rsidRDefault="00406AD9" w:rsidP="00860B26">
      <w:pPr>
        <w:pStyle w:val="ECHRPara"/>
        <w:rPr>
          <w:color w:val="000000"/>
          <w:szCs w:val="24"/>
          <w:lang w:val="en-GB"/>
        </w:rPr>
      </w:pPr>
      <w:r w:rsidRPr="00860B26">
        <w:rPr>
          <w:color w:val="000000"/>
          <w:szCs w:val="24"/>
          <w:shd w:val="clear" w:color="auto" w:fill="FFFFFF"/>
          <w:lang w:val="en-GB"/>
        </w:rPr>
        <w:fldChar w:fldCharType="begin"/>
      </w:r>
      <w:r w:rsidRPr="00860B26">
        <w:rPr>
          <w:color w:val="000000"/>
          <w:szCs w:val="24"/>
          <w:shd w:val="clear" w:color="auto" w:fill="FFFFFF"/>
          <w:lang w:val="en-GB"/>
        </w:rPr>
        <w:instrText xml:space="preserve"> SEQ level0 \*arabic </w:instrText>
      </w:r>
      <w:r w:rsidRPr="00860B26">
        <w:rPr>
          <w:color w:val="000000"/>
          <w:szCs w:val="24"/>
          <w:shd w:val="clear" w:color="auto" w:fill="FFFFFF"/>
          <w:lang w:val="en-GB"/>
        </w:rPr>
        <w:fldChar w:fldCharType="separate"/>
      </w:r>
      <w:r>
        <w:rPr>
          <w:noProof/>
          <w:color w:val="000000"/>
          <w:szCs w:val="24"/>
          <w:shd w:val="clear" w:color="auto" w:fill="FFFFFF"/>
          <w:lang w:val="en-GB"/>
        </w:rPr>
        <w:t>64</w:t>
      </w:r>
      <w:r w:rsidRPr="00860B26">
        <w:rPr>
          <w:color w:val="000000"/>
          <w:szCs w:val="24"/>
          <w:shd w:val="clear" w:color="auto" w:fill="FFFFFF"/>
          <w:lang w:val="en-GB"/>
        </w:rPr>
        <w:fldChar w:fldCharType="end"/>
      </w:r>
      <w:r w:rsidRPr="00860B26">
        <w:rPr>
          <w:color w:val="000000"/>
          <w:szCs w:val="24"/>
          <w:shd w:val="clear" w:color="auto" w:fill="FFFFFF"/>
          <w:lang w:val="en-GB"/>
        </w:rPr>
        <w:t xml:space="preserve">.  The Court agrees with the applicant that </w:t>
      </w:r>
      <w:r w:rsidRPr="00860B26">
        <w:rPr>
          <w:szCs w:val="24"/>
          <w:lang w:val="en-GB"/>
        </w:rPr>
        <w:t>particular considerations apply in respect of the use in criminal proceedings of evidence obtained in breach of Article 3.</w:t>
      </w:r>
    </w:p>
    <w:p w:rsidR="00406AD9" w:rsidRPr="001932AA" w:rsidRDefault="00406AD9" w:rsidP="00860B26">
      <w:pPr>
        <w:pStyle w:val="ECHRPara"/>
        <w:rPr>
          <w:i/>
          <w:lang w:val="en-GB"/>
        </w:rPr>
      </w:pPr>
      <w:r w:rsidRPr="00860B26">
        <w:rPr>
          <w:color w:val="000000"/>
          <w:szCs w:val="24"/>
          <w:lang w:val="en-GB"/>
        </w:rPr>
        <w:fldChar w:fldCharType="begin"/>
      </w:r>
      <w:r w:rsidRPr="00860B26">
        <w:rPr>
          <w:color w:val="000000"/>
          <w:szCs w:val="24"/>
          <w:lang w:val="en-GB"/>
        </w:rPr>
        <w:instrText xml:space="preserve"> SEQ level0 \*arabic </w:instrText>
      </w:r>
      <w:r w:rsidRPr="00860B26">
        <w:rPr>
          <w:color w:val="000000"/>
          <w:szCs w:val="24"/>
          <w:lang w:val="en-GB"/>
        </w:rPr>
        <w:fldChar w:fldCharType="separate"/>
      </w:r>
      <w:r>
        <w:rPr>
          <w:noProof/>
          <w:color w:val="000000"/>
          <w:szCs w:val="24"/>
          <w:lang w:val="en-GB"/>
        </w:rPr>
        <w:t>65</w:t>
      </w:r>
      <w:r w:rsidRPr="00860B26">
        <w:rPr>
          <w:color w:val="000000"/>
          <w:szCs w:val="24"/>
          <w:lang w:val="en-GB"/>
        </w:rPr>
        <w:fldChar w:fldCharType="end"/>
      </w:r>
      <w:r w:rsidRPr="00860B26">
        <w:rPr>
          <w:color w:val="000000"/>
          <w:szCs w:val="24"/>
          <w:lang w:val="en-GB"/>
        </w:rPr>
        <w:t>.  In particular,</w:t>
      </w:r>
      <w:r w:rsidRPr="00860B26">
        <w:rPr>
          <w:szCs w:val="24"/>
          <w:lang w:val="en-GB"/>
        </w:rPr>
        <w:t xml:space="preserve"> the </w:t>
      </w:r>
      <w:r w:rsidRPr="00860B26">
        <w:rPr>
          <w:color w:val="000000"/>
          <w:szCs w:val="24"/>
          <w:lang w:val="en-GB"/>
        </w:rPr>
        <w:t>use of evidence secured as a result of a violation of one of the core and absolute rights guaranteed by the Convention, always raises serious issues as to the fairness of the proceedings, even if the admission of such evidence was not decisive in securing a conviction. Accordingly, the admission of statements obtained as a result of torture or of other ill-treatment in breach of Article 3 as evidence to establish the relevant facts in criminal proceedings renders the proceedings as a whole unfair</w:t>
      </w:r>
      <w:r>
        <w:rPr>
          <w:color w:val="000000"/>
          <w:szCs w:val="24"/>
          <w:lang w:val="en-GB"/>
        </w:rPr>
        <w:t xml:space="preserve"> </w:t>
      </w:r>
      <w:r w:rsidRPr="00860B26">
        <w:rPr>
          <w:color w:val="000000"/>
          <w:szCs w:val="24"/>
          <w:shd w:val="clear" w:color="auto" w:fill="FFFFFF"/>
          <w:lang w:val="en-GB"/>
        </w:rPr>
        <w:t>(</w:t>
      </w:r>
      <w:r>
        <w:rPr>
          <w:szCs w:val="24"/>
          <w:shd w:val="clear" w:color="auto" w:fill="FFFFFF"/>
          <w:lang w:val="en-GB"/>
        </w:rPr>
        <w:t>ibid.</w:t>
      </w:r>
      <w:r w:rsidRPr="00860B26">
        <w:rPr>
          <w:szCs w:val="24"/>
          <w:shd w:val="clear" w:color="auto" w:fill="FFFFFF"/>
          <w:lang w:val="en-GB"/>
        </w:rPr>
        <w:t xml:space="preserve">, </w:t>
      </w:r>
      <w:r>
        <w:rPr>
          <w:szCs w:val="24"/>
          <w:shd w:val="clear" w:color="auto" w:fill="FFFFFF"/>
          <w:lang w:val="en-GB"/>
        </w:rPr>
        <w:t xml:space="preserve">§§ </w:t>
      </w:r>
      <w:r w:rsidRPr="00860B26">
        <w:rPr>
          <w:szCs w:val="24"/>
          <w:shd w:val="clear" w:color="auto" w:fill="FFFFFF"/>
          <w:lang w:val="en-GB"/>
        </w:rPr>
        <w:t>16</w:t>
      </w:r>
      <w:r>
        <w:rPr>
          <w:szCs w:val="24"/>
          <w:shd w:val="clear" w:color="auto" w:fill="FFFFFF"/>
          <w:lang w:val="en-GB"/>
        </w:rPr>
        <w:t xml:space="preserve">5 and 166; see also </w:t>
      </w:r>
      <w:r>
        <w:rPr>
          <w:i/>
          <w:snapToGrid w:val="0"/>
        </w:rPr>
        <w:t>Kaçiu and Kotorri</w:t>
      </w:r>
      <w:r>
        <w:rPr>
          <w:snapToGrid w:val="0"/>
        </w:rPr>
        <w:t xml:space="preserve"> </w:t>
      </w:r>
      <w:r>
        <w:rPr>
          <w:i/>
          <w:snapToGrid w:val="0"/>
        </w:rPr>
        <w:t>v. Albania</w:t>
      </w:r>
      <w:r>
        <w:rPr>
          <w:snapToGrid w:val="0"/>
        </w:rPr>
        <w:t>, nos. 33192/07 and 33194/07</w:t>
      </w:r>
      <w:r>
        <w:rPr>
          <w:snapToGrid w:val="0"/>
          <w:lang w:val="pt-BR"/>
        </w:rPr>
        <w:t>, § 117, 25 June 2013;</w:t>
      </w:r>
      <w:r>
        <w:rPr>
          <w:szCs w:val="24"/>
          <w:shd w:val="clear" w:color="auto" w:fill="FFFFFF"/>
          <w:lang w:val="en-GB"/>
        </w:rPr>
        <w:t xml:space="preserve"> </w:t>
      </w:r>
      <w:r w:rsidRPr="00B668D2">
        <w:rPr>
          <w:i/>
          <w:lang w:val="en-GB"/>
        </w:rPr>
        <w:t>Zamferesko v. Ukraine,</w:t>
      </w:r>
      <w:r w:rsidRPr="00B668D2">
        <w:rPr>
          <w:lang w:val="en-GB"/>
        </w:rPr>
        <w:t xml:space="preserve"> no.</w:t>
      </w:r>
      <w:r>
        <w:rPr>
          <w:lang w:val="en-GB"/>
        </w:rPr>
        <w:t> </w:t>
      </w:r>
      <w:r w:rsidRPr="00B668D2">
        <w:rPr>
          <w:lang w:val="en-GB"/>
        </w:rPr>
        <w:t>30075/06</w:t>
      </w:r>
      <w:r w:rsidRPr="00B668D2">
        <w:rPr>
          <w:snapToGrid w:val="0"/>
          <w:lang w:val="en-GB"/>
        </w:rPr>
        <w:t>, §</w:t>
      </w:r>
      <w:r w:rsidRPr="001932AA">
        <w:t> 70</w:t>
      </w:r>
      <w:r w:rsidRPr="00B668D2">
        <w:rPr>
          <w:snapToGrid w:val="0"/>
          <w:lang w:val="en-GB"/>
        </w:rPr>
        <w:t>, 15 November 2012</w:t>
      </w:r>
      <w:r>
        <w:rPr>
          <w:snapToGrid w:val="0"/>
          <w:lang w:val="en-GB"/>
        </w:rPr>
        <w:t xml:space="preserve">; </w:t>
      </w:r>
      <w:r w:rsidRPr="00B668D2">
        <w:rPr>
          <w:i/>
          <w:lang w:val="en-GB"/>
        </w:rPr>
        <w:t>Tangiyev v. Russia</w:t>
      </w:r>
      <w:r w:rsidRPr="00B668D2">
        <w:rPr>
          <w:lang w:val="en-GB"/>
        </w:rPr>
        <w:t>, no. 27610/05</w:t>
      </w:r>
      <w:r w:rsidRPr="00B668D2">
        <w:rPr>
          <w:snapToGrid w:val="0"/>
          <w:lang w:val="en-GB"/>
        </w:rPr>
        <w:t>, §</w:t>
      </w:r>
      <w:r>
        <w:rPr>
          <w:snapToGrid w:val="0"/>
          <w:lang w:val="en-GB"/>
        </w:rPr>
        <w:t> 73</w:t>
      </w:r>
      <w:r w:rsidRPr="00B668D2">
        <w:rPr>
          <w:snapToGrid w:val="0"/>
          <w:lang w:val="en-GB"/>
        </w:rPr>
        <w:t>, 11</w:t>
      </w:r>
      <w:r>
        <w:rPr>
          <w:snapToGrid w:val="0"/>
          <w:lang w:val="en-GB"/>
        </w:rPr>
        <w:t> </w:t>
      </w:r>
      <w:r w:rsidRPr="00B668D2">
        <w:rPr>
          <w:lang w:val="en-GB"/>
        </w:rPr>
        <w:t>December</w:t>
      </w:r>
      <w:r w:rsidRPr="00B668D2">
        <w:rPr>
          <w:snapToGrid w:val="0"/>
          <w:lang w:val="en-GB"/>
        </w:rPr>
        <w:t xml:space="preserve"> 2012</w:t>
      </w:r>
      <w:r>
        <w:rPr>
          <w:snapToGrid w:val="0"/>
          <w:lang w:val="en-GB"/>
        </w:rPr>
        <w:t xml:space="preserve">; and </w:t>
      </w:r>
      <w:r w:rsidRPr="00081659">
        <w:rPr>
          <w:i/>
          <w:lang w:val="en-GB"/>
        </w:rPr>
        <w:t>El Haski v. Belgium</w:t>
      </w:r>
      <w:r w:rsidRPr="00081659">
        <w:rPr>
          <w:lang w:val="en-GB"/>
        </w:rPr>
        <w:t>, no. 649/08</w:t>
      </w:r>
      <w:r w:rsidRPr="00081659">
        <w:rPr>
          <w:snapToGrid w:val="0"/>
          <w:lang w:val="en-GB"/>
        </w:rPr>
        <w:t xml:space="preserve">, § </w:t>
      </w:r>
      <w:r w:rsidRPr="001932AA">
        <w:rPr>
          <w:szCs w:val="24"/>
        </w:rPr>
        <w:t>85</w:t>
      </w:r>
      <w:r w:rsidRPr="00081659">
        <w:rPr>
          <w:snapToGrid w:val="0"/>
          <w:lang w:val="en-GB"/>
        </w:rPr>
        <w:t>, 25</w:t>
      </w:r>
      <w:r>
        <w:rPr>
          <w:snapToGrid w:val="0"/>
          <w:lang w:val="en-GB"/>
        </w:rPr>
        <w:t> </w:t>
      </w:r>
      <w:r w:rsidRPr="00081659">
        <w:rPr>
          <w:snapToGrid w:val="0"/>
          <w:lang w:val="en-GB"/>
        </w:rPr>
        <w:t>September 2012</w:t>
      </w:r>
      <w:r w:rsidRPr="00860B26">
        <w:rPr>
          <w:color w:val="000000"/>
          <w:szCs w:val="24"/>
          <w:shd w:val="clear" w:color="auto" w:fill="FFFFFF"/>
          <w:lang w:val="en-GB"/>
        </w:rPr>
        <w:t>)</w:t>
      </w:r>
      <w:r w:rsidRPr="00860B26">
        <w:rPr>
          <w:color w:val="000000"/>
          <w:szCs w:val="24"/>
          <w:lang w:val="en-GB"/>
        </w:rPr>
        <w:t>.</w:t>
      </w:r>
    </w:p>
    <w:p w:rsidR="00406AD9" w:rsidRPr="000A0756" w:rsidRDefault="00406AD9" w:rsidP="00860B26">
      <w:pPr>
        <w:pStyle w:val="ECHRPara"/>
        <w:rPr>
          <w:szCs w:val="24"/>
          <w:lang w:val="en-GB"/>
        </w:rPr>
      </w:pPr>
      <w:r>
        <w:rPr>
          <w:color w:val="000000"/>
          <w:szCs w:val="24"/>
          <w:lang w:val="en-GB"/>
        </w:rPr>
        <w:fldChar w:fldCharType="begin"/>
      </w:r>
      <w:r>
        <w:rPr>
          <w:color w:val="000000"/>
          <w:szCs w:val="24"/>
          <w:lang w:val="en-GB"/>
        </w:rPr>
        <w:instrText xml:space="preserve"> SEQ level0 \*arabic </w:instrText>
      </w:r>
      <w:r>
        <w:rPr>
          <w:color w:val="000000"/>
          <w:szCs w:val="24"/>
          <w:lang w:val="en-GB"/>
        </w:rPr>
        <w:fldChar w:fldCharType="separate"/>
      </w:r>
      <w:r>
        <w:rPr>
          <w:noProof/>
          <w:color w:val="000000"/>
          <w:szCs w:val="24"/>
          <w:lang w:val="en-GB"/>
        </w:rPr>
        <w:t>66</w:t>
      </w:r>
      <w:r>
        <w:rPr>
          <w:color w:val="000000"/>
          <w:szCs w:val="24"/>
          <w:lang w:val="en-GB"/>
        </w:rPr>
        <w:fldChar w:fldCharType="end"/>
      </w:r>
      <w:r>
        <w:rPr>
          <w:color w:val="000000"/>
          <w:szCs w:val="24"/>
          <w:lang w:val="en-GB"/>
        </w:rPr>
        <w:t>.  </w:t>
      </w:r>
      <w:r w:rsidRPr="00860B26">
        <w:rPr>
          <w:color w:val="000000"/>
          <w:szCs w:val="24"/>
          <w:lang w:val="en-GB"/>
        </w:rPr>
        <w:t>This finding applies irrespective of the probative value of the statements and irrespective of whether their use is decisive in securing the defendant</w:t>
      </w:r>
      <w:r>
        <w:rPr>
          <w:color w:val="000000"/>
          <w:szCs w:val="24"/>
          <w:lang w:val="en-GB"/>
        </w:rPr>
        <w:t>’</w:t>
      </w:r>
      <w:r w:rsidRPr="00860B26">
        <w:rPr>
          <w:color w:val="000000"/>
          <w:szCs w:val="24"/>
          <w:lang w:val="en-GB"/>
        </w:rPr>
        <w:t>s conviction (</w:t>
      </w:r>
      <w:r>
        <w:rPr>
          <w:szCs w:val="24"/>
          <w:shd w:val="clear" w:color="auto" w:fill="FFFFFF"/>
          <w:lang w:val="en-GB"/>
        </w:rPr>
        <w:t xml:space="preserve">see </w:t>
      </w:r>
      <w:r w:rsidRPr="00081659">
        <w:rPr>
          <w:i/>
          <w:lang w:val="en-GB"/>
        </w:rPr>
        <w:t>Gäfgen</w:t>
      </w:r>
      <w:r w:rsidRPr="00860B26">
        <w:rPr>
          <w:szCs w:val="24"/>
          <w:shd w:val="clear" w:color="auto" w:fill="FFFFFF"/>
          <w:lang w:val="en-GB"/>
        </w:rPr>
        <w:t>,</w:t>
      </w:r>
      <w:r>
        <w:rPr>
          <w:szCs w:val="24"/>
          <w:shd w:val="clear" w:color="auto" w:fill="FFFFFF"/>
          <w:lang w:val="en-GB"/>
        </w:rPr>
        <w:t xml:space="preserve"> cited above</w:t>
      </w:r>
      <w:r w:rsidRPr="00860B26">
        <w:rPr>
          <w:szCs w:val="24"/>
          <w:shd w:val="clear" w:color="auto" w:fill="FFFFFF"/>
          <w:lang w:val="en-GB"/>
        </w:rPr>
        <w:t xml:space="preserve">, </w:t>
      </w:r>
      <w:r>
        <w:rPr>
          <w:szCs w:val="24"/>
          <w:shd w:val="clear" w:color="auto" w:fill="FFFFFF"/>
          <w:lang w:val="en-GB"/>
        </w:rPr>
        <w:t>§ 166</w:t>
      </w:r>
      <w:r>
        <w:rPr>
          <w:color w:val="000000"/>
          <w:szCs w:val="24"/>
          <w:lang w:val="en-GB"/>
        </w:rPr>
        <w:t xml:space="preserve">; </w:t>
      </w:r>
      <w:r>
        <w:rPr>
          <w:i/>
          <w:snapToGrid w:val="0"/>
        </w:rPr>
        <w:t>Kaçiu and Kotorri</w:t>
      </w:r>
      <w:r>
        <w:rPr>
          <w:snapToGrid w:val="0"/>
        </w:rPr>
        <w:t xml:space="preserve">, </w:t>
      </w:r>
      <w:r>
        <w:rPr>
          <w:szCs w:val="24"/>
          <w:shd w:val="clear" w:color="auto" w:fill="FFFFFF"/>
          <w:lang w:val="en-GB"/>
        </w:rPr>
        <w:t>cited above</w:t>
      </w:r>
      <w:r w:rsidRPr="00860B26">
        <w:rPr>
          <w:szCs w:val="24"/>
          <w:shd w:val="clear" w:color="auto" w:fill="FFFFFF"/>
          <w:lang w:val="en-GB"/>
        </w:rPr>
        <w:t xml:space="preserve">, </w:t>
      </w:r>
      <w:r>
        <w:rPr>
          <w:szCs w:val="24"/>
          <w:shd w:val="clear" w:color="auto" w:fill="FFFFFF"/>
          <w:lang w:val="en-GB"/>
        </w:rPr>
        <w:t xml:space="preserve">§ </w:t>
      </w:r>
      <w:r>
        <w:rPr>
          <w:snapToGrid w:val="0"/>
          <w:lang w:val="pt-BR"/>
        </w:rPr>
        <w:t>117</w:t>
      </w:r>
      <w:r>
        <w:t>;</w:t>
      </w:r>
      <w:r>
        <w:rPr>
          <w:color w:val="000000"/>
          <w:szCs w:val="24"/>
          <w:lang w:val="en-GB"/>
        </w:rPr>
        <w:t xml:space="preserve"> </w:t>
      </w:r>
      <w:r w:rsidRPr="00B668D2">
        <w:rPr>
          <w:i/>
          <w:lang w:val="en-GB"/>
        </w:rPr>
        <w:t>Zamferesko</w:t>
      </w:r>
      <w:r>
        <w:rPr>
          <w:lang w:val="en-GB"/>
        </w:rPr>
        <w:t xml:space="preserve">, </w:t>
      </w:r>
      <w:r>
        <w:rPr>
          <w:szCs w:val="24"/>
          <w:shd w:val="clear" w:color="auto" w:fill="FFFFFF"/>
          <w:lang w:val="en-GB"/>
        </w:rPr>
        <w:t>cited above</w:t>
      </w:r>
      <w:r w:rsidRPr="00860B26">
        <w:rPr>
          <w:szCs w:val="24"/>
          <w:shd w:val="clear" w:color="auto" w:fill="FFFFFF"/>
          <w:lang w:val="en-GB"/>
        </w:rPr>
        <w:t xml:space="preserve">, </w:t>
      </w:r>
      <w:r>
        <w:rPr>
          <w:szCs w:val="24"/>
          <w:shd w:val="clear" w:color="auto" w:fill="FFFFFF"/>
          <w:lang w:val="en-GB"/>
        </w:rPr>
        <w:t xml:space="preserve">§ </w:t>
      </w:r>
      <w:r w:rsidRPr="007E77CF">
        <w:t>70</w:t>
      </w:r>
      <w:r>
        <w:rPr>
          <w:szCs w:val="24"/>
          <w:shd w:val="clear" w:color="auto" w:fill="FFFFFF"/>
          <w:lang w:val="en-GB"/>
        </w:rPr>
        <w:t>;</w:t>
      </w:r>
      <w:r>
        <w:rPr>
          <w:color w:val="000000"/>
          <w:szCs w:val="24"/>
          <w:lang w:val="en-GB"/>
        </w:rPr>
        <w:t xml:space="preserve"> </w:t>
      </w:r>
      <w:r w:rsidRPr="00B668D2">
        <w:rPr>
          <w:i/>
          <w:lang w:val="en-GB"/>
        </w:rPr>
        <w:t>Tangiyev</w:t>
      </w:r>
      <w:r>
        <w:rPr>
          <w:lang w:val="en-GB"/>
        </w:rPr>
        <w:t xml:space="preserve">, </w:t>
      </w:r>
      <w:r>
        <w:rPr>
          <w:szCs w:val="24"/>
          <w:shd w:val="clear" w:color="auto" w:fill="FFFFFF"/>
          <w:lang w:val="en-GB"/>
        </w:rPr>
        <w:t>cited above</w:t>
      </w:r>
      <w:r w:rsidRPr="00860B26">
        <w:rPr>
          <w:szCs w:val="24"/>
          <w:shd w:val="clear" w:color="auto" w:fill="FFFFFF"/>
          <w:lang w:val="en-GB"/>
        </w:rPr>
        <w:t xml:space="preserve">, </w:t>
      </w:r>
      <w:r>
        <w:rPr>
          <w:szCs w:val="24"/>
          <w:shd w:val="clear" w:color="auto" w:fill="FFFFFF"/>
          <w:lang w:val="en-GB"/>
        </w:rPr>
        <w:t>§ 73</w:t>
      </w:r>
      <w:r>
        <w:rPr>
          <w:color w:val="000000"/>
          <w:szCs w:val="24"/>
          <w:lang w:val="en-GB"/>
        </w:rPr>
        <w:t xml:space="preserve">; and </w:t>
      </w:r>
      <w:r w:rsidRPr="00B668D2">
        <w:rPr>
          <w:i/>
          <w:lang w:val="it-IT"/>
        </w:rPr>
        <w:t>Harutyunyan v. Armenia</w:t>
      </w:r>
      <w:r>
        <w:rPr>
          <w:lang w:val="it-IT"/>
        </w:rPr>
        <w:t>, no. </w:t>
      </w:r>
      <w:r w:rsidRPr="00B668D2">
        <w:rPr>
          <w:lang w:val="it-IT"/>
        </w:rPr>
        <w:t xml:space="preserve">36549/03, § </w:t>
      </w:r>
      <w:r>
        <w:rPr>
          <w:lang w:val="it-IT"/>
        </w:rPr>
        <w:t>66</w:t>
      </w:r>
      <w:r w:rsidRPr="00B668D2">
        <w:rPr>
          <w:lang w:val="it-IT"/>
        </w:rPr>
        <w:t>, ECHR 2007</w:t>
      </w:r>
      <w:r w:rsidRPr="00B668D2">
        <w:rPr>
          <w:lang w:val="it-IT"/>
        </w:rPr>
        <w:noBreakHyphen/>
        <w:t>III</w:t>
      </w:r>
      <w:r w:rsidRPr="00860B26">
        <w:rPr>
          <w:color w:val="000000"/>
          <w:szCs w:val="24"/>
          <w:lang w:val="en-GB"/>
        </w:rPr>
        <w:t>).</w:t>
      </w:r>
      <w:r>
        <w:rPr>
          <w:color w:val="000000"/>
          <w:szCs w:val="24"/>
          <w:lang w:val="en-GB"/>
        </w:rPr>
        <w:t xml:space="preserve"> This is to be contrasted with cases in which a conviction is not based on evidence obtained through ill-treatment but solely or to a decisive extent on the evidence of an absent witness </w:t>
      </w:r>
      <w:r w:rsidRPr="002057FE">
        <w:rPr>
          <w:color w:val="000000"/>
          <w:szCs w:val="24"/>
          <w:lang w:val="en-GB"/>
        </w:rPr>
        <w:t>in the absence of sufficient counterbalancing factors including strong procedural safeguards</w:t>
      </w:r>
      <w:r>
        <w:rPr>
          <w:color w:val="000000"/>
          <w:szCs w:val="24"/>
          <w:lang w:val="en-GB"/>
        </w:rPr>
        <w:t xml:space="preserve"> (compare and contrast </w:t>
      </w:r>
      <w:r w:rsidRPr="000A0756">
        <w:rPr>
          <w:i/>
        </w:rPr>
        <w:t>Al-Khawaja and Tahery v. the United Kingdom</w:t>
      </w:r>
      <w:r w:rsidRPr="000A0756">
        <w:t xml:space="preserve"> [GC], nos.</w:t>
      </w:r>
      <w:r>
        <w:t> </w:t>
      </w:r>
      <w:hyperlink r:id="rId10" w:anchor="{&quot;appno&quot;:[&quot;26766/05&quot;]}" w:tgtFrame="_blank" w:history="1">
        <w:r w:rsidRPr="000A0756">
          <w:t>26766/05</w:t>
        </w:r>
      </w:hyperlink>
      <w:r w:rsidRPr="000A0756">
        <w:t xml:space="preserve"> and </w:t>
      </w:r>
      <w:hyperlink r:id="rId11" w:anchor="{&quot;appno&quot;:[&quot;22228/06&quot;]}" w:tgtFrame="_blank" w:history="1">
        <w:r w:rsidRPr="000A0756">
          <w:t>22228/06</w:t>
        </w:r>
      </w:hyperlink>
      <w:r w:rsidRPr="000A0756">
        <w:t>,</w:t>
      </w:r>
      <w:r>
        <w:t xml:space="preserve"> </w:t>
      </w:r>
      <w:r w:rsidRPr="00B668D2">
        <w:rPr>
          <w:lang w:val="it-IT"/>
        </w:rPr>
        <w:t xml:space="preserve">§ </w:t>
      </w:r>
      <w:r w:rsidRPr="005E384B">
        <w:rPr>
          <w:lang w:val="en-GB"/>
        </w:rPr>
        <w:t>147</w:t>
      </w:r>
      <w:r>
        <w:rPr>
          <w:lang w:val="it-IT"/>
        </w:rPr>
        <w:t>,</w:t>
      </w:r>
      <w:r w:rsidRPr="000A0756">
        <w:t xml:space="preserve"> ECHR 2011</w:t>
      </w:r>
      <w:r>
        <w:t>).</w:t>
      </w:r>
    </w:p>
    <w:p w:rsidR="00406AD9" w:rsidRPr="00860B26" w:rsidRDefault="00406AD9" w:rsidP="00860B26">
      <w:pPr>
        <w:pStyle w:val="ECHRPara"/>
        <w:rPr>
          <w:color w:val="000000"/>
          <w:szCs w:val="24"/>
          <w:shd w:val="clear" w:color="auto" w:fill="FFFFFF"/>
          <w:lang w:val="en-GB"/>
        </w:rPr>
      </w:pPr>
      <w:r w:rsidRPr="00860B26">
        <w:rPr>
          <w:color w:val="000000"/>
          <w:szCs w:val="24"/>
          <w:shd w:val="clear" w:color="auto" w:fill="FFFFFF"/>
          <w:lang w:val="en-GB"/>
        </w:rPr>
        <w:fldChar w:fldCharType="begin"/>
      </w:r>
      <w:r w:rsidRPr="00860B26">
        <w:rPr>
          <w:color w:val="000000"/>
          <w:szCs w:val="24"/>
          <w:shd w:val="clear" w:color="auto" w:fill="FFFFFF"/>
          <w:lang w:val="en-GB"/>
        </w:rPr>
        <w:instrText xml:space="preserve"> SEQ level0 \*arabic </w:instrText>
      </w:r>
      <w:r w:rsidRPr="00860B26">
        <w:rPr>
          <w:color w:val="000000"/>
          <w:szCs w:val="24"/>
          <w:shd w:val="clear" w:color="auto" w:fill="FFFFFF"/>
          <w:lang w:val="en-GB"/>
        </w:rPr>
        <w:fldChar w:fldCharType="separate"/>
      </w:r>
      <w:r>
        <w:rPr>
          <w:noProof/>
          <w:color w:val="000000"/>
          <w:szCs w:val="24"/>
          <w:shd w:val="clear" w:color="auto" w:fill="FFFFFF"/>
          <w:lang w:val="en-GB"/>
        </w:rPr>
        <w:t>67</w:t>
      </w:r>
      <w:r w:rsidRPr="00860B26">
        <w:rPr>
          <w:color w:val="000000"/>
          <w:szCs w:val="24"/>
          <w:shd w:val="clear" w:color="auto" w:fill="FFFFFF"/>
          <w:lang w:val="en-GB"/>
        </w:rPr>
        <w:fldChar w:fldCharType="end"/>
      </w:r>
      <w:r w:rsidRPr="00860B26">
        <w:rPr>
          <w:color w:val="000000"/>
          <w:szCs w:val="24"/>
          <w:shd w:val="clear" w:color="auto" w:fill="FFFFFF"/>
          <w:lang w:val="en-GB"/>
        </w:rPr>
        <w:t>.  Turning to the present case, the Government acknowledged that the applicant had been subjected to treatment in violation of Article 3 after he had appeared at the State Police</w:t>
      </w:r>
      <w:r>
        <w:rPr>
          <w:color w:val="000000"/>
          <w:szCs w:val="24"/>
          <w:shd w:val="clear" w:color="auto" w:fill="FFFFFF"/>
          <w:lang w:val="en-GB"/>
        </w:rPr>
        <w:t xml:space="preserve"> station</w:t>
      </w:r>
      <w:r w:rsidRPr="00860B26">
        <w:rPr>
          <w:color w:val="000000"/>
          <w:szCs w:val="24"/>
          <w:shd w:val="clear" w:color="auto" w:fill="FFFFFF"/>
          <w:lang w:val="en-GB"/>
        </w:rPr>
        <w:t xml:space="preserve"> on 21 March 2002. The applicant claimed that as a result of </w:t>
      </w:r>
      <w:r>
        <w:rPr>
          <w:color w:val="000000"/>
          <w:szCs w:val="24"/>
          <w:shd w:val="clear" w:color="auto" w:fill="FFFFFF"/>
          <w:lang w:val="en-GB"/>
        </w:rPr>
        <w:t>that</w:t>
      </w:r>
      <w:r w:rsidRPr="00860B26">
        <w:rPr>
          <w:color w:val="000000"/>
          <w:szCs w:val="24"/>
          <w:shd w:val="clear" w:color="auto" w:fill="FFFFFF"/>
          <w:lang w:val="en-GB"/>
        </w:rPr>
        <w:t xml:space="preserve"> treatment he had made the self-incriminating statements</w:t>
      </w:r>
      <w:r>
        <w:rPr>
          <w:color w:val="000000"/>
          <w:szCs w:val="24"/>
          <w:shd w:val="clear" w:color="auto" w:fill="FFFFFF"/>
          <w:lang w:val="en-GB"/>
        </w:rPr>
        <w:t xml:space="preserve"> in question</w:t>
      </w:r>
      <w:r w:rsidRPr="00860B26">
        <w:rPr>
          <w:color w:val="000000"/>
          <w:szCs w:val="24"/>
          <w:shd w:val="clear" w:color="auto" w:fill="FFFFFF"/>
          <w:lang w:val="en-GB"/>
        </w:rPr>
        <w:t>. The Government in the proceedings before the Court did not claim otherwise.</w:t>
      </w:r>
    </w:p>
    <w:p w:rsidR="00406AD9" w:rsidRPr="00DA46C2" w:rsidRDefault="00406AD9" w:rsidP="00860B26">
      <w:pPr>
        <w:pStyle w:val="ECHRPara"/>
        <w:rPr>
          <w:i/>
          <w:lang w:val="en-GB"/>
        </w:rPr>
      </w:pPr>
      <w:r w:rsidRPr="00860B26">
        <w:rPr>
          <w:color w:val="000000"/>
          <w:szCs w:val="24"/>
          <w:shd w:val="clear" w:color="auto" w:fill="FFFFFF"/>
          <w:lang w:val="en-GB"/>
        </w:rPr>
        <w:fldChar w:fldCharType="begin"/>
      </w:r>
      <w:r w:rsidRPr="00860B26">
        <w:rPr>
          <w:color w:val="000000"/>
          <w:szCs w:val="24"/>
          <w:shd w:val="clear" w:color="auto" w:fill="FFFFFF"/>
          <w:lang w:val="en-GB"/>
        </w:rPr>
        <w:instrText xml:space="preserve"> SEQ level0 \*arabic </w:instrText>
      </w:r>
      <w:r w:rsidRPr="00860B26">
        <w:rPr>
          <w:color w:val="000000"/>
          <w:szCs w:val="24"/>
          <w:shd w:val="clear" w:color="auto" w:fill="FFFFFF"/>
          <w:lang w:val="en-GB"/>
        </w:rPr>
        <w:fldChar w:fldCharType="separate"/>
      </w:r>
      <w:r>
        <w:rPr>
          <w:noProof/>
          <w:color w:val="000000"/>
          <w:szCs w:val="24"/>
          <w:shd w:val="clear" w:color="auto" w:fill="FFFFFF"/>
          <w:lang w:val="en-GB"/>
        </w:rPr>
        <w:t>68</w:t>
      </w:r>
      <w:r w:rsidRPr="00860B26">
        <w:rPr>
          <w:color w:val="000000"/>
          <w:szCs w:val="24"/>
          <w:shd w:val="clear" w:color="auto" w:fill="FFFFFF"/>
          <w:lang w:val="en-GB"/>
        </w:rPr>
        <w:fldChar w:fldCharType="end"/>
      </w:r>
      <w:r w:rsidRPr="00860B26">
        <w:rPr>
          <w:color w:val="000000"/>
          <w:szCs w:val="24"/>
          <w:shd w:val="clear" w:color="auto" w:fill="FFFFFF"/>
          <w:lang w:val="en-GB"/>
        </w:rPr>
        <w:t>.  Further, the Court observes that</w:t>
      </w:r>
      <w:r>
        <w:rPr>
          <w:color w:val="000000"/>
          <w:szCs w:val="24"/>
          <w:shd w:val="clear" w:color="auto" w:fill="FFFFFF"/>
          <w:lang w:val="en-GB"/>
        </w:rPr>
        <w:t>,</w:t>
      </w:r>
      <w:r w:rsidRPr="00860B26">
        <w:rPr>
          <w:color w:val="000000"/>
          <w:szCs w:val="24"/>
          <w:shd w:val="clear" w:color="auto" w:fill="FFFFFF"/>
          <w:lang w:val="en-GB"/>
        </w:rPr>
        <w:t xml:space="preserve"> unlike in</w:t>
      </w:r>
      <w:r>
        <w:rPr>
          <w:color w:val="000000"/>
          <w:szCs w:val="24"/>
          <w:shd w:val="clear" w:color="auto" w:fill="FFFFFF"/>
          <w:lang w:val="en-GB"/>
        </w:rPr>
        <w:t xml:space="preserve"> </w:t>
      </w:r>
      <w:r w:rsidRPr="00B668D2">
        <w:rPr>
          <w:i/>
          <w:lang w:val="en-GB"/>
        </w:rPr>
        <w:t>Alchagin v. Russia</w:t>
      </w:r>
      <w:r>
        <w:rPr>
          <w:lang w:val="en-GB"/>
        </w:rPr>
        <w:t xml:space="preserve"> (no. </w:t>
      </w:r>
      <w:r w:rsidRPr="00B668D2">
        <w:rPr>
          <w:lang w:val="en-GB"/>
        </w:rPr>
        <w:t>20212/05</w:t>
      </w:r>
      <w:r w:rsidRPr="00B668D2">
        <w:rPr>
          <w:snapToGrid w:val="0"/>
          <w:szCs w:val="24"/>
          <w:lang w:val="en-GB"/>
        </w:rPr>
        <w:t>, 17 January 2012</w:t>
      </w:r>
      <w:r>
        <w:rPr>
          <w:snapToGrid w:val="0"/>
          <w:szCs w:val="24"/>
          <w:lang w:val="en-GB"/>
        </w:rPr>
        <w:t>),</w:t>
      </w:r>
      <w:r w:rsidRPr="00860B26">
        <w:rPr>
          <w:color w:val="000000"/>
          <w:szCs w:val="24"/>
          <w:shd w:val="clear" w:color="auto" w:fill="FFFFFF"/>
          <w:lang w:val="en-GB"/>
        </w:rPr>
        <w:t xml:space="preserve"> </w:t>
      </w:r>
      <w:r>
        <w:rPr>
          <w:color w:val="000000"/>
          <w:szCs w:val="24"/>
          <w:shd w:val="clear" w:color="auto" w:fill="FFFFFF"/>
          <w:lang w:val="en-GB"/>
        </w:rPr>
        <w:t xml:space="preserve">at trial </w:t>
      </w:r>
      <w:r w:rsidRPr="00860B26">
        <w:rPr>
          <w:color w:val="000000"/>
          <w:szCs w:val="24"/>
          <w:shd w:val="clear" w:color="auto" w:fill="FFFFFF"/>
          <w:lang w:val="en-GB"/>
        </w:rPr>
        <w:t xml:space="preserve">the applicant </w:t>
      </w:r>
      <w:r>
        <w:rPr>
          <w:color w:val="000000"/>
          <w:szCs w:val="24"/>
          <w:shd w:val="clear" w:color="auto" w:fill="FFFFFF"/>
          <w:lang w:val="en-GB"/>
        </w:rPr>
        <w:t>did not plead</w:t>
      </w:r>
      <w:r w:rsidRPr="00860B26">
        <w:rPr>
          <w:szCs w:val="24"/>
          <w:shd w:val="clear" w:color="auto" w:fill="FFFFFF"/>
          <w:lang w:val="en-GB"/>
        </w:rPr>
        <w:t xml:space="preserve"> guilty to the crime of which he </w:t>
      </w:r>
      <w:r>
        <w:rPr>
          <w:szCs w:val="24"/>
          <w:shd w:val="clear" w:color="auto" w:fill="FFFFFF"/>
          <w:lang w:val="en-GB"/>
        </w:rPr>
        <w:t>was</w:t>
      </w:r>
      <w:r w:rsidRPr="00860B26">
        <w:rPr>
          <w:szCs w:val="24"/>
          <w:shd w:val="clear" w:color="auto" w:fill="FFFFFF"/>
          <w:lang w:val="en-GB"/>
        </w:rPr>
        <w:t xml:space="preserve"> subsequently convicted and the applicant</w:t>
      </w:r>
      <w:r>
        <w:rPr>
          <w:szCs w:val="24"/>
          <w:shd w:val="clear" w:color="auto" w:fill="FFFFFF"/>
          <w:lang w:val="en-GB"/>
        </w:rPr>
        <w:t>’</w:t>
      </w:r>
      <w:r w:rsidRPr="00860B26">
        <w:rPr>
          <w:szCs w:val="24"/>
          <w:shd w:val="clear" w:color="auto" w:fill="FFFFFF"/>
          <w:lang w:val="en-GB"/>
        </w:rPr>
        <w:t>s defence counsel had not been present when he had made the self-incriminating statements (</w:t>
      </w:r>
      <w:r>
        <w:rPr>
          <w:szCs w:val="24"/>
          <w:shd w:val="clear" w:color="auto" w:fill="FFFFFF"/>
          <w:lang w:val="en-GB"/>
        </w:rPr>
        <w:t xml:space="preserve">ibid., §§ </w:t>
      </w:r>
      <w:r w:rsidRPr="00860B26">
        <w:rPr>
          <w:szCs w:val="24"/>
          <w:shd w:val="clear" w:color="auto" w:fill="FFFFFF"/>
          <w:lang w:val="en-GB"/>
        </w:rPr>
        <w:t>11, 70, 71 and 73).</w:t>
      </w:r>
      <w:r>
        <w:rPr>
          <w:color w:val="000000"/>
          <w:szCs w:val="24"/>
          <w:shd w:val="clear" w:color="auto" w:fill="FFFFFF"/>
          <w:lang w:val="en-GB"/>
        </w:rPr>
        <w:t xml:space="preserve"> I</w:t>
      </w:r>
      <w:r w:rsidRPr="00860B26">
        <w:rPr>
          <w:color w:val="000000"/>
          <w:szCs w:val="24"/>
          <w:shd w:val="clear" w:color="auto" w:fill="FFFFFF"/>
          <w:lang w:val="en-GB"/>
        </w:rPr>
        <w:t>t was common ground between the parties that th</w:t>
      </w:r>
      <w:r>
        <w:rPr>
          <w:color w:val="000000"/>
          <w:szCs w:val="24"/>
          <w:shd w:val="clear" w:color="auto" w:fill="FFFFFF"/>
          <w:lang w:val="en-GB"/>
        </w:rPr>
        <w:t>is</w:t>
      </w:r>
      <w:r w:rsidRPr="00860B26">
        <w:rPr>
          <w:color w:val="000000"/>
          <w:szCs w:val="24"/>
          <w:shd w:val="clear" w:color="auto" w:fill="FFFFFF"/>
          <w:lang w:val="en-GB"/>
        </w:rPr>
        <w:t xml:space="preserve"> </w:t>
      </w:r>
      <w:r>
        <w:rPr>
          <w:color w:val="000000"/>
          <w:szCs w:val="24"/>
          <w:shd w:val="clear" w:color="auto" w:fill="FFFFFF"/>
          <w:lang w:val="en-GB"/>
        </w:rPr>
        <w:t>evidence</w:t>
      </w:r>
      <w:r w:rsidRPr="00860B26">
        <w:rPr>
          <w:color w:val="000000"/>
          <w:szCs w:val="24"/>
          <w:shd w:val="clear" w:color="auto" w:fill="FFFFFF"/>
          <w:lang w:val="en-GB"/>
        </w:rPr>
        <w:t xml:space="preserve"> had been used by the </w:t>
      </w:r>
      <w:r>
        <w:rPr>
          <w:color w:val="000000"/>
          <w:szCs w:val="24"/>
          <w:shd w:val="clear" w:color="auto" w:fill="FFFFFF"/>
          <w:lang w:val="en-GB"/>
        </w:rPr>
        <w:t>Supreme</w:t>
      </w:r>
      <w:r w:rsidRPr="00860B26">
        <w:rPr>
          <w:color w:val="000000"/>
          <w:szCs w:val="24"/>
          <w:shd w:val="clear" w:color="auto" w:fill="FFFFFF"/>
          <w:lang w:val="en-GB"/>
        </w:rPr>
        <w:t xml:space="preserve"> Court in </w:t>
      </w:r>
      <w:r>
        <w:rPr>
          <w:color w:val="000000"/>
          <w:szCs w:val="24"/>
          <w:shd w:val="clear" w:color="auto" w:fill="FFFFFF"/>
          <w:lang w:val="en-GB"/>
        </w:rPr>
        <w:t>convict</w:t>
      </w:r>
      <w:r w:rsidRPr="00860B26">
        <w:rPr>
          <w:color w:val="000000"/>
          <w:szCs w:val="24"/>
          <w:shd w:val="clear" w:color="auto" w:fill="FFFFFF"/>
          <w:lang w:val="en-GB"/>
        </w:rPr>
        <w:t xml:space="preserve">ing the applicant. The parties disputed whether or not </w:t>
      </w:r>
      <w:r>
        <w:rPr>
          <w:color w:val="000000"/>
          <w:szCs w:val="24"/>
          <w:shd w:val="clear" w:color="auto" w:fill="FFFFFF"/>
          <w:lang w:val="en-GB"/>
        </w:rPr>
        <w:t>it had been</w:t>
      </w:r>
      <w:r w:rsidRPr="00860B26">
        <w:rPr>
          <w:color w:val="000000"/>
          <w:szCs w:val="24"/>
          <w:shd w:val="clear" w:color="auto" w:fill="FFFFFF"/>
          <w:lang w:val="en-GB"/>
        </w:rPr>
        <w:t xml:space="preserve"> decisive </w:t>
      </w:r>
      <w:r>
        <w:rPr>
          <w:color w:val="000000"/>
          <w:szCs w:val="24"/>
          <w:shd w:val="clear" w:color="auto" w:fill="FFFFFF"/>
          <w:lang w:val="en-GB"/>
        </w:rPr>
        <w:t>in the applicant’s conviction.</w:t>
      </w:r>
    </w:p>
    <w:p w:rsidR="00406AD9" w:rsidRPr="00BE41C8" w:rsidRDefault="00406AD9" w:rsidP="00860B26">
      <w:pPr>
        <w:pStyle w:val="ECHRPara"/>
        <w:rPr>
          <w:i/>
          <w:lang w:val="en-GB"/>
        </w:rPr>
      </w:pPr>
      <w:r w:rsidRPr="00860B26">
        <w:rPr>
          <w:szCs w:val="24"/>
          <w:lang w:val="en-GB"/>
        </w:rPr>
        <w:fldChar w:fldCharType="begin"/>
      </w:r>
      <w:r w:rsidRPr="00860B26">
        <w:rPr>
          <w:szCs w:val="24"/>
          <w:lang w:val="en-GB"/>
        </w:rPr>
        <w:instrText xml:space="preserve"> SEQ level0 \*arabic </w:instrText>
      </w:r>
      <w:r w:rsidRPr="00860B26">
        <w:rPr>
          <w:szCs w:val="24"/>
          <w:lang w:val="en-GB"/>
        </w:rPr>
        <w:fldChar w:fldCharType="separate"/>
      </w:r>
      <w:r>
        <w:rPr>
          <w:noProof/>
          <w:szCs w:val="24"/>
          <w:lang w:val="en-GB"/>
        </w:rPr>
        <w:t>69</w:t>
      </w:r>
      <w:r w:rsidRPr="00860B26">
        <w:rPr>
          <w:szCs w:val="24"/>
          <w:lang w:val="en-GB"/>
        </w:rPr>
        <w:fldChar w:fldCharType="end"/>
      </w:r>
      <w:r w:rsidRPr="00860B26">
        <w:rPr>
          <w:szCs w:val="24"/>
          <w:lang w:val="en-GB"/>
        </w:rPr>
        <w:t>.  In the</w:t>
      </w:r>
      <w:r>
        <w:rPr>
          <w:szCs w:val="24"/>
          <w:lang w:val="en-GB"/>
        </w:rPr>
        <w:t xml:space="preserve"> present case, however, the main issue for the Court is the use of evidence obtained through ill-treatment to convict the applicant (contrast </w:t>
      </w:r>
      <w:r w:rsidRPr="00081659">
        <w:rPr>
          <w:i/>
          <w:lang w:val="en-GB"/>
        </w:rPr>
        <w:t>Gäfgen</w:t>
      </w:r>
      <w:r w:rsidRPr="00860B26">
        <w:rPr>
          <w:szCs w:val="24"/>
          <w:shd w:val="clear" w:color="auto" w:fill="FFFFFF"/>
          <w:lang w:val="en-GB"/>
        </w:rPr>
        <w:t>,</w:t>
      </w:r>
      <w:r>
        <w:rPr>
          <w:szCs w:val="24"/>
          <w:shd w:val="clear" w:color="auto" w:fill="FFFFFF"/>
          <w:lang w:val="en-GB"/>
        </w:rPr>
        <w:t xml:space="preserve"> cited above, §§ </w:t>
      </w:r>
      <w:r w:rsidRPr="00860B26">
        <w:rPr>
          <w:szCs w:val="24"/>
          <w:shd w:val="clear" w:color="auto" w:fill="FFFFFF"/>
          <w:lang w:val="en-GB"/>
        </w:rPr>
        <w:t>16</w:t>
      </w:r>
      <w:r>
        <w:rPr>
          <w:szCs w:val="24"/>
          <w:shd w:val="clear" w:color="auto" w:fill="FFFFFF"/>
          <w:lang w:val="en-GB"/>
        </w:rPr>
        <w:t>7 et seq.)</w:t>
      </w:r>
      <w:r>
        <w:rPr>
          <w:szCs w:val="24"/>
          <w:lang w:val="en-GB"/>
        </w:rPr>
        <w:t>. T</w:t>
      </w:r>
      <w:r w:rsidRPr="00860B26">
        <w:rPr>
          <w:szCs w:val="24"/>
          <w:lang w:val="en-GB"/>
        </w:rPr>
        <w:t xml:space="preserve">he Court </w:t>
      </w:r>
      <w:r>
        <w:rPr>
          <w:szCs w:val="24"/>
          <w:lang w:val="en-GB"/>
        </w:rPr>
        <w:t>therefore</w:t>
      </w:r>
      <w:r w:rsidRPr="00860B26">
        <w:rPr>
          <w:szCs w:val="24"/>
          <w:lang w:val="en-GB"/>
        </w:rPr>
        <w:t xml:space="preserve"> </w:t>
      </w:r>
      <w:r>
        <w:rPr>
          <w:szCs w:val="24"/>
          <w:lang w:val="en-GB"/>
        </w:rPr>
        <w:t xml:space="preserve">rejects </w:t>
      </w:r>
      <w:r w:rsidRPr="00860B26">
        <w:rPr>
          <w:szCs w:val="24"/>
          <w:lang w:val="en-GB"/>
        </w:rPr>
        <w:t>the Government</w:t>
      </w:r>
      <w:r>
        <w:rPr>
          <w:szCs w:val="24"/>
          <w:lang w:val="en-GB"/>
        </w:rPr>
        <w:t>’</w:t>
      </w:r>
      <w:r w:rsidRPr="00860B26">
        <w:rPr>
          <w:szCs w:val="24"/>
          <w:lang w:val="en-GB"/>
        </w:rPr>
        <w:t xml:space="preserve">s contention that the </w:t>
      </w:r>
      <w:r>
        <w:rPr>
          <w:szCs w:val="24"/>
          <w:lang w:val="en-GB"/>
        </w:rPr>
        <w:t>question of</w:t>
      </w:r>
      <w:r w:rsidRPr="00860B26">
        <w:rPr>
          <w:szCs w:val="24"/>
          <w:lang w:val="en-GB"/>
        </w:rPr>
        <w:t xml:space="preserve"> whether the applicant received a fair trial depends on the weight of th</w:t>
      </w:r>
      <w:r>
        <w:rPr>
          <w:szCs w:val="24"/>
          <w:lang w:val="en-GB"/>
        </w:rPr>
        <w:t>at</w:t>
      </w:r>
      <w:r w:rsidRPr="00860B26">
        <w:rPr>
          <w:szCs w:val="24"/>
          <w:lang w:val="en-GB"/>
        </w:rPr>
        <w:t xml:space="preserve"> evidence </w:t>
      </w:r>
      <w:r w:rsidRPr="00860B26">
        <w:rPr>
          <w:color w:val="000000"/>
          <w:szCs w:val="24"/>
          <w:shd w:val="clear" w:color="auto" w:fill="FFFFFF"/>
          <w:lang w:val="en-GB"/>
        </w:rPr>
        <w:t>for the outcome of the proceedings. R</w:t>
      </w:r>
      <w:r w:rsidRPr="00860B26">
        <w:rPr>
          <w:szCs w:val="24"/>
          <w:lang w:val="en-GB"/>
        </w:rPr>
        <w:t>egardless of the impact of the applicant</w:t>
      </w:r>
      <w:r>
        <w:rPr>
          <w:szCs w:val="24"/>
          <w:lang w:val="en-GB"/>
        </w:rPr>
        <w:t>’</w:t>
      </w:r>
      <w:r w:rsidRPr="00860B26">
        <w:rPr>
          <w:szCs w:val="24"/>
          <w:lang w:val="en-GB"/>
        </w:rPr>
        <w:t>s</w:t>
      </w:r>
      <w:r>
        <w:rPr>
          <w:szCs w:val="24"/>
          <w:lang w:val="en-GB"/>
        </w:rPr>
        <w:t xml:space="preserve"> self-incriminating</w:t>
      </w:r>
      <w:r w:rsidRPr="00860B26">
        <w:rPr>
          <w:szCs w:val="24"/>
          <w:lang w:val="en-GB"/>
        </w:rPr>
        <w:t xml:space="preserve"> </w:t>
      </w:r>
      <w:r>
        <w:rPr>
          <w:szCs w:val="24"/>
          <w:lang w:val="en-GB"/>
        </w:rPr>
        <w:t xml:space="preserve">pre-trial </w:t>
      </w:r>
      <w:r w:rsidRPr="00860B26">
        <w:rPr>
          <w:szCs w:val="24"/>
          <w:lang w:val="en-GB"/>
        </w:rPr>
        <w:t xml:space="preserve">statements on the outcome of the criminal trial, their use rendered the trial as a whole unfair (see </w:t>
      </w:r>
      <w:r w:rsidRPr="00B668D2">
        <w:rPr>
          <w:i/>
          <w:lang w:val="en-GB"/>
        </w:rPr>
        <w:t>Hajnal v. Serbia</w:t>
      </w:r>
      <w:r w:rsidRPr="00B668D2">
        <w:rPr>
          <w:lang w:val="en-GB"/>
        </w:rPr>
        <w:t>, no. 36937/06</w:t>
      </w:r>
      <w:r w:rsidRPr="00B668D2">
        <w:rPr>
          <w:snapToGrid w:val="0"/>
          <w:szCs w:val="24"/>
          <w:lang w:val="en-GB"/>
        </w:rPr>
        <w:t xml:space="preserve">, § </w:t>
      </w:r>
      <w:r>
        <w:rPr>
          <w:snapToGrid w:val="0"/>
          <w:szCs w:val="24"/>
          <w:lang w:val="en-GB"/>
        </w:rPr>
        <w:t>115, 19 </w:t>
      </w:r>
      <w:r w:rsidRPr="00B668D2">
        <w:rPr>
          <w:snapToGrid w:val="0"/>
          <w:szCs w:val="24"/>
          <w:lang w:val="en-GB"/>
        </w:rPr>
        <w:t>June 2012</w:t>
      </w:r>
      <w:r>
        <w:rPr>
          <w:szCs w:val="24"/>
          <w:lang w:val="en-GB"/>
        </w:rPr>
        <w:t>)</w:t>
      </w:r>
      <w:r w:rsidRPr="00860B26">
        <w:rPr>
          <w:szCs w:val="24"/>
          <w:lang w:val="en-GB"/>
        </w:rPr>
        <w:t>.</w:t>
      </w:r>
    </w:p>
    <w:p w:rsidR="00406AD9" w:rsidRPr="00562B63" w:rsidRDefault="00406AD9" w:rsidP="00562B63">
      <w:pPr>
        <w:pStyle w:val="ECHRPara"/>
        <w:rPr>
          <w:szCs w:val="24"/>
          <w:lang w:val="en-GB"/>
        </w:rPr>
      </w:pPr>
      <w:r w:rsidRPr="00860B26">
        <w:rPr>
          <w:szCs w:val="24"/>
          <w:lang w:val="en-GB"/>
        </w:rPr>
        <w:fldChar w:fldCharType="begin"/>
      </w:r>
      <w:r w:rsidRPr="00860B26">
        <w:rPr>
          <w:szCs w:val="24"/>
          <w:lang w:val="en-GB"/>
        </w:rPr>
        <w:instrText xml:space="preserve"> SEQ level0 \*arabic </w:instrText>
      </w:r>
      <w:r w:rsidRPr="00860B26">
        <w:rPr>
          <w:szCs w:val="24"/>
          <w:lang w:val="en-GB"/>
        </w:rPr>
        <w:fldChar w:fldCharType="separate"/>
      </w:r>
      <w:r>
        <w:rPr>
          <w:noProof/>
          <w:szCs w:val="24"/>
          <w:lang w:val="en-GB"/>
        </w:rPr>
        <w:t>70</w:t>
      </w:r>
      <w:r w:rsidRPr="00860B26">
        <w:rPr>
          <w:szCs w:val="24"/>
          <w:lang w:val="en-GB"/>
        </w:rPr>
        <w:fldChar w:fldCharType="end"/>
      </w:r>
      <w:r w:rsidRPr="00860B26">
        <w:rPr>
          <w:szCs w:val="24"/>
          <w:lang w:val="en-GB"/>
        </w:rPr>
        <w:t>.  There has accordingly been a breach of Article 6 § 1 of the Convention.</w:t>
      </w:r>
    </w:p>
    <w:p w:rsidR="00406AD9" w:rsidRPr="004218BE" w:rsidRDefault="00406AD9" w:rsidP="00D7211B">
      <w:pPr>
        <w:pStyle w:val="ECHRHeading1"/>
        <w:rPr>
          <w:lang w:val="en-GB"/>
        </w:rPr>
      </w:pPr>
      <w:r w:rsidRPr="004218BE">
        <w:rPr>
          <w:lang w:val="en-GB"/>
        </w:rPr>
        <w:t>I</w:t>
      </w:r>
      <w:r>
        <w:rPr>
          <w:lang w:val="en-GB"/>
        </w:rPr>
        <w:t>I</w:t>
      </w:r>
      <w:r w:rsidRPr="004218BE">
        <w:rPr>
          <w:lang w:val="en-GB"/>
        </w:rPr>
        <w:t>.  </w:t>
      </w:r>
      <w:r>
        <w:rPr>
          <w:lang w:val="en-GB"/>
        </w:rPr>
        <w:t xml:space="preserve">OTHER </w:t>
      </w:r>
      <w:r w:rsidRPr="004218BE">
        <w:rPr>
          <w:lang w:val="en-GB"/>
        </w:rPr>
        <w:t>ALLEGED VIOLATION</w:t>
      </w:r>
      <w:r>
        <w:rPr>
          <w:lang w:val="en-GB"/>
        </w:rPr>
        <w:t>S</w:t>
      </w:r>
      <w:r w:rsidRPr="004218BE">
        <w:rPr>
          <w:lang w:val="en-GB"/>
        </w:rPr>
        <w:t xml:space="preserve"> OF </w:t>
      </w:r>
      <w:r w:rsidRPr="00452D08">
        <w:rPr>
          <w:lang w:val="en-GB"/>
        </w:rPr>
        <w:t>ARTICLE 6 § 1 OF THE</w:t>
      </w:r>
      <w:r w:rsidRPr="004218BE">
        <w:rPr>
          <w:lang w:val="en-GB"/>
        </w:rPr>
        <w:t xml:space="preserve"> CONVENTION</w:t>
      </w:r>
    </w:p>
    <w:p w:rsidR="00406AD9" w:rsidRPr="008F0120" w:rsidRDefault="00406AD9" w:rsidP="008F0120">
      <w:pPr>
        <w:pStyle w:val="ECHRPara"/>
        <w:rPr>
          <w:color w:val="000000"/>
          <w:lang w:val="en-GB"/>
        </w:rPr>
      </w:pPr>
      <w:r w:rsidRPr="008F0120">
        <w:rPr>
          <w:color w:val="000000"/>
          <w:lang w:val="en-GB"/>
        </w:rPr>
        <w:fldChar w:fldCharType="begin"/>
      </w:r>
      <w:r w:rsidRPr="008F0120">
        <w:rPr>
          <w:color w:val="000000"/>
          <w:lang w:val="en-GB"/>
        </w:rPr>
        <w:instrText xml:space="preserve"> SEQ level0 \*arabic </w:instrText>
      </w:r>
      <w:r w:rsidRPr="008F0120">
        <w:rPr>
          <w:color w:val="000000"/>
          <w:lang w:val="en-GB"/>
        </w:rPr>
        <w:fldChar w:fldCharType="separate"/>
      </w:r>
      <w:r>
        <w:rPr>
          <w:noProof/>
          <w:color w:val="000000"/>
          <w:lang w:val="en-GB"/>
        </w:rPr>
        <w:t>71</w:t>
      </w:r>
      <w:r w:rsidRPr="008F0120">
        <w:rPr>
          <w:color w:val="000000"/>
          <w:lang w:val="en-GB"/>
        </w:rPr>
        <w:fldChar w:fldCharType="end"/>
      </w:r>
      <w:r w:rsidRPr="008F0120">
        <w:rPr>
          <w:color w:val="000000"/>
          <w:lang w:val="en-GB"/>
        </w:rPr>
        <w:t xml:space="preserve">.  The applicant contended that the overall assessment of the evidence had been arbitrary. He also argued that the appeal on points of law lodged by his lawyer had not been examined on </w:t>
      </w:r>
      <w:r>
        <w:rPr>
          <w:color w:val="000000"/>
          <w:lang w:val="en-GB"/>
        </w:rPr>
        <w:t xml:space="preserve">the </w:t>
      </w:r>
      <w:r w:rsidRPr="008F0120">
        <w:rPr>
          <w:color w:val="000000"/>
          <w:lang w:val="en-GB"/>
        </w:rPr>
        <w:t xml:space="preserve">merits </w:t>
      </w:r>
      <w:r>
        <w:rPr>
          <w:color w:val="000000"/>
          <w:lang w:val="en-GB"/>
        </w:rPr>
        <w:t>because the Supreme</w:t>
      </w:r>
      <w:r w:rsidRPr="008F0120">
        <w:rPr>
          <w:color w:val="000000"/>
          <w:lang w:val="en-GB"/>
        </w:rPr>
        <w:t xml:space="preserve"> Court had used the evidence obtained in violation of Article 3 of the Convention.</w:t>
      </w:r>
    </w:p>
    <w:p w:rsidR="00406AD9" w:rsidRPr="008F0120" w:rsidRDefault="00406AD9" w:rsidP="008F0120">
      <w:pPr>
        <w:pStyle w:val="ECHRPara"/>
        <w:rPr>
          <w:lang w:val="en-GB"/>
        </w:rPr>
      </w:pPr>
      <w:r w:rsidRPr="008F0120">
        <w:rPr>
          <w:color w:val="000000"/>
          <w:shd w:val="clear" w:color="auto" w:fill="FFFFFF"/>
          <w:lang w:val="en-GB"/>
        </w:rPr>
        <w:fldChar w:fldCharType="begin"/>
      </w:r>
      <w:r w:rsidRPr="008F0120">
        <w:rPr>
          <w:color w:val="000000"/>
          <w:shd w:val="clear" w:color="auto" w:fill="FFFFFF"/>
          <w:lang w:val="en-GB"/>
        </w:rPr>
        <w:instrText xml:space="preserve"> SEQ level0 \*arabic </w:instrText>
      </w:r>
      <w:r w:rsidRPr="008F0120">
        <w:rPr>
          <w:color w:val="000000"/>
          <w:shd w:val="clear" w:color="auto" w:fill="FFFFFF"/>
          <w:lang w:val="en-GB"/>
        </w:rPr>
        <w:fldChar w:fldCharType="separate"/>
      </w:r>
      <w:r>
        <w:rPr>
          <w:noProof/>
          <w:color w:val="000000"/>
          <w:shd w:val="clear" w:color="auto" w:fill="FFFFFF"/>
          <w:lang w:val="en-GB"/>
        </w:rPr>
        <w:t>72</w:t>
      </w:r>
      <w:r w:rsidRPr="008F0120">
        <w:rPr>
          <w:color w:val="000000"/>
          <w:shd w:val="clear" w:color="auto" w:fill="FFFFFF"/>
          <w:lang w:val="en-GB"/>
        </w:rPr>
        <w:fldChar w:fldCharType="end"/>
      </w:r>
      <w:r w:rsidRPr="008F0120">
        <w:rPr>
          <w:color w:val="000000"/>
          <w:shd w:val="clear" w:color="auto" w:fill="FFFFFF"/>
          <w:lang w:val="en-GB"/>
        </w:rPr>
        <w:t xml:space="preserve">.  Having regard to its finding under Article 6 § 1 of the Convention, namely that the entire proceedings brought against the applicant </w:t>
      </w:r>
      <w:r>
        <w:rPr>
          <w:color w:val="000000"/>
          <w:shd w:val="clear" w:color="auto" w:fill="FFFFFF"/>
          <w:lang w:val="en-GB"/>
        </w:rPr>
        <w:t>were</w:t>
      </w:r>
      <w:r w:rsidRPr="008F0120">
        <w:rPr>
          <w:color w:val="000000"/>
          <w:shd w:val="clear" w:color="auto" w:fill="FFFFFF"/>
          <w:lang w:val="en-GB"/>
        </w:rPr>
        <w:t xml:space="preserve"> unfair, the Court considers that it is not necessary to </w:t>
      </w:r>
      <w:r>
        <w:rPr>
          <w:color w:val="000000"/>
          <w:shd w:val="clear" w:color="auto" w:fill="FFFFFF"/>
          <w:lang w:val="en-GB"/>
        </w:rPr>
        <w:t xml:space="preserve">separately </w:t>
      </w:r>
      <w:r w:rsidRPr="008F0120">
        <w:rPr>
          <w:color w:val="000000"/>
          <w:shd w:val="clear" w:color="auto" w:fill="FFFFFF"/>
          <w:lang w:val="en-GB"/>
        </w:rPr>
        <w:t xml:space="preserve">examine the admissibility </w:t>
      </w:r>
      <w:r>
        <w:rPr>
          <w:color w:val="000000"/>
          <w:shd w:val="clear" w:color="auto" w:fill="FFFFFF"/>
          <w:lang w:val="en-GB"/>
        </w:rPr>
        <w:t>and</w:t>
      </w:r>
      <w:r w:rsidRPr="008F0120">
        <w:rPr>
          <w:color w:val="000000"/>
          <w:shd w:val="clear" w:color="auto" w:fill="FFFFFF"/>
          <w:lang w:val="en-GB"/>
        </w:rPr>
        <w:t xml:space="preserve"> the merits of the applicant</w:t>
      </w:r>
      <w:r>
        <w:rPr>
          <w:color w:val="000000"/>
          <w:shd w:val="clear" w:color="auto" w:fill="FFFFFF"/>
          <w:lang w:val="en-GB"/>
        </w:rPr>
        <w:t>’</w:t>
      </w:r>
      <w:r w:rsidRPr="008F0120">
        <w:rPr>
          <w:color w:val="000000"/>
          <w:shd w:val="clear" w:color="auto" w:fill="FFFFFF"/>
          <w:lang w:val="en-GB"/>
        </w:rPr>
        <w:t>s additional complaints made under Article 6 § 1 (see,</w:t>
      </w:r>
      <w:r w:rsidRPr="008F0120">
        <w:rPr>
          <w:rStyle w:val="apple-converted-space"/>
          <w:color w:val="000000"/>
          <w:shd w:val="clear" w:color="auto" w:fill="FFFFFF"/>
          <w:lang w:val="en-GB"/>
        </w:rPr>
        <w:t> </w:t>
      </w:r>
      <w:r w:rsidRPr="008F0120">
        <w:rPr>
          <w:i/>
          <w:iCs/>
          <w:color w:val="000000"/>
          <w:shd w:val="clear" w:color="auto" w:fill="FFFFFF"/>
          <w:lang w:val="en-GB"/>
        </w:rPr>
        <w:t>mutatis mutandis</w:t>
      </w:r>
      <w:r w:rsidRPr="008F0120">
        <w:rPr>
          <w:color w:val="000000"/>
          <w:shd w:val="clear" w:color="auto" w:fill="FFFFFF"/>
          <w:lang w:val="en-GB"/>
        </w:rPr>
        <w:t>,</w:t>
      </w:r>
      <w:r w:rsidRPr="008F0120">
        <w:rPr>
          <w:lang w:val="en-GB"/>
        </w:rPr>
        <w:t xml:space="preserve"> </w:t>
      </w:r>
      <w:r>
        <w:rPr>
          <w:lang w:val="en-GB"/>
        </w:rPr>
        <w:t>ibid.,</w:t>
      </w:r>
      <w:r w:rsidRPr="008F0120">
        <w:rPr>
          <w:lang w:val="en-GB"/>
        </w:rPr>
        <w:t xml:space="preserve"> </w:t>
      </w:r>
      <w:r>
        <w:rPr>
          <w:lang w:val="en-GB"/>
        </w:rPr>
        <w:t xml:space="preserve">§ </w:t>
      </w:r>
      <w:r w:rsidRPr="008F0120">
        <w:rPr>
          <w:lang w:val="en-GB"/>
        </w:rPr>
        <w:t>137</w:t>
      </w:r>
      <w:r w:rsidRPr="008F0120">
        <w:rPr>
          <w:color w:val="000000"/>
          <w:shd w:val="clear" w:color="auto" w:fill="FFFFFF"/>
          <w:lang w:val="en-GB"/>
        </w:rPr>
        <w:t>).</w:t>
      </w:r>
    </w:p>
    <w:p w:rsidR="00406AD9" w:rsidRPr="004218BE" w:rsidRDefault="00406AD9" w:rsidP="00D7211B">
      <w:pPr>
        <w:pStyle w:val="ECHRHeading1"/>
        <w:rPr>
          <w:lang w:val="en-GB"/>
        </w:rPr>
      </w:pPr>
      <w:r>
        <w:rPr>
          <w:lang w:val="en-GB"/>
        </w:rPr>
        <w:t>III</w:t>
      </w:r>
      <w:r w:rsidRPr="004218BE">
        <w:rPr>
          <w:lang w:val="en-GB"/>
        </w:rPr>
        <w:t>.  APPLICATION OF ARTICLE 41 OF THE CONVENTION</w:t>
      </w:r>
    </w:p>
    <w:p w:rsidR="00406AD9" w:rsidRPr="008F0120" w:rsidRDefault="00406AD9" w:rsidP="008F0120">
      <w:pPr>
        <w:pStyle w:val="ECHRPara"/>
        <w:rPr>
          <w:lang w:val="en-GB"/>
        </w:rPr>
      </w:pPr>
      <w:r w:rsidRPr="008F0120">
        <w:rPr>
          <w:lang w:val="en-GB"/>
        </w:rPr>
        <w:fldChar w:fldCharType="begin"/>
      </w:r>
      <w:r w:rsidRPr="008F0120">
        <w:rPr>
          <w:lang w:val="en-GB"/>
        </w:rPr>
        <w:instrText xml:space="preserve"> SEQ level0 \*arabic </w:instrText>
      </w:r>
      <w:r w:rsidRPr="008F0120">
        <w:rPr>
          <w:lang w:val="en-GB"/>
        </w:rPr>
        <w:fldChar w:fldCharType="separate"/>
      </w:r>
      <w:r>
        <w:rPr>
          <w:noProof/>
          <w:lang w:val="en-GB"/>
        </w:rPr>
        <w:t>73</w:t>
      </w:r>
      <w:r w:rsidRPr="008F0120">
        <w:rPr>
          <w:lang w:val="en-GB"/>
        </w:rPr>
        <w:fldChar w:fldCharType="end"/>
      </w:r>
      <w:r w:rsidRPr="008F0120">
        <w:rPr>
          <w:lang w:val="en-GB"/>
        </w:rPr>
        <w:t>.  Article 41 of the Convention provides:</w:t>
      </w:r>
    </w:p>
    <w:p w:rsidR="00406AD9" w:rsidRPr="008F0120" w:rsidRDefault="00406AD9" w:rsidP="008F0120">
      <w:pPr>
        <w:pStyle w:val="ECHRParaQuote"/>
        <w:rPr>
          <w:lang w:val="en-GB"/>
        </w:rPr>
      </w:pPr>
      <w:r w:rsidRPr="008F0120">
        <w:rPr>
          <w:lang w:val="en-GB"/>
        </w:rPr>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406AD9" w:rsidRPr="004218BE" w:rsidRDefault="00406AD9" w:rsidP="0031109E">
      <w:pPr>
        <w:pStyle w:val="ECHRHeading2"/>
        <w:rPr>
          <w:lang w:val="en-GB"/>
        </w:rPr>
      </w:pPr>
      <w:r w:rsidRPr="004218BE">
        <w:rPr>
          <w:lang w:val="en-GB"/>
        </w:rPr>
        <w:t>A.  Damage</w:t>
      </w:r>
    </w:p>
    <w:p w:rsidR="00406AD9" w:rsidRPr="00D942A3" w:rsidRDefault="00406AD9" w:rsidP="00D942A3">
      <w:pPr>
        <w:pStyle w:val="ECHRPara"/>
        <w:rPr>
          <w:lang w:val="en-GB"/>
        </w:rPr>
      </w:pPr>
      <w:r w:rsidRPr="00D942A3">
        <w:rPr>
          <w:lang w:val="en-GB"/>
        </w:rPr>
        <w:fldChar w:fldCharType="begin"/>
      </w:r>
      <w:r w:rsidRPr="00D942A3">
        <w:rPr>
          <w:lang w:val="en-GB"/>
        </w:rPr>
        <w:instrText xml:space="preserve"> SEQ level0 \*arabic </w:instrText>
      </w:r>
      <w:r w:rsidRPr="00D942A3">
        <w:rPr>
          <w:lang w:val="en-GB"/>
        </w:rPr>
        <w:fldChar w:fldCharType="separate"/>
      </w:r>
      <w:r>
        <w:rPr>
          <w:noProof/>
          <w:lang w:val="en-GB"/>
        </w:rPr>
        <w:t>74</w:t>
      </w:r>
      <w:r w:rsidRPr="00D942A3">
        <w:rPr>
          <w:lang w:val="en-GB"/>
        </w:rPr>
        <w:fldChar w:fldCharType="end"/>
      </w:r>
      <w:r w:rsidRPr="00D942A3">
        <w:rPr>
          <w:lang w:val="en-GB"/>
        </w:rPr>
        <w:t xml:space="preserve">.  The applicant claimed 9,490.61 euros (EUR) in respect of pecuniary damage </w:t>
      </w:r>
      <w:r w:rsidRPr="00D942A3">
        <w:rPr>
          <w:shd w:val="clear" w:color="auto" w:fill="FFFFFF"/>
          <w:lang w:val="en-GB"/>
        </w:rPr>
        <w:t>on account of loss of salary resul</w:t>
      </w:r>
      <w:r>
        <w:rPr>
          <w:shd w:val="clear" w:color="auto" w:fill="FFFFFF"/>
          <w:lang w:val="en-GB"/>
        </w:rPr>
        <w:t>ting from his</w:t>
      </w:r>
      <w:r w:rsidRPr="00D942A3">
        <w:rPr>
          <w:shd w:val="clear" w:color="auto" w:fill="FFFFFF"/>
          <w:lang w:val="en-GB"/>
        </w:rPr>
        <w:t xml:space="preserve"> </w:t>
      </w:r>
      <w:r>
        <w:rPr>
          <w:shd w:val="clear" w:color="auto" w:fill="FFFFFF"/>
          <w:lang w:val="en-GB"/>
        </w:rPr>
        <w:t>imprisonment</w:t>
      </w:r>
      <w:r w:rsidRPr="00D942A3">
        <w:rPr>
          <w:shd w:val="clear" w:color="auto" w:fill="FFFFFF"/>
          <w:lang w:val="en-GB"/>
        </w:rPr>
        <w:t xml:space="preserve"> following conviction. He argued that if at liberty he would have received at least the minimum </w:t>
      </w:r>
      <w:r>
        <w:rPr>
          <w:shd w:val="clear" w:color="auto" w:fill="FFFFFF"/>
          <w:lang w:val="en-GB"/>
        </w:rPr>
        <w:t>wage</w:t>
      </w:r>
      <w:r w:rsidRPr="00D942A3">
        <w:rPr>
          <w:shd w:val="clear" w:color="auto" w:fill="FFFFFF"/>
          <w:lang w:val="en-GB"/>
        </w:rPr>
        <w:t xml:space="preserve"> applicable during the relevant period of time. </w:t>
      </w:r>
      <w:r w:rsidRPr="00D942A3">
        <w:rPr>
          <w:lang w:val="en-GB"/>
        </w:rPr>
        <w:t>The applicant also claimed EUR 50,000 in respect of non-pecu</w:t>
      </w:r>
      <w:r>
        <w:rPr>
          <w:lang w:val="en-GB"/>
        </w:rPr>
        <w:t>niary damage.</w:t>
      </w:r>
    </w:p>
    <w:p w:rsidR="00406AD9" w:rsidRPr="00D942A3" w:rsidRDefault="00406AD9" w:rsidP="00D942A3">
      <w:pPr>
        <w:pStyle w:val="ECHRPara"/>
        <w:rPr>
          <w:shd w:val="clear" w:color="auto" w:fill="FFFFFF"/>
          <w:lang w:val="en-GB"/>
        </w:rPr>
      </w:pPr>
      <w:r w:rsidRPr="00D942A3">
        <w:rPr>
          <w:lang w:val="en-GB"/>
        </w:rPr>
        <w:fldChar w:fldCharType="begin"/>
      </w:r>
      <w:r w:rsidRPr="00D942A3">
        <w:rPr>
          <w:lang w:val="en-GB"/>
        </w:rPr>
        <w:instrText xml:space="preserve"> SEQ level0 \*arabic </w:instrText>
      </w:r>
      <w:r w:rsidRPr="00D942A3">
        <w:rPr>
          <w:lang w:val="en-GB"/>
        </w:rPr>
        <w:fldChar w:fldCharType="separate"/>
      </w:r>
      <w:r>
        <w:rPr>
          <w:noProof/>
          <w:lang w:val="en-GB"/>
        </w:rPr>
        <w:t>75</w:t>
      </w:r>
      <w:r w:rsidRPr="00D942A3">
        <w:rPr>
          <w:lang w:val="en-GB"/>
        </w:rPr>
        <w:fldChar w:fldCharType="end"/>
      </w:r>
      <w:r w:rsidRPr="00D942A3">
        <w:rPr>
          <w:lang w:val="en-GB"/>
        </w:rPr>
        <w:t>.  </w:t>
      </w:r>
      <w:r w:rsidRPr="006E5EB9">
        <w:rPr>
          <w:lang w:val="en-GB"/>
        </w:rPr>
        <w:t xml:space="preserve">The Government contested these claims. </w:t>
      </w:r>
      <w:r w:rsidRPr="006E5EB9">
        <w:rPr>
          <w:shd w:val="clear" w:color="auto" w:fill="FFFFFF"/>
          <w:lang w:val="en-GB"/>
        </w:rPr>
        <w:t>With</w:t>
      </w:r>
      <w:r w:rsidRPr="00D942A3">
        <w:rPr>
          <w:shd w:val="clear" w:color="auto" w:fill="FFFFFF"/>
          <w:lang w:val="en-GB"/>
        </w:rPr>
        <w:t xml:space="preserve"> regard to pecuniary damage they opined that </w:t>
      </w:r>
      <w:r>
        <w:rPr>
          <w:shd w:val="clear" w:color="auto" w:fill="FFFFFF"/>
          <w:lang w:val="en-GB"/>
        </w:rPr>
        <w:t>there was no</w:t>
      </w:r>
      <w:r w:rsidRPr="00D942A3">
        <w:rPr>
          <w:shd w:val="clear" w:color="auto" w:fill="FFFFFF"/>
          <w:lang w:val="en-GB"/>
        </w:rPr>
        <w:t xml:space="preserve"> causal link between the damage claimed by the applicant and the violation of the Convention.</w:t>
      </w:r>
    </w:p>
    <w:p w:rsidR="00406AD9" w:rsidRPr="00D942A3" w:rsidRDefault="00406AD9" w:rsidP="00D942A3">
      <w:pPr>
        <w:pStyle w:val="ECHRPara"/>
        <w:rPr>
          <w:i/>
          <w:lang w:val="en-GB"/>
        </w:rPr>
      </w:pPr>
      <w:r w:rsidRPr="00D942A3">
        <w:rPr>
          <w:shd w:val="clear" w:color="auto" w:fill="FFFFFF"/>
          <w:lang w:val="en-GB"/>
        </w:rPr>
        <w:fldChar w:fldCharType="begin"/>
      </w:r>
      <w:r w:rsidRPr="00D942A3">
        <w:rPr>
          <w:shd w:val="clear" w:color="auto" w:fill="FFFFFF"/>
          <w:lang w:val="en-GB"/>
        </w:rPr>
        <w:instrText xml:space="preserve"> SEQ level0 \*arabic </w:instrText>
      </w:r>
      <w:r w:rsidRPr="00D942A3">
        <w:rPr>
          <w:shd w:val="clear" w:color="auto" w:fill="FFFFFF"/>
          <w:lang w:val="en-GB"/>
        </w:rPr>
        <w:fldChar w:fldCharType="separate"/>
      </w:r>
      <w:r>
        <w:rPr>
          <w:noProof/>
          <w:shd w:val="clear" w:color="auto" w:fill="FFFFFF"/>
          <w:lang w:val="en-GB"/>
        </w:rPr>
        <w:t>76</w:t>
      </w:r>
      <w:r w:rsidRPr="00D942A3">
        <w:rPr>
          <w:shd w:val="clear" w:color="auto" w:fill="FFFFFF"/>
          <w:lang w:val="en-GB"/>
        </w:rPr>
        <w:fldChar w:fldCharType="end"/>
      </w:r>
      <w:r w:rsidRPr="00D942A3">
        <w:rPr>
          <w:shd w:val="clear" w:color="auto" w:fill="FFFFFF"/>
          <w:lang w:val="en-GB"/>
        </w:rPr>
        <w:t>.  In the Government</w:t>
      </w:r>
      <w:r>
        <w:rPr>
          <w:shd w:val="clear" w:color="auto" w:fill="FFFFFF"/>
          <w:lang w:val="en-GB"/>
        </w:rPr>
        <w:t>’</w:t>
      </w:r>
      <w:r w:rsidRPr="00D942A3">
        <w:rPr>
          <w:shd w:val="clear" w:color="auto" w:fill="FFFFFF"/>
          <w:lang w:val="en-GB"/>
        </w:rPr>
        <w:t xml:space="preserve">s opinion the non-pecuniary damage claimed by the applicant was exorbitant. Referring to </w:t>
      </w:r>
      <w:r w:rsidRPr="00D942A3">
        <w:rPr>
          <w:i/>
          <w:lang w:val="en-GB"/>
        </w:rPr>
        <w:t>Malininas v. Lithuania</w:t>
      </w:r>
      <w:r>
        <w:rPr>
          <w:lang w:val="en-GB"/>
        </w:rPr>
        <w:t xml:space="preserve"> (no. </w:t>
      </w:r>
      <w:r w:rsidRPr="00D942A3">
        <w:rPr>
          <w:lang w:val="en-GB"/>
        </w:rPr>
        <w:t xml:space="preserve">10071/04, § 43, 1 July 2008) and </w:t>
      </w:r>
      <w:r w:rsidRPr="00D942A3">
        <w:rPr>
          <w:i/>
          <w:lang w:val="en-GB"/>
        </w:rPr>
        <w:t>Lalas v. Lithuania</w:t>
      </w:r>
      <w:r w:rsidRPr="00D942A3">
        <w:rPr>
          <w:lang w:val="en-GB"/>
        </w:rPr>
        <w:t xml:space="preserve"> (no. 13109/04</w:t>
      </w:r>
      <w:r>
        <w:rPr>
          <w:snapToGrid w:val="0"/>
          <w:lang w:val="en-GB"/>
        </w:rPr>
        <w:t>, §§ </w:t>
      </w:r>
      <w:r w:rsidRPr="00D942A3">
        <w:rPr>
          <w:snapToGrid w:val="0"/>
          <w:lang w:val="en-GB"/>
        </w:rPr>
        <w:t xml:space="preserve">52 and 53, </w:t>
      </w:r>
      <w:r w:rsidRPr="00D942A3">
        <w:rPr>
          <w:lang w:val="en-GB"/>
        </w:rPr>
        <w:t xml:space="preserve">1 March </w:t>
      </w:r>
      <w:r w:rsidRPr="00D942A3">
        <w:rPr>
          <w:snapToGrid w:val="0"/>
          <w:lang w:val="en-GB"/>
        </w:rPr>
        <w:t>2011)</w:t>
      </w:r>
      <w:r>
        <w:rPr>
          <w:snapToGrid w:val="0"/>
          <w:lang w:val="en-GB"/>
        </w:rPr>
        <w:t>,</w:t>
      </w:r>
      <w:r w:rsidRPr="00D942A3">
        <w:rPr>
          <w:lang w:val="en-GB"/>
        </w:rPr>
        <w:t xml:space="preserve"> </w:t>
      </w:r>
      <w:r w:rsidRPr="00D942A3">
        <w:rPr>
          <w:shd w:val="clear" w:color="auto" w:fill="FFFFFF"/>
          <w:lang w:val="en-GB"/>
        </w:rPr>
        <w:t xml:space="preserve">they </w:t>
      </w:r>
      <w:r>
        <w:rPr>
          <w:shd w:val="clear" w:color="auto" w:fill="FFFFFF"/>
          <w:lang w:val="en-GB"/>
        </w:rPr>
        <w:t>submitted</w:t>
      </w:r>
      <w:r w:rsidRPr="00D942A3">
        <w:rPr>
          <w:shd w:val="clear" w:color="auto" w:fill="FFFFFF"/>
          <w:lang w:val="en-GB"/>
        </w:rPr>
        <w:t xml:space="preserve"> that if the Court were to find a violation of the Convention such a pronouncement </w:t>
      </w:r>
      <w:r>
        <w:rPr>
          <w:shd w:val="clear" w:color="auto" w:fill="FFFFFF"/>
          <w:lang w:val="en-GB"/>
        </w:rPr>
        <w:t xml:space="preserve">would </w:t>
      </w:r>
      <w:r w:rsidRPr="00D942A3">
        <w:rPr>
          <w:shd w:val="clear" w:color="auto" w:fill="FFFFFF"/>
          <w:lang w:val="en-GB"/>
        </w:rPr>
        <w:t xml:space="preserve">in itself constitute adequate and sufficient </w:t>
      </w:r>
      <w:r>
        <w:rPr>
          <w:shd w:val="clear" w:color="auto" w:fill="FFFFFF"/>
          <w:lang w:val="en-GB"/>
        </w:rPr>
        <w:t>just satisfaction</w:t>
      </w:r>
      <w:r w:rsidRPr="00D942A3">
        <w:rPr>
          <w:shd w:val="clear" w:color="auto" w:fill="FFFFFF"/>
          <w:lang w:val="en-GB"/>
        </w:rPr>
        <w:t xml:space="preserve">, and if the violation necessitated a retrial such an opportunity would be provided for by the Criminal Procedure Law. In this </w:t>
      </w:r>
      <w:r>
        <w:rPr>
          <w:shd w:val="clear" w:color="auto" w:fill="FFFFFF"/>
          <w:lang w:val="en-GB"/>
        </w:rPr>
        <w:t>connection,</w:t>
      </w:r>
      <w:r w:rsidRPr="00D942A3">
        <w:rPr>
          <w:shd w:val="clear" w:color="auto" w:fill="FFFFFF"/>
          <w:lang w:val="en-GB"/>
        </w:rPr>
        <w:t xml:space="preserve"> the Court notes that the Government submitted to the Court a letter of the Prosecutor General dated 2 April 2012 which stated that it was difficult to give a</w:t>
      </w:r>
      <w:r>
        <w:rPr>
          <w:shd w:val="clear" w:color="auto" w:fill="FFFFFF"/>
          <w:lang w:val="en-GB"/>
        </w:rPr>
        <w:t xml:space="preserve"> hypothetical</w:t>
      </w:r>
      <w:r w:rsidRPr="00D942A3">
        <w:rPr>
          <w:shd w:val="clear" w:color="auto" w:fill="FFFFFF"/>
          <w:lang w:val="en-GB"/>
        </w:rPr>
        <w:t xml:space="preserve"> opinion about </w:t>
      </w:r>
      <w:r>
        <w:rPr>
          <w:shd w:val="clear" w:color="auto" w:fill="FFFFFF"/>
          <w:lang w:val="en-GB"/>
        </w:rPr>
        <w:t>the</w:t>
      </w:r>
      <w:r w:rsidRPr="00D942A3">
        <w:rPr>
          <w:shd w:val="clear" w:color="auto" w:fill="FFFFFF"/>
          <w:lang w:val="en-GB"/>
        </w:rPr>
        <w:t xml:space="preserve"> possibility of reopening the criminal proceedings if the Cou</w:t>
      </w:r>
      <w:r>
        <w:rPr>
          <w:shd w:val="clear" w:color="auto" w:fill="FFFFFF"/>
          <w:lang w:val="en-GB"/>
        </w:rPr>
        <w:t>rt found a violation of Article </w:t>
      </w:r>
      <w:r w:rsidRPr="00D942A3">
        <w:rPr>
          <w:shd w:val="clear" w:color="auto" w:fill="FFFFFF"/>
          <w:lang w:val="en-GB"/>
        </w:rPr>
        <w:t>6 § 1 of the Convention and that it would be a matter to be decided</w:t>
      </w:r>
      <w:r>
        <w:rPr>
          <w:shd w:val="clear" w:color="auto" w:fill="FFFFFF"/>
          <w:lang w:val="en-GB"/>
        </w:rPr>
        <w:t xml:space="preserve"> on</w:t>
      </w:r>
      <w:r w:rsidRPr="00D942A3">
        <w:rPr>
          <w:shd w:val="clear" w:color="auto" w:fill="FFFFFF"/>
          <w:lang w:val="en-GB"/>
        </w:rPr>
        <w:t xml:space="preserve"> by a prosecutor</w:t>
      </w:r>
      <w:r>
        <w:rPr>
          <w:shd w:val="clear" w:color="auto" w:fill="FFFFFF"/>
          <w:lang w:val="en-GB"/>
        </w:rPr>
        <w:t xml:space="preserve"> if the situation actually arose</w:t>
      </w:r>
      <w:r w:rsidRPr="00D942A3">
        <w:rPr>
          <w:shd w:val="clear" w:color="auto" w:fill="FFFFFF"/>
          <w:lang w:val="en-GB"/>
        </w:rPr>
        <w:t>.</w:t>
      </w:r>
    </w:p>
    <w:p w:rsidR="00406AD9" w:rsidRPr="00553C26" w:rsidRDefault="00406AD9" w:rsidP="00D942A3">
      <w:pPr>
        <w:pStyle w:val="ECHRPara"/>
        <w:rPr>
          <w:shd w:val="clear" w:color="auto" w:fill="FFFFFF"/>
          <w:lang w:val="en-GB"/>
        </w:rPr>
      </w:pPr>
      <w:r w:rsidRPr="00D942A3">
        <w:rPr>
          <w:shd w:val="clear" w:color="auto" w:fill="FFFFFF"/>
          <w:lang w:val="en-GB"/>
        </w:rPr>
        <w:fldChar w:fldCharType="begin"/>
      </w:r>
      <w:r w:rsidRPr="00D942A3">
        <w:rPr>
          <w:shd w:val="clear" w:color="auto" w:fill="FFFFFF"/>
          <w:lang w:val="en-GB"/>
        </w:rPr>
        <w:instrText xml:space="preserve"> SEQ level0 \*arabic </w:instrText>
      </w:r>
      <w:r w:rsidRPr="00D942A3">
        <w:rPr>
          <w:shd w:val="clear" w:color="auto" w:fill="FFFFFF"/>
          <w:lang w:val="en-GB"/>
        </w:rPr>
        <w:fldChar w:fldCharType="separate"/>
      </w:r>
      <w:r>
        <w:rPr>
          <w:noProof/>
          <w:shd w:val="clear" w:color="auto" w:fill="FFFFFF"/>
          <w:lang w:val="en-GB"/>
        </w:rPr>
        <w:t>77</w:t>
      </w:r>
      <w:r w:rsidRPr="00D942A3">
        <w:rPr>
          <w:shd w:val="clear" w:color="auto" w:fill="FFFFFF"/>
          <w:lang w:val="en-GB"/>
        </w:rPr>
        <w:fldChar w:fldCharType="end"/>
      </w:r>
      <w:r w:rsidRPr="00D942A3">
        <w:rPr>
          <w:shd w:val="clear" w:color="auto" w:fill="FFFFFF"/>
          <w:lang w:val="en-GB"/>
        </w:rPr>
        <w:t xml:space="preserve">.  In this respect the applicant pointed out that under the Criminal Procedure Law a prosecutor may initiate </w:t>
      </w:r>
      <w:r>
        <w:rPr>
          <w:shd w:val="clear" w:color="auto" w:fill="FFFFFF"/>
          <w:lang w:val="en-GB"/>
        </w:rPr>
        <w:t xml:space="preserve">the </w:t>
      </w:r>
      <w:r w:rsidRPr="00D942A3">
        <w:rPr>
          <w:shd w:val="clear" w:color="auto" w:fill="FFFFFF"/>
          <w:lang w:val="en-GB"/>
        </w:rPr>
        <w:t xml:space="preserve">reopening of criminal proceedings, </w:t>
      </w:r>
      <w:r>
        <w:rPr>
          <w:shd w:val="clear" w:color="auto" w:fill="FFFFFF"/>
          <w:lang w:val="en-GB"/>
        </w:rPr>
        <w:t>but</w:t>
      </w:r>
      <w:r w:rsidRPr="00D942A3">
        <w:rPr>
          <w:shd w:val="clear" w:color="auto" w:fill="FFFFFF"/>
          <w:lang w:val="en-GB"/>
        </w:rPr>
        <w:t xml:space="preserve"> does not have an obligation to do so. </w:t>
      </w:r>
      <w:r>
        <w:rPr>
          <w:shd w:val="clear" w:color="auto" w:fill="FFFFFF"/>
          <w:lang w:val="en-GB"/>
        </w:rPr>
        <w:t>T</w:t>
      </w:r>
      <w:r w:rsidRPr="00D942A3">
        <w:rPr>
          <w:shd w:val="clear" w:color="auto" w:fill="FFFFFF"/>
          <w:lang w:val="en-GB"/>
        </w:rPr>
        <w:t xml:space="preserve">he Criminal Procedure Law </w:t>
      </w:r>
      <w:r>
        <w:rPr>
          <w:shd w:val="clear" w:color="auto" w:fill="FFFFFF"/>
          <w:lang w:val="en-GB"/>
        </w:rPr>
        <w:t>also gives</w:t>
      </w:r>
      <w:r w:rsidRPr="00D942A3">
        <w:rPr>
          <w:shd w:val="clear" w:color="auto" w:fill="FFFFFF"/>
          <w:lang w:val="en-GB"/>
        </w:rPr>
        <w:t xml:space="preserve"> an accused</w:t>
      </w:r>
      <w:r>
        <w:rPr>
          <w:shd w:val="clear" w:color="auto" w:fill="FFFFFF"/>
          <w:lang w:val="en-GB"/>
        </w:rPr>
        <w:t xml:space="preserve"> the ability</w:t>
      </w:r>
      <w:r w:rsidRPr="00D942A3">
        <w:rPr>
          <w:shd w:val="clear" w:color="auto" w:fill="FFFFFF"/>
          <w:lang w:val="en-GB"/>
        </w:rPr>
        <w:t xml:space="preserve"> to </w:t>
      </w:r>
      <w:r>
        <w:rPr>
          <w:shd w:val="clear" w:color="auto" w:fill="FFFFFF"/>
          <w:lang w:val="en-GB"/>
        </w:rPr>
        <w:t>apply to</w:t>
      </w:r>
      <w:r w:rsidRPr="00D942A3">
        <w:rPr>
          <w:shd w:val="clear" w:color="auto" w:fill="FFFFFF"/>
          <w:lang w:val="en-GB"/>
        </w:rPr>
        <w:t xml:space="preserve"> the Supreme Court </w:t>
      </w:r>
      <w:r>
        <w:rPr>
          <w:shd w:val="clear" w:color="auto" w:fill="FFFFFF"/>
          <w:lang w:val="en-GB"/>
        </w:rPr>
        <w:t xml:space="preserve">for reconsideration of </w:t>
      </w:r>
      <w:r w:rsidRPr="00D942A3">
        <w:rPr>
          <w:shd w:val="clear" w:color="auto" w:fill="FFFFFF"/>
          <w:lang w:val="en-GB"/>
        </w:rPr>
        <w:t xml:space="preserve">the verdict. However, </w:t>
      </w:r>
      <w:r>
        <w:rPr>
          <w:shd w:val="clear" w:color="auto" w:fill="FFFFFF"/>
          <w:lang w:val="en-GB"/>
        </w:rPr>
        <w:t>the applicant highlighted that</w:t>
      </w:r>
      <w:r w:rsidRPr="00D942A3">
        <w:rPr>
          <w:shd w:val="clear" w:color="auto" w:fill="FFFFFF"/>
          <w:lang w:val="en-GB"/>
        </w:rPr>
        <w:t xml:space="preserve"> on 28 April 2011 in case SKK-J-1/2011 the Supreme Court had denied the </w:t>
      </w:r>
      <w:r w:rsidRPr="00553C26">
        <w:rPr>
          <w:shd w:val="clear" w:color="auto" w:fill="FFFFFF"/>
          <w:lang w:val="en-GB"/>
        </w:rPr>
        <w:t>reopening of the criminal proceedings following the Court</w:t>
      </w:r>
      <w:r>
        <w:rPr>
          <w:shd w:val="clear" w:color="auto" w:fill="FFFFFF"/>
          <w:lang w:val="en-GB"/>
        </w:rPr>
        <w:t>’</w:t>
      </w:r>
      <w:r w:rsidRPr="00553C26">
        <w:rPr>
          <w:shd w:val="clear" w:color="auto" w:fill="FFFFFF"/>
          <w:lang w:val="en-GB"/>
        </w:rPr>
        <w:t xml:space="preserve">s judgment in </w:t>
      </w:r>
      <w:r w:rsidRPr="00553C26">
        <w:rPr>
          <w:i/>
          <w:lang w:val="en-GB"/>
        </w:rPr>
        <w:t>Pacula v. Latvia</w:t>
      </w:r>
      <w:r w:rsidRPr="00553C26">
        <w:rPr>
          <w:lang w:val="en-GB"/>
        </w:rPr>
        <w:t xml:space="preserve"> (no. 65014/01, 15 September 2009</w:t>
      </w:r>
      <w:r w:rsidRPr="00553C26">
        <w:rPr>
          <w:shd w:val="clear" w:color="auto" w:fill="FFFFFF"/>
          <w:lang w:val="en-GB"/>
        </w:rPr>
        <w:t>).</w:t>
      </w:r>
    </w:p>
    <w:p w:rsidR="00406AD9" w:rsidRPr="00553C26" w:rsidRDefault="00406AD9" w:rsidP="00D942A3">
      <w:pPr>
        <w:pStyle w:val="ECHRPara"/>
        <w:rPr>
          <w:i/>
          <w:lang w:val="en-GB"/>
        </w:rPr>
      </w:pPr>
      <w:r w:rsidRPr="00553C26">
        <w:rPr>
          <w:shd w:val="clear" w:color="auto" w:fill="FFFFFF"/>
          <w:lang w:val="en-GB"/>
        </w:rPr>
        <w:fldChar w:fldCharType="begin"/>
      </w:r>
      <w:r w:rsidRPr="00553C26">
        <w:rPr>
          <w:shd w:val="clear" w:color="auto" w:fill="FFFFFF"/>
          <w:lang w:val="en-GB"/>
        </w:rPr>
        <w:instrText xml:space="preserve"> SEQ level0 \*arabic </w:instrText>
      </w:r>
      <w:r w:rsidRPr="00553C26">
        <w:rPr>
          <w:shd w:val="clear" w:color="auto" w:fill="FFFFFF"/>
          <w:lang w:val="en-GB"/>
        </w:rPr>
        <w:fldChar w:fldCharType="separate"/>
      </w:r>
      <w:r>
        <w:rPr>
          <w:noProof/>
          <w:shd w:val="clear" w:color="auto" w:fill="FFFFFF"/>
          <w:lang w:val="en-GB"/>
        </w:rPr>
        <w:t>78</w:t>
      </w:r>
      <w:r w:rsidRPr="00553C26">
        <w:rPr>
          <w:shd w:val="clear" w:color="auto" w:fill="FFFFFF"/>
          <w:lang w:val="en-GB"/>
        </w:rPr>
        <w:fldChar w:fldCharType="end"/>
      </w:r>
      <w:r w:rsidRPr="00553C26">
        <w:rPr>
          <w:shd w:val="clear" w:color="auto" w:fill="FFFFFF"/>
          <w:lang w:val="en-GB"/>
        </w:rPr>
        <w:t xml:space="preserve">.  The Court recalls that </w:t>
      </w:r>
      <w:r w:rsidRPr="001932AA">
        <w:rPr>
          <w:rStyle w:val="sb8d990e2"/>
          <w:lang w:val="en-GB"/>
        </w:rPr>
        <w:t xml:space="preserve">as regards redress for a violation of Article 6 of the Convention it has previously held that the most appropriate form of redress would, in principle, be trial </w:t>
      </w:r>
      <w:r w:rsidRPr="001932AA">
        <w:rPr>
          <w:rStyle w:val="s6b621b36"/>
          <w:i/>
          <w:lang w:val="en-GB"/>
        </w:rPr>
        <w:t>de novo</w:t>
      </w:r>
      <w:r w:rsidRPr="001932AA">
        <w:rPr>
          <w:rStyle w:val="sb8d990e2"/>
          <w:lang w:val="en-GB"/>
        </w:rPr>
        <w:t xml:space="preserve"> or the reopening of the proceedings if requested (see </w:t>
      </w:r>
      <w:r w:rsidRPr="001932AA">
        <w:rPr>
          <w:i/>
          <w:snapToGrid w:val="0"/>
          <w:lang w:val="en-GB"/>
        </w:rPr>
        <w:t>Kaçiu and Kotorri</w:t>
      </w:r>
      <w:r w:rsidRPr="001932AA">
        <w:rPr>
          <w:snapToGrid w:val="0"/>
          <w:lang w:val="en-GB"/>
        </w:rPr>
        <w:t xml:space="preserve">, </w:t>
      </w:r>
      <w:r w:rsidRPr="00553C26">
        <w:rPr>
          <w:szCs w:val="24"/>
          <w:shd w:val="clear" w:color="auto" w:fill="FFFFFF"/>
          <w:lang w:val="en-GB"/>
        </w:rPr>
        <w:t xml:space="preserve">cited above, § </w:t>
      </w:r>
      <w:r w:rsidRPr="001932AA">
        <w:rPr>
          <w:snapToGrid w:val="0"/>
          <w:lang w:val="en-GB"/>
        </w:rPr>
        <w:t xml:space="preserve">168, </w:t>
      </w:r>
      <w:r w:rsidRPr="001932AA">
        <w:rPr>
          <w:rStyle w:val="sb8d990e2"/>
          <w:lang w:val="en-GB"/>
        </w:rPr>
        <w:t xml:space="preserve">and the </w:t>
      </w:r>
      <w:r w:rsidRPr="001932AA">
        <w:rPr>
          <w:rStyle w:val="wordhighlighted"/>
          <w:lang w:val="en-GB"/>
        </w:rPr>
        <w:t>cases</w:t>
      </w:r>
      <w:r w:rsidRPr="001932AA">
        <w:rPr>
          <w:rStyle w:val="sb8d990e2"/>
          <w:lang w:val="en-GB"/>
        </w:rPr>
        <w:t xml:space="preserve"> </w:t>
      </w:r>
      <w:r w:rsidRPr="001932AA">
        <w:rPr>
          <w:rStyle w:val="wordhighlighted"/>
          <w:lang w:val="en-GB"/>
        </w:rPr>
        <w:t>cited</w:t>
      </w:r>
      <w:r w:rsidRPr="001932AA">
        <w:rPr>
          <w:rStyle w:val="sb8d990e2"/>
          <w:lang w:val="en-GB"/>
        </w:rPr>
        <w:t xml:space="preserve"> </w:t>
      </w:r>
      <w:r w:rsidRPr="001932AA">
        <w:rPr>
          <w:rStyle w:val="wordhighlighted"/>
          <w:lang w:val="en-GB"/>
        </w:rPr>
        <w:t>therein</w:t>
      </w:r>
      <w:r w:rsidRPr="001932AA">
        <w:rPr>
          <w:snapToGrid w:val="0"/>
          <w:lang w:val="en-GB"/>
        </w:rPr>
        <w:t>, and</w:t>
      </w:r>
      <w:r w:rsidRPr="00553C26">
        <w:rPr>
          <w:i/>
          <w:lang w:val="en-GB"/>
        </w:rPr>
        <w:t xml:space="preserve"> Zamferesko</w:t>
      </w:r>
      <w:r w:rsidRPr="00553C26">
        <w:rPr>
          <w:lang w:val="en-GB"/>
        </w:rPr>
        <w:t xml:space="preserve">, </w:t>
      </w:r>
      <w:r w:rsidRPr="00553C26">
        <w:rPr>
          <w:szCs w:val="24"/>
          <w:shd w:val="clear" w:color="auto" w:fill="FFFFFF"/>
          <w:lang w:val="en-GB"/>
        </w:rPr>
        <w:t xml:space="preserve">cited above, § </w:t>
      </w:r>
      <w:r w:rsidRPr="001932AA">
        <w:rPr>
          <w:lang w:val="en-GB"/>
        </w:rPr>
        <w:t>85</w:t>
      </w:r>
      <w:r w:rsidRPr="001932AA">
        <w:rPr>
          <w:snapToGrid w:val="0"/>
          <w:lang w:val="en-GB"/>
        </w:rPr>
        <w:t>).</w:t>
      </w:r>
    </w:p>
    <w:p w:rsidR="00406AD9" w:rsidRPr="00D942A3" w:rsidRDefault="00406AD9" w:rsidP="00D942A3">
      <w:pPr>
        <w:pStyle w:val="ECHRPara"/>
        <w:rPr>
          <w:color w:val="000000"/>
          <w:lang w:val="en-GB"/>
        </w:rPr>
      </w:pPr>
      <w:r w:rsidRPr="00553C26">
        <w:rPr>
          <w:shd w:val="clear" w:color="auto" w:fill="FFFFFF"/>
          <w:lang w:val="en-GB"/>
        </w:rPr>
        <w:fldChar w:fldCharType="begin"/>
      </w:r>
      <w:r w:rsidRPr="00553C26">
        <w:rPr>
          <w:shd w:val="clear" w:color="auto" w:fill="FFFFFF"/>
          <w:lang w:val="en-GB"/>
        </w:rPr>
        <w:instrText xml:space="preserve"> SEQ level0 \*arabic </w:instrText>
      </w:r>
      <w:r w:rsidRPr="00553C26">
        <w:rPr>
          <w:shd w:val="clear" w:color="auto" w:fill="FFFFFF"/>
          <w:lang w:val="en-GB"/>
        </w:rPr>
        <w:fldChar w:fldCharType="separate"/>
      </w:r>
      <w:r>
        <w:rPr>
          <w:noProof/>
          <w:shd w:val="clear" w:color="auto" w:fill="FFFFFF"/>
          <w:lang w:val="en-GB"/>
        </w:rPr>
        <w:t>79</w:t>
      </w:r>
      <w:r w:rsidRPr="00553C26">
        <w:rPr>
          <w:shd w:val="clear" w:color="auto" w:fill="FFFFFF"/>
          <w:lang w:val="en-GB"/>
        </w:rPr>
        <w:fldChar w:fldCharType="end"/>
      </w:r>
      <w:r w:rsidRPr="00553C26">
        <w:rPr>
          <w:shd w:val="clear" w:color="auto" w:fill="FFFFFF"/>
          <w:lang w:val="en-GB"/>
        </w:rPr>
        <w:t>.  As to the compensation claimed by the applicant in respect of pecuniary damage, t</w:t>
      </w:r>
      <w:r w:rsidRPr="00553C26">
        <w:rPr>
          <w:color w:val="000000"/>
          <w:lang w:val="en-GB"/>
        </w:rPr>
        <w:t>he Court does not discern</w:t>
      </w:r>
      <w:r w:rsidRPr="00D942A3">
        <w:rPr>
          <w:color w:val="000000"/>
          <w:lang w:val="en-GB"/>
        </w:rPr>
        <w:t xml:space="preserve"> any causal link between the violation found and the pecuniary damage alleged.</w:t>
      </w:r>
      <w:r w:rsidRPr="00D942A3">
        <w:rPr>
          <w:rStyle w:val="apple-converted-space"/>
          <w:color w:val="000000"/>
          <w:lang w:val="en-GB"/>
        </w:rPr>
        <w:t xml:space="preserve"> </w:t>
      </w:r>
      <w:r w:rsidRPr="00D942A3">
        <w:rPr>
          <w:color w:val="000000"/>
          <w:lang w:val="en-GB"/>
        </w:rPr>
        <w:t>It cannot speculate on what the outcome of the proceedings would have been had they complied with Article 6 § 1. Consequently, it dismisses the applicant</w:t>
      </w:r>
      <w:r>
        <w:rPr>
          <w:color w:val="000000"/>
          <w:lang w:val="en-GB"/>
        </w:rPr>
        <w:t>’</w:t>
      </w:r>
      <w:r w:rsidRPr="00D942A3">
        <w:rPr>
          <w:color w:val="000000"/>
          <w:lang w:val="en-GB"/>
        </w:rPr>
        <w:t>s claims under this head.</w:t>
      </w:r>
    </w:p>
    <w:p w:rsidR="00406AD9" w:rsidRPr="00D942A3" w:rsidRDefault="00406AD9" w:rsidP="00667610">
      <w:pPr>
        <w:pStyle w:val="ECHRPara"/>
        <w:rPr>
          <w:rFonts w:eastAsia="Times New Roman"/>
          <w:lang w:val="en-GB"/>
        </w:rPr>
      </w:pPr>
      <w:r w:rsidRPr="00D942A3">
        <w:rPr>
          <w:color w:val="000000"/>
          <w:lang w:val="en-GB"/>
        </w:rPr>
        <w:fldChar w:fldCharType="begin"/>
      </w:r>
      <w:r w:rsidRPr="00D942A3">
        <w:rPr>
          <w:color w:val="000000"/>
          <w:lang w:val="en-GB"/>
        </w:rPr>
        <w:instrText xml:space="preserve"> SEQ level0 \*arabic </w:instrText>
      </w:r>
      <w:r w:rsidRPr="00D942A3">
        <w:rPr>
          <w:color w:val="000000"/>
          <w:lang w:val="en-GB"/>
        </w:rPr>
        <w:fldChar w:fldCharType="separate"/>
      </w:r>
      <w:r>
        <w:rPr>
          <w:noProof/>
          <w:color w:val="000000"/>
          <w:lang w:val="en-GB"/>
        </w:rPr>
        <w:t>80</w:t>
      </w:r>
      <w:r w:rsidRPr="00D942A3">
        <w:rPr>
          <w:color w:val="000000"/>
          <w:lang w:val="en-GB"/>
        </w:rPr>
        <w:fldChar w:fldCharType="end"/>
      </w:r>
      <w:r w:rsidRPr="00D942A3">
        <w:rPr>
          <w:color w:val="000000"/>
          <w:lang w:val="en-GB"/>
        </w:rPr>
        <w:t>.  </w:t>
      </w:r>
      <w:r w:rsidRPr="00667610">
        <w:t>Having regard to the nature of the violation found in the present case and deciding on an equitable basis, the Court awards the applicant EUR</w:t>
      </w:r>
      <w:r>
        <w:t> 6</w:t>
      </w:r>
      <w:r w:rsidRPr="00667610">
        <w:t>,000 in compensation for non-pecuniary damage.</w:t>
      </w:r>
    </w:p>
    <w:p w:rsidR="00406AD9" w:rsidRPr="004218BE" w:rsidRDefault="00406AD9" w:rsidP="0031109E">
      <w:pPr>
        <w:pStyle w:val="ECHRHeading2"/>
        <w:rPr>
          <w:lang w:val="en-GB"/>
        </w:rPr>
      </w:pPr>
      <w:r w:rsidRPr="00667610">
        <w:rPr>
          <w:lang w:val="en-GB"/>
        </w:rPr>
        <w:t>B.  Costs and expenses</w:t>
      </w:r>
    </w:p>
    <w:p w:rsidR="00406AD9" w:rsidRPr="004218BE" w:rsidRDefault="00406AD9" w:rsidP="00D7211B">
      <w:pPr>
        <w:pStyle w:val="ECHRPara"/>
        <w:rPr>
          <w:lang w:val="en-GB"/>
        </w:rPr>
      </w:pPr>
      <w:r>
        <w:rPr>
          <w:lang w:val="en-GB"/>
        </w:rPr>
        <w:fldChar w:fldCharType="begin"/>
      </w:r>
      <w:r>
        <w:rPr>
          <w:lang w:val="en-GB"/>
        </w:rPr>
        <w:instrText xml:space="preserve"> SEQ level0 \*arabic </w:instrText>
      </w:r>
      <w:r>
        <w:rPr>
          <w:lang w:val="en-GB"/>
        </w:rPr>
        <w:fldChar w:fldCharType="separate"/>
      </w:r>
      <w:r>
        <w:rPr>
          <w:noProof/>
          <w:lang w:val="en-GB"/>
        </w:rPr>
        <w:t>81</w:t>
      </w:r>
      <w:r>
        <w:rPr>
          <w:lang w:val="en-GB"/>
        </w:rPr>
        <w:fldChar w:fldCharType="end"/>
      </w:r>
      <w:r w:rsidRPr="004218BE">
        <w:rPr>
          <w:lang w:val="en-GB"/>
        </w:rPr>
        <w:t>.  The applicant also claimed</w:t>
      </w:r>
      <w:r>
        <w:rPr>
          <w:lang w:val="en-GB"/>
        </w:rPr>
        <w:t xml:space="preserve"> EUR 5,037</w:t>
      </w:r>
      <w:r w:rsidRPr="004218BE">
        <w:rPr>
          <w:lang w:val="en-GB"/>
        </w:rPr>
        <w:t xml:space="preserve"> for costs</w:t>
      </w:r>
      <w:r>
        <w:rPr>
          <w:lang w:val="en-GB"/>
        </w:rPr>
        <w:t xml:space="preserve"> and expenses</w:t>
      </w:r>
      <w:r w:rsidRPr="004218BE">
        <w:rPr>
          <w:lang w:val="en-GB"/>
        </w:rPr>
        <w:t xml:space="preserve"> incurred before the domestic courts and before</w:t>
      </w:r>
      <w:r>
        <w:rPr>
          <w:lang w:val="en-GB"/>
        </w:rPr>
        <w:t xml:space="preserve"> </w:t>
      </w:r>
      <w:r w:rsidRPr="004218BE">
        <w:rPr>
          <w:lang w:val="en-GB"/>
        </w:rPr>
        <w:t>the Court</w:t>
      </w:r>
      <w:r>
        <w:rPr>
          <w:lang w:val="en-GB"/>
        </w:rPr>
        <w:t>, which sum consisted of the legal fees he had paid</w:t>
      </w:r>
      <w:r w:rsidRPr="004218BE">
        <w:rPr>
          <w:lang w:val="en-GB"/>
        </w:rPr>
        <w:t>.</w:t>
      </w:r>
    </w:p>
    <w:p w:rsidR="00406AD9" w:rsidRPr="005B50CE" w:rsidRDefault="00406AD9" w:rsidP="00D7211B">
      <w:pPr>
        <w:pStyle w:val="ECHRPara"/>
        <w:rPr>
          <w:lang w:val="en-GB"/>
        </w:rPr>
      </w:pPr>
      <w:r>
        <w:rPr>
          <w:lang w:val="en-GB"/>
        </w:rPr>
        <w:fldChar w:fldCharType="begin"/>
      </w:r>
      <w:r>
        <w:rPr>
          <w:lang w:val="en-GB"/>
        </w:rPr>
        <w:instrText xml:space="preserve"> SEQ level0 \*arabic </w:instrText>
      </w:r>
      <w:r>
        <w:rPr>
          <w:lang w:val="en-GB"/>
        </w:rPr>
        <w:fldChar w:fldCharType="separate"/>
      </w:r>
      <w:r>
        <w:rPr>
          <w:noProof/>
          <w:lang w:val="en-GB"/>
        </w:rPr>
        <w:t>82</w:t>
      </w:r>
      <w:r>
        <w:rPr>
          <w:lang w:val="en-GB"/>
        </w:rPr>
        <w:fldChar w:fldCharType="end"/>
      </w:r>
      <w:r w:rsidRPr="004218BE">
        <w:rPr>
          <w:lang w:val="en-GB"/>
        </w:rPr>
        <w:t>.  </w:t>
      </w:r>
      <w:r w:rsidRPr="006E5EB9">
        <w:rPr>
          <w:lang w:val="en-GB"/>
        </w:rPr>
        <w:t>The Government contested th</w:t>
      </w:r>
      <w:r>
        <w:rPr>
          <w:lang w:val="en-GB"/>
        </w:rPr>
        <w:t>is</w:t>
      </w:r>
      <w:r w:rsidRPr="006E5EB9">
        <w:rPr>
          <w:lang w:val="en-GB"/>
        </w:rPr>
        <w:t xml:space="preserve"> claim.</w:t>
      </w:r>
      <w:r>
        <w:rPr>
          <w:lang w:val="en-GB"/>
        </w:rPr>
        <w:t xml:space="preserve"> They pointed out that according to the payment receipts submitted in support of the claim they had been made by a </w:t>
      </w:r>
      <w:r w:rsidRPr="005B50CE">
        <w:rPr>
          <w:lang w:val="en-GB"/>
        </w:rPr>
        <w:t>different person than the applicant</w:t>
      </w:r>
      <w:r>
        <w:rPr>
          <w:lang w:val="en-GB"/>
        </w:rPr>
        <w:t>, namely</w:t>
      </w:r>
      <w:r w:rsidRPr="005B50CE">
        <w:rPr>
          <w:lang w:val="en-GB"/>
        </w:rPr>
        <w:t xml:space="preserve"> V</w:t>
      </w:r>
      <w:r>
        <w:rPr>
          <w:lang w:val="en-GB"/>
        </w:rPr>
        <w:t>.</w:t>
      </w:r>
      <w:r w:rsidRPr="005B50CE">
        <w:rPr>
          <w:lang w:val="en-GB"/>
        </w:rPr>
        <w:t>M</w:t>
      </w:r>
      <w:r>
        <w:rPr>
          <w:lang w:val="en-GB"/>
        </w:rPr>
        <w:t>.</w:t>
      </w:r>
      <w:r w:rsidRPr="005B50CE">
        <w:rPr>
          <w:lang w:val="en-GB"/>
        </w:rPr>
        <w:t xml:space="preserve"> It was also </w:t>
      </w:r>
      <w:r>
        <w:rPr>
          <w:lang w:val="en-GB"/>
        </w:rPr>
        <w:t>unclear</w:t>
      </w:r>
      <w:r w:rsidRPr="005B50CE">
        <w:rPr>
          <w:lang w:val="en-GB"/>
        </w:rPr>
        <w:t xml:space="preserve"> whether the costs were related to the present case.</w:t>
      </w:r>
    </w:p>
    <w:p w:rsidR="00406AD9" w:rsidRPr="001D6219" w:rsidRDefault="00406AD9" w:rsidP="001D6219">
      <w:pPr>
        <w:pStyle w:val="ECHRPara"/>
        <w:rPr>
          <w:i/>
          <w:lang w:val="en-GB"/>
        </w:rPr>
      </w:pPr>
      <w:r w:rsidRPr="005B50CE">
        <w:rPr>
          <w:lang w:val="en-GB"/>
        </w:rPr>
        <w:fldChar w:fldCharType="begin"/>
      </w:r>
      <w:r w:rsidRPr="005B50CE">
        <w:rPr>
          <w:lang w:val="en-GB"/>
        </w:rPr>
        <w:instrText xml:space="preserve"> SEQ level0 \*arabic </w:instrText>
      </w:r>
      <w:r w:rsidRPr="005B50CE">
        <w:rPr>
          <w:lang w:val="en-GB"/>
        </w:rPr>
        <w:fldChar w:fldCharType="separate"/>
      </w:r>
      <w:r>
        <w:rPr>
          <w:noProof/>
          <w:lang w:val="en-GB"/>
        </w:rPr>
        <w:t>83</w:t>
      </w:r>
      <w:r w:rsidRPr="005B50CE">
        <w:rPr>
          <w:lang w:val="en-GB"/>
        </w:rPr>
        <w:fldChar w:fldCharType="end"/>
      </w:r>
      <w:r w:rsidRPr="005B50CE">
        <w:rPr>
          <w:lang w:val="en-GB"/>
        </w:rPr>
        <w:t>.  According to the Court</w:t>
      </w:r>
      <w:r>
        <w:rPr>
          <w:lang w:val="en-GB"/>
        </w:rPr>
        <w:t>’</w:t>
      </w:r>
      <w:r w:rsidRPr="005B50CE">
        <w:rPr>
          <w:lang w:val="en-GB"/>
        </w:rPr>
        <w:t xml:space="preserve">s established case-law, costs and expenses will not be awarded under Article 41 unless it is established that they were actually and necessarily incurred, and </w:t>
      </w:r>
      <w:r>
        <w:rPr>
          <w:lang w:val="en-GB"/>
        </w:rPr>
        <w:t>a</w:t>
      </w:r>
      <w:r w:rsidRPr="005B50CE">
        <w:rPr>
          <w:lang w:val="en-GB"/>
        </w:rPr>
        <w:t xml:space="preserve">re reasonable as to </w:t>
      </w:r>
      <w:bookmarkStart w:id="4" w:name="HIT2"/>
      <w:bookmarkEnd w:id="4"/>
      <w:r w:rsidRPr="005B50CE">
        <w:rPr>
          <w:lang w:val="en-GB"/>
        </w:rPr>
        <w:t>quantum. Furthermore, legal costs are only recoverable in so far as they relate to the violation found (see, among many other authorities,</w:t>
      </w:r>
      <w:r>
        <w:rPr>
          <w:lang w:val="en-GB"/>
        </w:rPr>
        <w:t xml:space="preserve"> </w:t>
      </w:r>
      <w:r w:rsidRPr="00B668D2">
        <w:rPr>
          <w:i/>
          <w:snapToGrid w:val="0"/>
          <w:lang w:val="en-GB"/>
        </w:rPr>
        <w:t>Sanoma Uitgevers B.V. v. the Netherlands</w:t>
      </w:r>
      <w:r w:rsidRPr="00B668D2">
        <w:rPr>
          <w:snapToGrid w:val="0"/>
          <w:lang w:val="en-GB"/>
        </w:rPr>
        <w:t xml:space="preserve"> [GC], no. 38224/03</w:t>
      </w:r>
      <w:r w:rsidRPr="00B668D2">
        <w:rPr>
          <w:lang w:val="en-GB"/>
        </w:rPr>
        <w:t xml:space="preserve">, § </w:t>
      </w:r>
      <w:r>
        <w:rPr>
          <w:lang w:val="en-GB"/>
        </w:rPr>
        <w:t>109</w:t>
      </w:r>
      <w:r w:rsidRPr="00B668D2">
        <w:rPr>
          <w:lang w:val="en-GB"/>
        </w:rPr>
        <w:t>, 14 September 2010</w:t>
      </w:r>
      <w:r>
        <w:rPr>
          <w:lang w:val="en-GB"/>
        </w:rPr>
        <w:t>).</w:t>
      </w:r>
    </w:p>
    <w:p w:rsidR="00406AD9" w:rsidRPr="004218BE" w:rsidRDefault="00406AD9" w:rsidP="002F4BCF">
      <w:pPr>
        <w:pStyle w:val="ECHRPara"/>
        <w:rPr>
          <w:lang w:val="en-GB"/>
        </w:rPr>
      </w:pPr>
      <w:r>
        <w:rPr>
          <w:lang w:val="en-GB"/>
        </w:rPr>
        <w:fldChar w:fldCharType="begin"/>
      </w:r>
      <w:r>
        <w:rPr>
          <w:lang w:val="en-GB"/>
        </w:rPr>
        <w:instrText xml:space="preserve"> SEQ level0 \*arabic </w:instrText>
      </w:r>
      <w:r>
        <w:rPr>
          <w:lang w:val="en-GB"/>
        </w:rPr>
        <w:fldChar w:fldCharType="separate"/>
      </w:r>
      <w:r>
        <w:rPr>
          <w:noProof/>
          <w:lang w:val="en-GB"/>
        </w:rPr>
        <w:t>84</w:t>
      </w:r>
      <w:r>
        <w:rPr>
          <w:lang w:val="en-GB"/>
        </w:rPr>
        <w:fldChar w:fldCharType="end"/>
      </w:r>
      <w:r>
        <w:rPr>
          <w:lang w:val="en-GB"/>
        </w:rPr>
        <w:t>.  </w:t>
      </w:r>
      <w:r w:rsidRPr="005B50CE">
        <w:t xml:space="preserve">Making its own assessment based on </w:t>
      </w:r>
      <w:r w:rsidRPr="005B50CE">
        <w:rPr>
          <w:rStyle w:val="wordhighlighted"/>
        </w:rPr>
        <w:t>the</w:t>
      </w:r>
      <w:r w:rsidRPr="005B50CE">
        <w:t xml:space="preserve"> information contained in </w:t>
      </w:r>
      <w:r w:rsidRPr="005B50CE">
        <w:rPr>
          <w:rStyle w:val="wordhighlighted"/>
        </w:rPr>
        <w:t>the</w:t>
      </w:r>
      <w:r w:rsidRPr="005B50CE">
        <w:t xml:space="preserve"> case file, </w:t>
      </w:r>
      <w:r w:rsidRPr="005B50CE">
        <w:rPr>
          <w:rStyle w:val="wordhighlighted"/>
        </w:rPr>
        <w:t>the</w:t>
      </w:r>
      <w:r w:rsidRPr="005B50CE">
        <w:t xml:space="preserve"> Court considers it reasonable to </w:t>
      </w:r>
      <w:r>
        <w:t>award the sum of EUR 5</w:t>
      </w:r>
      <w:r w:rsidRPr="005B50CE">
        <w:t>,000 covering costs under all heads.</w:t>
      </w:r>
    </w:p>
    <w:p w:rsidR="00406AD9" w:rsidRPr="004218BE" w:rsidRDefault="00406AD9" w:rsidP="0031109E">
      <w:pPr>
        <w:pStyle w:val="ECHRHeading2"/>
        <w:rPr>
          <w:lang w:val="en-GB"/>
        </w:rPr>
      </w:pPr>
      <w:r w:rsidRPr="004218BE">
        <w:rPr>
          <w:lang w:val="en-GB"/>
        </w:rPr>
        <w:t>C.  Default interest</w:t>
      </w:r>
    </w:p>
    <w:p w:rsidR="00406AD9" w:rsidRPr="004218BE" w:rsidRDefault="00406AD9" w:rsidP="00151CCA">
      <w:pPr>
        <w:pStyle w:val="ECHRPara"/>
        <w:rPr>
          <w:lang w:val="en-GB"/>
        </w:rPr>
      </w:pPr>
      <w:r>
        <w:rPr>
          <w:lang w:val="en-GB"/>
        </w:rPr>
        <w:fldChar w:fldCharType="begin"/>
      </w:r>
      <w:r>
        <w:rPr>
          <w:lang w:val="en-GB"/>
        </w:rPr>
        <w:instrText xml:space="preserve"> SEQ level0 \*arabic </w:instrText>
      </w:r>
      <w:r>
        <w:rPr>
          <w:lang w:val="en-GB"/>
        </w:rPr>
        <w:fldChar w:fldCharType="separate"/>
      </w:r>
      <w:r>
        <w:rPr>
          <w:noProof/>
          <w:lang w:val="en-GB"/>
        </w:rPr>
        <w:t>85</w:t>
      </w:r>
      <w:r>
        <w:rPr>
          <w:lang w:val="en-GB"/>
        </w:rPr>
        <w:fldChar w:fldCharType="end"/>
      </w:r>
      <w:r w:rsidRPr="004218BE">
        <w:rPr>
          <w:lang w:val="en-GB"/>
        </w:rPr>
        <w:t>.  The Court considers it appropriate that the default interest rate should be based on the marginal lending rate of the European Central Bank, to which should be added three percentage points.</w:t>
      </w:r>
    </w:p>
    <w:p w:rsidR="00406AD9" w:rsidRPr="004218BE" w:rsidRDefault="00406AD9" w:rsidP="008824B9">
      <w:pPr>
        <w:pStyle w:val="ECHRTitle1"/>
        <w:rPr>
          <w:lang w:val="en-GB"/>
        </w:rPr>
      </w:pPr>
      <w:r w:rsidRPr="004218BE">
        <w:rPr>
          <w:lang w:val="en-GB"/>
        </w:rPr>
        <w:t>FOR THESE REASONS, THE COURT</w:t>
      </w:r>
      <w:r w:rsidRPr="004218BE">
        <w:rPr>
          <w:noProof/>
          <w:lang w:val="en-GB"/>
        </w:rPr>
        <w:t>,</w:t>
      </w:r>
      <w:r>
        <w:rPr>
          <w:noProof/>
          <w:lang w:val="en-GB"/>
        </w:rPr>
        <w:t xml:space="preserve"> </w:t>
      </w:r>
      <w:r w:rsidRPr="004218BE">
        <w:rPr>
          <w:noProof/>
          <w:lang w:val="en-GB"/>
        </w:rPr>
        <w:t>UNANIMOUSLY,</w:t>
      </w:r>
    </w:p>
    <w:p w:rsidR="00406AD9" w:rsidRDefault="00406AD9">
      <w:pPr>
        <w:pStyle w:val="JuList"/>
        <w:rPr>
          <w:color w:val="000000"/>
          <w:lang w:val="en-GB"/>
        </w:rPr>
      </w:pPr>
      <w:r w:rsidRPr="004218BE">
        <w:rPr>
          <w:lang w:val="en-GB"/>
        </w:rPr>
        <w:t>1.  </w:t>
      </w:r>
      <w:r w:rsidRPr="004218BE">
        <w:rPr>
          <w:i/>
          <w:lang w:val="en-GB"/>
        </w:rPr>
        <w:t>Declares</w:t>
      </w:r>
      <w:r>
        <w:rPr>
          <w:i/>
          <w:lang w:val="en-GB"/>
        </w:rPr>
        <w:t xml:space="preserve"> </w:t>
      </w:r>
      <w:r w:rsidRPr="00A9226C">
        <w:rPr>
          <w:color w:val="000000"/>
          <w:lang w:val="en-GB"/>
        </w:rPr>
        <w:t>the complaint under</w:t>
      </w:r>
      <w:r>
        <w:rPr>
          <w:color w:val="000000"/>
          <w:lang w:val="en-GB"/>
        </w:rPr>
        <w:t xml:space="preserve"> Article</w:t>
      </w:r>
      <w:r w:rsidRPr="00A9226C">
        <w:rPr>
          <w:color w:val="000000"/>
          <w:lang w:val="en-GB"/>
        </w:rPr>
        <w:t xml:space="preserve"> </w:t>
      </w:r>
      <w:r>
        <w:rPr>
          <w:color w:val="000000"/>
          <w:lang w:val="en-GB"/>
        </w:rPr>
        <w:t>6 § 1 of the Convention</w:t>
      </w:r>
      <w:r w:rsidRPr="00A9226C">
        <w:rPr>
          <w:color w:val="000000"/>
          <w:lang w:val="en-GB"/>
        </w:rPr>
        <w:t xml:space="preserve"> as regards the </w:t>
      </w:r>
      <w:r>
        <w:rPr>
          <w:color w:val="000000"/>
          <w:lang w:val="en-GB"/>
        </w:rPr>
        <w:t xml:space="preserve">use of evidence </w:t>
      </w:r>
      <w:r w:rsidRPr="00A9226C">
        <w:rPr>
          <w:color w:val="000000"/>
          <w:lang w:val="en-GB"/>
        </w:rPr>
        <w:t>admissible</w:t>
      </w:r>
      <w:r>
        <w:rPr>
          <w:color w:val="000000"/>
          <w:lang w:val="en-GB"/>
        </w:rPr>
        <w:t>;</w:t>
      </w:r>
    </w:p>
    <w:p w:rsidR="00406AD9" w:rsidRPr="004218BE" w:rsidRDefault="00406AD9">
      <w:pPr>
        <w:pStyle w:val="JuList"/>
        <w:rPr>
          <w:lang w:val="en-GB"/>
        </w:rPr>
      </w:pPr>
    </w:p>
    <w:p w:rsidR="00406AD9" w:rsidRPr="004218BE" w:rsidRDefault="00406AD9" w:rsidP="009F07CC">
      <w:pPr>
        <w:pStyle w:val="JuList"/>
        <w:rPr>
          <w:lang w:val="en-GB"/>
        </w:rPr>
      </w:pPr>
      <w:r>
        <w:rPr>
          <w:lang w:val="en-GB"/>
        </w:rPr>
        <w:t>2</w:t>
      </w:r>
      <w:r w:rsidRPr="004218BE">
        <w:rPr>
          <w:lang w:val="en-GB"/>
        </w:rPr>
        <w:t>.  </w:t>
      </w:r>
      <w:r w:rsidRPr="004218BE">
        <w:rPr>
          <w:i/>
          <w:lang w:val="en-GB"/>
        </w:rPr>
        <w:t>Holds</w:t>
      </w:r>
      <w:r>
        <w:rPr>
          <w:i/>
          <w:lang w:val="en-GB"/>
        </w:rPr>
        <w:t xml:space="preserve"> </w:t>
      </w:r>
      <w:r w:rsidRPr="00A9226C">
        <w:rPr>
          <w:rStyle w:val="sb8d990e2"/>
          <w:lang w:val="en-US"/>
        </w:rPr>
        <w:t>that</w:t>
      </w:r>
      <w:r>
        <w:rPr>
          <w:rStyle w:val="sb8d990e2"/>
          <w:lang w:val="en-US"/>
        </w:rPr>
        <w:t xml:space="preserve"> in that regard</w:t>
      </w:r>
      <w:r w:rsidRPr="00A9226C">
        <w:rPr>
          <w:rStyle w:val="sb8d990e2"/>
          <w:lang w:val="en-US"/>
        </w:rPr>
        <w:t xml:space="preserve"> there has been a violation of Article 6 § 1 of the Convention</w:t>
      </w:r>
      <w:r w:rsidRPr="004218BE">
        <w:rPr>
          <w:lang w:val="en-GB"/>
        </w:rPr>
        <w:t>;</w:t>
      </w:r>
    </w:p>
    <w:p w:rsidR="00406AD9" w:rsidRPr="004218BE" w:rsidRDefault="00406AD9">
      <w:pPr>
        <w:pStyle w:val="JuList"/>
        <w:rPr>
          <w:lang w:val="en-GB"/>
        </w:rPr>
      </w:pPr>
    </w:p>
    <w:p w:rsidR="00406AD9" w:rsidRPr="004218BE" w:rsidRDefault="00406AD9">
      <w:pPr>
        <w:pStyle w:val="JuList"/>
        <w:rPr>
          <w:lang w:val="en-GB"/>
        </w:rPr>
      </w:pPr>
      <w:r>
        <w:rPr>
          <w:lang w:val="en-GB"/>
        </w:rPr>
        <w:t>3</w:t>
      </w:r>
      <w:r w:rsidRPr="004218BE">
        <w:rPr>
          <w:lang w:val="en-GB"/>
        </w:rPr>
        <w:t>.  </w:t>
      </w:r>
      <w:r w:rsidRPr="004218BE">
        <w:rPr>
          <w:i/>
          <w:lang w:val="en-GB"/>
        </w:rPr>
        <w:t>Holds</w:t>
      </w:r>
      <w:r>
        <w:rPr>
          <w:i/>
          <w:lang w:val="en-GB"/>
        </w:rPr>
        <w:t xml:space="preserve"> </w:t>
      </w:r>
      <w:r w:rsidRPr="00A9226C">
        <w:rPr>
          <w:lang w:val="en-GB"/>
        </w:rPr>
        <w:t>that it is not necessary to examine separately</w:t>
      </w:r>
      <w:r>
        <w:rPr>
          <w:lang w:val="en-GB"/>
        </w:rPr>
        <w:t xml:space="preserve"> other </w:t>
      </w:r>
      <w:r w:rsidRPr="00A9226C">
        <w:rPr>
          <w:lang w:val="en-GB"/>
        </w:rPr>
        <w:t xml:space="preserve">complaints under Article 6 § </w:t>
      </w:r>
      <w:r>
        <w:rPr>
          <w:lang w:val="en-GB"/>
        </w:rPr>
        <w:t>1 of the Convention</w:t>
      </w:r>
      <w:r w:rsidRPr="004218BE">
        <w:rPr>
          <w:lang w:val="en-GB"/>
        </w:rPr>
        <w:t>;</w:t>
      </w:r>
    </w:p>
    <w:p w:rsidR="00406AD9" w:rsidRPr="004218BE" w:rsidRDefault="00406AD9">
      <w:pPr>
        <w:pStyle w:val="JuList"/>
        <w:rPr>
          <w:lang w:val="en-GB"/>
        </w:rPr>
      </w:pPr>
    </w:p>
    <w:p w:rsidR="00406AD9" w:rsidRPr="004218BE" w:rsidRDefault="00406AD9" w:rsidP="00901475">
      <w:pPr>
        <w:pStyle w:val="JuList"/>
        <w:rPr>
          <w:lang w:val="en-GB"/>
        </w:rPr>
      </w:pPr>
      <w:r>
        <w:rPr>
          <w:lang w:val="en-GB"/>
        </w:rPr>
        <w:t>4</w:t>
      </w:r>
      <w:r w:rsidRPr="004218BE">
        <w:rPr>
          <w:lang w:val="en-GB"/>
        </w:rPr>
        <w:t>.  </w:t>
      </w:r>
      <w:r w:rsidRPr="004218BE">
        <w:rPr>
          <w:i/>
          <w:lang w:val="en-GB"/>
        </w:rPr>
        <w:t>Holds</w:t>
      </w:r>
    </w:p>
    <w:p w:rsidR="00406AD9" w:rsidRPr="004218BE" w:rsidRDefault="00406AD9" w:rsidP="006138EA">
      <w:pPr>
        <w:pStyle w:val="JuLista"/>
        <w:rPr>
          <w:lang w:val="en-GB"/>
        </w:rPr>
      </w:pPr>
      <w:r w:rsidRPr="004218BE">
        <w:rPr>
          <w:lang w:val="en-GB"/>
        </w:rPr>
        <w:t>(a)  that the respondent State is to pay the applicant, within three months</w:t>
      </w:r>
      <w:r>
        <w:rPr>
          <w:lang w:val="en-GB"/>
        </w:rPr>
        <w:t xml:space="preserve"> </w:t>
      </w:r>
      <w:r w:rsidRPr="004218BE">
        <w:rPr>
          <w:noProof/>
          <w:lang w:val="en-GB"/>
        </w:rPr>
        <w:t>from the date on which the judgment becomes final in accordance with Article 44 § 2 of the Convention,</w:t>
      </w:r>
      <w:r w:rsidRPr="004218BE">
        <w:rPr>
          <w:lang w:val="en-GB"/>
        </w:rPr>
        <w:t xml:space="preserve"> the following amounts:</w:t>
      </w:r>
    </w:p>
    <w:p w:rsidR="00406AD9" w:rsidRPr="004218BE" w:rsidRDefault="00406AD9" w:rsidP="003104E9">
      <w:pPr>
        <w:pStyle w:val="JuListi"/>
        <w:rPr>
          <w:lang w:val="en-GB"/>
        </w:rPr>
      </w:pPr>
      <w:r w:rsidRPr="004218BE">
        <w:rPr>
          <w:lang w:val="en-GB"/>
        </w:rPr>
        <w:t xml:space="preserve">(i)  EUR </w:t>
      </w:r>
      <w:r>
        <w:rPr>
          <w:lang w:val="en-GB"/>
        </w:rPr>
        <w:t>6</w:t>
      </w:r>
      <w:r w:rsidRPr="00C3213F">
        <w:rPr>
          <w:lang w:val="en-GB"/>
        </w:rPr>
        <w:t>,000</w:t>
      </w:r>
      <w:r w:rsidRPr="004218BE">
        <w:rPr>
          <w:lang w:val="en-GB"/>
        </w:rPr>
        <w:t xml:space="preserve"> (</w:t>
      </w:r>
      <w:r>
        <w:rPr>
          <w:lang w:val="en-GB"/>
        </w:rPr>
        <w:t>six thousand euros)</w:t>
      </w:r>
      <w:r w:rsidRPr="004218BE">
        <w:rPr>
          <w:lang w:val="en-GB"/>
        </w:rPr>
        <w:t>, plus any tax that may be chargeable,</w:t>
      </w:r>
      <w:r>
        <w:rPr>
          <w:lang w:val="en-GB"/>
        </w:rPr>
        <w:t xml:space="preserve"> </w:t>
      </w:r>
      <w:r w:rsidRPr="004218BE">
        <w:rPr>
          <w:lang w:val="en-GB"/>
        </w:rPr>
        <w:t>in respect of non-pecuniary damage;</w:t>
      </w:r>
    </w:p>
    <w:p w:rsidR="00406AD9" w:rsidRPr="004218BE" w:rsidRDefault="00406AD9" w:rsidP="003104E9">
      <w:pPr>
        <w:pStyle w:val="JuListi"/>
        <w:rPr>
          <w:lang w:val="en-GB"/>
        </w:rPr>
      </w:pPr>
      <w:r>
        <w:rPr>
          <w:lang w:val="en-GB"/>
        </w:rPr>
        <w:t>(ii</w:t>
      </w:r>
      <w:r w:rsidRPr="004218BE">
        <w:rPr>
          <w:lang w:val="en-GB"/>
        </w:rPr>
        <w:t>)  </w:t>
      </w:r>
      <w:r w:rsidRPr="00C3213F">
        <w:rPr>
          <w:lang w:val="en-GB"/>
        </w:rPr>
        <w:t>EUR 5,000 (five thousand euros)</w:t>
      </w:r>
      <w:r w:rsidRPr="004218BE">
        <w:rPr>
          <w:lang w:val="en-GB"/>
        </w:rPr>
        <w:t>, plus any tax that may be chargeable to the applicant, in respect of costs and expenses;</w:t>
      </w:r>
    </w:p>
    <w:p w:rsidR="00406AD9" w:rsidRPr="004218BE" w:rsidRDefault="00406AD9">
      <w:pPr>
        <w:pStyle w:val="JuLista"/>
        <w:rPr>
          <w:lang w:val="en-GB"/>
        </w:rPr>
      </w:pPr>
      <w:r w:rsidRPr="004218BE">
        <w:rPr>
          <w:lang w:val="en-GB"/>
        </w:rPr>
        <w:t>(b)  that from the expiry of the above-mentioned three months until settlement simple interest shall be payable on the above amounts at a rate equal to the marginal lending rate of the European Central Bank during the default period plus three percentage points;</w:t>
      </w:r>
    </w:p>
    <w:p w:rsidR="00406AD9" w:rsidRPr="004218BE" w:rsidRDefault="00406AD9">
      <w:pPr>
        <w:pStyle w:val="JuList"/>
        <w:rPr>
          <w:lang w:val="en-GB"/>
        </w:rPr>
      </w:pPr>
    </w:p>
    <w:p w:rsidR="00406AD9" w:rsidRPr="004218BE" w:rsidRDefault="00406AD9">
      <w:pPr>
        <w:pStyle w:val="JuList"/>
        <w:rPr>
          <w:lang w:val="en-GB"/>
        </w:rPr>
      </w:pPr>
      <w:r>
        <w:rPr>
          <w:lang w:val="en-GB"/>
        </w:rPr>
        <w:t>5</w:t>
      </w:r>
      <w:r w:rsidRPr="004218BE">
        <w:rPr>
          <w:lang w:val="en-GB"/>
        </w:rPr>
        <w:t>.  </w:t>
      </w:r>
      <w:r w:rsidRPr="004218BE">
        <w:rPr>
          <w:i/>
          <w:lang w:val="en-GB"/>
        </w:rPr>
        <w:t>Dismisses</w:t>
      </w:r>
      <w:r>
        <w:rPr>
          <w:i/>
          <w:lang w:val="en-GB"/>
        </w:rPr>
        <w:t xml:space="preserve"> </w:t>
      </w:r>
      <w:r w:rsidRPr="004218BE">
        <w:rPr>
          <w:lang w:val="en-GB"/>
        </w:rPr>
        <w:t>the remainder of the applicant</w:t>
      </w:r>
      <w:r>
        <w:rPr>
          <w:noProof/>
          <w:lang w:val="en-GB"/>
        </w:rPr>
        <w:t>’</w:t>
      </w:r>
      <w:r w:rsidRPr="004218BE">
        <w:rPr>
          <w:noProof/>
          <w:lang w:val="en-GB"/>
        </w:rPr>
        <w:t>s</w:t>
      </w:r>
      <w:r w:rsidRPr="004218BE">
        <w:rPr>
          <w:lang w:val="en-GB"/>
        </w:rPr>
        <w:t xml:space="preserve"> claim for just satisfaction.</w:t>
      </w:r>
    </w:p>
    <w:p w:rsidR="00406AD9" w:rsidRPr="004218BE" w:rsidRDefault="00406AD9" w:rsidP="00325C2B">
      <w:pPr>
        <w:pStyle w:val="JuParaLast"/>
        <w:rPr>
          <w:lang w:val="en-GB"/>
        </w:rPr>
      </w:pPr>
      <w:r w:rsidRPr="004218BE">
        <w:rPr>
          <w:lang w:val="en-GB"/>
        </w:rPr>
        <w:t xml:space="preserve">Done in English, and notified in writing on </w:t>
      </w:r>
      <w:r>
        <w:rPr>
          <w:lang w:val="en-GB"/>
        </w:rPr>
        <w:t>11 February 2014</w:t>
      </w:r>
      <w:r w:rsidRPr="004218BE">
        <w:rPr>
          <w:lang w:val="en-GB"/>
        </w:rPr>
        <w:t>, pursuant to Rule 77 §§ 2 and 3 of the Rules of Court.</w:t>
      </w:r>
    </w:p>
    <w:p w:rsidR="00406AD9" w:rsidRPr="00562B63" w:rsidRDefault="00406AD9" w:rsidP="00C01E1C">
      <w:pPr>
        <w:pStyle w:val="JuSigned"/>
        <w:keepNext/>
        <w:keepLines/>
      </w:pPr>
      <w:r w:rsidRPr="004218BE">
        <w:rPr>
          <w:lang w:val="en-GB"/>
        </w:rPr>
        <w:tab/>
      </w:r>
      <w:r w:rsidRPr="00562B63">
        <w:rPr>
          <w:noProof/>
        </w:rPr>
        <w:t>Françoise Elens-Passos</w:t>
      </w:r>
      <w:r w:rsidRPr="00562B63">
        <w:tab/>
      </w:r>
      <w:r w:rsidRPr="00562B63">
        <w:rPr>
          <w:noProof/>
          <w:szCs w:val="24"/>
        </w:rPr>
        <w:t>Païvi Hirvela</w:t>
      </w:r>
      <w:r w:rsidRPr="00562B63">
        <w:tab/>
      </w:r>
      <w:r w:rsidRPr="00562B63">
        <w:rPr>
          <w:iCs/>
          <w:noProof/>
        </w:rPr>
        <w:t>Registrar</w:t>
      </w:r>
      <w:r w:rsidRPr="00562B63">
        <w:tab/>
        <w:t>President</w:t>
      </w:r>
    </w:p>
    <w:p w:rsidR="00406AD9" w:rsidRPr="00222575" w:rsidRDefault="00406AD9" w:rsidP="00562B63">
      <w:pPr>
        <w:pStyle w:val="JuParaLast"/>
        <w:rPr>
          <w:rFonts w:eastAsia="Times New Roman"/>
          <w:szCs w:val="20"/>
          <w:lang w:val="en-GB"/>
        </w:rPr>
      </w:pPr>
      <w:r w:rsidRPr="00222575">
        <w:rPr>
          <w:rFonts w:eastAsia="Times New Roman"/>
          <w:szCs w:val="20"/>
          <w:lang w:val="en-GB"/>
        </w:rPr>
        <w:t xml:space="preserve">In accordance with Article 45 § 2 of the Convention and Rule 74 § 2 of the Rules of </w:t>
      </w:r>
      <w:r w:rsidRPr="00562B63">
        <w:rPr>
          <w:lang w:val="en-GB"/>
        </w:rPr>
        <w:t>Court</w:t>
      </w:r>
      <w:r w:rsidRPr="00222575">
        <w:rPr>
          <w:rFonts w:eastAsia="Times New Roman"/>
          <w:szCs w:val="20"/>
          <w:lang w:val="en-GB"/>
        </w:rPr>
        <w:t xml:space="preserve">, the </w:t>
      </w:r>
      <w:r>
        <w:rPr>
          <w:rFonts w:eastAsia="Times New Roman"/>
          <w:szCs w:val="20"/>
          <w:lang w:val="en-GB"/>
        </w:rPr>
        <w:t>separate concurring</w:t>
      </w:r>
      <w:r w:rsidRPr="00222575">
        <w:rPr>
          <w:rFonts w:eastAsia="Times New Roman"/>
          <w:szCs w:val="20"/>
          <w:lang w:val="en-GB"/>
        </w:rPr>
        <w:t xml:space="preserve"> opinion of Judge </w:t>
      </w:r>
      <w:r>
        <w:rPr>
          <w:rFonts w:eastAsia="Times New Roman"/>
          <w:szCs w:val="20"/>
          <w:lang w:val="en-GB"/>
        </w:rPr>
        <w:t>De Gaetano</w:t>
      </w:r>
      <w:r w:rsidRPr="00222575">
        <w:rPr>
          <w:rFonts w:eastAsia="Times New Roman"/>
          <w:szCs w:val="20"/>
          <w:lang w:val="en-GB"/>
        </w:rPr>
        <w:t xml:space="preserve"> is annexed to this judgment.</w:t>
      </w:r>
    </w:p>
    <w:p w:rsidR="00406AD9" w:rsidRPr="00222575" w:rsidRDefault="00406AD9" w:rsidP="00562B63">
      <w:pPr>
        <w:pStyle w:val="JuInitialled"/>
        <w:rPr>
          <w:rFonts w:eastAsia="Times New Roman"/>
        </w:rPr>
      </w:pPr>
      <w:r>
        <w:rPr>
          <w:rFonts w:eastAsia="Times New Roman"/>
        </w:rPr>
        <w:t>P.H</w:t>
      </w:r>
      <w:r w:rsidRPr="00222575">
        <w:rPr>
          <w:rFonts w:eastAsia="Times New Roman"/>
        </w:rPr>
        <w:t>.</w:t>
      </w:r>
      <w:r w:rsidRPr="00222575">
        <w:rPr>
          <w:rFonts w:eastAsia="Times New Roman"/>
          <w:lang w:val="en-GB"/>
        </w:rPr>
        <w:br/>
      </w:r>
      <w:r w:rsidRPr="00222575">
        <w:rPr>
          <w:rFonts w:eastAsia="Times New Roman"/>
        </w:rPr>
        <w:t>F.E.P.</w:t>
      </w:r>
    </w:p>
    <w:p w:rsidR="00406AD9" w:rsidRDefault="00406AD9" w:rsidP="003B082B">
      <w:pPr>
        <w:jc w:val="center"/>
        <w:rPr>
          <w:rFonts w:ascii="Bookman Old Style" w:hAnsi="Bookman Old Style"/>
          <w:b/>
          <w:sz w:val="28"/>
          <w:szCs w:val="28"/>
          <w:lang w:val="en-GB"/>
        </w:rPr>
        <w:sectPr w:rsidR="00406AD9" w:rsidSect="00DB7D0C">
          <w:headerReference w:type="even" r:id="rId12"/>
          <w:headerReference w:type="default" r:id="rId13"/>
          <w:pgSz w:w="11906" w:h="16838" w:code="9"/>
          <w:pgMar w:top="2274" w:right="2274" w:bottom="2274" w:left="2274" w:header="1701" w:footer="720" w:gutter="0"/>
          <w:pgNumType w:start="1"/>
          <w:cols w:space="720"/>
          <w:docGrid w:linePitch="326"/>
        </w:sectPr>
      </w:pPr>
    </w:p>
    <w:p w:rsidR="00406AD9" w:rsidRPr="00222575" w:rsidRDefault="00406AD9" w:rsidP="008A04C8">
      <w:pPr>
        <w:pStyle w:val="ECHRTitleCentre1"/>
        <w:rPr>
          <w:lang w:val="en-US"/>
        </w:rPr>
      </w:pPr>
      <w:r w:rsidRPr="00222575">
        <w:rPr>
          <w:lang w:val="en-US"/>
        </w:rPr>
        <w:t xml:space="preserve">SEPARATE CONCURRING OPINION </w:t>
      </w:r>
      <w:r>
        <w:rPr>
          <w:lang w:val="en-US"/>
        </w:rPr>
        <w:br/>
      </w:r>
      <w:r w:rsidRPr="00222575">
        <w:rPr>
          <w:lang w:val="en-US"/>
        </w:rPr>
        <w:t>OF JU</w:t>
      </w:r>
      <w:r>
        <w:rPr>
          <w:lang w:val="en-US"/>
        </w:rPr>
        <w:t>D</w:t>
      </w:r>
      <w:r w:rsidRPr="00222575">
        <w:rPr>
          <w:lang w:val="en-US"/>
        </w:rPr>
        <w:t>GE DE</w:t>
      </w:r>
      <w:r>
        <w:rPr>
          <w:lang w:val="en-US"/>
        </w:rPr>
        <w:t> </w:t>
      </w:r>
      <w:r w:rsidRPr="00222575">
        <w:rPr>
          <w:lang w:val="en-US"/>
        </w:rPr>
        <w:t>GAETANO</w:t>
      </w:r>
    </w:p>
    <w:p w:rsidR="00406AD9" w:rsidRPr="00222575" w:rsidRDefault="00406AD9" w:rsidP="00F94747">
      <w:pPr>
        <w:pStyle w:val="OpiPara"/>
      </w:pPr>
      <w:r>
        <w:t>1.  </w:t>
      </w:r>
      <w:r w:rsidRPr="00222575">
        <w:t>While I agree with the five heads of the operative part of the judgment, I regret that the reasons advanced, and the muted language used, in §§ 62-69 do not do justice to the gravity of the violation in this case.</w:t>
      </w:r>
    </w:p>
    <w:p w:rsidR="00406AD9" w:rsidRPr="0031109E" w:rsidRDefault="00406AD9" w:rsidP="008A04C8">
      <w:pPr>
        <w:pStyle w:val="OpiPara"/>
      </w:pPr>
      <w:r>
        <w:t>2.  </w:t>
      </w:r>
      <w:r w:rsidRPr="00222575">
        <w:t xml:space="preserve">In this case there is not simply a violation of Article 6 § 1, but a “flagrant denial of justice” in the sense described in § 259 of the judgment of 17 January 2012 in the case </w:t>
      </w:r>
      <w:r w:rsidRPr="00222575">
        <w:rPr>
          <w:i/>
        </w:rPr>
        <w:t xml:space="preserve">Othman (Abu Qatada) v. the United Kingdom </w:t>
      </w:r>
      <w:r w:rsidRPr="00222575">
        <w:t xml:space="preserve">(no. 8139/09). </w:t>
      </w:r>
      <w:r w:rsidRPr="0031109E">
        <w:t xml:space="preserve">Like Article 2, Article 3 lies at the very core of the Convention – indeed, in some sense it can be considered as even more “fundamental” than Article 2 since, unlike Article 2, it admits of no exceptions or qualifications. Even in time of emergency, no derogation can be made to Article 3 (see Article 15 § 2). As was emphasised in </w:t>
      </w:r>
      <w:r>
        <w:rPr>
          <w:i/>
        </w:rPr>
        <w:t>El Haski v. </w:t>
      </w:r>
      <w:r w:rsidRPr="0031109E">
        <w:rPr>
          <w:i/>
        </w:rPr>
        <w:t xml:space="preserve">Belgium </w:t>
      </w:r>
      <w:r w:rsidRPr="0031109E">
        <w:t xml:space="preserve">(no. 649/08), the use in criminal proceedings of statements obtained as a result of a violation of Article 3, irrespective of the classification of the treatment as torture, inhuman or degrading treatment, renders the proceedings as a whole </w:t>
      </w:r>
      <w:r w:rsidRPr="0031109E">
        <w:rPr>
          <w:i/>
        </w:rPr>
        <w:t>automatically</w:t>
      </w:r>
      <w:r w:rsidRPr="0031109E">
        <w:t xml:space="preserve"> unfair and in breach of Article 6 (and this applies also for the use of real evidence obtained as a direct result of acts of torture – if the real evidence is obtained as a result of acts which are in breach of Article 3 but which fall short of torture, there would be a breach of Article 6 only if that real evidence had a bearing on the outcome of the proceedings against the defendant) (see § 85 of </w:t>
      </w:r>
      <w:r w:rsidRPr="0031109E">
        <w:rPr>
          <w:i/>
        </w:rPr>
        <w:t>El Haski</w:t>
      </w:r>
      <w:r w:rsidRPr="0031109E">
        <w:t xml:space="preserve">). The necessity for this stringent automaticity was explained in </w:t>
      </w:r>
      <w:r w:rsidRPr="0031109E">
        <w:rPr>
          <w:i/>
        </w:rPr>
        <w:t xml:space="preserve">Othman (Abu Qatada) </w:t>
      </w:r>
      <w:r w:rsidRPr="0031109E">
        <w:t>at § 264. It is true that in that case Article 3 was being considered specifically in the context of torture, and of statements extracted under torture, but to my mind the same reasoning applies if statements are extracted under duress amounting to inhuman or degrading treatment. Admitting statements – whether made by the accused or by third parties – obtained in these circumstances “would only serve to legitimate indirectly the sort of morally reprehensible conduct which the authors of Article 3 of the Convention sought to proscribe” (</w:t>
      </w:r>
      <w:r w:rsidRPr="0031109E">
        <w:rPr>
          <w:i/>
        </w:rPr>
        <w:t>ibid.</w:t>
      </w:r>
      <w:r w:rsidRPr="0031109E">
        <w:t>)</w:t>
      </w:r>
    </w:p>
    <w:p w:rsidR="00406AD9" w:rsidRPr="0031109E" w:rsidRDefault="00406AD9" w:rsidP="008A04C8">
      <w:pPr>
        <w:pStyle w:val="OpiPara"/>
      </w:pPr>
      <w:r>
        <w:t>3.  </w:t>
      </w:r>
      <w:r w:rsidRPr="00222575">
        <w:t xml:space="preserve">In the instant case, it has been clearly established that the statements had been obtained from the defendant in breach of Article 3. </w:t>
      </w:r>
      <w:r w:rsidRPr="0031109E">
        <w:t xml:space="preserve">The Riga Regional Court said so in its judgment of 11 October 2004 (see § 33). </w:t>
      </w:r>
      <w:r w:rsidRPr="00222575">
        <w:t xml:space="preserve">This was confirmed by the executive branch of Government in its letter of 20 October 2011 to the Court admitting the breach of Articles 3 and 13 (see </w:t>
      </w:r>
      <w:r w:rsidRPr="00222575">
        <w:rPr>
          <w:i/>
        </w:rPr>
        <w:t xml:space="preserve">Cēsnieks v. Latvia </w:t>
      </w:r>
      <w:r w:rsidRPr="00222575">
        <w:t xml:space="preserve">(dec.) </w:t>
      </w:r>
      <w:r w:rsidRPr="0031109E">
        <w:t xml:space="preserve">(partial striking out), no. 9278/06, § 32, 6 March 2012). The Supreme Court was of a different persuasion. The </w:t>
      </w:r>
      <w:r w:rsidRPr="0031109E">
        <w:rPr>
          <w:i/>
        </w:rPr>
        <w:t>pons asinorum</w:t>
      </w:r>
      <w:r w:rsidRPr="0031109E">
        <w:t xml:space="preserve"> appears to have been the distinction between the </w:t>
      </w:r>
      <w:r w:rsidRPr="0031109E">
        <w:rPr>
          <w:i/>
        </w:rPr>
        <w:t>truthfulness</w:t>
      </w:r>
      <w:r w:rsidRPr="0031109E">
        <w:t xml:space="preserve"> of the applicant</w:t>
      </w:r>
      <w:r>
        <w:t>’</w:t>
      </w:r>
      <w:r w:rsidRPr="0031109E">
        <w:t xml:space="preserve">s statements (see § 40) and their </w:t>
      </w:r>
      <w:r w:rsidRPr="0031109E">
        <w:rPr>
          <w:i/>
        </w:rPr>
        <w:t>admissibility</w:t>
      </w:r>
      <w:r w:rsidRPr="0031109E">
        <w:t xml:space="preserve"> or </w:t>
      </w:r>
      <w:r w:rsidRPr="0031109E">
        <w:rPr>
          <w:i/>
        </w:rPr>
        <w:t>inadmissibility</w:t>
      </w:r>
      <w:r w:rsidRPr="0031109E">
        <w:t xml:space="preserve"> as evidence (see § 41). Now, it is true that at the time when the Supreme Court pronounced itself (for the first time) on </w:t>
      </w:r>
      <w:r w:rsidRPr="0031109E">
        <w:rPr>
          <w:u w:val="single"/>
        </w:rPr>
        <w:t>26 April 2005</w:t>
      </w:r>
      <w:r w:rsidRPr="0031109E">
        <w:t xml:space="preserve">, there was as yet </w:t>
      </w:r>
      <w:r w:rsidRPr="0031109E">
        <w:rPr>
          <w:i/>
        </w:rPr>
        <w:t>in force</w:t>
      </w:r>
      <w:r w:rsidRPr="0031109E">
        <w:t xml:space="preserve"> no provision to the effect that evidence obtained through ill-treatment would be inadmissible (§ 49). However the 2005 Criminal Procedure Law had been adopted on </w:t>
      </w:r>
      <w:r w:rsidRPr="0031109E">
        <w:rPr>
          <w:u w:val="single"/>
        </w:rPr>
        <w:t>21 April 2005</w:t>
      </w:r>
      <w:r w:rsidRPr="0031109E">
        <w:t>, even though it was to come into force only on 1 October 2005. The Supreme Court (like the Senate of that court which later dismissed a further appeal on formalistic grounds, § 45) must have been aware of th</w:t>
      </w:r>
      <w:r>
        <w:t>e provisions of the new section </w:t>
      </w:r>
      <w:r w:rsidRPr="0031109E">
        <w:t>130 of that law. Nevertheless it forge</w:t>
      </w:r>
      <w:r>
        <w:t>d ahead with its decision of 26 </w:t>
      </w:r>
      <w:r w:rsidRPr="0031109E">
        <w:t>April 2005, in effect riding roughshod over the applicant</w:t>
      </w:r>
      <w:r>
        <w:t>’</w:t>
      </w:r>
      <w:r w:rsidRPr="0031109E">
        <w:t>s fundamental human rights. I find that extraordinary.</w:t>
      </w:r>
    </w:p>
    <w:p w:rsidR="00406AD9" w:rsidRPr="00562B63" w:rsidRDefault="00406AD9" w:rsidP="00562B63">
      <w:pPr>
        <w:pStyle w:val="OpiPara"/>
        <w:rPr>
          <w:color w:val="000000"/>
        </w:rPr>
      </w:pPr>
      <w:r>
        <w:t>4.  </w:t>
      </w:r>
      <w:r w:rsidRPr="00222575">
        <w:t>Even more extraordinary, however, is the fact that with all the above as a backdrop to this case, and with the applicant serving a sentence of eleven years</w:t>
      </w:r>
      <w:r>
        <w:t>’</w:t>
      </w:r>
      <w:r w:rsidRPr="00222575">
        <w:t xml:space="preserve"> imprisonment plus confiscation of property (§ 42), the respondent Government saw fit to contest the Article 6 violation as regards the use of evidence. </w:t>
      </w:r>
      <w:r w:rsidRPr="0031109E">
        <w:rPr>
          <w:color w:val="000000"/>
        </w:rPr>
        <w:t>Inconsistency of behaviour verging on the pathological is clearly not the prerogative of physical persons.</w:t>
      </w:r>
    </w:p>
    <w:sectPr w:rsidR="00406AD9" w:rsidRPr="00562B63" w:rsidSect="008A04C8">
      <w:headerReference w:type="even" r:id="rId14"/>
      <w:headerReference w:type="default" r:id="rId15"/>
      <w:pgSz w:w="11906" w:h="16838" w:code="9"/>
      <w:pgMar w:top="2274" w:right="2274" w:bottom="2274" w:left="2274" w:header="1701"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AD9" w:rsidRDefault="00406AD9">
      <w:r>
        <w:separator/>
      </w:r>
    </w:p>
  </w:endnote>
  <w:endnote w:type="continuationSeparator" w:id="0">
    <w:p w:rsidR="00406AD9" w:rsidRDefault="00406A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MS Gothic">
    <w:altName w:val="?l?r SVbN"/>
    <w:panose1 w:val="020B0609070205080204"/>
    <w:charset w:val="80"/>
    <w:family w:val="modern"/>
    <w:notTrueType/>
    <w:pitch w:val="fixed"/>
    <w:sig w:usb0="00000001" w:usb1="08070000" w:usb2="00000010" w:usb3="00000000" w:csb0="00020000" w:csb1="00000000"/>
  </w:font>
  <w:font w:name="Tahoma">
    <w:panose1 w:val="020B0604030504040204"/>
    <w:charset w:val="BA"/>
    <w:family w:val="swiss"/>
    <w:pitch w:val="variable"/>
    <w:sig w:usb0="61002A87" w:usb1="80000000" w:usb2="00000008" w:usb3="00000000" w:csb0="000101FF" w:csb1="00000000"/>
  </w:font>
  <w:font w:name="Consolas">
    <w:panose1 w:val="020B0609020204030204"/>
    <w:charset w:val="BA"/>
    <w:family w:val="modern"/>
    <w:pitch w:val="fixed"/>
    <w:sig w:usb0="A00002EF" w:usb1="4000204B"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D9" w:rsidRPr="00150BFA" w:rsidRDefault="00406AD9" w:rsidP="0020718E">
    <w:pPr>
      <w:jc w:val="center"/>
    </w:pPr>
    <w:r w:rsidRPr="00063E21">
      <w:rPr>
        <w:noProof/>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i1028" type="#_x0000_t75" style="width:60pt;height:48pt;visibility:visible">
          <v:imagedata r:id="rId1" o:title=""/>
        </v:shape>
      </w:pict>
    </w:r>
  </w:p>
  <w:p w:rsidR="00406AD9" w:rsidRDefault="00406A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AD9" w:rsidRDefault="00406AD9">
      <w:r>
        <w:separator/>
      </w:r>
    </w:p>
  </w:footnote>
  <w:footnote w:type="continuationSeparator" w:id="0">
    <w:p w:rsidR="00406AD9" w:rsidRDefault="00406AD9">
      <w:r>
        <w:continuationSeparator/>
      </w:r>
    </w:p>
  </w:footnote>
  <w:footnote w:id="1">
    <w:p w:rsidR="00406AD9" w:rsidRDefault="00406AD9" w:rsidP="009F7393">
      <w:pPr>
        <w:pStyle w:val="FootnoteText"/>
      </w:pPr>
      <w:r w:rsidRPr="006F6210">
        <w:rPr>
          <w:rStyle w:val="FootnoteReference"/>
          <w:sz w:val="22"/>
          <w:szCs w:val="22"/>
          <w:lang w:val="en-GB"/>
        </w:rPr>
        <w:footnoteRef/>
      </w:r>
      <w:r w:rsidRPr="006F6210">
        <w:rPr>
          <w:sz w:val="22"/>
          <w:szCs w:val="22"/>
          <w:lang w:val="en-GB"/>
        </w:rPr>
        <w:t xml:space="preserve"> In some parts the text is not visible on the copy.</w:t>
      </w:r>
    </w:p>
  </w:footnote>
  <w:footnote w:id="2">
    <w:p w:rsidR="00406AD9" w:rsidRDefault="00406AD9" w:rsidP="009F7393">
      <w:pPr>
        <w:pStyle w:val="FootnoteText"/>
      </w:pPr>
      <w:r w:rsidRPr="006F6210">
        <w:rPr>
          <w:rStyle w:val="FootnoteReference"/>
          <w:sz w:val="22"/>
          <w:szCs w:val="22"/>
          <w:lang w:val="en-GB"/>
        </w:rPr>
        <w:footnoteRef/>
      </w:r>
      <w:r w:rsidRPr="006F6210">
        <w:rPr>
          <w:sz w:val="22"/>
          <w:szCs w:val="22"/>
          <w:lang w:val="en-GB"/>
        </w:rPr>
        <w:t xml:space="preserve"> In some parts the text is illegible or is not visible on the copy. It also appears that the date of 22 March was written on top of the date of 21 March.</w:t>
      </w:r>
    </w:p>
  </w:footnote>
  <w:footnote w:id="3">
    <w:p w:rsidR="00406AD9" w:rsidRDefault="00406AD9" w:rsidP="009F7393">
      <w:pPr>
        <w:pStyle w:val="FootnoteText"/>
      </w:pPr>
      <w:r w:rsidRPr="006F6210">
        <w:rPr>
          <w:rStyle w:val="FootnoteReference"/>
          <w:sz w:val="22"/>
          <w:szCs w:val="22"/>
          <w:lang w:val="en-GB"/>
        </w:rPr>
        <w:footnoteRef/>
      </w:r>
      <w:r w:rsidRPr="006F6210">
        <w:rPr>
          <w:sz w:val="22"/>
          <w:szCs w:val="22"/>
          <w:lang w:val="en-GB"/>
        </w:rPr>
        <w:t xml:space="preserve"> In some parts the text is not visible on the copy.</w:t>
      </w:r>
    </w:p>
  </w:footnote>
  <w:footnote w:id="4">
    <w:p w:rsidR="00406AD9" w:rsidRDefault="00406AD9" w:rsidP="009F7393">
      <w:pPr>
        <w:pStyle w:val="FootnoteText"/>
      </w:pPr>
      <w:r w:rsidRPr="006F6210">
        <w:rPr>
          <w:rStyle w:val="FootnoteReference"/>
          <w:sz w:val="22"/>
          <w:szCs w:val="22"/>
          <w:lang w:val="en-GB"/>
        </w:rPr>
        <w:footnoteRef/>
      </w:r>
      <w:r w:rsidRPr="006F6210">
        <w:rPr>
          <w:sz w:val="22"/>
          <w:szCs w:val="22"/>
          <w:lang w:val="en-GB"/>
        </w:rPr>
        <w:t xml:space="preserve"> In some parts the text is not visible on the copy.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D9" w:rsidRPr="00DB7D0C" w:rsidRDefault="00406AD9" w:rsidP="00DB7D0C">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D9" w:rsidRPr="00A45145" w:rsidRDefault="00406AD9" w:rsidP="00A45145">
    <w:pPr>
      <w:jc w:val="center"/>
    </w:pPr>
    <w:r w:rsidRPr="00063E21">
      <w:rPr>
        <w:noProof/>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6" type="#_x0000_t75" style="width:231.75pt;height:95.25pt;visibility:visible">
          <v:imagedata r:id="rId1" o:title=""/>
        </v:shape>
      </w:pict>
    </w:r>
  </w:p>
  <w:p w:rsidR="00406AD9" w:rsidRDefault="00406A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D9" w:rsidRPr="0001136E" w:rsidRDefault="00406AD9" w:rsidP="00044ABA">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noProof/>
        <w:szCs w:val="18"/>
      </w:rPr>
      <w:t>2</w:t>
    </w:r>
    <w:r>
      <w:rPr>
        <w:rStyle w:val="PageNumber"/>
        <w:szCs w:val="18"/>
      </w:rPr>
      <w:fldChar w:fldCharType="end"/>
    </w:r>
    <w:r w:rsidRPr="0001136E">
      <w:tab/>
    </w:r>
    <w:r>
      <w:t>CĒSNIEKS v. LATVIA</w:t>
    </w:r>
    <w:r w:rsidRPr="0001136E">
      <w:t xml:space="preserve"> </w:t>
    </w:r>
    <w:r>
      <w:t>JUDGMENT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D9" w:rsidRPr="0001136E" w:rsidRDefault="00406AD9" w:rsidP="00044ABA">
    <w:pPr>
      <w:pStyle w:val="ECHRHeader"/>
    </w:pPr>
    <w:r w:rsidRPr="0001136E">
      <w:tab/>
    </w:r>
    <w:r>
      <w:t>CĒSNIEKS v. LATVIA</w:t>
    </w:r>
    <w:r w:rsidRPr="0001136E">
      <w:t xml:space="preserve"> </w:t>
    </w:r>
    <w:r>
      <w:t>JUDGMENT</w:t>
    </w:r>
    <w:r w:rsidRPr="0001136E">
      <w:tab/>
    </w: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noProof/>
        <w:szCs w:val="18"/>
      </w:rPr>
      <w:t>1</w:t>
    </w:r>
    <w:r>
      <w:rPr>
        <w:rStyle w:val="PageNumber"/>
        <w:szCs w:val="1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D9" w:rsidRPr="008A04C8" w:rsidRDefault="00406AD9" w:rsidP="00044ABA">
    <w:pPr>
      <w:pStyle w:val="ECHRHeader"/>
      <w:rPr>
        <w:lang w:val="en-US"/>
      </w:rPr>
    </w:pPr>
    <w:r w:rsidRPr="008A04C8">
      <w:rPr>
        <w:rStyle w:val="PageNumber"/>
        <w:szCs w:val="18"/>
        <w:lang w:val="en-US"/>
      </w:rPr>
      <w:fldChar w:fldCharType="begin"/>
    </w:r>
    <w:r w:rsidRPr="008A04C8">
      <w:rPr>
        <w:rStyle w:val="PageNumber"/>
        <w:szCs w:val="18"/>
        <w:lang w:val="en-US"/>
      </w:rPr>
      <w:instrText xml:space="preserve"> PAGE </w:instrText>
    </w:r>
    <w:r w:rsidRPr="008A04C8">
      <w:rPr>
        <w:rStyle w:val="PageNumber"/>
        <w:szCs w:val="18"/>
        <w:lang w:val="en-US"/>
      </w:rPr>
      <w:fldChar w:fldCharType="separate"/>
    </w:r>
    <w:r>
      <w:rPr>
        <w:rStyle w:val="PageNumber"/>
        <w:noProof/>
        <w:szCs w:val="18"/>
        <w:lang w:val="en-US"/>
      </w:rPr>
      <w:t>16</w:t>
    </w:r>
    <w:r w:rsidRPr="008A04C8">
      <w:rPr>
        <w:rStyle w:val="PageNumber"/>
        <w:szCs w:val="18"/>
        <w:lang w:val="en-US"/>
      </w:rPr>
      <w:fldChar w:fldCharType="end"/>
    </w:r>
    <w:r w:rsidRPr="008A04C8">
      <w:rPr>
        <w:lang w:val="en-US"/>
      </w:rPr>
      <w:tab/>
      <w:t>CĒSNIEKS v. LATVIA JUDGMENT – SEPARATE OPINION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D9" w:rsidRPr="008A04C8" w:rsidRDefault="00406AD9" w:rsidP="00044ABA">
    <w:pPr>
      <w:pStyle w:val="ECHRHeader"/>
      <w:rPr>
        <w:lang w:val="en-US"/>
      </w:rPr>
    </w:pPr>
    <w:r w:rsidRPr="0001136E">
      <w:tab/>
    </w:r>
    <w:r w:rsidRPr="008A04C8">
      <w:rPr>
        <w:lang w:val="en-US"/>
      </w:rPr>
      <w:t>CĒSNIEKS v. LATVIA JUDGMENT – SEPARATE OPINION</w:t>
    </w:r>
    <w:r w:rsidRPr="008A04C8">
      <w:rPr>
        <w:lang w:val="en-US"/>
      </w:rPr>
      <w:tab/>
    </w:r>
    <w:r w:rsidRPr="008A04C8">
      <w:rPr>
        <w:rStyle w:val="PageNumber"/>
        <w:szCs w:val="18"/>
        <w:lang w:val="en-US"/>
      </w:rPr>
      <w:fldChar w:fldCharType="begin"/>
    </w:r>
    <w:r w:rsidRPr="008A04C8">
      <w:rPr>
        <w:rStyle w:val="PageNumber"/>
        <w:szCs w:val="18"/>
        <w:lang w:val="en-US"/>
      </w:rPr>
      <w:instrText xml:space="preserve"> PAGE </w:instrText>
    </w:r>
    <w:r w:rsidRPr="008A04C8">
      <w:rPr>
        <w:rStyle w:val="PageNumber"/>
        <w:szCs w:val="18"/>
        <w:lang w:val="en-US"/>
      </w:rPr>
      <w:fldChar w:fldCharType="separate"/>
    </w:r>
    <w:r>
      <w:rPr>
        <w:rStyle w:val="PageNumber"/>
        <w:noProof/>
        <w:szCs w:val="18"/>
        <w:lang w:val="en-US"/>
      </w:rPr>
      <w:t>15</w:t>
    </w:r>
    <w:r w:rsidRPr="008A04C8">
      <w:rPr>
        <w:rStyle w:val="PageNumber"/>
        <w:szCs w:val="18"/>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180FE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90ECF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5B8BE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1CF7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38026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2C7378"/>
    <w:lvl w:ilvl="0">
      <w:start w:val="1"/>
      <w:numFmt w:val="bullet"/>
      <w:lvlText w:val=""/>
      <w:lvlJc w:val="left"/>
      <w:pPr>
        <w:tabs>
          <w:tab w:val="num" w:pos="360"/>
        </w:tabs>
        <w:ind w:left="360" w:hanging="360"/>
      </w:pPr>
      <w:rPr>
        <w:rFonts w:ascii="Symbol" w:hAnsi="Symbol" w:hint="default"/>
      </w:rPr>
    </w:lvl>
  </w:abstractNum>
  <w:abstractNum w:abstractNumId="10">
    <w:nsid w:val="0066004F"/>
    <w:multiLevelType w:val="multilevel"/>
    <w:tmpl w:val="040C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026C16BC"/>
    <w:multiLevelType w:val="hybridMultilevel"/>
    <w:tmpl w:val="CA7EDF84"/>
    <w:lvl w:ilvl="0" w:tplc="71EABE94">
      <w:start w:val="1"/>
      <w:numFmt w:val="upperLetter"/>
      <w:lvlText w:val="%1."/>
      <w:lvlJc w:val="left"/>
      <w:pPr>
        <w:ind w:left="704" w:hanging="360"/>
      </w:pPr>
      <w:rPr>
        <w:rFonts w:cs="Times New Roman" w:hint="default"/>
      </w:rPr>
    </w:lvl>
    <w:lvl w:ilvl="1" w:tplc="04090019" w:tentative="1">
      <w:start w:val="1"/>
      <w:numFmt w:val="lowerLetter"/>
      <w:lvlText w:val="%2."/>
      <w:lvlJc w:val="left"/>
      <w:pPr>
        <w:ind w:left="1424" w:hanging="360"/>
      </w:pPr>
      <w:rPr>
        <w:rFonts w:cs="Times New Roman"/>
      </w:rPr>
    </w:lvl>
    <w:lvl w:ilvl="2" w:tplc="0409001B" w:tentative="1">
      <w:start w:val="1"/>
      <w:numFmt w:val="lowerRoman"/>
      <w:lvlText w:val="%3."/>
      <w:lvlJc w:val="right"/>
      <w:pPr>
        <w:ind w:left="2144" w:hanging="180"/>
      </w:pPr>
      <w:rPr>
        <w:rFonts w:cs="Times New Roman"/>
      </w:rPr>
    </w:lvl>
    <w:lvl w:ilvl="3" w:tplc="0409000F" w:tentative="1">
      <w:start w:val="1"/>
      <w:numFmt w:val="decimal"/>
      <w:lvlText w:val="%4."/>
      <w:lvlJc w:val="left"/>
      <w:pPr>
        <w:ind w:left="2864" w:hanging="360"/>
      </w:pPr>
      <w:rPr>
        <w:rFonts w:cs="Times New Roman"/>
      </w:rPr>
    </w:lvl>
    <w:lvl w:ilvl="4" w:tplc="04090019" w:tentative="1">
      <w:start w:val="1"/>
      <w:numFmt w:val="lowerLetter"/>
      <w:lvlText w:val="%5."/>
      <w:lvlJc w:val="left"/>
      <w:pPr>
        <w:ind w:left="3584" w:hanging="360"/>
      </w:pPr>
      <w:rPr>
        <w:rFonts w:cs="Times New Roman"/>
      </w:rPr>
    </w:lvl>
    <w:lvl w:ilvl="5" w:tplc="0409001B" w:tentative="1">
      <w:start w:val="1"/>
      <w:numFmt w:val="lowerRoman"/>
      <w:lvlText w:val="%6."/>
      <w:lvlJc w:val="right"/>
      <w:pPr>
        <w:ind w:left="4304" w:hanging="180"/>
      </w:pPr>
      <w:rPr>
        <w:rFonts w:cs="Times New Roman"/>
      </w:rPr>
    </w:lvl>
    <w:lvl w:ilvl="6" w:tplc="0409000F" w:tentative="1">
      <w:start w:val="1"/>
      <w:numFmt w:val="decimal"/>
      <w:lvlText w:val="%7."/>
      <w:lvlJc w:val="left"/>
      <w:pPr>
        <w:ind w:left="5024" w:hanging="360"/>
      </w:pPr>
      <w:rPr>
        <w:rFonts w:cs="Times New Roman"/>
      </w:rPr>
    </w:lvl>
    <w:lvl w:ilvl="7" w:tplc="04090019" w:tentative="1">
      <w:start w:val="1"/>
      <w:numFmt w:val="lowerLetter"/>
      <w:lvlText w:val="%8."/>
      <w:lvlJc w:val="left"/>
      <w:pPr>
        <w:ind w:left="5744" w:hanging="360"/>
      </w:pPr>
      <w:rPr>
        <w:rFonts w:cs="Times New Roman"/>
      </w:rPr>
    </w:lvl>
    <w:lvl w:ilvl="8" w:tplc="0409001B" w:tentative="1">
      <w:start w:val="1"/>
      <w:numFmt w:val="lowerRoman"/>
      <w:lvlText w:val="%9."/>
      <w:lvlJc w:val="right"/>
      <w:pPr>
        <w:ind w:left="6464" w:hanging="180"/>
      </w:pPr>
      <w:rPr>
        <w:rFonts w:cs="Times New Roman"/>
      </w:rPr>
    </w:lvl>
  </w:abstractNum>
  <w:abstractNum w:abstractNumId="12">
    <w:nsid w:val="107038C8"/>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163F153D"/>
    <w:multiLevelType w:val="multilevel"/>
    <w:tmpl w:val="040C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0FD4BE1"/>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A98470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631ECA"/>
    <w:multiLevelType w:val="multilevel"/>
    <w:tmpl w:val="0426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nsid w:val="67FD1241"/>
    <w:multiLevelType w:val="hybridMultilevel"/>
    <w:tmpl w:val="F6D86CC2"/>
    <w:lvl w:ilvl="0" w:tplc="E4205412">
      <w:start w:val="1"/>
      <w:numFmt w:val="bullet"/>
      <w:pStyle w:val="ListBullet"/>
      <w:lvlText w:val=""/>
      <w:lvlJc w:val="left"/>
      <w:pPr>
        <w:tabs>
          <w:tab w:val="num" w:pos="851"/>
        </w:tabs>
        <w:ind w:left="568"/>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nsid w:val="72B02723"/>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76027107"/>
    <w:multiLevelType w:val="multilevel"/>
    <w:tmpl w:val="0426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76903243"/>
    <w:multiLevelType w:val="multilevel"/>
    <w:tmpl w:val="E884A926"/>
    <w:lvl w:ilvl="0">
      <w:start w:val="1"/>
      <w:numFmt w:val="decimal"/>
      <w:pStyle w:val="JuAppQuestion"/>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nsid w:val="7737461D"/>
    <w:multiLevelType w:val="multilevel"/>
    <w:tmpl w:val="040C0023"/>
    <w:styleLink w:val="ArticleSection"/>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3"/>
  </w:num>
  <w:num w:numId="23">
    <w:abstractNumId w:val="10"/>
  </w:num>
  <w:num w:numId="24">
    <w:abstractNumId w:val="21"/>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0"/>
  </w:num>
  <w:num w:numId="35">
    <w:abstractNumId w:val="11"/>
  </w:num>
  <w:num w:numId="36">
    <w:abstractNumId w:val="19"/>
  </w:num>
  <w:num w:numId="37">
    <w:abstractNumId w:val="18"/>
  </w:num>
  <w:num w:numId="38">
    <w:abstractNumId w:val="16"/>
  </w:num>
  <w:num w:numId="39">
    <w:abstractNumId w:val="14"/>
  </w:num>
  <w:num w:numId="40">
    <w:abstractNumId w:val="15"/>
  </w:num>
  <w:num w:numId="41">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D804"/>
  <w:defaultTabStop w:val="709"/>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B134ED"/>
    <w:rsid w:val="00000129"/>
    <w:rsid w:val="00000143"/>
    <w:rsid w:val="00001CC5"/>
    <w:rsid w:val="00001CEC"/>
    <w:rsid w:val="00002DD1"/>
    <w:rsid w:val="00003615"/>
    <w:rsid w:val="000042D1"/>
    <w:rsid w:val="00005436"/>
    <w:rsid w:val="00007B38"/>
    <w:rsid w:val="0001136E"/>
    <w:rsid w:val="00013894"/>
    <w:rsid w:val="00017C76"/>
    <w:rsid w:val="00021E88"/>
    <w:rsid w:val="000241A0"/>
    <w:rsid w:val="00024F3E"/>
    <w:rsid w:val="00033160"/>
    <w:rsid w:val="00033FD2"/>
    <w:rsid w:val="000341FD"/>
    <w:rsid w:val="00035A07"/>
    <w:rsid w:val="0003679E"/>
    <w:rsid w:val="00042867"/>
    <w:rsid w:val="00044ABA"/>
    <w:rsid w:val="0005522C"/>
    <w:rsid w:val="0005538E"/>
    <w:rsid w:val="00055AC1"/>
    <w:rsid w:val="00055E86"/>
    <w:rsid w:val="00061765"/>
    <w:rsid w:val="00063E21"/>
    <w:rsid w:val="0006418C"/>
    <w:rsid w:val="000712E3"/>
    <w:rsid w:val="00072510"/>
    <w:rsid w:val="000726F6"/>
    <w:rsid w:val="000734FE"/>
    <w:rsid w:val="00076A67"/>
    <w:rsid w:val="00081659"/>
    <w:rsid w:val="00083515"/>
    <w:rsid w:val="00084BCA"/>
    <w:rsid w:val="00085837"/>
    <w:rsid w:val="00085B3A"/>
    <w:rsid w:val="00090C82"/>
    <w:rsid w:val="0009289F"/>
    <w:rsid w:val="00092EA3"/>
    <w:rsid w:val="000935B4"/>
    <w:rsid w:val="0009409F"/>
    <w:rsid w:val="000A0756"/>
    <w:rsid w:val="000A1890"/>
    <w:rsid w:val="000A1AA3"/>
    <w:rsid w:val="000A21A4"/>
    <w:rsid w:val="000A3B95"/>
    <w:rsid w:val="000A3BC7"/>
    <w:rsid w:val="000B1843"/>
    <w:rsid w:val="000B5890"/>
    <w:rsid w:val="000B5FC6"/>
    <w:rsid w:val="000C0513"/>
    <w:rsid w:val="000C0BD8"/>
    <w:rsid w:val="000C1BAA"/>
    <w:rsid w:val="000C3436"/>
    <w:rsid w:val="000D40F5"/>
    <w:rsid w:val="000D6108"/>
    <w:rsid w:val="000D62C0"/>
    <w:rsid w:val="000E1449"/>
    <w:rsid w:val="000E18D8"/>
    <w:rsid w:val="000E677A"/>
    <w:rsid w:val="000F39BE"/>
    <w:rsid w:val="000F699D"/>
    <w:rsid w:val="001046E8"/>
    <w:rsid w:val="001047FD"/>
    <w:rsid w:val="00104AD1"/>
    <w:rsid w:val="001060BF"/>
    <w:rsid w:val="00111D99"/>
    <w:rsid w:val="0011665B"/>
    <w:rsid w:val="001218DA"/>
    <w:rsid w:val="001258AB"/>
    <w:rsid w:val="00126213"/>
    <w:rsid w:val="00126D06"/>
    <w:rsid w:val="00130010"/>
    <w:rsid w:val="0013290F"/>
    <w:rsid w:val="00132998"/>
    <w:rsid w:val="00134A10"/>
    <w:rsid w:val="00136B5C"/>
    <w:rsid w:val="001370AF"/>
    <w:rsid w:val="00142C42"/>
    <w:rsid w:val="0014462C"/>
    <w:rsid w:val="00144DEB"/>
    <w:rsid w:val="00146E05"/>
    <w:rsid w:val="00150BFA"/>
    <w:rsid w:val="00151CCA"/>
    <w:rsid w:val="00157BD8"/>
    <w:rsid w:val="001702A1"/>
    <w:rsid w:val="00171962"/>
    <w:rsid w:val="001732DD"/>
    <w:rsid w:val="00174A6F"/>
    <w:rsid w:val="00174C67"/>
    <w:rsid w:val="001751BA"/>
    <w:rsid w:val="0017572D"/>
    <w:rsid w:val="001760FA"/>
    <w:rsid w:val="001812B2"/>
    <w:rsid w:val="00191434"/>
    <w:rsid w:val="00191C24"/>
    <w:rsid w:val="001932AA"/>
    <w:rsid w:val="0019388B"/>
    <w:rsid w:val="00195378"/>
    <w:rsid w:val="00196177"/>
    <w:rsid w:val="00197C29"/>
    <w:rsid w:val="001A0EBE"/>
    <w:rsid w:val="001A2CB2"/>
    <w:rsid w:val="001A4A68"/>
    <w:rsid w:val="001A5EAA"/>
    <w:rsid w:val="001A7200"/>
    <w:rsid w:val="001A7947"/>
    <w:rsid w:val="001B2EFC"/>
    <w:rsid w:val="001B3A93"/>
    <w:rsid w:val="001B4242"/>
    <w:rsid w:val="001B62B1"/>
    <w:rsid w:val="001B74F7"/>
    <w:rsid w:val="001C0D47"/>
    <w:rsid w:val="001C77A7"/>
    <w:rsid w:val="001D168F"/>
    <w:rsid w:val="001D5418"/>
    <w:rsid w:val="001D6219"/>
    <w:rsid w:val="001D7553"/>
    <w:rsid w:val="001E4986"/>
    <w:rsid w:val="001F3696"/>
    <w:rsid w:val="001F5586"/>
    <w:rsid w:val="002041E3"/>
    <w:rsid w:val="002057FE"/>
    <w:rsid w:val="00205F04"/>
    <w:rsid w:val="0020718E"/>
    <w:rsid w:val="0021336B"/>
    <w:rsid w:val="0021374D"/>
    <w:rsid w:val="00222575"/>
    <w:rsid w:val="002228E3"/>
    <w:rsid w:val="00225BE5"/>
    <w:rsid w:val="002266CD"/>
    <w:rsid w:val="002302CE"/>
    <w:rsid w:val="00230B2E"/>
    <w:rsid w:val="002320C6"/>
    <w:rsid w:val="0023494A"/>
    <w:rsid w:val="00235E6D"/>
    <w:rsid w:val="00241F23"/>
    <w:rsid w:val="00242665"/>
    <w:rsid w:val="00245F2C"/>
    <w:rsid w:val="00246668"/>
    <w:rsid w:val="00252B31"/>
    <w:rsid w:val="002563F5"/>
    <w:rsid w:val="00265471"/>
    <w:rsid w:val="0026789F"/>
    <w:rsid w:val="00267E01"/>
    <w:rsid w:val="00271A81"/>
    <w:rsid w:val="002838AB"/>
    <w:rsid w:val="002848F5"/>
    <w:rsid w:val="00285433"/>
    <w:rsid w:val="0028568F"/>
    <w:rsid w:val="00285892"/>
    <w:rsid w:val="00286F7E"/>
    <w:rsid w:val="002870AC"/>
    <w:rsid w:val="00296B76"/>
    <w:rsid w:val="00297521"/>
    <w:rsid w:val="00297942"/>
    <w:rsid w:val="002A3A18"/>
    <w:rsid w:val="002A4296"/>
    <w:rsid w:val="002B18B7"/>
    <w:rsid w:val="002B6F9D"/>
    <w:rsid w:val="002C56F1"/>
    <w:rsid w:val="002C69AB"/>
    <w:rsid w:val="002C7D3E"/>
    <w:rsid w:val="002D101C"/>
    <w:rsid w:val="002D1CC7"/>
    <w:rsid w:val="002E2EAF"/>
    <w:rsid w:val="002E6A74"/>
    <w:rsid w:val="002F0A4E"/>
    <w:rsid w:val="002F2652"/>
    <w:rsid w:val="002F364E"/>
    <w:rsid w:val="002F3D22"/>
    <w:rsid w:val="002F4BCF"/>
    <w:rsid w:val="002F5FDE"/>
    <w:rsid w:val="002F6FE9"/>
    <w:rsid w:val="002F78E9"/>
    <w:rsid w:val="003007C9"/>
    <w:rsid w:val="00302008"/>
    <w:rsid w:val="003029E8"/>
    <w:rsid w:val="003037CB"/>
    <w:rsid w:val="0030599B"/>
    <w:rsid w:val="003104E9"/>
    <w:rsid w:val="0031109E"/>
    <w:rsid w:val="00313AAD"/>
    <w:rsid w:val="00314AD2"/>
    <w:rsid w:val="0031573C"/>
    <w:rsid w:val="00315FC5"/>
    <w:rsid w:val="0032093A"/>
    <w:rsid w:val="00321142"/>
    <w:rsid w:val="00325C2B"/>
    <w:rsid w:val="00332547"/>
    <w:rsid w:val="00332698"/>
    <w:rsid w:val="003348EB"/>
    <w:rsid w:val="00335486"/>
    <w:rsid w:val="0033616F"/>
    <w:rsid w:val="00336887"/>
    <w:rsid w:val="00337600"/>
    <w:rsid w:val="003403BB"/>
    <w:rsid w:val="0034244E"/>
    <w:rsid w:val="0034580F"/>
    <w:rsid w:val="003506C9"/>
    <w:rsid w:val="0035311E"/>
    <w:rsid w:val="00355F8F"/>
    <w:rsid w:val="00371277"/>
    <w:rsid w:val="0037228D"/>
    <w:rsid w:val="003810BF"/>
    <w:rsid w:val="00385120"/>
    <w:rsid w:val="00396FE6"/>
    <w:rsid w:val="003A64D3"/>
    <w:rsid w:val="003B082B"/>
    <w:rsid w:val="003B41C7"/>
    <w:rsid w:val="003B4B1B"/>
    <w:rsid w:val="003B50D7"/>
    <w:rsid w:val="003C13A3"/>
    <w:rsid w:val="003C4986"/>
    <w:rsid w:val="003D11F4"/>
    <w:rsid w:val="003E2006"/>
    <w:rsid w:val="003E319C"/>
    <w:rsid w:val="003F0E97"/>
    <w:rsid w:val="003F3BFD"/>
    <w:rsid w:val="003F4257"/>
    <w:rsid w:val="003F69C9"/>
    <w:rsid w:val="00401C5B"/>
    <w:rsid w:val="00406AD9"/>
    <w:rsid w:val="00410754"/>
    <w:rsid w:val="00412F5F"/>
    <w:rsid w:val="00413EFC"/>
    <w:rsid w:val="00415341"/>
    <w:rsid w:val="004214B5"/>
    <w:rsid w:val="004218BE"/>
    <w:rsid w:val="00421D42"/>
    <w:rsid w:val="0042291A"/>
    <w:rsid w:val="00424BEC"/>
    <w:rsid w:val="00425D51"/>
    <w:rsid w:val="00426FFD"/>
    <w:rsid w:val="004406AA"/>
    <w:rsid w:val="0044076F"/>
    <w:rsid w:val="004418ED"/>
    <w:rsid w:val="00450310"/>
    <w:rsid w:val="00452CF1"/>
    <w:rsid w:val="00452D08"/>
    <w:rsid w:val="004531D3"/>
    <w:rsid w:val="00457A18"/>
    <w:rsid w:val="00460FAD"/>
    <w:rsid w:val="00464CC7"/>
    <w:rsid w:val="00465AD7"/>
    <w:rsid w:val="00471505"/>
    <w:rsid w:val="004727C5"/>
    <w:rsid w:val="00475D0A"/>
    <w:rsid w:val="00475D82"/>
    <w:rsid w:val="00476656"/>
    <w:rsid w:val="00485A6F"/>
    <w:rsid w:val="004920B1"/>
    <w:rsid w:val="004925AE"/>
    <w:rsid w:val="00492A80"/>
    <w:rsid w:val="00496214"/>
    <w:rsid w:val="00497858"/>
    <w:rsid w:val="004A252D"/>
    <w:rsid w:val="004A3199"/>
    <w:rsid w:val="004C58B8"/>
    <w:rsid w:val="004D5F3E"/>
    <w:rsid w:val="004D7795"/>
    <w:rsid w:val="004E17D4"/>
    <w:rsid w:val="004E4E0E"/>
    <w:rsid w:val="004E5DFC"/>
    <w:rsid w:val="004F1D9D"/>
    <w:rsid w:val="0050096C"/>
    <w:rsid w:val="00503582"/>
    <w:rsid w:val="0051334B"/>
    <w:rsid w:val="00513446"/>
    <w:rsid w:val="00514137"/>
    <w:rsid w:val="0051679C"/>
    <w:rsid w:val="00516EBF"/>
    <w:rsid w:val="005209BD"/>
    <w:rsid w:val="00522362"/>
    <w:rsid w:val="00524DD2"/>
    <w:rsid w:val="00524FFC"/>
    <w:rsid w:val="005267FE"/>
    <w:rsid w:val="00534E48"/>
    <w:rsid w:val="0053653B"/>
    <w:rsid w:val="005419B6"/>
    <w:rsid w:val="00542656"/>
    <w:rsid w:val="005429AA"/>
    <w:rsid w:val="00545EB3"/>
    <w:rsid w:val="00546F49"/>
    <w:rsid w:val="00547773"/>
    <w:rsid w:val="00550C97"/>
    <w:rsid w:val="00553C26"/>
    <w:rsid w:val="00555A28"/>
    <w:rsid w:val="00560C52"/>
    <w:rsid w:val="005620AC"/>
    <w:rsid w:val="00562B63"/>
    <w:rsid w:val="00563166"/>
    <w:rsid w:val="00564DBA"/>
    <w:rsid w:val="0056771C"/>
    <w:rsid w:val="005762F5"/>
    <w:rsid w:val="005777BA"/>
    <w:rsid w:val="00577E6A"/>
    <w:rsid w:val="005800E3"/>
    <w:rsid w:val="00582793"/>
    <w:rsid w:val="00582D1B"/>
    <w:rsid w:val="005841BB"/>
    <w:rsid w:val="00584A11"/>
    <w:rsid w:val="005874FF"/>
    <w:rsid w:val="005944D6"/>
    <w:rsid w:val="00595C5D"/>
    <w:rsid w:val="00596B67"/>
    <w:rsid w:val="0059726E"/>
    <w:rsid w:val="005A1FB5"/>
    <w:rsid w:val="005A3D27"/>
    <w:rsid w:val="005A73B0"/>
    <w:rsid w:val="005B0C73"/>
    <w:rsid w:val="005B16A8"/>
    <w:rsid w:val="005B2542"/>
    <w:rsid w:val="005B355C"/>
    <w:rsid w:val="005B4233"/>
    <w:rsid w:val="005B4C26"/>
    <w:rsid w:val="005B50CE"/>
    <w:rsid w:val="005B6EF5"/>
    <w:rsid w:val="005C0AA1"/>
    <w:rsid w:val="005C1929"/>
    <w:rsid w:val="005C1956"/>
    <w:rsid w:val="005C2C88"/>
    <w:rsid w:val="005C41CB"/>
    <w:rsid w:val="005C4561"/>
    <w:rsid w:val="005C52FC"/>
    <w:rsid w:val="005D1B72"/>
    <w:rsid w:val="005D6DD0"/>
    <w:rsid w:val="005E2E1C"/>
    <w:rsid w:val="005E384B"/>
    <w:rsid w:val="005E384F"/>
    <w:rsid w:val="005E3C92"/>
    <w:rsid w:val="005F37DB"/>
    <w:rsid w:val="005F4753"/>
    <w:rsid w:val="005F561B"/>
    <w:rsid w:val="005F7A10"/>
    <w:rsid w:val="005F7E58"/>
    <w:rsid w:val="006053AC"/>
    <w:rsid w:val="006062D5"/>
    <w:rsid w:val="006111FF"/>
    <w:rsid w:val="006138EA"/>
    <w:rsid w:val="006139AB"/>
    <w:rsid w:val="006178D6"/>
    <w:rsid w:val="00621FD2"/>
    <w:rsid w:val="00625699"/>
    <w:rsid w:val="0062723B"/>
    <w:rsid w:val="0062787C"/>
    <w:rsid w:val="00630CC1"/>
    <w:rsid w:val="00633478"/>
    <w:rsid w:val="00634F0B"/>
    <w:rsid w:val="0064093A"/>
    <w:rsid w:val="00640B82"/>
    <w:rsid w:val="006423BF"/>
    <w:rsid w:val="006429AD"/>
    <w:rsid w:val="00644E77"/>
    <w:rsid w:val="00655126"/>
    <w:rsid w:val="00662D70"/>
    <w:rsid w:val="006639B6"/>
    <w:rsid w:val="00667610"/>
    <w:rsid w:val="00667CC7"/>
    <w:rsid w:val="006715BF"/>
    <w:rsid w:val="00680CFA"/>
    <w:rsid w:val="00683826"/>
    <w:rsid w:val="00690C95"/>
    <w:rsid w:val="00692128"/>
    <w:rsid w:val="00697F14"/>
    <w:rsid w:val="006A3D9D"/>
    <w:rsid w:val="006A3F1B"/>
    <w:rsid w:val="006A7C48"/>
    <w:rsid w:val="006B1665"/>
    <w:rsid w:val="006C157A"/>
    <w:rsid w:val="006C2B52"/>
    <w:rsid w:val="006C35C5"/>
    <w:rsid w:val="006C36DB"/>
    <w:rsid w:val="006C6A19"/>
    <w:rsid w:val="006D331A"/>
    <w:rsid w:val="006D60F2"/>
    <w:rsid w:val="006D6ACF"/>
    <w:rsid w:val="006D71BC"/>
    <w:rsid w:val="006E03C0"/>
    <w:rsid w:val="006E36C4"/>
    <w:rsid w:val="006E5EB9"/>
    <w:rsid w:val="006E6D33"/>
    <w:rsid w:val="006F1346"/>
    <w:rsid w:val="006F4751"/>
    <w:rsid w:val="006F6210"/>
    <w:rsid w:val="007004A7"/>
    <w:rsid w:val="00700833"/>
    <w:rsid w:val="00701410"/>
    <w:rsid w:val="00701FEA"/>
    <w:rsid w:val="007156E0"/>
    <w:rsid w:val="0072039F"/>
    <w:rsid w:val="00723374"/>
    <w:rsid w:val="0072366D"/>
    <w:rsid w:val="00724569"/>
    <w:rsid w:val="00727AAF"/>
    <w:rsid w:val="00730053"/>
    <w:rsid w:val="00730433"/>
    <w:rsid w:val="00733037"/>
    <w:rsid w:val="0073486C"/>
    <w:rsid w:val="00734DE9"/>
    <w:rsid w:val="007352DD"/>
    <w:rsid w:val="00750E5E"/>
    <w:rsid w:val="007517D0"/>
    <w:rsid w:val="00751C24"/>
    <w:rsid w:val="00754ABE"/>
    <w:rsid w:val="00755739"/>
    <w:rsid w:val="00756D5B"/>
    <w:rsid w:val="007603BB"/>
    <w:rsid w:val="00763A54"/>
    <w:rsid w:val="007673EA"/>
    <w:rsid w:val="007726FF"/>
    <w:rsid w:val="00774F2B"/>
    <w:rsid w:val="00776807"/>
    <w:rsid w:val="00776C0E"/>
    <w:rsid w:val="0077789B"/>
    <w:rsid w:val="0078062F"/>
    <w:rsid w:val="007827E7"/>
    <w:rsid w:val="007834FA"/>
    <w:rsid w:val="0079163D"/>
    <w:rsid w:val="0079187F"/>
    <w:rsid w:val="00791984"/>
    <w:rsid w:val="00792037"/>
    <w:rsid w:val="007A1FFE"/>
    <w:rsid w:val="007A357A"/>
    <w:rsid w:val="007A4BA3"/>
    <w:rsid w:val="007A6DBA"/>
    <w:rsid w:val="007A7446"/>
    <w:rsid w:val="007B03C9"/>
    <w:rsid w:val="007B2958"/>
    <w:rsid w:val="007B56B4"/>
    <w:rsid w:val="007C0735"/>
    <w:rsid w:val="007C090B"/>
    <w:rsid w:val="007C166D"/>
    <w:rsid w:val="007C1CE3"/>
    <w:rsid w:val="007C1D32"/>
    <w:rsid w:val="007D0D75"/>
    <w:rsid w:val="007D381E"/>
    <w:rsid w:val="007D47D6"/>
    <w:rsid w:val="007D4B7D"/>
    <w:rsid w:val="007D6128"/>
    <w:rsid w:val="007E3858"/>
    <w:rsid w:val="007E603C"/>
    <w:rsid w:val="007E62D1"/>
    <w:rsid w:val="007E77CF"/>
    <w:rsid w:val="007E7B6B"/>
    <w:rsid w:val="007F5741"/>
    <w:rsid w:val="007F735A"/>
    <w:rsid w:val="0080148B"/>
    <w:rsid w:val="00801FB7"/>
    <w:rsid w:val="008044DD"/>
    <w:rsid w:val="00806E5F"/>
    <w:rsid w:val="00807A0F"/>
    <w:rsid w:val="00810C7A"/>
    <w:rsid w:val="0081196E"/>
    <w:rsid w:val="00817403"/>
    <w:rsid w:val="008203DE"/>
    <w:rsid w:val="00821C7D"/>
    <w:rsid w:val="00826567"/>
    <w:rsid w:val="00831305"/>
    <w:rsid w:val="00833676"/>
    <w:rsid w:val="008337B4"/>
    <w:rsid w:val="00833CCD"/>
    <w:rsid w:val="008454F8"/>
    <w:rsid w:val="00845BCD"/>
    <w:rsid w:val="00846856"/>
    <w:rsid w:val="008502C5"/>
    <w:rsid w:val="00853345"/>
    <w:rsid w:val="00854FE8"/>
    <w:rsid w:val="008601F7"/>
    <w:rsid w:val="00860B26"/>
    <w:rsid w:val="00864197"/>
    <w:rsid w:val="00864209"/>
    <w:rsid w:val="00865450"/>
    <w:rsid w:val="0086565C"/>
    <w:rsid w:val="00865D2B"/>
    <w:rsid w:val="008824B9"/>
    <w:rsid w:val="0088315D"/>
    <w:rsid w:val="00884205"/>
    <w:rsid w:val="00886BB5"/>
    <w:rsid w:val="008910AA"/>
    <w:rsid w:val="008918A2"/>
    <w:rsid w:val="00893782"/>
    <w:rsid w:val="008940A8"/>
    <w:rsid w:val="00897157"/>
    <w:rsid w:val="008A04C8"/>
    <w:rsid w:val="008A5085"/>
    <w:rsid w:val="008B1DA2"/>
    <w:rsid w:val="008B5BFB"/>
    <w:rsid w:val="008B7219"/>
    <w:rsid w:val="008C10C1"/>
    <w:rsid w:val="008C1955"/>
    <w:rsid w:val="008C387F"/>
    <w:rsid w:val="008C39B5"/>
    <w:rsid w:val="008C4C95"/>
    <w:rsid w:val="008C5D5F"/>
    <w:rsid w:val="008C60EE"/>
    <w:rsid w:val="008C6117"/>
    <w:rsid w:val="008C6F68"/>
    <w:rsid w:val="008D2387"/>
    <w:rsid w:val="008D4B2C"/>
    <w:rsid w:val="008D6A83"/>
    <w:rsid w:val="008D7BF2"/>
    <w:rsid w:val="008E05A3"/>
    <w:rsid w:val="008E7EEB"/>
    <w:rsid w:val="008F0120"/>
    <w:rsid w:val="008F0ED6"/>
    <w:rsid w:val="008F1E1E"/>
    <w:rsid w:val="008F5280"/>
    <w:rsid w:val="00900F2B"/>
    <w:rsid w:val="00901475"/>
    <w:rsid w:val="00904FA4"/>
    <w:rsid w:val="009169BC"/>
    <w:rsid w:val="009200DD"/>
    <w:rsid w:val="00921185"/>
    <w:rsid w:val="009237F6"/>
    <w:rsid w:val="009249F8"/>
    <w:rsid w:val="00927277"/>
    <w:rsid w:val="00930CD7"/>
    <w:rsid w:val="00932C7B"/>
    <w:rsid w:val="00934B95"/>
    <w:rsid w:val="0094239F"/>
    <w:rsid w:val="00943A73"/>
    <w:rsid w:val="0095266E"/>
    <w:rsid w:val="00956501"/>
    <w:rsid w:val="0096048C"/>
    <w:rsid w:val="0096055F"/>
    <w:rsid w:val="00961283"/>
    <w:rsid w:val="009621FB"/>
    <w:rsid w:val="0096245A"/>
    <w:rsid w:val="00965BD4"/>
    <w:rsid w:val="00966A5D"/>
    <w:rsid w:val="00966D42"/>
    <w:rsid w:val="009679F6"/>
    <w:rsid w:val="00967D49"/>
    <w:rsid w:val="0097349E"/>
    <w:rsid w:val="00976890"/>
    <w:rsid w:val="00980DB0"/>
    <w:rsid w:val="009820CB"/>
    <w:rsid w:val="00983E16"/>
    <w:rsid w:val="0098535B"/>
    <w:rsid w:val="00990976"/>
    <w:rsid w:val="00993120"/>
    <w:rsid w:val="0099561C"/>
    <w:rsid w:val="00995900"/>
    <w:rsid w:val="00995F44"/>
    <w:rsid w:val="009A6925"/>
    <w:rsid w:val="009B039E"/>
    <w:rsid w:val="009B15A1"/>
    <w:rsid w:val="009B3067"/>
    <w:rsid w:val="009B6F74"/>
    <w:rsid w:val="009C0029"/>
    <w:rsid w:val="009C5183"/>
    <w:rsid w:val="009D4166"/>
    <w:rsid w:val="009D4183"/>
    <w:rsid w:val="009D46D7"/>
    <w:rsid w:val="009D470D"/>
    <w:rsid w:val="009D4B87"/>
    <w:rsid w:val="009D502A"/>
    <w:rsid w:val="009D5A82"/>
    <w:rsid w:val="009D6443"/>
    <w:rsid w:val="009E375C"/>
    <w:rsid w:val="009F0055"/>
    <w:rsid w:val="009F07CC"/>
    <w:rsid w:val="009F18CE"/>
    <w:rsid w:val="009F1D27"/>
    <w:rsid w:val="009F5625"/>
    <w:rsid w:val="009F7393"/>
    <w:rsid w:val="00A000A9"/>
    <w:rsid w:val="00A012A5"/>
    <w:rsid w:val="00A02138"/>
    <w:rsid w:val="00A02C92"/>
    <w:rsid w:val="00A03B1F"/>
    <w:rsid w:val="00A043A3"/>
    <w:rsid w:val="00A04E02"/>
    <w:rsid w:val="00A06A89"/>
    <w:rsid w:val="00A135BE"/>
    <w:rsid w:val="00A16A3D"/>
    <w:rsid w:val="00A208A5"/>
    <w:rsid w:val="00A2290E"/>
    <w:rsid w:val="00A2446C"/>
    <w:rsid w:val="00A32B81"/>
    <w:rsid w:val="00A330CD"/>
    <w:rsid w:val="00A3361F"/>
    <w:rsid w:val="00A348FF"/>
    <w:rsid w:val="00A35C98"/>
    <w:rsid w:val="00A36290"/>
    <w:rsid w:val="00A400B1"/>
    <w:rsid w:val="00A441BA"/>
    <w:rsid w:val="00A45145"/>
    <w:rsid w:val="00A5331A"/>
    <w:rsid w:val="00A66645"/>
    <w:rsid w:val="00A7049C"/>
    <w:rsid w:val="00A7232F"/>
    <w:rsid w:val="00A80135"/>
    <w:rsid w:val="00A81531"/>
    <w:rsid w:val="00A815A7"/>
    <w:rsid w:val="00A8381C"/>
    <w:rsid w:val="00A87184"/>
    <w:rsid w:val="00A9226C"/>
    <w:rsid w:val="00A94ACE"/>
    <w:rsid w:val="00A95962"/>
    <w:rsid w:val="00AA0A20"/>
    <w:rsid w:val="00AA2B6A"/>
    <w:rsid w:val="00AA371A"/>
    <w:rsid w:val="00AA373E"/>
    <w:rsid w:val="00AA56BC"/>
    <w:rsid w:val="00AA6CAF"/>
    <w:rsid w:val="00AA6D4C"/>
    <w:rsid w:val="00AA7CA2"/>
    <w:rsid w:val="00AB0594"/>
    <w:rsid w:val="00AB2166"/>
    <w:rsid w:val="00AB43D9"/>
    <w:rsid w:val="00AB71DD"/>
    <w:rsid w:val="00AB7212"/>
    <w:rsid w:val="00AC134B"/>
    <w:rsid w:val="00AC4995"/>
    <w:rsid w:val="00AC4B9B"/>
    <w:rsid w:val="00AD57B2"/>
    <w:rsid w:val="00AD67C5"/>
    <w:rsid w:val="00AE2BA7"/>
    <w:rsid w:val="00AE2F4F"/>
    <w:rsid w:val="00AF0EED"/>
    <w:rsid w:val="00AF1450"/>
    <w:rsid w:val="00AF3E04"/>
    <w:rsid w:val="00AF61F0"/>
    <w:rsid w:val="00AF7C99"/>
    <w:rsid w:val="00B030BE"/>
    <w:rsid w:val="00B03CD7"/>
    <w:rsid w:val="00B0594B"/>
    <w:rsid w:val="00B06A0F"/>
    <w:rsid w:val="00B10473"/>
    <w:rsid w:val="00B122EA"/>
    <w:rsid w:val="00B1265A"/>
    <w:rsid w:val="00B134ED"/>
    <w:rsid w:val="00B262BB"/>
    <w:rsid w:val="00B324A5"/>
    <w:rsid w:val="00B34B3F"/>
    <w:rsid w:val="00B3608A"/>
    <w:rsid w:val="00B433EB"/>
    <w:rsid w:val="00B446BF"/>
    <w:rsid w:val="00B4551C"/>
    <w:rsid w:val="00B460AF"/>
    <w:rsid w:val="00B50FC2"/>
    <w:rsid w:val="00B52010"/>
    <w:rsid w:val="00B52F0E"/>
    <w:rsid w:val="00B574E7"/>
    <w:rsid w:val="00B60CD6"/>
    <w:rsid w:val="00B6108B"/>
    <w:rsid w:val="00B64488"/>
    <w:rsid w:val="00B64B0F"/>
    <w:rsid w:val="00B65A80"/>
    <w:rsid w:val="00B662B2"/>
    <w:rsid w:val="00B668D2"/>
    <w:rsid w:val="00B6763B"/>
    <w:rsid w:val="00B67CBD"/>
    <w:rsid w:val="00B703D6"/>
    <w:rsid w:val="00B743BC"/>
    <w:rsid w:val="00B7523E"/>
    <w:rsid w:val="00B81192"/>
    <w:rsid w:val="00B8180C"/>
    <w:rsid w:val="00B921A8"/>
    <w:rsid w:val="00B93E20"/>
    <w:rsid w:val="00BA100A"/>
    <w:rsid w:val="00BA2D26"/>
    <w:rsid w:val="00BA4F3C"/>
    <w:rsid w:val="00BB0809"/>
    <w:rsid w:val="00BB13E6"/>
    <w:rsid w:val="00BB2510"/>
    <w:rsid w:val="00BB2D5E"/>
    <w:rsid w:val="00BB5C4A"/>
    <w:rsid w:val="00BB5E9C"/>
    <w:rsid w:val="00BB769C"/>
    <w:rsid w:val="00BC0227"/>
    <w:rsid w:val="00BC223F"/>
    <w:rsid w:val="00BC2ADF"/>
    <w:rsid w:val="00BC48E3"/>
    <w:rsid w:val="00BC7EEE"/>
    <w:rsid w:val="00BD05AF"/>
    <w:rsid w:val="00BD19AE"/>
    <w:rsid w:val="00BD38EF"/>
    <w:rsid w:val="00BE1933"/>
    <w:rsid w:val="00BE3507"/>
    <w:rsid w:val="00BE41C8"/>
    <w:rsid w:val="00BE50FE"/>
    <w:rsid w:val="00BE5907"/>
    <w:rsid w:val="00BE5958"/>
    <w:rsid w:val="00BF071D"/>
    <w:rsid w:val="00BF2D44"/>
    <w:rsid w:val="00C01E1C"/>
    <w:rsid w:val="00C02E48"/>
    <w:rsid w:val="00C07C1E"/>
    <w:rsid w:val="00C1107C"/>
    <w:rsid w:val="00C1172C"/>
    <w:rsid w:val="00C16884"/>
    <w:rsid w:val="00C1758C"/>
    <w:rsid w:val="00C22FAA"/>
    <w:rsid w:val="00C23338"/>
    <w:rsid w:val="00C26466"/>
    <w:rsid w:val="00C27EF9"/>
    <w:rsid w:val="00C3018F"/>
    <w:rsid w:val="00C30671"/>
    <w:rsid w:val="00C3213F"/>
    <w:rsid w:val="00C4594F"/>
    <w:rsid w:val="00C47696"/>
    <w:rsid w:val="00C511F9"/>
    <w:rsid w:val="00C53BED"/>
    <w:rsid w:val="00C5553B"/>
    <w:rsid w:val="00C577C8"/>
    <w:rsid w:val="00C63E30"/>
    <w:rsid w:val="00C651CE"/>
    <w:rsid w:val="00C708BC"/>
    <w:rsid w:val="00C73967"/>
    <w:rsid w:val="00C84877"/>
    <w:rsid w:val="00C94023"/>
    <w:rsid w:val="00C96EBF"/>
    <w:rsid w:val="00CA1633"/>
    <w:rsid w:val="00CA2EE0"/>
    <w:rsid w:val="00CA2F78"/>
    <w:rsid w:val="00CA367F"/>
    <w:rsid w:val="00CA5A5E"/>
    <w:rsid w:val="00CC0686"/>
    <w:rsid w:val="00CC6623"/>
    <w:rsid w:val="00CC74EA"/>
    <w:rsid w:val="00CD31A0"/>
    <w:rsid w:val="00CD5D90"/>
    <w:rsid w:val="00CE1C9D"/>
    <w:rsid w:val="00CE43E2"/>
    <w:rsid w:val="00CE5750"/>
    <w:rsid w:val="00CF0567"/>
    <w:rsid w:val="00CF166A"/>
    <w:rsid w:val="00CF2286"/>
    <w:rsid w:val="00CF3BFB"/>
    <w:rsid w:val="00D00569"/>
    <w:rsid w:val="00D02FD1"/>
    <w:rsid w:val="00D04C38"/>
    <w:rsid w:val="00D07DC5"/>
    <w:rsid w:val="00D102A7"/>
    <w:rsid w:val="00D1288A"/>
    <w:rsid w:val="00D12B4E"/>
    <w:rsid w:val="00D15473"/>
    <w:rsid w:val="00D15BD6"/>
    <w:rsid w:val="00D30F97"/>
    <w:rsid w:val="00D33169"/>
    <w:rsid w:val="00D333B8"/>
    <w:rsid w:val="00D3491D"/>
    <w:rsid w:val="00D353F4"/>
    <w:rsid w:val="00D357B5"/>
    <w:rsid w:val="00D37BE7"/>
    <w:rsid w:val="00D44EA3"/>
    <w:rsid w:val="00D46790"/>
    <w:rsid w:val="00D53539"/>
    <w:rsid w:val="00D56086"/>
    <w:rsid w:val="00D56133"/>
    <w:rsid w:val="00D56B5D"/>
    <w:rsid w:val="00D63793"/>
    <w:rsid w:val="00D7211B"/>
    <w:rsid w:val="00D735E4"/>
    <w:rsid w:val="00D73611"/>
    <w:rsid w:val="00D765A4"/>
    <w:rsid w:val="00D76B5D"/>
    <w:rsid w:val="00D77098"/>
    <w:rsid w:val="00D85698"/>
    <w:rsid w:val="00D90810"/>
    <w:rsid w:val="00D92ADD"/>
    <w:rsid w:val="00D942A3"/>
    <w:rsid w:val="00D974A3"/>
    <w:rsid w:val="00DA392D"/>
    <w:rsid w:val="00DA46C2"/>
    <w:rsid w:val="00DB070E"/>
    <w:rsid w:val="00DB33D1"/>
    <w:rsid w:val="00DB5B90"/>
    <w:rsid w:val="00DB6D67"/>
    <w:rsid w:val="00DB7D0C"/>
    <w:rsid w:val="00DC2093"/>
    <w:rsid w:val="00DC3A07"/>
    <w:rsid w:val="00DC3C35"/>
    <w:rsid w:val="00DC50EE"/>
    <w:rsid w:val="00DC5C22"/>
    <w:rsid w:val="00DD1866"/>
    <w:rsid w:val="00DD418A"/>
    <w:rsid w:val="00DE5E8F"/>
    <w:rsid w:val="00DE7977"/>
    <w:rsid w:val="00DF06A0"/>
    <w:rsid w:val="00DF568B"/>
    <w:rsid w:val="00E1055D"/>
    <w:rsid w:val="00E23202"/>
    <w:rsid w:val="00E23C77"/>
    <w:rsid w:val="00E25BF7"/>
    <w:rsid w:val="00E25C14"/>
    <w:rsid w:val="00E26083"/>
    <w:rsid w:val="00E26345"/>
    <w:rsid w:val="00E26540"/>
    <w:rsid w:val="00E319C9"/>
    <w:rsid w:val="00E32065"/>
    <w:rsid w:val="00E32625"/>
    <w:rsid w:val="00E32971"/>
    <w:rsid w:val="00E336B1"/>
    <w:rsid w:val="00E36A1C"/>
    <w:rsid w:val="00E41528"/>
    <w:rsid w:val="00E422D1"/>
    <w:rsid w:val="00E50968"/>
    <w:rsid w:val="00E51B07"/>
    <w:rsid w:val="00E526A4"/>
    <w:rsid w:val="00E55B2A"/>
    <w:rsid w:val="00E6758D"/>
    <w:rsid w:val="00E81663"/>
    <w:rsid w:val="00E8544C"/>
    <w:rsid w:val="00E8582F"/>
    <w:rsid w:val="00E86D39"/>
    <w:rsid w:val="00E86F7E"/>
    <w:rsid w:val="00E904B2"/>
    <w:rsid w:val="00E9155E"/>
    <w:rsid w:val="00E931AA"/>
    <w:rsid w:val="00E95504"/>
    <w:rsid w:val="00E96E66"/>
    <w:rsid w:val="00E973F5"/>
    <w:rsid w:val="00EA4C31"/>
    <w:rsid w:val="00EA50CA"/>
    <w:rsid w:val="00EA609B"/>
    <w:rsid w:val="00EA6285"/>
    <w:rsid w:val="00EB03C3"/>
    <w:rsid w:val="00EB0CCC"/>
    <w:rsid w:val="00EB1267"/>
    <w:rsid w:val="00EB2A33"/>
    <w:rsid w:val="00EB41E9"/>
    <w:rsid w:val="00EB5EBC"/>
    <w:rsid w:val="00EC08BC"/>
    <w:rsid w:val="00EC4A1C"/>
    <w:rsid w:val="00EC53D4"/>
    <w:rsid w:val="00ED12C3"/>
    <w:rsid w:val="00ED2594"/>
    <w:rsid w:val="00ED3581"/>
    <w:rsid w:val="00ED3AC7"/>
    <w:rsid w:val="00ED47DB"/>
    <w:rsid w:val="00ED4992"/>
    <w:rsid w:val="00EE1252"/>
    <w:rsid w:val="00EE18B8"/>
    <w:rsid w:val="00EE47FF"/>
    <w:rsid w:val="00EE7911"/>
    <w:rsid w:val="00EF2384"/>
    <w:rsid w:val="00EF4766"/>
    <w:rsid w:val="00F1014E"/>
    <w:rsid w:val="00F16826"/>
    <w:rsid w:val="00F228C9"/>
    <w:rsid w:val="00F22E8B"/>
    <w:rsid w:val="00F3077C"/>
    <w:rsid w:val="00F30BA9"/>
    <w:rsid w:val="00F324E0"/>
    <w:rsid w:val="00F41556"/>
    <w:rsid w:val="00F43FF3"/>
    <w:rsid w:val="00F45AA1"/>
    <w:rsid w:val="00F45B1F"/>
    <w:rsid w:val="00F5043F"/>
    <w:rsid w:val="00F5124B"/>
    <w:rsid w:val="00F62FA4"/>
    <w:rsid w:val="00F64EB9"/>
    <w:rsid w:val="00F6501C"/>
    <w:rsid w:val="00F660D0"/>
    <w:rsid w:val="00F669F8"/>
    <w:rsid w:val="00F71040"/>
    <w:rsid w:val="00F71A6A"/>
    <w:rsid w:val="00F73D18"/>
    <w:rsid w:val="00F7444B"/>
    <w:rsid w:val="00F7557A"/>
    <w:rsid w:val="00F75B97"/>
    <w:rsid w:val="00F810FF"/>
    <w:rsid w:val="00F848C4"/>
    <w:rsid w:val="00F85B25"/>
    <w:rsid w:val="00F9360F"/>
    <w:rsid w:val="00F94742"/>
    <w:rsid w:val="00F94747"/>
    <w:rsid w:val="00FA01F1"/>
    <w:rsid w:val="00FA29C8"/>
    <w:rsid w:val="00FC1C62"/>
    <w:rsid w:val="00FC2901"/>
    <w:rsid w:val="00FC6791"/>
    <w:rsid w:val="00FC76C3"/>
    <w:rsid w:val="00FD3E2F"/>
    <w:rsid w:val="00FE6E31"/>
    <w:rsid w:val="00FF332A"/>
    <w:rsid w:val="00FF52D5"/>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locked="1" w:semiHidden="0" w:uiPriority="0" w:unhideWhenUsed="0" w:qFormat="1"/>
    <w:lsdException w:name="heading 6" w:semiHidden="0" w:uiPriority="9"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62B63"/>
    <w:pPr>
      <w:jc w:val="both"/>
    </w:pPr>
    <w:rPr>
      <w:rFonts w:eastAsia="MS Mincho"/>
      <w:sz w:val="24"/>
      <w:lang w:val="en-US" w:eastAsia="en-US"/>
    </w:rPr>
  </w:style>
  <w:style w:type="paragraph" w:styleId="Heading1">
    <w:name w:val="heading 1"/>
    <w:basedOn w:val="Normal"/>
    <w:next w:val="Normal"/>
    <w:link w:val="Heading1Char"/>
    <w:uiPriority w:val="99"/>
    <w:qFormat/>
    <w:rsid w:val="004214B5"/>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qFormat/>
    <w:rsid w:val="004214B5"/>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qFormat/>
    <w:rsid w:val="004214B5"/>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qFormat/>
    <w:rsid w:val="004214B5"/>
    <w:pPr>
      <w:spacing w:before="200"/>
      <w:outlineLvl w:val="3"/>
    </w:pPr>
    <w:rPr>
      <w:rFonts w:eastAsia="MS Gothic"/>
      <w:b/>
      <w:bCs/>
      <w:i/>
      <w:iCs/>
      <w:color w:val="777777"/>
    </w:rPr>
  </w:style>
  <w:style w:type="paragraph" w:styleId="Heading5">
    <w:name w:val="heading 5"/>
    <w:basedOn w:val="Normal"/>
    <w:next w:val="Normal"/>
    <w:link w:val="Heading5Char"/>
    <w:uiPriority w:val="99"/>
    <w:qFormat/>
    <w:rsid w:val="004214B5"/>
    <w:pPr>
      <w:spacing w:before="200"/>
      <w:outlineLvl w:val="4"/>
    </w:pPr>
    <w:rPr>
      <w:rFonts w:eastAsia="MS Gothic"/>
      <w:b/>
      <w:bCs/>
      <w:color w:val="808080"/>
      <w:sz w:val="22"/>
      <w:lang w:val="fr-FR" w:eastAsia="fr-FR"/>
    </w:rPr>
  </w:style>
  <w:style w:type="paragraph" w:styleId="Heading6">
    <w:name w:val="heading 6"/>
    <w:basedOn w:val="Normal"/>
    <w:next w:val="Normal"/>
    <w:link w:val="Heading6Char"/>
    <w:uiPriority w:val="99"/>
    <w:qFormat/>
    <w:rsid w:val="004214B5"/>
    <w:pPr>
      <w:spacing w:line="271" w:lineRule="auto"/>
      <w:outlineLvl w:val="5"/>
    </w:pPr>
    <w:rPr>
      <w:rFonts w:eastAsia="MS Gothic"/>
      <w:b/>
      <w:bCs/>
      <w:i/>
      <w:iCs/>
      <w:color w:val="7F7F7F"/>
    </w:rPr>
  </w:style>
  <w:style w:type="paragraph" w:styleId="Heading7">
    <w:name w:val="heading 7"/>
    <w:basedOn w:val="Normal"/>
    <w:next w:val="Normal"/>
    <w:link w:val="Heading7Char"/>
    <w:uiPriority w:val="99"/>
    <w:qFormat/>
    <w:rsid w:val="004214B5"/>
    <w:pPr>
      <w:outlineLvl w:val="6"/>
    </w:pPr>
    <w:rPr>
      <w:rFonts w:eastAsia="MS Gothic"/>
      <w:i/>
      <w:iCs/>
      <w:sz w:val="22"/>
      <w:lang w:val="fr-FR" w:eastAsia="fr-FR"/>
    </w:rPr>
  </w:style>
  <w:style w:type="paragraph" w:styleId="Heading8">
    <w:name w:val="heading 8"/>
    <w:basedOn w:val="Normal"/>
    <w:next w:val="Normal"/>
    <w:link w:val="Heading8Char"/>
    <w:uiPriority w:val="99"/>
    <w:qFormat/>
    <w:rsid w:val="004214B5"/>
    <w:pPr>
      <w:outlineLvl w:val="7"/>
    </w:pPr>
    <w:rPr>
      <w:rFonts w:eastAsia="MS Gothic"/>
      <w:sz w:val="20"/>
      <w:szCs w:val="20"/>
      <w:lang w:val="fr-FR" w:eastAsia="fr-FR"/>
    </w:rPr>
  </w:style>
  <w:style w:type="paragraph" w:styleId="Heading9">
    <w:name w:val="heading 9"/>
    <w:basedOn w:val="Normal"/>
    <w:next w:val="Normal"/>
    <w:link w:val="Heading9Char"/>
    <w:uiPriority w:val="99"/>
    <w:qFormat/>
    <w:rsid w:val="004214B5"/>
    <w:pPr>
      <w:outlineLvl w:val="8"/>
    </w:pPr>
    <w:rPr>
      <w:rFonts w:eastAsia="MS Gothic"/>
      <w:i/>
      <w:iCs/>
      <w:spacing w:val="5"/>
      <w:sz w:val="20"/>
      <w:szCs w:val="20"/>
      <w:lang w:val="fr-FR"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214B5"/>
    <w:rPr>
      <w:rFonts w:ascii="Times New Roman" w:eastAsia="MS Gothic" w:hAnsi="Times New Roman" w:cs="Times New Roman"/>
      <w:b/>
      <w:bCs/>
      <w:color w:val="333333"/>
      <w:sz w:val="28"/>
      <w:szCs w:val="28"/>
      <w:lang w:val="en-US" w:eastAsia="en-US"/>
    </w:rPr>
  </w:style>
  <w:style w:type="character" w:customStyle="1" w:styleId="Heading2Char">
    <w:name w:val="Heading 2 Char"/>
    <w:basedOn w:val="DefaultParagraphFont"/>
    <w:link w:val="Heading2"/>
    <w:uiPriority w:val="99"/>
    <w:semiHidden/>
    <w:locked/>
    <w:rsid w:val="004214B5"/>
    <w:rPr>
      <w:rFonts w:ascii="Times New Roman" w:eastAsia="MS Gothic" w:hAnsi="Times New Roman" w:cs="Times New Roman"/>
      <w:b/>
      <w:bCs/>
      <w:color w:val="4D4D4D"/>
      <w:sz w:val="26"/>
      <w:szCs w:val="26"/>
      <w:lang w:val="en-US" w:eastAsia="en-US"/>
    </w:rPr>
  </w:style>
  <w:style w:type="character" w:customStyle="1" w:styleId="Heading3Char">
    <w:name w:val="Heading 3 Char"/>
    <w:basedOn w:val="DefaultParagraphFont"/>
    <w:link w:val="Heading3"/>
    <w:uiPriority w:val="99"/>
    <w:semiHidden/>
    <w:locked/>
    <w:rsid w:val="004214B5"/>
    <w:rPr>
      <w:rFonts w:ascii="Times New Roman" w:eastAsia="MS Gothic" w:hAnsi="Times New Roman" w:cs="Times New Roman"/>
      <w:b/>
      <w:bCs/>
      <w:color w:val="5F5F5F"/>
      <w:sz w:val="24"/>
      <w:lang w:val="en-US" w:eastAsia="en-US"/>
    </w:rPr>
  </w:style>
  <w:style w:type="character" w:customStyle="1" w:styleId="Heading4Char">
    <w:name w:val="Heading 4 Char"/>
    <w:basedOn w:val="DefaultParagraphFont"/>
    <w:link w:val="Heading4"/>
    <w:uiPriority w:val="99"/>
    <w:semiHidden/>
    <w:locked/>
    <w:rsid w:val="004214B5"/>
    <w:rPr>
      <w:rFonts w:ascii="Times New Roman" w:eastAsia="MS Gothic" w:hAnsi="Times New Roman" w:cs="Times New Roman"/>
      <w:b/>
      <w:bCs/>
      <w:i/>
      <w:iCs/>
      <w:color w:val="777777"/>
      <w:sz w:val="24"/>
      <w:lang w:val="en-US" w:eastAsia="en-US"/>
    </w:rPr>
  </w:style>
  <w:style w:type="character" w:customStyle="1" w:styleId="Heading5Char">
    <w:name w:val="Heading 5 Char"/>
    <w:basedOn w:val="DefaultParagraphFont"/>
    <w:link w:val="Heading5"/>
    <w:uiPriority w:val="99"/>
    <w:semiHidden/>
    <w:locked/>
    <w:rsid w:val="004214B5"/>
    <w:rPr>
      <w:rFonts w:ascii="Times New Roman" w:eastAsia="MS Gothic" w:hAnsi="Times New Roman" w:cs="Times New Roman"/>
      <w:b/>
      <w:bCs/>
      <w:color w:val="808080"/>
    </w:rPr>
  </w:style>
  <w:style w:type="character" w:customStyle="1" w:styleId="Heading6Char">
    <w:name w:val="Heading 6 Char"/>
    <w:basedOn w:val="DefaultParagraphFont"/>
    <w:link w:val="Heading6"/>
    <w:uiPriority w:val="99"/>
    <w:semiHidden/>
    <w:locked/>
    <w:rsid w:val="004214B5"/>
    <w:rPr>
      <w:rFonts w:ascii="Times New Roman" w:eastAsia="MS Gothic" w:hAnsi="Times New Roman" w:cs="Times New Roman"/>
      <w:b/>
      <w:bCs/>
      <w:i/>
      <w:iCs/>
      <w:color w:val="7F7F7F"/>
      <w:sz w:val="24"/>
      <w:lang w:val="en-US" w:eastAsia="en-US"/>
    </w:rPr>
  </w:style>
  <w:style w:type="character" w:customStyle="1" w:styleId="Heading7Char">
    <w:name w:val="Heading 7 Char"/>
    <w:basedOn w:val="DefaultParagraphFont"/>
    <w:link w:val="Heading7"/>
    <w:uiPriority w:val="99"/>
    <w:semiHidden/>
    <w:locked/>
    <w:rsid w:val="004214B5"/>
    <w:rPr>
      <w:rFonts w:ascii="Times New Roman" w:eastAsia="MS Gothic" w:hAnsi="Times New Roman" w:cs="Times New Roman"/>
      <w:i/>
      <w:iCs/>
    </w:rPr>
  </w:style>
  <w:style w:type="character" w:customStyle="1" w:styleId="Heading8Char">
    <w:name w:val="Heading 8 Char"/>
    <w:basedOn w:val="DefaultParagraphFont"/>
    <w:link w:val="Heading8"/>
    <w:uiPriority w:val="99"/>
    <w:semiHidden/>
    <w:locked/>
    <w:rsid w:val="004214B5"/>
    <w:rPr>
      <w:rFonts w:ascii="Times New Roman" w:eastAsia="MS Gothic" w:hAnsi="Times New Roman" w:cs="Times New Roman"/>
      <w:sz w:val="20"/>
      <w:szCs w:val="20"/>
    </w:rPr>
  </w:style>
  <w:style w:type="character" w:customStyle="1" w:styleId="Heading9Char">
    <w:name w:val="Heading 9 Char"/>
    <w:basedOn w:val="DefaultParagraphFont"/>
    <w:link w:val="Heading9"/>
    <w:uiPriority w:val="99"/>
    <w:semiHidden/>
    <w:locked/>
    <w:rsid w:val="004214B5"/>
    <w:rPr>
      <w:rFonts w:ascii="Times New Roman" w:eastAsia="MS Gothic" w:hAnsi="Times New Roman" w:cs="Times New Roman"/>
      <w:i/>
      <w:iCs/>
      <w:spacing w:val="5"/>
      <w:sz w:val="20"/>
      <w:szCs w:val="20"/>
    </w:rPr>
  </w:style>
  <w:style w:type="paragraph" w:customStyle="1" w:styleId="ECHRHeading1">
    <w:name w:val="ECHR_Heading_1"/>
    <w:aliases w:val="Ju_H_I_Roman"/>
    <w:basedOn w:val="Heading1"/>
    <w:next w:val="ECHRPara"/>
    <w:uiPriority w:val="99"/>
    <w:rsid w:val="004214B5"/>
    <w:pPr>
      <w:keepNext/>
      <w:keepLines/>
      <w:tabs>
        <w:tab w:val="left" w:pos="357"/>
      </w:tabs>
      <w:spacing w:before="360" w:after="240"/>
      <w:ind w:left="357" w:hanging="357"/>
      <w:contextualSpacing w:val="0"/>
    </w:pPr>
    <w:rPr>
      <w:b w:val="0"/>
      <w:color w:val="auto"/>
      <w:sz w:val="24"/>
      <w:lang w:val="fr-FR" w:eastAsia="fr-FR"/>
    </w:rPr>
  </w:style>
  <w:style w:type="paragraph" w:customStyle="1" w:styleId="ECHRTitle1">
    <w:name w:val="ECHR_Title_1"/>
    <w:aliases w:val="Ju_H_Head"/>
    <w:basedOn w:val="Normal"/>
    <w:next w:val="ECHRPara"/>
    <w:uiPriority w:val="99"/>
    <w:rsid w:val="004214B5"/>
    <w:pPr>
      <w:keepNext/>
      <w:keepLines/>
      <w:spacing w:before="720" w:after="240"/>
      <w:outlineLvl w:val="0"/>
    </w:pPr>
    <w:rPr>
      <w:sz w:val="28"/>
      <w:lang w:val="fr-FR" w:eastAsia="fr-FR"/>
    </w:rPr>
  </w:style>
  <w:style w:type="paragraph" w:customStyle="1" w:styleId="ECHRPara">
    <w:name w:val="ECHR_Para"/>
    <w:aliases w:val="Ju_Para"/>
    <w:basedOn w:val="Normal"/>
    <w:link w:val="JuParaChar"/>
    <w:uiPriority w:val="99"/>
    <w:rsid w:val="00562B63"/>
    <w:pPr>
      <w:ind w:firstLine="284"/>
    </w:pPr>
    <w:rPr>
      <w:szCs w:val="20"/>
    </w:rPr>
  </w:style>
  <w:style w:type="character" w:customStyle="1" w:styleId="JuParaChar">
    <w:name w:val="Ju_Para Char"/>
    <w:link w:val="ECHRPara"/>
    <w:uiPriority w:val="99"/>
    <w:locked/>
    <w:rsid w:val="00B921A8"/>
    <w:rPr>
      <w:rFonts w:eastAsia="MS Mincho"/>
      <w:sz w:val="24"/>
      <w:lang w:val="en-US" w:eastAsia="en-US"/>
    </w:rPr>
  </w:style>
  <w:style w:type="paragraph" w:styleId="Footer">
    <w:name w:val="footer"/>
    <w:basedOn w:val="Normal"/>
    <w:link w:val="FooterChar"/>
    <w:uiPriority w:val="99"/>
    <w:semiHidden/>
    <w:rsid w:val="004214B5"/>
    <w:pPr>
      <w:tabs>
        <w:tab w:val="center" w:pos="4536"/>
        <w:tab w:val="right" w:pos="9696"/>
      </w:tabs>
      <w:ind w:left="-680" w:right="-680"/>
    </w:pPr>
    <w:rPr>
      <w:rFonts w:eastAsia="Times New Roman"/>
    </w:rPr>
  </w:style>
  <w:style w:type="character" w:customStyle="1" w:styleId="FooterChar">
    <w:name w:val="Footer Char"/>
    <w:basedOn w:val="DefaultParagraphFont"/>
    <w:link w:val="Footer"/>
    <w:uiPriority w:val="99"/>
    <w:semiHidden/>
    <w:locked/>
    <w:rsid w:val="004214B5"/>
    <w:rPr>
      <w:rFonts w:cs="Times New Roman"/>
      <w:sz w:val="24"/>
      <w:lang w:val="en-US" w:eastAsia="en-US"/>
    </w:rPr>
  </w:style>
  <w:style w:type="paragraph" w:customStyle="1" w:styleId="ECHRDecisionBody">
    <w:name w:val="ECHR_Decision_Body"/>
    <w:aliases w:val="Ju_Judges"/>
    <w:basedOn w:val="Normal"/>
    <w:link w:val="JuJudgesChar"/>
    <w:uiPriority w:val="99"/>
    <w:rsid w:val="004214B5"/>
    <w:pPr>
      <w:tabs>
        <w:tab w:val="left" w:pos="567"/>
        <w:tab w:val="left" w:pos="1134"/>
      </w:tabs>
      <w:jc w:val="left"/>
    </w:pPr>
    <w:rPr>
      <w:szCs w:val="20"/>
      <w:lang w:val="lv-LV" w:eastAsia="ko-KR"/>
    </w:rPr>
  </w:style>
  <w:style w:type="character" w:customStyle="1" w:styleId="JuJudgesChar">
    <w:name w:val="Ju_Judges Char"/>
    <w:link w:val="ECHRDecisionBody"/>
    <w:uiPriority w:val="99"/>
    <w:locked/>
    <w:rsid w:val="00D15473"/>
    <w:rPr>
      <w:rFonts w:eastAsia="MS Mincho"/>
      <w:sz w:val="24"/>
    </w:rPr>
  </w:style>
  <w:style w:type="paragraph" w:customStyle="1" w:styleId="ECHRHeading2">
    <w:name w:val="ECHR_Heading_2"/>
    <w:aliases w:val="Ju_H_A"/>
    <w:basedOn w:val="Heading2"/>
    <w:next w:val="ECHRPara"/>
    <w:uiPriority w:val="99"/>
    <w:rsid w:val="004214B5"/>
    <w:pPr>
      <w:keepNext/>
      <w:keepLines/>
      <w:tabs>
        <w:tab w:val="left" w:pos="584"/>
      </w:tabs>
      <w:spacing w:before="360" w:after="240"/>
      <w:ind w:left="584" w:hanging="352"/>
    </w:pPr>
    <w:rPr>
      <w:color w:val="auto"/>
      <w:sz w:val="24"/>
      <w:lang w:val="fr-FR" w:eastAsia="fr-FR"/>
    </w:rPr>
  </w:style>
  <w:style w:type="paragraph" w:customStyle="1" w:styleId="ECHRParaQuote">
    <w:name w:val="ECHR_Para_Quote"/>
    <w:aliases w:val="Ju_Quot"/>
    <w:basedOn w:val="Normal"/>
    <w:uiPriority w:val="99"/>
    <w:rsid w:val="004214B5"/>
    <w:pPr>
      <w:spacing w:before="120" w:after="120"/>
      <w:ind w:left="425" w:firstLine="142"/>
    </w:pPr>
    <w:rPr>
      <w:sz w:val="20"/>
      <w:lang w:val="fr-FR" w:eastAsia="fr-FR"/>
    </w:rPr>
  </w:style>
  <w:style w:type="paragraph" w:customStyle="1" w:styleId="JuSigned">
    <w:name w:val="Ju_Signed"/>
    <w:basedOn w:val="Normal"/>
    <w:next w:val="JuParaLast"/>
    <w:link w:val="JuSignedChar"/>
    <w:uiPriority w:val="99"/>
    <w:rsid w:val="004214B5"/>
    <w:pPr>
      <w:tabs>
        <w:tab w:val="center" w:pos="851"/>
        <w:tab w:val="center" w:pos="6407"/>
      </w:tabs>
      <w:spacing w:before="720"/>
      <w:jc w:val="left"/>
    </w:pPr>
    <w:rPr>
      <w:szCs w:val="20"/>
      <w:lang w:val="lv-LV" w:eastAsia="ko-KR"/>
    </w:rPr>
  </w:style>
  <w:style w:type="paragraph" w:customStyle="1" w:styleId="JuParaLast">
    <w:name w:val="Ju_Para_Last"/>
    <w:basedOn w:val="Normal"/>
    <w:next w:val="ECHRPara"/>
    <w:uiPriority w:val="99"/>
    <w:rsid w:val="004214B5"/>
    <w:pPr>
      <w:keepNext/>
      <w:keepLines/>
      <w:spacing w:before="240"/>
      <w:ind w:firstLine="284"/>
    </w:pPr>
    <w:rPr>
      <w:lang w:val="fr-FR" w:eastAsia="fr-FR"/>
    </w:rPr>
  </w:style>
  <w:style w:type="character" w:customStyle="1" w:styleId="JuSignedChar">
    <w:name w:val="Ju_Signed Char"/>
    <w:link w:val="JuSigned"/>
    <w:uiPriority w:val="99"/>
    <w:locked/>
    <w:rsid w:val="000726F6"/>
    <w:rPr>
      <w:rFonts w:eastAsia="MS Mincho"/>
      <w:sz w:val="24"/>
    </w:rPr>
  </w:style>
  <w:style w:type="paragraph" w:customStyle="1" w:styleId="JuCase">
    <w:name w:val="Ju_Case"/>
    <w:basedOn w:val="Normal"/>
    <w:next w:val="ECHRPara"/>
    <w:link w:val="JuCaseChar"/>
    <w:uiPriority w:val="99"/>
    <w:rsid w:val="004214B5"/>
    <w:pPr>
      <w:ind w:firstLine="284"/>
    </w:pPr>
    <w:rPr>
      <w:b/>
      <w:szCs w:val="20"/>
    </w:rPr>
  </w:style>
  <w:style w:type="character" w:customStyle="1" w:styleId="JuCaseChar">
    <w:name w:val="Ju_Case Char"/>
    <w:link w:val="JuCase"/>
    <w:uiPriority w:val="99"/>
    <w:locked/>
    <w:rsid w:val="00B921A8"/>
    <w:rPr>
      <w:rFonts w:eastAsia="MS Mincho"/>
      <w:b/>
      <w:sz w:val="24"/>
      <w:lang w:val="en-US" w:eastAsia="en-US"/>
    </w:rPr>
  </w:style>
  <w:style w:type="paragraph" w:customStyle="1" w:styleId="JuList">
    <w:name w:val="Ju_List"/>
    <w:basedOn w:val="Normal"/>
    <w:link w:val="JuListChar"/>
    <w:uiPriority w:val="99"/>
    <w:rsid w:val="004214B5"/>
    <w:pPr>
      <w:ind w:left="340" w:hanging="340"/>
    </w:pPr>
    <w:rPr>
      <w:szCs w:val="20"/>
      <w:lang w:val="lv-LV" w:eastAsia="ko-KR"/>
    </w:rPr>
  </w:style>
  <w:style w:type="character" w:customStyle="1" w:styleId="JuListChar">
    <w:name w:val="Ju_List Char"/>
    <w:link w:val="JuList"/>
    <w:uiPriority w:val="99"/>
    <w:locked/>
    <w:rsid w:val="00930CD7"/>
    <w:rPr>
      <w:rFonts w:eastAsia="MS Mincho"/>
      <w:sz w:val="24"/>
    </w:rPr>
  </w:style>
  <w:style w:type="paragraph" w:customStyle="1" w:styleId="JuCourt">
    <w:name w:val="Ju_Court"/>
    <w:basedOn w:val="Normal"/>
    <w:next w:val="Normal"/>
    <w:uiPriority w:val="99"/>
    <w:rsid w:val="004214B5"/>
    <w:pPr>
      <w:tabs>
        <w:tab w:val="left" w:pos="907"/>
        <w:tab w:val="left" w:pos="1701"/>
        <w:tab w:val="right" w:pos="7371"/>
      </w:tabs>
      <w:spacing w:before="240"/>
      <w:ind w:left="397" w:hanging="397"/>
      <w:jc w:val="left"/>
    </w:pPr>
    <w:rPr>
      <w:lang w:val="fr-FR" w:eastAsia="fr-FR"/>
    </w:rPr>
  </w:style>
  <w:style w:type="paragraph" w:styleId="FootnoteText">
    <w:name w:val="footnote text"/>
    <w:basedOn w:val="Normal"/>
    <w:link w:val="FootnoteTextChar"/>
    <w:uiPriority w:val="99"/>
    <w:semiHidden/>
    <w:rsid w:val="004214B5"/>
    <w:rPr>
      <w:sz w:val="20"/>
      <w:szCs w:val="20"/>
    </w:rPr>
  </w:style>
  <w:style w:type="character" w:customStyle="1" w:styleId="FootnoteTextChar">
    <w:name w:val="Footnote Text Char"/>
    <w:basedOn w:val="DefaultParagraphFont"/>
    <w:link w:val="FootnoteText"/>
    <w:uiPriority w:val="99"/>
    <w:semiHidden/>
    <w:locked/>
    <w:rsid w:val="004214B5"/>
    <w:rPr>
      <w:rFonts w:eastAsia="MS Mincho" w:cs="Times New Roman"/>
      <w:sz w:val="20"/>
      <w:szCs w:val="20"/>
      <w:lang w:val="en-US" w:eastAsia="en-US"/>
    </w:rPr>
  </w:style>
  <w:style w:type="character" w:styleId="FootnoteReference">
    <w:name w:val="footnote reference"/>
    <w:basedOn w:val="DefaultParagraphFont"/>
    <w:uiPriority w:val="99"/>
    <w:semiHidden/>
    <w:rsid w:val="004214B5"/>
    <w:rPr>
      <w:rFonts w:cs="Times New Roman"/>
      <w:vertAlign w:val="superscript"/>
    </w:rPr>
  </w:style>
  <w:style w:type="paragraph" w:styleId="Header">
    <w:name w:val="header"/>
    <w:basedOn w:val="Normal"/>
    <w:link w:val="HeaderChar"/>
    <w:uiPriority w:val="99"/>
    <w:semiHidden/>
    <w:rsid w:val="004214B5"/>
    <w:pPr>
      <w:tabs>
        <w:tab w:val="center" w:pos="4536"/>
        <w:tab w:val="right" w:pos="9072"/>
      </w:tabs>
    </w:pPr>
    <w:rPr>
      <w:rFonts w:eastAsia="Times New Roman"/>
    </w:rPr>
  </w:style>
  <w:style w:type="character" w:customStyle="1" w:styleId="HeaderChar">
    <w:name w:val="Header Char"/>
    <w:basedOn w:val="DefaultParagraphFont"/>
    <w:link w:val="Header"/>
    <w:uiPriority w:val="99"/>
    <w:semiHidden/>
    <w:locked/>
    <w:rsid w:val="004214B5"/>
    <w:rPr>
      <w:rFonts w:cs="Times New Roman"/>
      <w:sz w:val="24"/>
      <w:lang w:val="en-US" w:eastAsia="en-US"/>
    </w:rPr>
  </w:style>
  <w:style w:type="character" w:styleId="PageNumber">
    <w:name w:val="page number"/>
    <w:basedOn w:val="DefaultParagraphFont"/>
    <w:uiPriority w:val="99"/>
    <w:semiHidden/>
    <w:rsid w:val="00D1288A"/>
    <w:rPr>
      <w:rFonts w:cs="Times New Roman"/>
      <w:sz w:val="18"/>
    </w:rPr>
  </w:style>
  <w:style w:type="paragraph" w:customStyle="1" w:styleId="JuLista">
    <w:name w:val="Ju_List_a"/>
    <w:basedOn w:val="JuList"/>
    <w:uiPriority w:val="99"/>
    <w:rsid w:val="004214B5"/>
    <w:pPr>
      <w:ind w:left="346" w:firstLine="0"/>
    </w:pPr>
  </w:style>
  <w:style w:type="paragraph" w:customStyle="1" w:styleId="JuListi">
    <w:name w:val="Ju_List_i"/>
    <w:basedOn w:val="Normal"/>
    <w:next w:val="JuLista"/>
    <w:uiPriority w:val="99"/>
    <w:rsid w:val="004214B5"/>
    <w:pPr>
      <w:ind w:left="794"/>
    </w:pPr>
    <w:rPr>
      <w:lang w:val="fr-FR" w:eastAsia="fr-FR"/>
    </w:rPr>
  </w:style>
  <w:style w:type="character" w:styleId="CommentReference">
    <w:name w:val="annotation reference"/>
    <w:basedOn w:val="DefaultParagraphFont"/>
    <w:uiPriority w:val="99"/>
    <w:semiHidden/>
    <w:rsid w:val="00547773"/>
    <w:rPr>
      <w:rFonts w:cs="Times New Roman"/>
      <w:sz w:val="16"/>
    </w:rPr>
  </w:style>
  <w:style w:type="paragraph" w:styleId="CommentText">
    <w:name w:val="annotation text"/>
    <w:basedOn w:val="Normal"/>
    <w:link w:val="CommentTextChar"/>
    <w:uiPriority w:val="99"/>
    <w:semiHidden/>
    <w:rsid w:val="00547773"/>
    <w:rPr>
      <w:sz w:val="20"/>
    </w:rPr>
  </w:style>
  <w:style w:type="character" w:customStyle="1" w:styleId="CommentTextChar">
    <w:name w:val="Comment Text Char"/>
    <w:basedOn w:val="DefaultParagraphFont"/>
    <w:link w:val="CommentText"/>
    <w:uiPriority w:val="99"/>
    <w:semiHidden/>
    <w:rsid w:val="004E3133"/>
    <w:rPr>
      <w:rFonts w:eastAsia="MS Mincho"/>
      <w:sz w:val="20"/>
      <w:szCs w:val="20"/>
      <w:lang w:val="en-US" w:eastAsia="en-US"/>
    </w:rPr>
  </w:style>
  <w:style w:type="paragraph" w:styleId="BalloonText">
    <w:name w:val="Balloon Text"/>
    <w:basedOn w:val="Normal"/>
    <w:link w:val="BalloonTextChar"/>
    <w:uiPriority w:val="99"/>
    <w:semiHidden/>
    <w:rsid w:val="004214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14B5"/>
    <w:rPr>
      <w:rFonts w:ascii="Tahoma" w:eastAsia="MS Mincho" w:hAnsi="Tahoma" w:cs="Tahoma"/>
      <w:sz w:val="16"/>
      <w:szCs w:val="16"/>
      <w:lang w:val="en-US" w:eastAsia="en-US"/>
    </w:rPr>
  </w:style>
  <w:style w:type="paragraph" w:styleId="CommentSubject">
    <w:name w:val="annotation subject"/>
    <w:basedOn w:val="CommentText"/>
    <w:next w:val="CommentText"/>
    <w:link w:val="CommentSubjectChar"/>
    <w:uiPriority w:val="99"/>
    <w:semiHidden/>
    <w:rsid w:val="00D353F4"/>
    <w:rPr>
      <w:b/>
      <w:bCs/>
    </w:rPr>
  </w:style>
  <w:style w:type="character" w:customStyle="1" w:styleId="CommentSubjectChar">
    <w:name w:val="Comment Subject Char"/>
    <w:basedOn w:val="CommentTextChar"/>
    <w:link w:val="CommentSubject"/>
    <w:uiPriority w:val="99"/>
    <w:semiHidden/>
    <w:rsid w:val="004E3133"/>
    <w:rPr>
      <w:b/>
      <w:bCs/>
    </w:rPr>
  </w:style>
  <w:style w:type="character" w:styleId="EndnoteReference">
    <w:name w:val="endnote reference"/>
    <w:basedOn w:val="DefaultParagraphFont"/>
    <w:uiPriority w:val="99"/>
    <w:semiHidden/>
    <w:rsid w:val="00D1288A"/>
    <w:rPr>
      <w:rFonts w:cs="Times New Roman"/>
      <w:vertAlign w:val="superscript"/>
    </w:rPr>
  </w:style>
  <w:style w:type="paragraph" w:styleId="EndnoteText">
    <w:name w:val="endnote text"/>
    <w:basedOn w:val="Normal"/>
    <w:link w:val="EndnoteTextChar"/>
    <w:uiPriority w:val="99"/>
    <w:semiHidden/>
    <w:rsid w:val="00D1288A"/>
    <w:rPr>
      <w:sz w:val="20"/>
    </w:rPr>
  </w:style>
  <w:style w:type="character" w:customStyle="1" w:styleId="EndnoteTextChar">
    <w:name w:val="Endnote Text Char"/>
    <w:basedOn w:val="DefaultParagraphFont"/>
    <w:link w:val="EndnoteText"/>
    <w:uiPriority w:val="99"/>
    <w:semiHidden/>
    <w:rsid w:val="004E3133"/>
    <w:rPr>
      <w:rFonts w:eastAsia="MS Mincho"/>
      <w:sz w:val="20"/>
      <w:szCs w:val="20"/>
      <w:lang w:val="en-US" w:eastAsia="en-US"/>
    </w:rPr>
  </w:style>
  <w:style w:type="character" w:styleId="FollowedHyperlink">
    <w:name w:val="FollowedHyperlink"/>
    <w:basedOn w:val="DefaultParagraphFont"/>
    <w:uiPriority w:val="99"/>
    <w:semiHidden/>
    <w:rsid w:val="00D1288A"/>
    <w:rPr>
      <w:rFonts w:cs="Times New Roman"/>
      <w:color w:val="800080"/>
      <w:u w:val="single"/>
    </w:rPr>
  </w:style>
  <w:style w:type="character" w:styleId="Hyperlink">
    <w:name w:val="Hyperlink"/>
    <w:basedOn w:val="DefaultParagraphFont"/>
    <w:uiPriority w:val="99"/>
    <w:semiHidden/>
    <w:rsid w:val="004214B5"/>
    <w:rPr>
      <w:rFonts w:cs="Times New Roman"/>
      <w:color w:val="0072BC"/>
      <w:u w:val="single"/>
    </w:rPr>
  </w:style>
  <w:style w:type="character" w:styleId="Strong">
    <w:name w:val="Strong"/>
    <w:basedOn w:val="DefaultParagraphFont"/>
    <w:uiPriority w:val="99"/>
    <w:qFormat/>
    <w:rsid w:val="004214B5"/>
    <w:rPr>
      <w:rFonts w:cs="Times New Roman"/>
      <w:b/>
    </w:rPr>
  </w:style>
  <w:style w:type="paragraph" w:styleId="DocumentMap">
    <w:name w:val="Document Map"/>
    <w:basedOn w:val="Normal"/>
    <w:link w:val="DocumentMapChar"/>
    <w:uiPriority w:val="99"/>
    <w:semiHidden/>
    <w:rsid w:val="008824B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4E3133"/>
    <w:rPr>
      <w:rFonts w:eastAsia="MS Mincho"/>
      <w:sz w:val="0"/>
      <w:szCs w:val="0"/>
      <w:lang w:val="en-US" w:eastAsia="en-US"/>
    </w:rPr>
  </w:style>
  <w:style w:type="character" w:customStyle="1" w:styleId="JuNames">
    <w:name w:val="Ju_Names"/>
    <w:uiPriority w:val="99"/>
    <w:rsid w:val="00D1288A"/>
    <w:rPr>
      <w:smallCaps/>
    </w:rPr>
  </w:style>
  <w:style w:type="paragraph" w:styleId="ListBullet">
    <w:name w:val="List Bullet"/>
    <w:basedOn w:val="Normal"/>
    <w:uiPriority w:val="99"/>
    <w:semiHidden/>
    <w:rsid w:val="008824B9"/>
    <w:pPr>
      <w:numPr>
        <w:numId w:val="21"/>
      </w:numPr>
    </w:pPr>
  </w:style>
  <w:style w:type="character" w:customStyle="1" w:styleId="JuITMark">
    <w:name w:val="Ju_ITMark"/>
    <w:basedOn w:val="DefaultParagraphFont"/>
    <w:uiPriority w:val="99"/>
    <w:rsid w:val="004214B5"/>
    <w:rPr>
      <w:rFonts w:cs="Times New Roman"/>
      <w:vanish/>
      <w:color w:val="339966"/>
      <w:sz w:val="14"/>
    </w:rPr>
  </w:style>
  <w:style w:type="paragraph" w:customStyle="1" w:styleId="ECHRFooter">
    <w:name w:val="ECHR_Footer"/>
    <w:aliases w:val="Footer_ECHR"/>
    <w:basedOn w:val="Footer"/>
    <w:uiPriority w:val="99"/>
    <w:semiHidden/>
    <w:rsid w:val="004214B5"/>
    <w:pPr>
      <w:jc w:val="left"/>
    </w:pPr>
    <w:rPr>
      <w:sz w:val="8"/>
    </w:rPr>
  </w:style>
  <w:style w:type="paragraph" w:customStyle="1" w:styleId="ECHRFooterLine">
    <w:name w:val="ECHR_Footer_Line"/>
    <w:aliases w:val="Footer_Line"/>
    <w:basedOn w:val="Normal"/>
    <w:next w:val="ECHRFooter"/>
    <w:uiPriority w:val="99"/>
    <w:semiHidden/>
    <w:rsid w:val="004214B5"/>
    <w:pPr>
      <w:pBdr>
        <w:top w:val="single" w:sz="6" w:space="1" w:color="5F5F5F"/>
      </w:pBdr>
      <w:tabs>
        <w:tab w:val="center" w:pos="4536"/>
        <w:tab w:val="right" w:pos="9696"/>
      </w:tabs>
      <w:ind w:left="-680" w:right="-680"/>
      <w:jc w:val="left"/>
    </w:pPr>
    <w:rPr>
      <w:color w:val="5F5F5F"/>
    </w:rPr>
  </w:style>
  <w:style w:type="paragraph" w:customStyle="1" w:styleId="ECHRHeader">
    <w:name w:val="ECHR_Header"/>
    <w:aliases w:val="Ju_Header"/>
    <w:basedOn w:val="Header"/>
    <w:uiPriority w:val="99"/>
    <w:rsid w:val="004214B5"/>
    <w:pPr>
      <w:tabs>
        <w:tab w:val="clear" w:pos="4536"/>
        <w:tab w:val="clear" w:pos="9072"/>
        <w:tab w:val="center" w:pos="3686"/>
        <w:tab w:val="right" w:pos="7371"/>
      </w:tabs>
      <w:jc w:val="left"/>
    </w:pPr>
    <w:rPr>
      <w:sz w:val="18"/>
      <w:lang w:val="fr-FR" w:eastAsia="fr-FR"/>
    </w:rPr>
  </w:style>
  <w:style w:type="paragraph" w:customStyle="1" w:styleId="JuAppQuestion">
    <w:name w:val="Ju_App_Question"/>
    <w:basedOn w:val="Normal"/>
    <w:uiPriority w:val="99"/>
    <w:semiHidden/>
    <w:rsid w:val="004214B5"/>
    <w:pPr>
      <w:numPr>
        <w:numId w:val="34"/>
      </w:numPr>
      <w:jc w:val="left"/>
    </w:pPr>
    <w:rPr>
      <w:b/>
    </w:rPr>
  </w:style>
  <w:style w:type="paragraph" w:customStyle="1" w:styleId="OpiPara">
    <w:name w:val="Opi_Para"/>
    <w:basedOn w:val="ECHRPara"/>
    <w:uiPriority w:val="99"/>
    <w:rsid w:val="004214B5"/>
  </w:style>
  <w:style w:type="paragraph" w:customStyle="1" w:styleId="JuParaSub">
    <w:name w:val="Ju_Para_Sub"/>
    <w:basedOn w:val="ECHRPara"/>
    <w:uiPriority w:val="99"/>
    <w:rsid w:val="004214B5"/>
    <w:pPr>
      <w:ind w:left="284"/>
    </w:pPr>
  </w:style>
  <w:style w:type="paragraph" w:customStyle="1" w:styleId="OpiParaSub">
    <w:name w:val="Opi_Para_Sub"/>
    <w:basedOn w:val="JuParaSub"/>
    <w:uiPriority w:val="99"/>
    <w:rsid w:val="004214B5"/>
  </w:style>
  <w:style w:type="paragraph" w:customStyle="1" w:styleId="OpiQuot">
    <w:name w:val="Opi_Quot"/>
    <w:basedOn w:val="ECHRParaQuote"/>
    <w:uiPriority w:val="99"/>
    <w:rsid w:val="004214B5"/>
  </w:style>
  <w:style w:type="paragraph" w:customStyle="1" w:styleId="OpiQuotSub">
    <w:name w:val="Opi_Quot_Sub"/>
    <w:basedOn w:val="JuQuotSub"/>
    <w:uiPriority w:val="99"/>
    <w:rsid w:val="004214B5"/>
  </w:style>
  <w:style w:type="paragraph" w:customStyle="1" w:styleId="ECHRTitleCentre3">
    <w:name w:val="ECHR_Title_Centre_3"/>
    <w:aliases w:val="Ju_H_Article"/>
    <w:basedOn w:val="Normal"/>
    <w:next w:val="ECHRParaQuote"/>
    <w:uiPriority w:val="99"/>
    <w:rsid w:val="004214B5"/>
    <w:pPr>
      <w:keepNext/>
      <w:keepLines/>
      <w:spacing w:before="240" w:after="120"/>
      <w:jc w:val="center"/>
      <w:outlineLvl w:val="3"/>
    </w:pPr>
    <w:rPr>
      <w:b/>
      <w:sz w:val="20"/>
      <w:lang w:val="fr-FR" w:eastAsia="fr-FR"/>
    </w:rPr>
  </w:style>
  <w:style w:type="paragraph" w:customStyle="1" w:styleId="ECHRTitleCentre2">
    <w:name w:val="ECHR_Title_Centre_2"/>
    <w:aliases w:val="Dec_H_Case"/>
    <w:basedOn w:val="Normal"/>
    <w:next w:val="ECHRPara"/>
    <w:uiPriority w:val="99"/>
    <w:semiHidden/>
    <w:rsid w:val="004214B5"/>
    <w:pPr>
      <w:spacing w:after="240"/>
      <w:jc w:val="center"/>
      <w:outlineLvl w:val="0"/>
    </w:pPr>
    <w:rPr>
      <w:i/>
    </w:rPr>
  </w:style>
  <w:style w:type="paragraph" w:customStyle="1" w:styleId="JuTitle">
    <w:name w:val="Ju_Title"/>
    <w:basedOn w:val="Normal"/>
    <w:next w:val="ECHRPara"/>
    <w:uiPriority w:val="99"/>
    <w:semiHidden/>
    <w:rsid w:val="004214B5"/>
    <w:pPr>
      <w:spacing w:before="720" w:after="240"/>
      <w:jc w:val="center"/>
      <w:outlineLvl w:val="0"/>
    </w:pPr>
    <w:rPr>
      <w:b/>
      <w:caps/>
    </w:rPr>
  </w:style>
  <w:style w:type="paragraph" w:styleId="Title">
    <w:name w:val="Title"/>
    <w:basedOn w:val="Normal"/>
    <w:next w:val="Normal"/>
    <w:link w:val="TitleChar"/>
    <w:uiPriority w:val="99"/>
    <w:qFormat/>
    <w:rsid w:val="004214B5"/>
    <w:pPr>
      <w:pBdr>
        <w:bottom w:val="single" w:sz="4" w:space="1" w:color="auto"/>
      </w:pBdr>
      <w:contextualSpacing/>
    </w:pPr>
    <w:rPr>
      <w:rFonts w:eastAsia="MS Gothic"/>
      <w:spacing w:val="5"/>
      <w:sz w:val="52"/>
      <w:szCs w:val="52"/>
      <w:lang w:val="fr-FR" w:eastAsia="fr-FR"/>
    </w:rPr>
  </w:style>
  <w:style w:type="character" w:customStyle="1" w:styleId="TitleChar">
    <w:name w:val="Title Char"/>
    <w:basedOn w:val="DefaultParagraphFont"/>
    <w:link w:val="Title"/>
    <w:uiPriority w:val="99"/>
    <w:semiHidden/>
    <w:locked/>
    <w:rsid w:val="004214B5"/>
    <w:rPr>
      <w:rFonts w:ascii="Times New Roman" w:eastAsia="MS Gothic" w:hAnsi="Times New Roman" w:cs="Times New Roman"/>
      <w:spacing w:val="5"/>
      <w:sz w:val="52"/>
      <w:szCs w:val="52"/>
    </w:rPr>
  </w:style>
  <w:style w:type="paragraph" w:styleId="Subtitle">
    <w:name w:val="Subtitle"/>
    <w:basedOn w:val="Normal"/>
    <w:next w:val="Normal"/>
    <w:link w:val="SubtitleChar"/>
    <w:uiPriority w:val="99"/>
    <w:qFormat/>
    <w:rsid w:val="004214B5"/>
    <w:pPr>
      <w:spacing w:after="600"/>
    </w:pPr>
    <w:rPr>
      <w:rFonts w:eastAsia="MS Gothic"/>
      <w:i/>
      <w:iCs/>
      <w:spacing w:val="13"/>
      <w:szCs w:val="24"/>
      <w:lang w:val="fr-FR" w:eastAsia="fr-FR"/>
    </w:rPr>
  </w:style>
  <w:style w:type="character" w:customStyle="1" w:styleId="SubtitleChar">
    <w:name w:val="Subtitle Char"/>
    <w:basedOn w:val="DefaultParagraphFont"/>
    <w:link w:val="Subtitle"/>
    <w:uiPriority w:val="99"/>
    <w:semiHidden/>
    <w:locked/>
    <w:rsid w:val="004214B5"/>
    <w:rPr>
      <w:rFonts w:ascii="Times New Roman" w:eastAsia="MS Gothic" w:hAnsi="Times New Roman" w:cs="Times New Roman"/>
      <w:i/>
      <w:iCs/>
      <w:spacing w:val="13"/>
      <w:sz w:val="24"/>
      <w:szCs w:val="24"/>
    </w:rPr>
  </w:style>
  <w:style w:type="character" w:styleId="Emphasis">
    <w:name w:val="Emphasis"/>
    <w:basedOn w:val="DefaultParagraphFont"/>
    <w:uiPriority w:val="99"/>
    <w:qFormat/>
    <w:rsid w:val="004214B5"/>
    <w:rPr>
      <w:rFonts w:cs="Times New Roman"/>
      <w:b/>
      <w:i/>
      <w:spacing w:val="10"/>
      <w:shd w:val="clear" w:color="auto" w:fill="auto"/>
    </w:rPr>
  </w:style>
  <w:style w:type="paragraph" w:styleId="NoSpacing">
    <w:name w:val="No Spacing"/>
    <w:basedOn w:val="Normal"/>
    <w:link w:val="NoSpacingChar"/>
    <w:uiPriority w:val="99"/>
    <w:qFormat/>
    <w:rsid w:val="004214B5"/>
    <w:rPr>
      <w:sz w:val="22"/>
      <w:lang w:val="fr-FR" w:eastAsia="fr-FR"/>
    </w:rPr>
  </w:style>
  <w:style w:type="character" w:customStyle="1" w:styleId="NoSpacingChar">
    <w:name w:val="No Spacing Char"/>
    <w:basedOn w:val="DefaultParagraphFont"/>
    <w:link w:val="NoSpacing"/>
    <w:uiPriority w:val="99"/>
    <w:semiHidden/>
    <w:locked/>
    <w:rsid w:val="004214B5"/>
    <w:rPr>
      <w:rFonts w:eastAsia="MS Mincho" w:cs="Times New Roman"/>
    </w:rPr>
  </w:style>
  <w:style w:type="paragraph" w:styleId="ListParagraph">
    <w:name w:val="List Paragraph"/>
    <w:basedOn w:val="Normal"/>
    <w:uiPriority w:val="99"/>
    <w:qFormat/>
    <w:rsid w:val="004214B5"/>
    <w:pPr>
      <w:ind w:left="720"/>
      <w:contextualSpacing/>
    </w:pPr>
    <w:rPr>
      <w:lang w:val="fr-FR" w:eastAsia="fr-FR"/>
    </w:rPr>
  </w:style>
  <w:style w:type="paragraph" w:styleId="Quote">
    <w:name w:val="Quote"/>
    <w:basedOn w:val="Normal"/>
    <w:next w:val="Normal"/>
    <w:link w:val="QuoteChar"/>
    <w:uiPriority w:val="99"/>
    <w:qFormat/>
    <w:rsid w:val="004214B5"/>
    <w:pPr>
      <w:spacing w:before="200"/>
      <w:ind w:left="360" w:right="360"/>
    </w:pPr>
    <w:rPr>
      <w:i/>
      <w:iCs/>
      <w:sz w:val="22"/>
      <w:lang w:val="fr-FR" w:eastAsia="fr-FR"/>
    </w:rPr>
  </w:style>
  <w:style w:type="character" w:customStyle="1" w:styleId="QuoteChar">
    <w:name w:val="Quote Char"/>
    <w:basedOn w:val="DefaultParagraphFont"/>
    <w:link w:val="Quote"/>
    <w:uiPriority w:val="99"/>
    <w:semiHidden/>
    <w:locked/>
    <w:rsid w:val="004214B5"/>
    <w:rPr>
      <w:rFonts w:eastAsia="MS Mincho" w:cs="Times New Roman"/>
      <w:i/>
      <w:iCs/>
    </w:rPr>
  </w:style>
  <w:style w:type="paragraph" w:styleId="IntenseQuote">
    <w:name w:val="Intense Quote"/>
    <w:basedOn w:val="Normal"/>
    <w:next w:val="Normal"/>
    <w:link w:val="IntenseQuoteChar"/>
    <w:uiPriority w:val="99"/>
    <w:qFormat/>
    <w:rsid w:val="004214B5"/>
    <w:pPr>
      <w:pBdr>
        <w:bottom w:val="single" w:sz="4" w:space="1" w:color="auto"/>
      </w:pBdr>
      <w:spacing w:before="200" w:after="280"/>
      <w:ind w:left="1008" w:right="1152"/>
    </w:pPr>
    <w:rPr>
      <w:b/>
      <w:bCs/>
      <w:i/>
      <w:iCs/>
      <w:sz w:val="22"/>
      <w:lang w:val="fr-FR" w:eastAsia="fr-FR"/>
    </w:rPr>
  </w:style>
  <w:style w:type="character" w:customStyle="1" w:styleId="IntenseQuoteChar">
    <w:name w:val="Intense Quote Char"/>
    <w:basedOn w:val="DefaultParagraphFont"/>
    <w:link w:val="IntenseQuote"/>
    <w:uiPriority w:val="99"/>
    <w:semiHidden/>
    <w:locked/>
    <w:rsid w:val="004214B5"/>
    <w:rPr>
      <w:rFonts w:eastAsia="MS Mincho" w:cs="Times New Roman"/>
      <w:b/>
      <w:bCs/>
      <w:i/>
      <w:iCs/>
    </w:rPr>
  </w:style>
  <w:style w:type="character" w:styleId="SubtleEmphasis">
    <w:name w:val="Subtle Emphasis"/>
    <w:basedOn w:val="DefaultParagraphFont"/>
    <w:uiPriority w:val="99"/>
    <w:qFormat/>
    <w:rsid w:val="004214B5"/>
    <w:rPr>
      <w:i/>
    </w:rPr>
  </w:style>
  <w:style w:type="character" w:styleId="IntenseEmphasis">
    <w:name w:val="Intense Emphasis"/>
    <w:basedOn w:val="DefaultParagraphFont"/>
    <w:uiPriority w:val="99"/>
    <w:qFormat/>
    <w:rsid w:val="004214B5"/>
    <w:rPr>
      <w:b/>
    </w:rPr>
  </w:style>
  <w:style w:type="character" w:styleId="SubtleReference">
    <w:name w:val="Subtle Reference"/>
    <w:basedOn w:val="DefaultParagraphFont"/>
    <w:uiPriority w:val="99"/>
    <w:qFormat/>
    <w:rsid w:val="004214B5"/>
    <w:rPr>
      <w:smallCaps/>
    </w:rPr>
  </w:style>
  <w:style w:type="character" w:styleId="IntenseReference">
    <w:name w:val="Intense Reference"/>
    <w:basedOn w:val="DefaultParagraphFont"/>
    <w:uiPriority w:val="99"/>
    <w:qFormat/>
    <w:rsid w:val="004214B5"/>
    <w:rPr>
      <w:smallCaps/>
      <w:spacing w:val="5"/>
      <w:u w:val="single"/>
    </w:rPr>
  </w:style>
  <w:style w:type="character" w:styleId="BookTitle">
    <w:name w:val="Book Title"/>
    <w:basedOn w:val="DefaultParagraphFont"/>
    <w:uiPriority w:val="99"/>
    <w:qFormat/>
    <w:rsid w:val="004214B5"/>
    <w:rPr>
      <w:i/>
      <w:smallCaps/>
      <w:spacing w:val="5"/>
    </w:rPr>
  </w:style>
  <w:style w:type="paragraph" w:styleId="TOCHeading">
    <w:name w:val="TOC Heading"/>
    <w:basedOn w:val="Heading1"/>
    <w:next w:val="Normal"/>
    <w:uiPriority w:val="99"/>
    <w:qFormat/>
    <w:rsid w:val="004214B5"/>
    <w:pPr>
      <w:outlineLvl w:val="9"/>
    </w:pPr>
    <w:rPr>
      <w:color w:val="474747"/>
      <w:lang w:val="fr-FR" w:eastAsia="fr-FR"/>
    </w:rPr>
  </w:style>
  <w:style w:type="paragraph" w:styleId="Bibliography">
    <w:name w:val="Bibliography"/>
    <w:basedOn w:val="Normal"/>
    <w:next w:val="Normal"/>
    <w:uiPriority w:val="99"/>
    <w:semiHidden/>
    <w:rsid w:val="00171962"/>
  </w:style>
  <w:style w:type="paragraph" w:styleId="BlockText">
    <w:name w:val="Block Text"/>
    <w:basedOn w:val="Normal"/>
    <w:uiPriority w:val="99"/>
    <w:semiHidden/>
    <w:rsid w:val="00171962"/>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171962"/>
    <w:pPr>
      <w:spacing w:after="120"/>
    </w:pPr>
  </w:style>
  <w:style w:type="character" w:customStyle="1" w:styleId="BodyTextChar">
    <w:name w:val="Body Text Char"/>
    <w:basedOn w:val="DefaultParagraphFont"/>
    <w:link w:val="BodyText"/>
    <w:uiPriority w:val="99"/>
    <w:locked/>
    <w:rsid w:val="00171962"/>
    <w:rPr>
      <w:rFonts w:cs="Times New Roman"/>
      <w:sz w:val="24"/>
      <w:lang w:val="en-GB"/>
    </w:rPr>
  </w:style>
  <w:style w:type="paragraph" w:styleId="BodyText2">
    <w:name w:val="Body Text 2"/>
    <w:basedOn w:val="Normal"/>
    <w:link w:val="BodyText2Char"/>
    <w:uiPriority w:val="99"/>
    <w:semiHidden/>
    <w:rsid w:val="00171962"/>
    <w:pPr>
      <w:spacing w:after="120" w:line="480" w:lineRule="auto"/>
    </w:pPr>
  </w:style>
  <w:style w:type="character" w:customStyle="1" w:styleId="BodyText2Char">
    <w:name w:val="Body Text 2 Char"/>
    <w:basedOn w:val="DefaultParagraphFont"/>
    <w:link w:val="BodyText2"/>
    <w:uiPriority w:val="99"/>
    <w:locked/>
    <w:rsid w:val="00171962"/>
    <w:rPr>
      <w:rFonts w:cs="Times New Roman"/>
      <w:sz w:val="24"/>
      <w:lang w:val="en-GB"/>
    </w:rPr>
  </w:style>
  <w:style w:type="paragraph" w:styleId="BodyText3">
    <w:name w:val="Body Text 3"/>
    <w:basedOn w:val="Normal"/>
    <w:link w:val="BodyText3Char"/>
    <w:uiPriority w:val="99"/>
    <w:semiHidden/>
    <w:rsid w:val="00171962"/>
    <w:pPr>
      <w:spacing w:after="120"/>
    </w:pPr>
    <w:rPr>
      <w:sz w:val="16"/>
      <w:szCs w:val="16"/>
    </w:rPr>
  </w:style>
  <w:style w:type="character" w:customStyle="1" w:styleId="BodyText3Char">
    <w:name w:val="Body Text 3 Char"/>
    <w:basedOn w:val="DefaultParagraphFont"/>
    <w:link w:val="BodyText3"/>
    <w:uiPriority w:val="99"/>
    <w:locked/>
    <w:rsid w:val="00171962"/>
    <w:rPr>
      <w:rFonts w:cs="Times New Roman"/>
      <w:sz w:val="16"/>
      <w:szCs w:val="16"/>
      <w:lang w:val="en-GB"/>
    </w:rPr>
  </w:style>
  <w:style w:type="paragraph" w:styleId="BodyTextFirstIndent">
    <w:name w:val="Body Text First Indent"/>
    <w:basedOn w:val="BodyText"/>
    <w:link w:val="BodyTextFirstIndentChar"/>
    <w:uiPriority w:val="99"/>
    <w:semiHidden/>
    <w:rsid w:val="00171962"/>
    <w:pPr>
      <w:spacing w:after="0"/>
      <w:ind w:firstLine="360"/>
    </w:pPr>
  </w:style>
  <w:style w:type="character" w:customStyle="1" w:styleId="BodyTextFirstIndentChar">
    <w:name w:val="Body Text First Indent Char"/>
    <w:basedOn w:val="BodyTextChar"/>
    <w:link w:val="BodyTextFirstIndent"/>
    <w:uiPriority w:val="99"/>
    <w:locked/>
    <w:rsid w:val="00171962"/>
  </w:style>
  <w:style w:type="paragraph" w:styleId="BodyTextIndent">
    <w:name w:val="Body Text Indent"/>
    <w:basedOn w:val="Normal"/>
    <w:link w:val="BodyTextIndentChar"/>
    <w:uiPriority w:val="99"/>
    <w:semiHidden/>
    <w:rsid w:val="00171962"/>
    <w:pPr>
      <w:spacing w:after="120"/>
      <w:ind w:left="283"/>
    </w:pPr>
  </w:style>
  <w:style w:type="character" w:customStyle="1" w:styleId="BodyTextIndentChar">
    <w:name w:val="Body Text Indent Char"/>
    <w:basedOn w:val="DefaultParagraphFont"/>
    <w:link w:val="BodyTextIndent"/>
    <w:uiPriority w:val="99"/>
    <w:locked/>
    <w:rsid w:val="00171962"/>
    <w:rPr>
      <w:rFonts w:cs="Times New Roman"/>
      <w:sz w:val="24"/>
      <w:lang w:val="en-GB"/>
    </w:rPr>
  </w:style>
  <w:style w:type="paragraph" w:styleId="BodyTextFirstIndent2">
    <w:name w:val="Body Text First Indent 2"/>
    <w:basedOn w:val="BodyTextIndent"/>
    <w:link w:val="BodyTextFirstIndent2Char"/>
    <w:uiPriority w:val="99"/>
    <w:semiHidden/>
    <w:rsid w:val="00171962"/>
    <w:pPr>
      <w:spacing w:after="0"/>
      <w:ind w:left="360" w:firstLine="360"/>
    </w:pPr>
  </w:style>
  <w:style w:type="character" w:customStyle="1" w:styleId="BodyTextFirstIndent2Char">
    <w:name w:val="Body Text First Indent 2 Char"/>
    <w:basedOn w:val="BodyTextIndentChar"/>
    <w:link w:val="BodyTextFirstIndent2"/>
    <w:uiPriority w:val="99"/>
    <w:locked/>
    <w:rsid w:val="00171962"/>
  </w:style>
  <w:style w:type="paragraph" w:styleId="BodyTextIndent2">
    <w:name w:val="Body Text Indent 2"/>
    <w:basedOn w:val="Normal"/>
    <w:link w:val="BodyTextIndent2Char"/>
    <w:uiPriority w:val="99"/>
    <w:semiHidden/>
    <w:rsid w:val="00171962"/>
    <w:pPr>
      <w:spacing w:after="120" w:line="480" w:lineRule="auto"/>
      <w:ind w:left="283"/>
    </w:pPr>
  </w:style>
  <w:style w:type="character" w:customStyle="1" w:styleId="BodyTextIndent2Char">
    <w:name w:val="Body Text Indent 2 Char"/>
    <w:basedOn w:val="DefaultParagraphFont"/>
    <w:link w:val="BodyTextIndent2"/>
    <w:uiPriority w:val="99"/>
    <w:locked/>
    <w:rsid w:val="00171962"/>
    <w:rPr>
      <w:rFonts w:cs="Times New Roman"/>
      <w:sz w:val="24"/>
      <w:lang w:val="en-GB"/>
    </w:rPr>
  </w:style>
  <w:style w:type="paragraph" w:styleId="BodyTextIndent3">
    <w:name w:val="Body Text Indent 3"/>
    <w:basedOn w:val="Normal"/>
    <w:link w:val="BodyTextIndent3Char"/>
    <w:uiPriority w:val="99"/>
    <w:semiHidden/>
    <w:rsid w:val="00171962"/>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171962"/>
    <w:rPr>
      <w:rFonts w:cs="Times New Roman"/>
      <w:sz w:val="16"/>
      <w:szCs w:val="16"/>
      <w:lang w:val="en-GB"/>
    </w:rPr>
  </w:style>
  <w:style w:type="paragraph" w:styleId="Caption">
    <w:name w:val="caption"/>
    <w:basedOn w:val="Normal"/>
    <w:next w:val="Normal"/>
    <w:uiPriority w:val="99"/>
    <w:qFormat/>
    <w:rsid w:val="00171962"/>
    <w:pPr>
      <w:spacing w:after="200"/>
    </w:pPr>
    <w:rPr>
      <w:b/>
      <w:bCs/>
      <w:color w:val="0072BC"/>
      <w:sz w:val="18"/>
      <w:szCs w:val="18"/>
      <w:lang w:val="fr-FR" w:eastAsia="fr-FR"/>
    </w:rPr>
  </w:style>
  <w:style w:type="paragraph" w:styleId="Closing">
    <w:name w:val="Closing"/>
    <w:basedOn w:val="Normal"/>
    <w:link w:val="ClosingChar"/>
    <w:uiPriority w:val="99"/>
    <w:semiHidden/>
    <w:rsid w:val="00171962"/>
    <w:pPr>
      <w:ind w:left="4252"/>
    </w:pPr>
  </w:style>
  <w:style w:type="character" w:customStyle="1" w:styleId="ClosingChar">
    <w:name w:val="Closing Char"/>
    <w:basedOn w:val="DefaultParagraphFont"/>
    <w:link w:val="Closing"/>
    <w:uiPriority w:val="99"/>
    <w:locked/>
    <w:rsid w:val="00171962"/>
    <w:rPr>
      <w:rFonts w:cs="Times New Roman"/>
      <w:sz w:val="24"/>
      <w:lang w:val="en-GB"/>
    </w:rPr>
  </w:style>
  <w:style w:type="table" w:styleId="ColorfulGrid">
    <w:name w:val="Colorful Grid"/>
    <w:basedOn w:val="TableNormal"/>
    <w:uiPriority w:val="99"/>
    <w:semiHidden/>
    <w:rsid w:val="00171962"/>
    <w:rPr>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0072BC"/>
      </w:rPr>
      <w:tblPr/>
      <w:tcPr>
        <w:shd w:val="clear" w:color="auto" w:fill="000000"/>
      </w:tcPr>
    </w:tblStylePr>
    <w:tblStylePr w:type="lastCol">
      <w:rPr>
        <w:rFonts w:cs="Times New Roman"/>
        <w:color w:val="0072BC"/>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9"/>
    <w:semiHidden/>
    <w:rsid w:val="00171962"/>
    <w:rPr>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BEE5FF"/>
    </w:tcPr>
    <w:tblStylePr w:type="firstRow">
      <w:rPr>
        <w:rFonts w:cs="Times New Roman"/>
        <w:b/>
        <w:bCs/>
      </w:rPr>
      <w:tblPr/>
      <w:tcPr>
        <w:shd w:val="clear" w:color="auto" w:fill="7ECBFF"/>
      </w:tcPr>
    </w:tblStylePr>
    <w:tblStylePr w:type="lastRow">
      <w:rPr>
        <w:rFonts w:cs="Times New Roman"/>
        <w:b/>
        <w:bCs/>
        <w:color w:val="000000"/>
      </w:rPr>
      <w:tblPr/>
      <w:tcPr>
        <w:shd w:val="clear" w:color="auto" w:fill="7ECBFF"/>
      </w:tcPr>
    </w:tblStylePr>
    <w:tblStylePr w:type="firstCol">
      <w:rPr>
        <w:rFonts w:cs="Times New Roman"/>
        <w:color w:val="0072BC"/>
      </w:rPr>
      <w:tblPr/>
      <w:tcPr>
        <w:shd w:val="clear" w:color="auto" w:fill="00548C"/>
      </w:tcPr>
    </w:tblStylePr>
    <w:tblStylePr w:type="lastCol">
      <w:rPr>
        <w:rFonts w:cs="Times New Roman"/>
        <w:color w:val="0072BC"/>
      </w:rPr>
      <w:tblPr/>
      <w:tcPr>
        <w:shd w:val="clear" w:color="auto" w:fill="00548C"/>
      </w:tc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ColorfulGrid-Accent2">
    <w:name w:val="Colorful Grid Accent 2"/>
    <w:basedOn w:val="TableNormal"/>
    <w:uiPriority w:val="99"/>
    <w:semiHidden/>
    <w:rsid w:val="00171962"/>
    <w:rPr>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FFBFBF"/>
    </w:tcPr>
    <w:tblStylePr w:type="firstRow">
      <w:rPr>
        <w:rFonts w:cs="Times New Roman"/>
        <w:b/>
        <w:bCs/>
      </w:rPr>
      <w:tblPr/>
      <w:tcPr>
        <w:shd w:val="clear" w:color="auto" w:fill="FF7F7F"/>
      </w:tcPr>
    </w:tblStylePr>
    <w:tblStylePr w:type="lastRow">
      <w:rPr>
        <w:rFonts w:cs="Times New Roman"/>
        <w:b/>
        <w:bCs/>
        <w:color w:val="000000"/>
      </w:rPr>
      <w:tblPr/>
      <w:tcPr>
        <w:shd w:val="clear" w:color="auto" w:fill="FF7F7F"/>
      </w:tcPr>
    </w:tblStylePr>
    <w:tblStylePr w:type="firstCol">
      <w:rPr>
        <w:rFonts w:cs="Times New Roman"/>
        <w:color w:val="0072BC"/>
      </w:rPr>
      <w:tblPr/>
      <w:tcPr>
        <w:shd w:val="clear" w:color="auto" w:fill="8F0000"/>
      </w:tcPr>
    </w:tblStylePr>
    <w:tblStylePr w:type="lastCol">
      <w:rPr>
        <w:rFonts w:cs="Times New Roman"/>
        <w:color w:val="0072BC"/>
      </w:rPr>
      <w:tblPr/>
      <w:tcPr>
        <w:shd w:val="clear" w:color="auto" w:fill="8F0000"/>
      </w:tc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ColorfulGrid-Accent3">
    <w:name w:val="Colorful Grid Accent 3"/>
    <w:basedOn w:val="TableNormal"/>
    <w:uiPriority w:val="99"/>
    <w:semiHidden/>
    <w:rsid w:val="00171962"/>
    <w:rPr>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4">
    <w:name w:val="Colorful Grid Accent 4"/>
    <w:basedOn w:val="TableNormal"/>
    <w:uiPriority w:val="99"/>
    <w:semiHidden/>
    <w:rsid w:val="00171962"/>
    <w:rPr>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EAEAEA"/>
    </w:tcPr>
    <w:tblStylePr w:type="firstRow">
      <w:rPr>
        <w:rFonts w:cs="Times New Roman"/>
        <w:b/>
        <w:bCs/>
      </w:rPr>
      <w:tblPr/>
      <w:tcPr>
        <w:shd w:val="clear" w:color="auto" w:fill="D5D5D5"/>
      </w:tcPr>
    </w:tblStylePr>
    <w:tblStylePr w:type="lastRow">
      <w:rPr>
        <w:rFonts w:cs="Times New Roman"/>
        <w:b/>
        <w:bCs/>
        <w:color w:val="000000"/>
      </w:rPr>
      <w:tblPr/>
      <w:tcPr>
        <w:shd w:val="clear" w:color="auto" w:fill="D5D5D5"/>
      </w:tcPr>
    </w:tblStylePr>
    <w:tblStylePr w:type="firstCol">
      <w:rPr>
        <w:rFonts w:cs="Times New Roman"/>
        <w:color w:val="0072BC"/>
      </w:rPr>
      <w:tblPr/>
      <w:tcPr>
        <w:shd w:val="clear" w:color="auto" w:fill="707070"/>
      </w:tcPr>
    </w:tblStylePr>
    <w:tblStylePr w:type="lastCol">
      <w:rPr>
        <w:rFonts w:cs="Times New Roman"/>
        <w:color w:val="0072BC"/>
      </w:rPr>
      <w:tblPr/>
      <w:tcPr>
        <w:shd w:val="clear" w:color="auto" w:fill="707070"/>
      </w:tc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ColorfulGrid-Accent5">
    <w:name w:val="Colorful Grid Accent 5"/>
    <w:basedOn w:val="TableNormal"/>
    <w:uiPriority w:val="99"/>
    <w:semiHidden/>
    <w:rsid w:val="00171962"/>
    <w:rPr>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6">
    <w:name w:val="Colorful Grid Accent 6"/>
    <w:basedOn w:val="TableNormal"/>
    <w:uiPriority w:val="99"/>
    <w:semiHidden/>
    <w:rsid w:val="00171962"/>
    <w:rPr>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BDBDB"/>
    </w:tcPr>
    <w:tblStylePr w:type="firstRow">
      <w:rPr>
        <w:rFonts w:cs="Times New Roman"/>
        <w:b/>
        <w:bCs/>
      </w:rPr>
      <w:tblPr/>
      <w:tcPr>
        <w:shd w:val="clear" w:color="auto" w:fill="B7B7B7"/>
      </w:tcPr>
    </w:tblStylePr>
    <w:tblStylePr w:type="lastRow">
      <w:rPr>
        <w:rFonts w:cs="Times New Roman"/>
        <w:b/>
        <w:bCs/>
        <w:color w:val="000000"/>
      </w:rPr>
      <w:tblPr/>
      <w:tcPr>
        <w:shd w:val="clear" w:color="auto" w:fill="B7B7B7"/>
      </w:tcPr>
    </w:tblStylePr>
    <w:tblStylePr w:type="firstCol">
      <w:rPr>
        <w:rFonts w:cs="Times New Roman"/>
        <w:color w:val="0072BC"/>
      </w:rPr>
      <w:tblPr/>
      <w:tcPr>
        <w:shd w:val="clear" w:color="auto" w:fill="393939"/>
      </w:tcPr>
    </w:tblStylePr>
    <w:tblStylePr w:type="lastCol">
      <w:rPr>
        <w:rFonts w:cs="Times New Roman"/>
        <w:color w:val="0072BC"/>
      </w:rPr>
      <w:tblPr/>
      <w:tcPr>
        <w:shd w:val="clear" w:color="auto" w:fill="393939"/>
      </w:tc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ColorfulList">
    <w:name w:val="Colorful List"/>
    <w:basedOn w:val="TableNormal"/>
    <w:uiPriority w:val="99"/>
    <w:semiHidden/>
    <w:rsid w:val="00171962"/>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99"/>
    <w:semiHidden/>
    <w:rsid w:val="00171962"/>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DFF2F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AFDFFF"/>
      </w:tcPr>
    </w:tblStylePr>
    <w:tblStylePr w:type="band1Horz">
      <w:rPr>
        <w:rFonts w:cs="Times New Roman"/>
      </w:rPr>
      <w:tblPr/>
      <w:tcPr>
        <w:shd w:val="clear" w:color="auto" w:fill="BEE5FF"/>
      </w:tcPr>
    </w:tblStylePr>
  </w:style>
  <w:style w:type="table" w:styleId="ColorfulList-Accent2">
    <w:name w:val="Colorful List Accent 2"/>
    <w:basedOn w:val="TableNormal"/>
    <w:uiPriority w:val="99"/>
    <w:semiHidden/>
    <w:rsid w:val="00171962"/>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FDFD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B0B0"/>
      </w:tcPr>
    </w:tblStylePr>
    <w:tblStylePr w:type="band1Horz">
      <w:rPr>
        <w:rFonts w:cs="Times New Roman"/>
      </w:rPr>
      <w:tblPr/>
      <w:tcPr>
        <w:shd w:val="clear" w:color="auto" w:fill="FFBFBF"/>
      </w:tcPr>
    </w:tblStylePr>
  </w:style>
  <w:style w:type="table" w:styleId="ColorfulList-Accent3">
    <w:name w:val="Colorful List Accent 3"/>
    <w:basedOn w:val="TableNormal"/>
    <w:uiPriority w:val="99"/>
    <w:semiHidden/>
    <w:rsid w:val="00171962"/>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FEFEF"/>
    </w:tcPr>
    <w:tblStylePr w:type="firstRow">
      <w:rPr>
        <w:rFonts w:cs="Times New Roman"/>
        <w:b/>
        <w:bCs/>
        <w:color w:val="0072BC"/>
      </w:rPr>
      <w:tblPr/>
      <w:tcPr>
        <w:tcBorders>
          <w:bottom w:val="single" w:sz="12" w:space="0" w:color="0072BC"/>
        </w:tcBorders>
        <w:shd w:val="clear" w:color="auto" w:fill="787878"/>
      </w:tcPr>
    </w:tblStylePr>
    <w:tblStylePr w:type="lastRow">
      <w:rPr>
        <w:rFonts w:cs="Times New Roman"/>
        <w:b/>
        <w:bCs/>
        <w:color w:val="787878"/>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4">
    <w:name w:val="Colorful List Accent 4"/>
    <w:basedOn w:val="TableNormal"/>
    <w:uiPriority w:val="99"/>
    <w:semiHidden/>
    <w:rsid w:val="00171962"/>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4F4F4"/>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5E5E5"/>
      </w:tcPr>
    </w:tblStylePr>
    <w:tblStylePr w:type="band1Horz">
      <w:rPr>
        <w:rFonts w:cs="Times New Roman"/>
      </w:rPr>
      <w:tblPr/>
      <w:tcPr>
        <w:shd w:val="clear" w:color="auto" w:fill="EAEAEA"/>
      </w:tcPr>
    </w:tblStylePr>
  </w:style>
  <w:style w:type="table" w:styleId="ColorfulList-Accent5">
    <w:name w:val="Colorful List Accent 5"/>
    <w:basedOn w:val="TableNormal"/>
    <w:uiPriority w:val="99"/>
    <w:semiHidden/>
    <w:rsid w:val="00171962"/>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FEFEF"/>
    </w:tcPr>
    <w:tblStylePr w:type="firstRow">
      <w:rPr>
        <w:rFonts w:cs="Times New Roman"/>
        <w:b/>
        <w:bCs/>
        <w:color w:val="0072BC"/>
      </w:rPr>
      <w:tblPr/>
      <w:tcPr>
        <w:tcBorders>
          <w:bottom w:val="single" w:sz="12" w:space="0" w:color="0072BC"/>
        </w:tcBorders>
        <w:shd w:val="clear" w:color="auto" w:fill="3D3D3D"/>
      </w:tcPr>
    </w:tblStylePr>
    <w:tblStylePr w:type="lastRow">
      <w:rPr>
        <w:rFonts w:cs="Times New Roman"/>
        <w:b/>
        <w:bCs/>
        <w:color w:val="3D3D3D"/>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6">
    <w:name w:val="Colorful List Accent 6"/>
    <w:basedOn w:val="TableNormal"/>
    <w:uiPriority w:val="99"/>
    <w:semiHidden/>
    <w:rsid w:val="00171962"/>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EDED"/>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3D3"/>
      </w:tcPr>
    </w:tblStylePr>
    <w:tblStylePr w:type="band1Horz">
      <w:rPr>
        <w:rFonts w:cs="Times New Roman"/>
      </w:rPr>
      <w:tblPr/>
      <w:tcPr>
        <w:shd w:val="clear" w:color="auto" w:fill="DBDBDB"/>
      </w:tcPr>
    </w:tblStylePr>
  </w:style>
  <w:style w:type="table" w:styleId="ColorfulShading">
    <w:name w:val="Colorful Shading"/>
    <w:basedOn w:val="TableNormal"/>
    <w:uiPriority w:val="99"/>
    <w:semiHidden/>
    <w:rsid w:val="00171962"/>
    <w:rPr>
      <w:color w:val="000000"/>
      <w:sz w:val="20"/>
      <w:szCs w:val="20"/>
    </w:rPr>
    <w:tblPr>
      <w:tblStyleRowBandSize w:val="1"/>
      <w:tblStyleColBandSize w:val="1"/>
      <w:tblInd w:w="0" w:type="dxa"/>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0000"/>
      </w:tcPr>
    </w:tblStylePr>
    <w:tblStylePr w:type="firstCol">
      <w:rPr>
        <w:rFonts w:cs="Times New Roman"/>
        <w:color w:val="0072BC"/>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0072BC"/>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99"/>
    <w:semiHidden/>
    <w:rsid w:val="00171962"/>
    <w:rPr>
      <w:color w:val="000000"/>
      <w:sz w:val="20"/>
      <w:szCs w:val="20"/>
    </w:rPr>
    <w:tblPr>
      <w:tblStyleRowBandSize w:val="1"/>
      <w:tblStyleColBandSize w:val="1"/>
      <w:tblInd w:w="0" w:type="dxa"/>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CellMar>
        <w:top w:w="0" w:type="dxa"/>
        <w:left w:w="108" w:type="dxa"/>
        <w:bottom w:w="0" w:type="dxa"/>
        <w:right w:w="108" w:type="dxa"/>
      </w:tblCellMar>
    </w:tblPr>
    <w:tcPr>
      <w:shd w:val="clear" w:color="auto" w:fill="DFF2F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4470"/>
      </w:tcPr>
    </w:tblStylePr>
    <w:tblStylePr w:type="firstCol">
      <w:rPr>
        <w:rFonts w:cs="Times New Roman"/>
        <w:color w:val="0072BC"/>
      </w:rPr>
      <w:tblPr/>
      <w:tcPr>
        <w:tcBorders>
          <w:top w:val="nil"/>
          <w:left w:val="nil"/>
          <w:bottom w:val="nil"/>
          <w:right w:val="nil"/>
          <w:insideH w:val="single" w:sz="4" w:space="0" w:color="004470"/>
          <w:insideV w:val="nil"/>
        </w:tcBorders>
        <w:shd w:val="clear" w:color="auto" w:fill="004470"/>
      </w:tcPr>
    </w:tblStylePr>
    <w:tblStylePr w:type="lastCol">
      <w:rPr>
        <w:rFonts w:cs="Times New Roman"/>
        <w:color w:val="0072BC"/>
      </w:rPr>
      <w:tblPr/>
      <w:tcPr>
        <w:tcBorders>
          <w:top w:val="nil"/>
          <w:left w:val="nil"/>
          <w:bottom w:val="nil"/>
          <w:right w:val="nil"/>
          <w:insideH w:val="nil"/>
          <w:insideV w:val="nil"/>
        </w:tcBorders>
        <w:shd w:val="clear" w:color="auto" w:fill="004470"/>
      </w:tcPr>
    </w:tblStylePr>
    <w:tblStylePr w:type="band1Vert">
      <w:rPr>
        <w:rFonts w:cs="Times New Roman"/>
      </w:rPr>
      <w:tblPr/>
      <w:tcPr>
        <w:shd w:val="clear" w:color="auto" w:fill="7ECBFF"/>
      </w:tcPr>
    </w:tblStylePr>
    <w:tblStylePr w:type="band1Horz">
      <w:rPr>
        <w:rFonts w:cs="Times New Roman"/>
      </w:rPr>
      <w:tblPr/>
      <w:tcPr>
        <w:shd w:val="clear" w:color="auto" w:fill="5EBFFF"/>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semiHidden/>
    <w:rsid w:val="00171962"/>
    <w:rPr>
      <w:color w:val="000000"/>
      <w:sz w:val="20"/>
      <w:szCs w:val="20"/>
    </w:rPr>
    <w:tblPr>
      <w:tblStyleRowBandSize w:val="1"/>
      <w:tblStyleColBandSize w:val="1"/>
      <w:tblInd w:w="0" w:type="dxa"/>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CellMar>
        <w:top w:w="0" w:type="dxa"/>
        <w:left w:w="108" w:type="dxa"/>
        <w:bottom w:w="0" w:type="dxa"/>
        <w:right w:w="108" w:type="dxa"/>
      </w:tblCellMar>
    </w:tblPr>
    <w:tcPr>
      <w:shd w:val="clear" w:color="auto" w:fill="FFDFD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730000"/>
      </w:tcPr>
    </w:tblStylePr>
    <w:tblStylePr w:type="firstCol">
      <w:rPr>
        <w:rFonts w:cs="Times New Roman"/>
        <w:color w:val="0072BC"/>
      </w:rPr>
      <w:tblPr/>
      <w:tcPr>
        <w:tcBorders>
          <w:top w:val="nil"/>
          <w:left w:val="nil"/>
          <w:bottom w:val="nil"/>
          <w:right w:val="nil"/>
          <w:insideH w:val="single" w:sz="4" w:space="0" w:color="730000"/>
          <w:insideV w:val="nil"/>
        </w:tcBorders>
        <w:shd w:val="clear" w:color="auto" w:fill="730000"/>
      </w:tcPr>
    </w:tblStylePr>
    <w:tblStylePr w:type="lastCol">
      <w:rPr>
        <w:rFonts w:cs="Times New Roman"/>
        <w:color w:val="0072BC"/>
      </w:rPr>
      <w:tblPr/>
      <w:tcPr>
        <w:tcBorders>
          <w:top w:val="nil"/>
          <w:left w:val="nil"/>
          <w:bottom w:val="nil"/>
          <w:right w:val="nil"/>
          <w:insideH w:val="nil"/>
          <w:insideV w:val="nil"/>
        </w:tcBorders>
        <w:shd w:val="clear" w:color="auto" w:fill="730000"/>
      </w:tcPr>
    </w:tblStylePr>
    <w:tblStylePr w:type="band1Vert">
      <w:rPr>
        <w:rFonts w:cs="Times New Roman"/>
      </w:rPr>
      <w:tblPr/>
      <w:tcPr>
        <w:shd w:val="clear" w:color="auto" w:fill="FF7F7F"/>
      </w:tcPr>
    </w:tblStylePr>
    <w:tblStylePr w:type="band1Horz">
      <w:rPr>
        <w:rFonts w:cs="Times New Roman"/>
      </w:rPr>
      <w:tblPr/>
      <w:tcPr>
        <w:shd w:val="clear" w:color="auto" w:fill="FF6060"/>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semiHidden/>
    <w:rsid w:val="00171962"/>
    <w:rPr>
      <w:color w:val="000000"/>
      <w:sz w:val="20"/>
      <w:szCs w:val="20"/>
    </w:rPr>
    <w:tblPr>
      <w:tblStyleRowBandSize w:val="1"/>
      <w:tblStyleColBandSize w:val="1"/>
      <w:tblInd w:w="0" w:type="dxa"/>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CellMar>
        <w:top w:w="0" w:type="dxa"/>
        <w:left w:w="108" w:type="dxa"/>
        <w:bottom w:w="0" w:type="dxa"/>
        <w:right w:w="108" w:type="dxa"/>
      </w:tblCellMar>
    </w:tblPr>
    <w:tcPr>
      <w:shd w:val="clear" w:color="auto" w:fill="EFEFEF"/>
    </w:tcPr>
    <w:tblStylePr w:type="firstRow">
      <w:rPr>
        <w:rFonts w:cs="Times New Roman"/>
        <w:b/>
        <w:bCs/>
      </w:rPr>
      <w:tblPr/>
      <w:tcPr>
        <w:tcBorders>
          <w:top w:val="nil"/>
          <w:left w:val="nil"/>
          <w:bottom w:val="single" w:sz="24" w:space="0" w:color="969696"/>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style>
  <w:style w:type="table" w:styleId="ColorfulShading-Accent4">
    <w:name w:val="Colorful Shading Accent 4"/>
    <w:basedOn w:val="TableNormal"/>
    <w:uiPriority w:val="99"/>
    <w:semiHidden/>
    <w:rsid w:val="00171962"/>
    <w:rPr>
      <w:color w:val="000000"/>
      <w:sz w:val="20"/>
      <w:szCs w:val="20"/>
    </w:rPr>
    <w:tblPr>
      <w:tblStyleRowBandSize w:val="1"/>
      <w:tblStyleColBandSize w:val="1"/>
      <w:tblInd w:w="0" w:type="dxa"/>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CellMar>
        <w:top w:w="0" w:type="dxa"/>
        <w:left w:w="108" w:type="dxa"/>
        <w:bottom w:w="0" w:type="dxa"/>
        <w:right w:w="108" w:type="dxa"/>
      </w:tblCellMar>
    </w:tblPr>
    <w:tcPr>
      <w:shd w:val="clear" w:color="auto" w:fill="F4F4F4"/>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5A5A5A"/>
      </w:tcPr>
    </w:tblStylePr>
    <w:tblStylePr w:type="firstCol">
      <w:rPr>
        <w:rFonts w:cs="Times New Roman"/>
        <w:color w:val="0072BC"/>
      </w:rPr>
      <w:tblPr/>
      <w:tcPr>
        <w:tcBorders>
          <w:top w:val="nil"/>
          <w:left w:val="nil"/>
          <w:bottom w:val="nil"/>
          <w:right w:val="nil"/>
          <w:insideH w:val="single" w:sz="4" w:space="0" w:color="5A5A5A"/>
          <w:insideV w:val="nil"/>
        </w:tcBorders>
        <w:shd w:val="clear" w:color="auto" w:fill="5A5A5A"/>
      </w:tcPr>
    </w:tblStylePr>
    <w:tblStylePr w:type="lastCol">
      <w:rPr>
        <w:rFonts w:cs="Times New Roman"/>
        <w:color w:val="0072BC"/>
      </w:rPr>
      <w:tblPr/>
      <w:tcPr>
        <w:tcBorders>
          <w:top w:val="nil"/>
          <w:left w:val="nil"/>
          <w:bottom w:val="nil"/>
          <w:right w:val="nil"/>
          <w:insideH w:val="nil"/>
          <w:insideV w:val="nil"/>
        </w:tcBorders>
        <w:shd w:val="clear" w:color="auto" w:fill="5A5A5A"/>
      </w:tcPr>
    </w:tblStylePr>
    <w:tblStylePr w:type="band1Vert">
      <w:rPr>
        <w:rFonts w:cs="Times New Roman"/>
      </w:rPr>
      <w:tblPr/>
      <w:tcPr>
        <w:shd w:val="clear" w:color="auto" w:fill="D5D5D5"/>
      </w:tcPr>
    </w:tblStylePr>
    <w:tblStylePr w:type="band1Horz">
      <w:rPr>
        <w:rFonts w:cs="Times New Roman"/>
      </w:rPr>
      <w:tblPr/>
      <w:tcPr>
        <w:shd w:val="clear" w:color="auto" w:fill="CACACA"/>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semiHidden/>
    <w:rsid w:val="00171962"/>
    <w:rPr>
      <w:color w:val="000000"/>
      <w:sz w:val="20"/>
      <w:szCs w:val="20"/>
    </w:rPr>
    <w:tblPr>
      <w:tblStyleRowBandSize w:val="1"/>
      <w:tblStyleColBandSize w:val="1"/>
      <w:tblInd w:w="0" w:type="dxa"/>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CellMar>
        <w:top w:w="0" w:type="dxa"/>
        <w:left w:w="108" w:type="dxa"/>
        <w:bottom w:w="0" w:type="dxa"/>
        <w:right w:w="108" w:type="dxa"/>
      </w:tblCellMar>
    </w:tblPr>
    <w:tcPr>
      <w:shd w:val="clear" w:color="auto" w:fill="EFEFEF"/>
    </w:tcPr>
    <w:tblStylePr w:type="firstRow">
      <w:rPr>
        <w:rFonts w:cs="Times New Roman"/>
        <w:b/>
        <w:bCs/>
      </w:rPr>
      <w:tblPr/>
      <w:tcPr>
        <w:tcBorders>
          <w:top w:val="nil"/>
          <w:left w:val="nil"/>
          <w:bottom w:val="single" w:sz="24" w:space="0" w:color="4D4D4D"/>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semiHidden/>
    <w:rsid w:val="00171962"/>
    <w:rPr>
      <w:color w:val="000000"/>
      <w:sz w:val="20"/>
      <w:szCs w:val="20"/>
    </w:rPr>
    <w:tblPr>
      <w:tblStyleRowBandSize w:val="1"/>
      <w:tblStyleColBandSize w:val="1"/>
      <w:tblInd w:w="0" w:type="dxa"/>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CellMar>
        <w:top w:w="0" w:type="dxa"/>
        <w:left w:w="108" w:type="dxa"/>
        <w:bottom w:w="0" w:type="dxa"/>
        <w:right w:w="108" w:type="dxa"/>
      </w:tblCellMar>
    </w:tblPr>
    <w:tcPr>
      <w:shd w:val="clear" w:color="auto" w:fill="EDEDED"/>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2E2E2E"/>
      </w:tcPr>
    </w:tblStylePr>
    <w:tblStylePr w:type="firstCol">
      <w:rPr>
        <w:rFonts w:cs="Times New Roman"/>
        <w:color w:val="0072BC"/>
      </w:rPr>
      <w:tblPr/>
      <w:tcPr>
        <w:tcBorders>
          <w:top w:val="nil"/>
          <w:left w:val="nil"/>
          <w:bottom w:val="nil"/>
          <w:right w:val="nil"/>
          <w:insideH w:val="single" w:sz="4" w:space="0" w:color="2E2E2E"/>
          <w:insideV w:val="nil"/>
        </w:tcBorders>
        <w:shd w:val="clear" w:color="auto" w:fill="2E2E2E"/>
      </w:tcPr>
    </w:tblStylePr>
    <w:tblStylePr w:type="lastCol">
      <w:rPr>
        <w:rFonts w:cs="Times New Roman"/>
        <w:color w:val="0072BC"/>
      </w:rPr>
      <w:tblPr/>
      <w:tcPr>
        <w:tcBorders>
          <w:top w:val="nil"/>
          <w:left w:val="nil"/>
          <w:bottom w:val="nil"/>
          <w:right w:val="nil"/>
          <w:insideH w:val="nil"/>
          <w:insideV w:val="nil"/>
        </w:tcBorders>
        <w:shd w:val="clear" w:color="auto" w:fill="2E2E2E"/>
      </w:tcPr>
    </w:tblStylePr>
    <w:tblStylePr w:type="band1Vert">
      <w:rPr>
        <w:rFonts w:cs="Times New Roman"/>
      </w:rPr>
      <w:tblPr/>
      <w:tcPr>
        <w:shd w:val="clear" w:color="auto" w:fill="B7B7B7"/>
      </w:tcPr>
    </w:tblStylePr>
    <w:tblStylePr w:type="band1Horz">
      <w:rPr>
        <w:rFonts w:cs="Times New Roman"/>
      </w:rPr>
      <w:tblPr/>
      <w:tcPr>
        <w:shd w:val="clear" w:color="auto" w:fill="A6A6A6"/>
      </w:tcPr>
    </w:tblStylePr>
    <w:tblStylePr w:type="neCell">
      <w:rPr>
        <w:rFonts w:cs="Times New Roman"/>
        <w:color w:val="000000"/>
      </w:rPr>
    </w:tblStylePr>
    <w:tblStylePr w:type="nwCell">
      <w:rPr>
        <w:rFonts w:cs="Times New Roman"/>
        <w:color w:val="000000"/>
      </w:rPr>
    </w:tblStylePr>
  </w:style>
  <w:style w:type="table" w:styleId="DarkList">
    <w:name w:val="Dark List"/>
    <w:basedOn w:val="TableNormal"/>
    <w:uiPriority w:val="99"/>
    <w:semiHidden/>
    <w:rsid w:val="00171962"/>
    <w:rPr>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0072BC"/>
          <w:insideH w:val="nil"/>
          <w:insideV w:val="nil"/>
        </w:tcBorders>
        <w:shd w:val="clear" w:color="auto" w:fill="000000"/>
      </w:tcPr>
    </w:tblStylePr>
    <w:tblStylePr w:type="lastCol">
      <w:rPr>
        <w:rFonts w:cs="Times New Roman"/>
      </w:rPr>
      <w:tblPr/>
      <w:tcPr>
        <w:tcBorders>
          <w:top w:val="nil"/>
          <w:left w:val="single" w:sz="18" w:space="0" w:color="0072BC"/>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171962"/>
    <w:rPr>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0072BC"/>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385D"/>
      </w:tcPr>
    </w:tblStylePr>
    <w:tblStylePr w:type="firstCol">
      <w:rPr>
        <w:rFonts w:cs="Times New Roman"/>
      </w:rPr>
      <w:tblPr/>
      <w:tcPr>
        <w:tcBorders>
          <w:top w:val="nil"/>
          <w:left w:val="nil"/>
          <w:bottom w:val="nil"/>
          <w:right w:val="single" w:sz="18" w:space="0" w:color="0072BC"/>
          <w:insideH w:val="nil"/>
          <w:insideV w:val="nil"/>
        </w:tcBorders>
        <w:shd w:val="clear" w:color="auto" w:fill="00548C"/>
      </w:tcPr>
    </w:tblStylePr>
    <w:tblStylePr w:type="lastCol">
      <w:rPr>
        <w:rFonts w:cs="Times New Roman"/>
      </w:rPr>
      <w:tblPr/>
      <w:tcPr>
        <w:tcBorders>
          <w:top w:val="nil"/>
          <w:left w:val="single" w:sz="18" w:space="0" w:color="0072BC"/>
          <w:bottom w:val="nil"/>
          <w:right w:val="nil"/>
          <w:insideH w:val="nil"/>
          <w:insideV w:val="nil"/>
        </w:tcBorders>
        <w:shd w:val="clear" w:color="auto" w:fill="00548C"/>
      </w:tcPr>
    </w:tblStylePr>
    <w:tblStylePr w:type="band1Vert">
      <w:rPr>
        <w:rFonts w:cs="Times New Roman"/>
      </w:rPr>
      <w:tblPr/>
      <w:tcPr>
        <w:tcBorders>
          <w:top w:val="nil"/>
          <w:left w:val="nil"/>
          <w:bottom w:val="nil"/>
          <w:right w:val="nil"/>
          <w:insideH w:val="nil"/>
          <w:insideV w:val="nil"/>
        </w:tcBorders>
        <w:shd w:val="clear" w:color="auto" w:fill="00548C"/>
      </w:tcPr>
    </w:tblStylePr>
    <w:tblStylePr w:type="band1Horz">
      <w:rPr>
        <w:rFonts w:cs="Times New Roman"/>
      </w:rPr>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171962"/>
    <w:rPr>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C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5F0000"/>
      </w:tcPr>
    </w:tblStylePr>
    <w:tblStylePr w:type="firstCol">
      <w:rPr>
        <w:rFonts w:cs="Times New Roman"/>
      </w:rPr>
      <w:tblPr/>
      <w:tcPr>
        <w:tcBorders>
          <w:top w:val="nil"/>
          <w:left w:val="nil"/>
          <w:bottom w:val="nil"/>
          <w:right w:val="single" w:sz="18" w:space="0" w:color="0072BC"/>
          <w:insideH w:val="nil"/>
          <w:insideV w:val="nil"/>
        </w:tcBorders>
        <w:shd w:val="clear" w:color="auto" w:fill="8F0000"/>
      </w:tcPr>
    </w:tblStylePr>
    <w:tblStylePr w:type="lastCol">
      <w:rPr>
        <w:rFonts w:cs="Times New Roman"/>
      </w:rPr>
      <w:tblPr/>
      <w:tcPr>
        <w:tcBorders>
          <w:top w:val="nil"/>
          <w:left w:val="single" w:sz="18" w:space="0" w:color="0072BC"/>
          <w:bottom w:val="nil"/>
          <w:right w:val="nil"/>
          <w:insideH w:val="nil"/>
          <w:insideV w:val="nil"/>
        </w:tcBorders>
        <w:shd w:val="clear" w:color="auto" w:fill="8F0000"/>
      </w:tcPr>
    </w:tblStylePr>
    <w:tblStylePr w:type="band1Vert">
      <w:rPr>
        <w:rFonts w:cs="Times New Roman"/>
      </w:rPr>
      <w:tblPr/>
      <w:tcPr>
        <w:tcBorders>
          <w:top w:val="nil"/>
          <w:left w:val="nil"/>
          <w:bottom w:val="nil"/>
          <w:right w:val="nil"/>
          <w:insideH w:val="nil"/>
          <w:insideV w:val="nil"/>
        </w:tcBorders>
        <w:shd w:val="clear" w:color="auto" w:fill="8F0000"/>
      </w:tcPr>
    </w:tblStylePr>
    <w:tblStylePr w:type="band1Horz">
      <w:rPr>
        <w:rFonts w:cs="Times New Roman"/>
      </w:rPr>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171962"/>
    <w:rPr>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171962"/>
    <w:rPr>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969696"/>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4A4A4A"/>
      </w:tcPr>
    </w:tblStylePr>
    <w:tblStylePr w:type="firstCol">
      <w:rPr>
        <w:rFonts w:cs="Times New Roman"/>
      </w:rPr>
      <w:tblPr/>
      <w:tcPr>
        <w:tcBorders>
          <w:top w:val="nil"/>
          <w:left w:val="nil"/>
          <w:bottom w:val="nil"/>
          <w:right w:val="single" w:sz="18" w:space="0" w:color="0072BC"/>
          <w:insideH w:val="nil"/>
          <w:insideV w:val="nil"/>
        </w:tcBorders>
        <w:shd w:val="clear" w:color="auto" w:fill="707070"/>
      </w:tcPr>
    </w:tblStylePr>
    <w:tblStylePr w:type="lastCol">
      <w:rPr>
        <w:rFonts w:cs="Times New Roman"/>
      </w:rPr>
      <w:tblPr/>
      <w:tcPr>
        <w:tcBorders>
          <w:top w:val="nil"/>
          <w:left w:val="single" w:sz="18" w:space="0" w:color="0072BC"/>
          <w:bottom w:val="nil"/>
          <w:right w:val="nil"/>
          <w:insideH w:val="nil"/>
          <w:insideV w:val="nil"/>
        </w:tcBorders>
        <w:shd w:val="clear" w:color="auto" w:fill="707070"/>
      </w:tcPr>
    </w:tblStylePr>
    <w:tblStylePr w:type="band1Vert">
      <w:rPr>
        <w:rFonts w:cs="Times New Roman"/>
      </w:rPr>
      <w:tblPr/>
      <w:tcPr>
        <w:tcBorders>
          <w:top w:val="nil"/>
          <w:left w:val="nil"/>
          <w:bottom w:val="nil"/>
          <w:right w:val="nil"/>
          <w:insideH w:val="nil"/>
          <w:insideV w:val="nil"/>
        </w:tcBorders>
        <w:shd w:val="clear" w:color="auto" w:fill="707070"/>
      </w:tcPr>
    </w:tblStylePr>
    <w:tblStylePr w:type="band1Horz">
      <w:rPr>
        <w:rFonts w:cs="Times New Roman"/>
      </w:rPr>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171962"/>
    <w:rPr>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171962"/>
    <w:rPr>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4D4D4D"/>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62626"/>
      </w:tcPr>
    </w:tblStylePr>
    <w:tblStylePr w:type="firstCol">
      <w:rPr>
        <w:rFonts w:cs="Times New Roman"/>
      </w:rPr>
      <w:tblPr/>
      <w:tcPr>
        <w:tcBorders>
          <w:top w:val="nil"/>
          <w:left w:val="nil"/>
          <w:bottom w:val="nil"/>
          <w:right w:val="single" w:sz="18" w:space="0" w:color="0072BC"/>
          <w:insideH w:val="nil"/>
          <w:insideV w:val="nil"/>
        </w:tcBorders>
        <w:shd w:val="clear" w:color="auto" w:fill="393939"/>
      </w:tcPr>
    </w:tblStylePr>
    <w:tblStylePr w:type="lastCol">
      <w:rPr>
        <w:rFonts w:cs="Times New Roman"/>
      </w:rPr>
      <w:tblPr/>
      <w:tcPr>
        <w:tcBorders>
          <w:top w:val="nil"/>
          <w:left w:val="single" w:sz="18" w:space="0" w:color="0072BC"/>
          <w:bottom w:val="nil"/>
          <w:right w:val="nil"/>
          <w:insideH w:val="nil"/>
          <w:insideV w:val="nil"/>
        </w:tcBorders>
        <w:shd w:val="clear" w:color="auto" w:fill="393939"/>
      </w:tcPr>
    </w:tblStylePr>
    <w:tblStylePr w:type="band1Vert">
      <w:rPr>
        <w:rFonts w:cs="Times New Roman"/>
      </w:rPr>
      <w:tblPr/>
      <w:tcPr>
        <w:tcBorders>
          <w:top w:val="nil"/>
          <w:left w:val="nil"/>
          <w:bottom w:val="nil"/>
          <w:right w:val="nil"/>
          <w:insideH w:val="nil"/>
          <w:insideV w:val="nil"/>
        </w:tcBorders>
        <w:shd w:val="clear" w:color="auto" w:fill="393939"/>
      </w:tcPr>
    </w:tblStylePr>
    <w:tblStylePr w:type="band1Horz">
      <w:rPr>
        <w:rFonts w:cs="Times New Roman"/>
      </w:rPr>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171962"/>
  </w:style>
  <w:style w:type="character" w:customStyle="1" w:styleId="DateChar">
    <w:name w:val="Date Char"/>
    <w:basedOn w:val="DefaultParagraphFont"/>
    <w:link w:val="Date"/>
    <w:uiPriority w:val="99"/>
    <w:locked/>
    <w:rsid w:val="00171962"/>
    <w:rPr>
      <w:rFonts w:cs="Times New Roman"/>
      <w:sz w:val="24"/>
      <w:lang w:val="en-GB"/>
    </w:rPr>
  </w:style>
  <w:style w:type="paragraph" w:styleId="E-mailSignature">
    <w:name w:val="E-mail Signature"/>
    <w:basedOn w:val="Normal"/>
    <w:link w:val="E-mailSignatureChar"/>
    <w:uiPriority w:val="99"/>
    <w:semiHidden/>
    <w:rsid w:val="00171962"/>
  </w:style>
  <w:style w:type="character" w:customStyle="1" w:styleId="E-mailSignatureChar">
    <w:name w:val="E-mail Signature Char"/>
    <w:basedOn w:val="DefaultParagraphFont"/>
    <w:link w:val="E-mailSignature"/>
    <w:uiPriority w:val="99"/>
    <w:locked/>
    <w:rsid w:val="00171962"/>
    <w:rPr>
      <w:rFonts w:cs="Times New Roman"/>
      <w:sz w:val="24"/>
      <w:lang w:val="en-GB"/>
    </w:rPr>
  </w:style>
  <w:style w:type="paragraph" w:styleId="EnvelopeAddress">
    <w:name w:val="envelope address"/>
    <w:basedOn w:val="Normal"/>
    <w:uiPriority w:val="99"/>
    <w:semiHidden/>
    <w:rsid w:val="00171962"/>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171962"/>
    <w:rPr>
      <w:rFonts w:eastAsia="MS Gothic"/>
      <w:sz w:val="20"/>
      <w:szCs w:val="20"/>
    </w:rPr>
  </w:style>
  <w:style w:type="character" w:styleId="HTMLAcronym">
    <w:name w:val="HTML Acronym"/>
    <w:basedOn w:val="DefaultParagraphFont"/>
    <w:uiPriority w:val="99"/>
    <w:semiHidden/>
    <w:rsid w:val="00171962"/>
    <w:rPr>
      <w:rFonts w:cs="Times New Roman"/>
    </w:rPr>
  </w:style>
  <w:style w:type="paragraph" w:styleId="HTMLAddress">
    <w:name w:val="HTML Address"/>
    <w:basedOn w:val="Normal"/>
    <w:link w:val="HTMLAddressChar"/>
    <w:uiPriority w:val="99"/>
    <w:semiHidden/>
    <w:rsid w:val="00171962"/>
    <w:rPr>
      <w:i/>
      <w:iCs/>
    </w:rPr>
  </w:style>
  <w:style w:type="character" w:customStyle="1" w:styleId="HTMLAddressChar">
    <w:name w:val="HTML Address Char"/>
    <w:basedOn w:val="DefaultParagraphFont"/>
    <w:link w:val="HTMLAddress"/>
    <w:uiPriority w:val="99"/>
    <w:locked/>
    <w:rsid w:val="00171962"/>
    <w:rPr>
      <w:rFonts w:cs="Times New Roman"/>
      <w:i/>
      <w:iCs/>
      <w:sz w:val="24"/>
      <w:lang w:val="en-GB"/>
    </w:rPr>
  </w:style>
  <w:style w:type="character" w:styleId="HTMLCite">
    <w:name w:val="HTML Cite"/>
    <w:basedOn w:val="DefaultParagraphFont"/>
    <w:uiPriority w:val="99"/>
    <w:semiHidden/>
    <w:rsid w:val="00171962"/>
    <w:rPr>
      <w:rFonts w:cs="Times New Roman"/>
      <w:i/>
      <w:iCs/>
    </w:rPr>
  </w:style>
  <w:style w:type="character" w:styleId="HTMLCode">
    <w:name w:val="HTML Code"/>
    <w:basedOn w:val="DefaultParagraphFont"/>
    <w:uiPriority w:val="99"/>
    <w:semiHidden/>
    <w:rsid w:val="00171962"/>
    <w:rPr>
      <w:rFonts w:ascii="Consolas" w:hAnsi="Consolas" w:cs="Consolas"/>
      <w:sz w:val="20"/>
      <w:szCs w:val="20"/>
    </w:rPr>
  </w:style>
  <w:style w:type="character" w:styleId="HTMLDefinition">
    <w:name w:val="HTML Definition"/>
    <w:basedOn w:val="DefaultParagraphFont"/>
    <w:uiPriority w:val="99"/>
    <w:semiHidden/>
    <w:rsid w:val="00171962"/>
    <w:rPr>
      <w:rFonts w:cs="Times New Roman"/>
      <w:i/>
      <w:iCs/>
    </w:rPr>
  </w:style>
  <w:style w:type="character" w:styleId="HTMLKeyboard">
    <w:name w:val="HTML Keyboard"/>
    <w:basedOn w:val="DefaultParagraphFont"/>
    <w:uiPriority w:val="99"/>
    <w:semiHidden/>
    <w:rsid w:val="00171962"/>
    <w:rPr>
      <w:rFonts w:ascii="Consolas" w:hAnsi="Consolas" w:cs="Consolas"/>
      <w:sz w:val="20"/>
      <w:szCs w:val="20"/>
    </w:rPr>
  </w:style>
  <w:style w:type="paragraph" w:styleId="HTMLPreformatted">
    <w:name w:val="HTML Preformatted"/>
    <w:basedOn w:val="Normal"/>
    <w:link w:val="HTMLPreformattedChar"/>
    <w:uiPriority w:val="99"/>
    <w:semiHidden/>
    <w:rsid w:val="00171962"/>
    <w:rPr>
      <w:rFonts w:ascii="Consolas" w:hAnsi="Consolas" w:cs="Consolas"/>
      <w:sz w:val="20"/>
      <w:szCs w:val="20"/>
    </w:rPr>
  </w:style>
  <w:style w:type="character" w:customStyle="1" w:styleId="HTMLPreformattedChar">
    <w:name w:val="HTML Preformatted Char"/>
    <w:basedOn w:val="DefaultParagraphFont"/>
    <w:link w:val="HTMLPreformatted"/>
    <w:uiPriority w:val="99"/>
    <w:locked/>
    <w:rsid w:val="00171962"/>
    <w:rPr>
      <w:rFonts w:ascii="Consolas" w:hAnsi="Consolas" w:cs="Consolas"/>
      <w:sz w:val="20"/>
      <w:szCs w:val="20"/>
      <w:lang w:val="en-GB"/>
    </w:rPr>
  </w:style>
  <w:style w:type="character" w:styleId="HTMLSample">
    <w:name w:val="HTML Sample"/>
    <w:basedOn w:val="DefaultParagraphFont"/>
    <w:uiPriority w:val="99"/>
    <w:semiHidden/>
    <w:rsid w:val="00171962"/>
    <w:rPr>
      <w:rFonts w:ascii="Consolas" w:hAnsi="Consolas" w:cs="Consolas"/>
      <w:sz w:val="24"/>
      <w:szCs w:val="24"/>
    </w:rPr>
  </w:style>
  <w:style w:type="character" w:styleId="HTMLTypewriter">
    <w:name w:val="HTML Typewriter"/>
    <w:basedOn w:val="DefaultParagraphFont"/>
    <w:uiPriority w:val="99"/>
    <w:semiHidden/>
    <w:rsid w:val="00171962"/>
    <w:rPr>
      <w:rFonts w:ascii="Consolas" w:hAnsi="Consolas" w:cs="Consolas"/>
      <w:sz w:val="20"/>
      <w:szCs w:val="20"/>
    </w:rPr>
  </w:style>
  <w:style w:type="character" w:styleId="HTMLVariable">
    <w:name w:val="HTML Variable"/>
    <w:basedOn w:val="DefaultParagraphFont"/>
    <w:uiPriority w:val="99"/>
    <w:semiHidden/>
    <w:rsid w:val="00171962"/>
    <w:rPr>
      <w:rFonts w:cs="Times New Roman"/>
      <w:i/>
      <w:iCs/>
    </w:rPr>
  </w:style>
  <w:style w:type="paragraph" w:styleId="Index1">
    <w:name w:val="index 1"/>
    <w:basedOn w:val="Normal"/>
    <w:next w:val="Normal"/>
    <w:autoRedefine/>
    <w:uiPriority w:val="99"/>
    <w:semiHidden/>
    <w:rsid w:val="00171962"/>
    <w:pPr>
      <w:ind w:left="240" w:hanging="240"/>
    </w:pPr>
  </w:style>
  <w:style w:type="paragraph" w:styleId="Index2">
    <w:name w:val="index 2"/>
    <w:basedOn w:val="Normal"/>
    <w:next w:val="Normal"/>
    <w:autoRedefine/>
    <w:uiPriority w:val="99"/>
    <w:semiHidden/>
    <w:rsid w:val="00171962"/>
    <w:pPr>
      <w:ind w:left="480" w:hanging="240"/>
    </w:pPr>
  </w:style>
  <w:style w:type="paragraph" w:styleId="Index3">
    <w:name w:val="index 3"/>
    <w:basedOn w:val="Normal"/>
    <w:next w:val="Normal"/>
    <w:autoRedefine/>
    <w:uiPriority w:val="99"/>
    <w:semiHidden/>
    <w:rsid w:val="00171962"/>
    <w:pPr>
      <w:ind w:left="720" w:hanging="240"/>
    </w:pPr>
  </w:style>
  <w:style w:type="paragraph" w:styleId="Index4">
    <w:name w:val="index 4"/>
    <w:basedOn w:val="Normal"/>
    <w:next w:val="Normal"/>
    <w:autoRedefine/>
    <w:uiPriority w:val="99"/>
    <w:semiHidden/>
    <w:rsid w:val="00171962"/>
    <w:pPr>
      <w:ind w:left="960" w:hanging="240"/>
    </w:pPr>
  </w:style>
  <w:style w:type="paragraph" w:styleId="Index5">
    <w:name w:val="index 5"/>
    <w:basedOn w:val="Normal"/>
    <w:next w:val="Normal"/>
    <w:autoRedefine/>
    <w:uiPriority w:val="99"/>
    <w:semiHidden/>
    <w:rsid w:val="00171962"/>
    <w:pPr>
      <w:ind w:left="1200" w:hanging="240"/>
    </w:pPr>
  </w:style>
  <w:style w:type="paragraph" w:styleId="Index6">
    <w:name w:val="index 6"/>
    <w:basedOn w:val="Normal"/>
    <w:next w:val="Normal"/>
    <w:autoRedefine/>
    <w:uiPriority w:val="99"/>
    <w:semiHidden/>
    <w:rsid w:val="00171962"/>
    <w:pPr>
      <w:ind w:left="1440" w:hanging="240"/>
    </w:pPr>
  </w:style>
  <w:style w:type="paragraph" w:styleId="Index7">
    <w:name w:val="index 7"/>
    <w:basedOn w:val="Normal"/>
    <w:next w:val="Normal"/>
    <w:autoRedefine/>
    <w:uiPriority w:val="99"/>
    <w:semiHidden/>
    <w:rsid w:val="00171962"/>
    <w:pPr>
      <w:ind w:left="1680" w:hanging="240"/>
    </w:pPr>
  </w:style>
  <w:style w:type="paragraph" w:styleId="Index8">
    <w:name w:val="index 8"/>
    <w:basedOn w:val="Normal"/>
    <w:next w:val="Normal"/>
    <w:autoRedefine/>
    <w:uiPriority w:val="99"/>
    <w:semiHidden/>
    <w:rsid w:val="00171962"/>
    <w:pPr>
      <w:ind w:left="1920" w:hanging="240"/>
    </w:pPr>
  </w:style>
  <w:style w:type="paragraph" w:styleId="Index9">
    <w:name w:val="index 9"/>
    <w:basedOn w:val="Normal"/>
    <w:next w:val="Normal"/>
    <w:autoRedefine/>
    <w:uiPriority w:val="99"/>
    <w:semiHidden/>
    <w:rsid w:val="00171962"/>
    <w:pPr>
      <w:ind w:left="2160" w:hanging="240"/>
    </w:pPr>
  </w:style>
  <w:style w:type="paragraph" w:styleId="IndexHeading">
    <w:name w:val="index heading"/>
    <w:basedOn w:val="Normal"/>
    <w:next w:val="Index1"/>
    <w:uiPriority w:val="99"/>
    <w:semiHidden/>
    <w:rsid w:val="00171962"/>
    <w:rPr>
      <w:rFonts w:eastAsia="MS Gothic"/>
      <w:b/>
      <w:bCs/>
    </w:rPr>
  </w:style>
  <w:style w:type="table" w:styleId="LightGrid">
    <w:name w:val="Light Grid"/>
    <w:basedOn w:val="TableNormal"/>
    <w:uiPriority w:val="99"/>
    <w:semiHidden/>
    <w:rsid w:val="00171962"/>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171962"/>
    <w:rPr>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CellMar>
        <w:top w:w="0" w:type="dxa"/>
        <w:left w:w="108" w:type="dxa"/>
        <w:bottom w:w="0" w:type="dxa"/>
        <w:right w:w="108" w:type="dxa"/>
      </w:tblCellMar>
    </w:tblPr>
    <w:tblStylePr w:type="firstRow">
      <w:pPr>
        <w:spacing w:before="0" w:after="0"/>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171962"/>
    <w:rPr>
      <w:sz w:val="20"/>
      <w:szCs w:val="20"/>
    </w:rPr>
    <w:tblPr>
      <w:tblStyleRowBandSize w:val="1"/>
      <w:tblStyleColBandSize w:val="1"/>
      <w:tblInd w:w="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0" w:type="dxa"/>
        <w:left w:w="108" w:type="dxa"/>
        <w:bottom w:w="0" w:type="dxa"/>
        <w:right w:w="108" w:type="dxa"/>
      </w:tblCellMar>
    </w:tblPr>
    <w:tblStylePr w:type="firstRow">
      <w:pPr>
        <w:spacing w:before="0" w:after="0"/>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171962"/>
    <w:rPr>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blStylePr w:type="firstRow">
      <w:pPr>
        <w:spacing w:before="0" w:after="0"/>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171962"/>
    <w:rPr>
      <w:sz w:val="20"/>
      <w:szCs w:val="20"/>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blStylePr w:type="firstRow">
      <w:pPr>
        <w:spacing w:before="0" w:after="0"/>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171962"/>
    <w:rPr>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blStylePr w:type="firstRow">
      <w:pPr>
        <w:spacing w:before="0" w:after="0"/>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171962"/>
    <w:rPr>
      <w:sz w:val="20"/>
      <w:szCs w:val="20"/>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blStylePr w:type="firstRow">
      <w:pPr>
        <w:spacing w:before="0" w:after="0"/>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171962"/>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0072BC"/>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171962"/>
    <w:rPr>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tblBorders>
      <w:tblCellMar>
        <w:top w:w="0" w:type="dxa"/>
        <w:left w:w="108" w:type="dxa"/>
        <w:bottom w:w="0" w:type="dxa"/>
        <w:right w:w="108" w:type="dxa"/>
      </w:tblCellMar>
    </w:tblPr>
    <w:tblStylePr w:type="firstRow">
      <w:pPr>
        <w:spacing w:before="0" w:after="0"/>
      </w:pPr>
      <w:rPr>
        <w:rFonts w:cs="Times New Roman"/>
        <w:b/>
        <w:bCs/>
        <w:color w:val="0072BC"/>
      </w:rPr>
      <w:tblPr/>
      <w:tcPr>
        <w:shd w:val="clear" w:color="auto" w:fill="0072BC"/>
      </w:tcPr>
    </w:tblStylePr>
    <w:tblStylePr w:type="lastRow">
      <w:pPr>
        <w:spacing w:before="0" w:after="0"/>
      </w:pPr>
      <w:rPr>
        <w:rFonts w:cs="Times New Roman"/>
        <w:b/>
        <w:bCs/>
      </w:rPr>
      <w:tblPr/>
      <w:tcPr>
        <w:tcBorders>
          <w:top w:val="double" w:sz="6" w:space="0" w:color="0072BC"/>
          <w:left w:val="single" w:sz="8" w:space="0" w:color="0072BC"/>
          <w:bottom w:val="single" w:sz="8" w:space="0" w:color="0072BC"/>
          <w:right w:val="single" w:sz="8" w:space="0" w:color="0072B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171962"/>
    <w:rPr>
      <w:sz w:val="20"/>
      <w:szCs w:val="20"/>
    </w:rPr>
    <w:tblPr>
      <w:tblStyleRowBandSize w:val="1"/>
      <w:tblStyleColBandSize w:val="1"/>
      <w:tblInd w:w="0" w:type="dxa"/>
      <w:tblBorders>
        <w:top w:val="single" w:sz="8" w:space="0" w:color="C00000"/>
        <w:left w:val="single" w:sz="8" w:space="0" w:color="C00000"/>
        <w:bottom w:val="single" w:sz="8" w:space="0" w:color="C00000"/>
        <w:right w:val="single" w:sz="8" w:space="0" w:color="C00000"/>
      </w:tblBorders>
      <w:tblCellMar>
        <w:top w:w="0" w:type="dxa"/>
        <w:left w:w="108" w:type="dxa"/>
        <w:bottom w:w="0" w:type="dxa"/>
        <w:right w:w="108" w:type="dxa"/>
      </w:tblCellMar>
    </w:tblPr>
    <w:tblStylePr w:type="firstRow">
      <w:pPr>
        <w:spacing w:before="0" w:after="0"/>
      </w:pPr>
      <w:rPr>
        <w:rFonts w:cs="Times New Roman"/>
        <w:b/>
        <w:bCs/>
        <w:color w:val="0072BC"/>
      </w:rPr>
      <w:tblPr/>
      <w:tcPr>
        <w:shd w:val="clear" w:color="auto" w:fill="C00000"/>
      </w:tcPr>
    </w:tblStylePr>
    <w:tblStylePr w:type="lastRow">
      <w:pPr>
        <w:spacing w:before="0" w:after="0"/>
      </w:pPr>
      <w:rPr>
        <w:rFonts w:cs="Times New Roman"/>
        <w:b/>
        <w:bCs/>
      </w:rPr>
      <w:tblPr/>
      <w:tcPr>
        <w:tcBorders>
          <w:top w:val="double" w:sz="6" w:space="0" w:color="C00000"/>
          <w:left w:val="single" w:sz="8" w:space="0" w:color="C00000"/>
          <w:bottom w:val="single" w:sz="8" w:space="0" w:color="C00000"/>
          <w:right w:val="single" w:sz="8" w:space="0" w:color="C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171962"/>
    <w:rPr>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171962"/>
    <w:rPr>
      <w:sz w:val="20"/>
      <w:szCs w:val="20"/>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tblStylePr w:type="firstRow">
      <w:pPr>
        <w:spacing w:before="0" w:after="0"/>
      </w:pPr>
      <w:rPr>
        <w:rFonts w:cs="Times New Roman"/>
        <w:b/>
        <w:bCs/>
        <w:color w:val="0072BC"/>
      </w:rPr>
      <w:tblPr/>
      <w:tcPr>
        <w:shd w:val="clear" w:color="auto" w:fill="969696"/>
      </w:tcPr>
    </w:tblStylePr>
    <w:tblStylePr w:type="lastRow">
      <w:pPr>
        <w:spacing w:before="0" w:after="0"/>
      </w:pPr>
      <w:rPr>
        <w:rFonts w:cs="Times New Roman"/>
        <w:b/>
        <w:bCs/>
      </w:rPr>
      <w:tblPr/>
      <w:tcPr>
        <w:tcBorders>
          <w:top w:val="double" w:sz="6" w:space="0" w:color="969696"/>
          <w:left w:val="single" w:sz="8" w:space="0" w:color="969696"/>
          <w:bottom w:val="single" w:sz="8" w:space="0" w:color="969696"/>
          <w:right w:val="single" w:sz="8" w:space="0" w:color="96969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171962"/>
    <w:rPr>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171962"/>
    <w:rPr>
      <w:sz w:val="20"/>
      <w:szCs w:val="20"/>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tblStylePr w:type="firstRow">
      <w:pPr>
        <w:spacing w:before="0" w:after="0"/>
      </w:pPr>
      <w:rPr>
        <w:rFonts w:cs="Times New Roman"/>
        <w:b/>
        <w:bCs/>
        <w:color w:val="0072BC"/>
      </w:rPr>
      <w:tblPr/>
      <w:tcPr>
        <w:shd w:val="clear" w:color="auto" w:fill="4D4D4D"/>
      </w:tcPr>
    </w:tblStylePr>
    <w:tblStylePr w:type="lastRow">
      <w:pPr>
        <w:spacing w:before="0" w:after="0"/>
      </w:pPr>
      <w:rPr>
        <w:rFonts w:cs="Times New Roman"/>
        <w:b/>
        <w:bCs/>
      </w:rPr>
      <w:tblPr/>
      <w:tcPr>
        <w:tcBorders>
          <w:top w:val="double" w:sz="6" w:space="0" w:color="4D4D4D"/>
          <w:left w:val="single" w:sz="8" w:space="0" w:color="4D4D4D"/>
          <w:bottom w:val="single" w:sz="8" w:space="0" w:color="4D4D4D"/>
          <w:right w:val="single" w:sz="8" w:space="0" w:color="4D4D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171962"/>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171962"/>
    <w:rPr>
      <w:color w:val="00548C"/>
      <w:sz w:val="20"/>
      <w:szCs w:val="20"/>
    </w:rPr>
    <w:tblPr>
      <w:tblStyleRowBandSize w:val="1"/>
      <w:tblStyleColBandSize w:val="1"/>
      <w:tblInd w:w="0" w:type="dxa"/>
      <w:tblBorders>
        <w:top w:val="single" w:sz="8" w:space="0" w:color="0072BC"/>
        <w:bottom w:val="single" w:sz="8" w:space="0" w:color="0072BC"/>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la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171962"/>
    <w:rPr>
      <w:color w:val="8F0000"/>
      <w:sz w:val="20"/>
      <w:szCs w:val="20"/>
    </w:rPr>
    <w:tblPr>
      <w:tblStyleRowBandSize w:val="1"/>
      <w:tblStyleColBandSize w:val="1"/>
      <w:tblInd w:w="0" w:type="dxa"/>
      <w:tblBorders>
        <w:top w:val="single" w:sz="8" w:space="0" w:color="C00000"/>
        <w:bottom w:val="single" w:sz="8" w:space="0" w:color="C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la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171962"/>
    <w:rPr>
      <w:color w:val="474747"/>
      <w:sz w:val="20"/>
      <w:szCs w:val="20"/>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171962"/>
    <w:rPr>
      <w:color w:val="707070"/>
      <w:sz w:val="20"/>
      <w:szCs w:val="20"/>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la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171962"/>
    <w:rPr>
      <w:color w:val="474747"/>
      <w:sz w:val="20"/>
      <w:szCs w:val="20"/>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171962"/>
    <w:rPr>
      <w:color w:val="393939"/>
      <w:sz w:val="20"/>
      <w:szCs w:val="20"/>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la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171962"/>
    <w:rPr>
      <w:rFonts w:cs="Times New Roman"/>
    </w:rPr>
  </w:style>
  <w:style w:type="paragraph" w:styleId="List">
    <w:name w:val="List"/>
    <w:basedOn w:val="Normal"/>
    <w:uiPriority w:val="99"/>
    <w:semiHidden/>
    <w:rsid w:val="00171962"/>
    <w:pPr>
      <w:ind w:left="283" w:hanging="283"/>
      <w:contextualSpacing/>
    </w:pPr>
  </w:style>
  <w:style w:type="paragraph" w:styleId="List2">
    <w:name w:val="List 2"/>
    <w:basedOn w:val="Normal"/>
    <w:uiPriority w:val="99"/>
    <w:semiHidden/>
    <w:rsid w:val="00171962"/>
    <w:pPr>
      <w:ind w:left="566" w:hanging="283"/>
      <w:contextualSpacing/>
    </w:pPr>
  </w:style>
  <w:style w:type="paragraph" w:styleId="List3">
    <w:name w:val="List 3"/>
    <w:basedOn w:val="Normal"/>
    <w:uiPriority w:val="99"/>
    <w:semiHidden/>
    <w:rsid w:val="00171962"/>
    <w:pPr>
      <w:ind w:left="849" w:hanging="283"/>
      <w:contextualSpacing/>
    </w:pPr>
  </w:style>
  <w:style w:type="paragraph" w:styleId="List4">
    <w:name w:val="List 4"/>
    <w:basedOn w:val="Normal"/>
    <w:uiPriority w:val="99"/>
    <w:semiHidden/>
    <w:rsid w:val="00171962"/>
    <w:pPr>
      <w:ind w:left="1132" w:hanging="283"/>
      <w:contextualSpacing/>
    </w:pPr>
  </w:style>
  <w:style w:type="paragraph" w:styleId="List5">
    <w:name w:val="List 5"/>
    <w:basedOn w:val="Normal"/>
    <w:uiPriority w:val="99"/>
    <w:semiHidden/>
    <w:rsid w:val="00171962"/>
    <w:pPr>
      <w:ind w:left="1415" w:hanging="283"/>
      <w:contextualSpacing/>
    </w:pPr>
  </w:style>
  <w:style w:type="paragraph" w:styleId="ListBullet2">
    <w:name w:val="List Bullet 2"/>
    <w:basedOn w:val="Normal"/>
    <w:uiPriority w:val="99"/>
    <w:semiHidden/>
    <w:rsid w:val="00171962"/>
    <w:pPr>
      <w:numPr>
        <w:numId w:val="15"/>
      </w:numPr>
      <w:tabs>
        <w:tab w:val="clear" w:pos="1492"/>
        <w:tab w:val="num" w:pos="643"/>
      </w:tabs>
      <w:ind w:left="643"/>
      <w:contextualSpacing/>
    </w:pPr>
  </w:style>
  <w:style w:type="paragraph" w:styleId="ListBullet3">
    <w:name w:val="List Bullet 3"/>
    <w:basedOn w:val="Normal"/>
    <w:uiPriority w:val="99"/>
    <w:semiHidden/>
    <w:rsid w:val="00171962"/>
    <w:pPr>
      <w:numPr>
        <w:numId w:val="16"/>
      </w:numPr>
      <w:tabs>
        <w:tab w:val="clear" w:pos="360"/>
        <w:tab w:val="num" w:pos="926"/>
      </w:tabs>
      <w:ind w:left="926"/>
      <w:contextualSpacing/>
    </w:pPr>
  </w:style>
  <w:style w:type="paragraph" w:styleId="ListBullet4">
    <w:name w:val="List Bullet 4"/>
    <w:basedOn w:val="Normal"/>
    <w:uiPriority w:val="99"/>
    <w:semiHidden/>
    <w:rsid w:val="00171962"/>
    <w:pPr>
      <w:numPr>
        <w:numId w:val="17"/>
      </w:numPr>
      <w:tabs>
        <w:tab w:val="clear" w:pos="643"/>
        <w:tab w:val="num" w:pos="1209"/>
      </w:tabs>
      <w:ind w:left="1209"/>
      <w:contextualSpacing/>
    </w:pPr>
  </w:style>
  <w:style w:type="paragraph" w:styleId="ListBullet5">
    <w:name w:val="List Bullet 5"/>
    <w:basedOn w:val="Normal"/>
    <w:uiPriority w:val="99"/>
    <w:semiHidden/>
    <w:rsid w:val="00171962"/>
    <w:pPr>
      <w:numPr>
        <w:numId w:val="18"/>
      </w:numPr>
      <w:tabs>
        <w:tab w:val="clear" w:pos="926"/>
        <w:tab w:val="num" w:pos="1492"/>
      </w:tabs>
      <w:ind w:left="1492"/>
      <w:contextualSpacing/>
    </w:pPr>
  </w:style>
  <w:style w:type="paragraph" w:styleId="ListContinue">
    <w:name w:val="List Continue"/>
    <w:basedOn w:val="Normal"/>
    <w:uiPriority w:val="99"/>
    <w:semiHidden/>
    <w:rsid w:val="00171962"/>
    <w:pPr>
      <w:spacing w:after="120"/>
      <w:ind w:left="283"/>
      <w:contextualSpacing/>
    </w:pPr>
  </w:style>
  <w:style w:type="paragraph" w:styleId="ListContinue2">
    <w:name w:val="List Continue 2"/>
    <w:basedOn w:val="Normal"/>
    <w:uiPriority w:val="99"/>
    <w:semiHidden/>
    <w:rsid w:val="00171962"/>
    <w:pPr>
      <w:spacing w:after="120"/>
      <w:ind w:left="566"/>
      <w:contextualSpacing/>
    </w:pPr>
  </w:style>
  <w:style w:type="paragraph" w:styleId="ListContinue3">
    <w:name w:val="List Continue 3"/>
    <w:basedOn w:val="Normal"/>
    <w:uiPriority w:val="99"/>
    <w:semiHidden/>
    <w:rsid w:val="00171962"/>
    <w:pPr>
      <w:spacing w:after="120"/>
      <w:ind w:left="849"/>
      <w:contextualSpacing/>
    </w:pPr>
  </w:style>
  <w:style w:type="paragraph" w:styleId="ListContinue4">
    <w:name w:val="List Continue 4"/>
    <w:basedOn w:val="Normal"/>
    <w:uiPriority w:val="99"/>
    <w:semiHidden/>
    <w:rsid w:val="00171962"/>
    <w:pPr>
      <w:spacing w:after="120"/>
      <w:ind w:left="1132"/>
      <w:contextualSpacing/>
    </w:pPr>
  </w:style>
  <w:style w:type="paragraph" w:styleId="ListContinue5">
    <w:name w:val="List Continue 5"/>
    <w:basedOn w:val="Normal"/>
    <w:uiPriority w:val="99"/>
    <w:semiHidden/>
    <w:rsid w:val="00171962"/>
    <w:pPr>
      <w:spacing w:after="120"/>
      <w:ind w:left="1415"/>
      <w:contextualSpacing/>
    </w:pPr>
  </w:style>
  <w:style w:type="paragraph" w:styleId="ListNumber">
    <w:name w:val="List Number"/>
    <w:basedOn w:val="Normal"/>
    <w:uiPriority w:val="99"/>
    <w:semiHidden/>
    <w:rsid w:val="00171962"/>
    <w:pPr>
      <w:numPr>
        <w:numId w:val="19"/>
      </w:numPr>
      <w:tabs>
        <w:tab w:val="clear" w:pos="1209"/>
        <w:tab w:val="num" w:pos="360"/>
      </w:tabs>
      <w:ind w:left="360"/>
      <w:contextualSpacing/>
    </w:pPr>
  </w:style>
  <w:style w:type="paragraph" w:styleId="ListNumber2">
    <w:name w:val="List Number 2"/>
    <w:basedOn w:val="Normal"/>
    <w:uiPriority w:val="99"/>
    <w:semiHidden/>
    <w:rsid w:val="00171962"/>
    <w:pPr>
      <w:numPr>
        <w:numId w:val="20"/>
      </w:numPr>
      <w:tabs>
        <w:tab w:val="clear" w:pos="1492"/>
        <w:tab w:val="num" w:pos="643"/>
      </w:tabs>
      <w:ind w:left="643"/>
      <w:contextualSpacing/>
    </w:pPr>
  </w:style>
  <w:style w:type="paragraph" w:styleId="ListNumber3">
    <w:name w:val="List Number 3"/>
    <w:basedOn w:val="Normal"/>
    <w:uiPriority w:val="99"/>
    <w:semiHidden/>
    <w:rsid w:val="00171962"/>
    <w:pPr>
      <w:numPr>
        <w:numId w:val="21"/>
      </w:numPr>
      <w:tabs>
        <w:tab w:val="clear" w:pos="851"/>
        <w:tab w:val="num" w:pos="926"/>
      </w:tabs>
      <w:ind w:left="926" w:hanging="360"/>
      <w:contextualSpacing/>
    </w:pPr>
  </w:style>
  <w:style w:type="paragraph" w:styleId="ListNumber4">
    <w:name w:val="List Number 4"/>
    <w:basedOn w:val="Normal"/>
    <w:uiPriority w:val="99"/>
    <w:semiHidden/>
    <w:rsid w:val="00171962"/>
    <w:pPr>
      <w:numPr>
        <w:numId w:val="22"/>
      </w:numPr>
      <w:tabs>
        <w:tab w:val="num" w:pos="1209"/>
      </w:tabs>
      <w:ind w:left="1209"/>
      <w:contextualSpacing/>
    </w:pPr>
  </w:style>
  <w:style w:type="paragraph" w:styleId="ListNumber5">
    <w:name w:val="List Number 5"/>
    <w:basedOn w:val="Normal"/>
    <w:uiPriority w:val="99"/>
    <w:semiHidden/>
    <w:rsid w:val="00171962"/>
    <w:pPr>
      <w:numPr>
        <w:numId w:val="23"/>
      </w:numPr>
      <w:tabs>
        <w:tab w:val="num" w:pos="1492"/>
      </w:tabs>
      <w:ind w:left="1492"/>
      <w:contextualSpacing/>
    </w:pPr>
  </w:style>
  <w:style w:type="paragraph" w:styleId="MacroText">
    <w:name w:val="macro"/>
    <w:link w:val="MacroTextChar"/>
    <w:uiPriority w:val="99"/>
    <w:semiHidden/>
    <w:rsid w:val="0017196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locked/>
    <w:rsid w:val="00171962"/>
    <w:rPr>
      <w:rFonts w:ascii="Consolas" w:hAnsi="Consolas" w:cs="Consolas"/>
      <w:lang w:val="en-GB" w:eastAsia="fr-FR" w:bidi="ar-SA"/>
    </w:rPr>
  </w:style>
  <w:style w:type="table" w:styleId="MediumGrid1">
    <w:name w:val="Medium Grid 1"/>
    <w:basedOn w:val="TableNormal"/>
    <w:uiPriority w:val="99"/>
    <w:semiHidden/>
    <w:rsid w:val="00171962"/>
    <w:rPr>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99"/>
    <w:semiHidden/>
    <w:rsid w:val="00171962"/>
    <w:rPr>
      <w:sz w:val="20"/>
      <w:szCs w:val="20"/>
    </w:rPr>
    <w:tblPr>
      <w:tblStyleRowBandSize w:val="1"/>
      <w:tblStyleColBandSize w:val="1"/>
      <w:tblInd w:w="0" w:type="dxa"/>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CellMar>
        <w:top w:w="0" w:type="dxa"/>
        <w:left w:w="108" w:type="dxa"/>
        <w:bottom w:w="0" w:type="dxa"/>
        <w:right w:w="108" w:type="dxa"/>
      </w:tblCellMar>
    </w:tblPr>
    <w:tcPr>
      <w:shd w:val="clear" w:color="auto" w:fill="AFDFFF"/>
    </w:tcPr>
    <w:tblStylePr w:type="firstRow">
      <w:rPr>
        <w:rFonts w:cs="Times New Roman"/>
        <w:b/>
        <w:bCs/>
      </w:rPr>
    </w:tblStylePr>
    <w:tblStylePr w:type="lastRow">
      <w:rPr>
        <w:rFonts w:cs="Times New Roman"/>
        <w:b/>
        <w:bCs/>
      </w:rPr>
      <w:tblPr/>
      <w:tcPr>
        <w:tcBorders>
          <w:top w:val="single" w:sz="18" w:space="0" w:color="0D9F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MediumGrid1-Accent2">
    <w:name w:val="Medium Grid 1 Accent 2"/>
    <w:basedOn w:val="TableNormal"/>
    <w:uiPriority w:val="99"/>
    <w:semiHidden/>
    <w:rsid w:val="00171962"/>
    <w:rPr>
      <w:sz w:val="20"/>
      <w:szCs w:val="20"/>
    </w:rPr>
    <w:tblPr>
      <w:tblStyleRowBandSize w:val="1"/>
      <w:tblStyleColBandSize w:val="1"/>
      <w:tblInd w:w="0" w:type="dxa"/>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CellMar>
        <w:top w:w="0" w:type="dxa"/>
        <w:left w:w="108" w:type="dxa"/>
        <w:bottom w:w="0" w:type="dxa"/>
        <w:right w:w="108" w:type="dxa"/>
      </w:tblCellMar>
    </w:tblPr>
    <w:tcPr>
      <w:shd w:val="clear" w:color="auto" w:fill="FFB0B0"/>
    </w:tcPr>
    <w:tblStylePr w:type="firstRow">
      <w:rPr>
        <w:rFonts w:cs="Times New Roman"/>
        <w:b/>
        <w:bCs/>
      </w:rPr>
    </w:tblStylePr>
    <w:tblStylePr w:type="lastRow">
      <w:rPr>
        <w:rFonts w:cs="Times New Roman"/>
        <w:b/>
        <w:bCs/>
      </w:rPr>
      <w:tblPr/>
      <w:tcPr>
        <w:tcBorders>
          <w:top w:val="single" w:sz="18" w:space="0" w:color="FF101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MediumGrid1-Accent3">
    <w:name w:val="Medium Grid 1 Accent 3"/>
    <w:basedOn w:val="TableNormal"/>
    <w:uiPriority w:val="99"/>
    <w:semiHidden/>
    <w:rsid w:val="00171962"/>
    <w:rPr>
      <w:sz w:val="20"/>
      <w:szCs w:val="20"/>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4">
    <w:name w:val="Medium Grid 1 Accent 4"/>
    <w:basedOn w:val="TableNormal"/>
    <w:uiPriority w:val="99"/>
    <w:semiHidden/>
    <w:rsid w:val="00171962"/>
    <w:rPr>
      <w:sz w:val="20"/>
      <w:szCs w:val="20"/>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108" w:type="dxa"/>
        <w:bottom w:w="0" w:type="dxa"/>
        <w:right w:w="108" w:type="dxa"/>
      </w:tblCellMar>
    </w:tblPr>
    <w:tcPr>
      <w:shd w:val="clear" w:color="auto" w:fill="E5E5E5"/>
    </w:tcPr>
    <w:tblStylePr w:type="firstRow">
      <w:rPr>
        <w:rFonts w:cs="Times New Roman"/>
        <w:b/>
        <w:bCs/>
      </w:rPr>
    </w:tblStylePr>
    <w:tblStylePr w:type="lastRow">
      <w:rPr>
        <w:rFonts w:cs="Times New Roman"/>
        <w:b/>
        <w:bCs/>
      </w:rPr>
      <w:tblPr/>
      <w:tcPr>
        <w:tcBorders>
          <w:top w:val="single" w:sz="18" w:space="0" w:color="B0B0B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MediumGrid1-Accent5">
    <w:name w:val="Medium Grid 1 Accent 5"/>
    <w:basedOn w:val="TableNormal"/>
    <w:uiPriority w:val="99"/>
    <w:semiHidden/>
    <w:rsid w:val="00171962"/>
    <w:rPr>
      <w:sz w:val="20"/>
      <w:szCs w:val="20"/>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6">
    <w:name w:val="Medium Grid 1 Accent 6"/>
    <w:basedOn w:val="TableNormal"/>
    <w:uiPriority w:val="99"/>
    <w:semiHidden/>
    <w:rsid w:val="00171962"/>
    <w:rPr>
      <w:sz w:val="20"/>
      <w:szCs w:val="20"/>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CellMar>
        <w:top w:w="0" w:type="dxa"/>
        <w:left w:w="108" w:type="dxa"/>
        <w:bottom w:w="0" w:type="dxa"/>
        <w:right w:w="108" w:type="dxa"/>
      </w:tblCellMar>
    </w:tblPr>
    <w:tcPr>
      <w:shd w:val="clear" w:color="auto" w:fill="D3D3D3"/>
    </w:tcPr>
    <w:tblStylePr w:type="firstRow">
      <w:rPr>
        <w:rFonts w:cs="Times New Roman"/>
        <w:b/>
        <w:bCs/>
      </w:rPr>
    </w:tblStylePr>
    <w:tblStylePr w:type="lastRow">
      <w:rPr>
        <w:rFonts w:cs="Times New Roman"/>
        <w:b/>
        <w:bCs/>
      </w:rPr>
      <w:tblPr/>
      <w:tcPr>
        <w:tcBorders>
          <w:top w:val="single" w:sz="18" w:space="0" w:color="7979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MediumGrid2">
    <w:name w:val="Medium Grid 2"/>
    <w:basedOn w:val="TableNormal"/>
    <w:uiPriority w:val="99"/>
    <w:semiHidden/>
    <w:rsid w:val="00171962"/>
    <w:rPr>
      <w:rFonts w:eastAsia="MS Gothic"/>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0072BC"/>
      </w:tcPr>
    </w:tblStylePr>
  </w:style>
  <w:style w:type="table" w:styleId="MediumGrid2-Accent1">
    <w:name w:val="Medium Grid 2 Accent 1"/>
    <w:basedOn w:val="TableNormal"/>
    <w:uiPriority w:val="99"/>
    <w:semiHidden/>
    <w:rsid w:val="00171962"/>
    <w:rPr>
      <w:rFonts w:eastAsia="MS Gothic"/>
      <w:color w:val="000000"/>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CellMar>
        <w:top w:w="0" w:type="dxa"/>
        <w:left w:w="108" w:type="dxa"/>
        <w:bottom w:w="0" w:type="dxa"/>
        <w:right w:w="108" w:type="dxa"/>
      </w:tblCellMar>
    </w:tblPr>
    <w:tcPr>
      <w:shd w:val="clear" w:color="auto" w:fill="AFDFFF"/>
    </w:tcPr>
    <w:tblStylePr w:type="firstRow">
      <w:rPr>
        <w:rFonts w:cs="Times New Roman"/>
        <w:b/>
        <w:bCs/>
        <w:color w:val="000000"/>
      </w:rPr>
      <w:tblPr/>
      <w:tcPr>
        <w:shd w:val="clear" w:color="auto" w:fill="DFF2F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BEE5FF"/>
      </w:tcPr>
    </w:tblStylePr>
    <w:tblStylePr w:type="band1Vert">
      <w:rPr>
        <w:rFonts w:cs="Times New Roman"/>
      </w:rPr>
      <w:tblPr/>
      <w:tcPr>
        <w:shd w:val="clear" w:color="auto" w:fill="5EBFFF"/>
      </w:tcPr>
    </w:tblStylePr>
    <w:tblStylePr w:type="band1Horz">
      <w:rPr>
        <w:rFonts w:cs="Times New Roman"/>
      </w:rPr>
      <w:tblPr/>
      <w:tcPr>
        <w:tcBorders>
          <w:insideH w:val="single" w:sz="6" w:space="0" w:color="0072BC"/>
          <w:insideV w:val="single" w:sz="6" w:space="0" w:color="0072BC"/>
        </w:tcBorders>
        <w:shd w:val="clear" w:color="auto" w:fill="5EBFFF"/>
      </w:tcPr>
    </w:tblStylePr>
    <w:tblStylePr w:type="nwCell">
      <w:rPr>
        <w:rFonts w:cs="Times New Roman"/>
      </w:rPr>
      <w:tblPr/>
      <w:tcPr>
        <w:shd w:val="clear" w:color="auto" w:fill="0072BC"/>
      </w:tcPr>
    </w:tblStylePr>
  </w:style>
  <w:style w:type="table" w:styleId="MediumGrid2-Accent2">
    <w:name w:val="Medium Grid 2 Accent 2"/>
    <w:basedOn w:val="TableNormal"/>
    <w:uiPriority w:val="99"/>
    <w:semiHidden/>
    <w:rsid w:val="00171962"/>
    <w:rPr>
      <w:rFonts w:eastAsia="MS Gothic"/>
      <w:color w:val="000000"/>
      <w:sz w:val="20"/>
      <w:szCs w:val="20"/>
    </w:rPr>
    <w:tblPr>
      <w:tblStyleRowBandSize w:val="1"/>
      <w:tblStyleColBandSize w:val="1"/>
      <w:tblInd w:w="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0" w:type="dxa"/>
        <w:left w:w="108" w:type="dxa"/>
        <w:bottom w:w="0" w:type="dxa"/>
        <w:right w:w="108" w:type="dxa"/>
      </w:tblCellMar>
    </w:tblPr>
    <w:tcPr>
      <w:shd w:val="clear" w:color="auto" w:fill="FFB0B0"/>
    </w:tcPr>
    <w:tblStylePr w:type="firstRow">
      <w:rPr>
        <w:rFonts w:cs="Times New Roman"/>
        <w:b/>
        <w:bCs/>
        <w:color w:val="000000"/>
      </w:rPr>
      <w:tblPr/>
      <w:tcPr>
        <w:shd w:val="clear" w:color="auto" w:fill="FFDFD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FFBFBF"/>
      </w:tcPr>
    </w:tblStylePr>
    <w:tblStylePr w:type="band1Vert">
      <w:rPr>
        <w:rFonts w:cs="Times New Roman"/>
      </w:rPr>
      <w:tblPr/>
      <w:tcPr>
        <w:shd w:val="clear" w:color="auto" w:fill="FF6060"/>
      </w:tcPr>
    </w:tblStylePr>
    <w:tblStylePr w:type="band1Horz">
      <w:rPr>
        <w:rFonts w:cs="Times New Roman"/>
      </w:rPr>
      <w:tblPr/>
      <w:tcPr>
        <w:tcBorders>
          <w:insideH w:val="single" w:sz="6" w:space="0" w:color="C00000"/>
          <w:insideV w:val="single" w:sz="6" w:space="0" w:color="C00000"/>
        </w:tcBorders>
        <w:shd w:val="clear" w:color="auto" w:fill="FF6060"/>
      </w:tcPr>
    </w:tblStylePr>
    <w:tblStylePr w:type="nwCell">
      <w:rPr>
        <w:rFonts w:cs="Times New Roman"/>
      </w:rPr>
      <w:tblPr/>
      <w:tcPr>
        <w:shd w:val="clear" w:color="auto" w:fill="0072BC"/>
      </w:tcPr>
    </w:tblStylePr>
  </w:style>
  <w:style w:type="table" w:styleId="MediumGrid2-Accent3">
    <w:name w:val="Medium Grid 2 Accent 3"/>
    <w:basedOn w:val="TableNormal"/>
    <w:uiPriority w:val="99"/>
    <w:semiHidden/>
    <w:rsid w:val="00171962"/>
    <w:rPr>
      <w:rFonts w:eastAsia="MS Gothic"/>
      <w:color w:val="000000"/>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4">
    <w:name w:val="Medium Grid 2 Accent 4"/>
    <w:basedOn w:val="TableNormal"/>
    <w:uiPriority w:val="99"/>
    <w:semiHidden/>
    <w:rsid w:val="00171962"/>
    <w:rPr>
      <w:rFonts w:eastAsia="MS Gothic"/>
      <w:color w:val="000000"/>
      <w:sz w:val="20"/>
      <w:szCs w:val="20"/>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cPr>
      <w:shd w:val="clear" w:color="auto" w:fill="E5E5E5"/>
    </w:tcPr>
    <w:tblStylePr w:type="firstRow">
      <w:rPr>
        <w:rFonts w:cs="Times New Roman"/>
        <w:b/>
        <w:bCs/>
        <w:color w:val="000000"/>
      </w:rPr>
      <w:tblPr/>
      <w:tcPr>
        <w:shd w:val="clear" w:color="auto" w:fill="F4F4F4"/>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EAEAEA"/>
      </w:tcPr>
    </w:tblStylePr>
    <w:tblStylePr w:type="band1Vert">
      <w:rPr>
        <w:rFonts w:cs="Times New Roman"/>
      </w:rPr>
      <w:tblPr/>
      <w:tcPr>
        <w:shd w:val="clear" w:color="auto" w:fill="CACACA"/>
      </w:tcPr>
    </w:tblStylePr>
    <w:tblStylePr w:type="band1Horz">
      <w:rPr>
        <w:rFonts w:cs="Times New Roman"/>
      </w:rPr>
      <w:tblPr/>
      <w:tcPr>
        <w:tcBorders>
          <w:insideH w:val="single" w:sz="6" w:space="0" w:color="969696"/>
          <w:insideV w:val="single" w:sz="6" w:space="0" w:color="969696"/>
        </w:tcBorders>
        <w:shd w:val="clear" w:color="auto" w:fill="CACACA"/>
      </w:tcPr>
    </w:tblStylePr>
    <w:tblStylePr w:type="nwCell">
      <w:rPr>
        <w:rFonts w:cs="Times New Roman"/>
      </w:rPr>
      <w:tblPr/>
      <w:tcPr>
        <w:shd w:val="clear" w:color="auto" w:fill="0072BC"/>
      </w:tcPr>
    </w:tblStylePr>
  </w:style>
  <w:style w:type="table" w:styleId="MediumGrid2-Accent5">
    <w:name w:val="Medium Grid 2 Accent 5"/>
    <w:basedOn w:val="TableNormal"/>
    <w:uiPriority w:val="99"/>
    <w:semiHidden/>
    <w:rsid w:val="00171962"/>
    <w:rPr>
      <w:rFonts w:eastAsia="MS Gothic"/>
      <w:color w:val="000000"/>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6">
    <w:name w:val="Medium Grid 2 Accent 6"/>
    <w:basedOn w:val="TableNormal"/>
    <w:uiPriority w:val="99"/>
    <w:semiHidden/>
    <w:rsid w:val="00171962"/>
    <w:rPr>
      <w:rFonts w:eastAsia="MS Gothic"/>
      <w:color w:val="000000"/>
      <w:sz w:val="20"/>
      <w:szCs w:val="20"/>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cPr>
      <w:shd w:val="clear" w:color="auto" w:fill="D3D3D3"/>
    </w:tcPr>
    <w:tblStylePr w:type="firstRow">
      <w:rPr>
        <w:rFonts w:cs="Times New Roman"/>
        <w:b/>
        <w:bCs/>
        <w:color w:val="000000"/>
      </w:rPr>
      <w:tblPr/>
      <w:tcPr>
        <w:shd w:val="clear" w:color="auto" w:fill="ED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BDBDB"/>
      </w:tcPr>
    </w:tblStylePr>
    <w:tblStylePr w:type="band1Vert">
      <w:rPr>
        <w:rFonts w:cs="Times New Roman"/>
      </w:rPr>
      <w:tblPr/>
      <w:tcPr>
        <w:shd w:val="clear" w:color="auto" w:fill="A6A6A6"/>
      </w:tcPr>
    </w:tblStylePr>
    <w:tblStylePr w:type="band1Horz">
      <w:rPr>
        <w:rFonts w:cs="Times New Roman"/>
      </w:rPr>
      <w:tblPr/>
      <w:tcPr>
        <w:tcBorders>
          <w:insideH w:val="single" w:sz="6" w:space="0" w:color="4D4D4D"/>
          <w:insideV w:val="single" w:sz="6" w:space="0" w:color="4D4D4D"/>
        </w:tcBorders>
        <w:shd w:val="clear" w:color="auto" w:fill="A6A6A6"/>
      </w:tcPr>
    </w:tblStylePr>
    <w:tblStylePr w:type="nwCell">
      <w:rPr>
        <w:rFonts w:cs="Times New Roman"/>
      </w:rPr>
      <w:tblPr/>
      <w:tcPr>
        <w:shd w:val="clear" w:color="auto" w:fill="0072BC"/>
      </w:tcPr>
    </w:tblStylePr>
  </w:style>
  <w:style w:type="table" w:styleId="MediumGrid3">
    <w:name w:val="Medium Grid 3"/>
    <w:basedOn w:val="TableNormal"/>
    <w:uiPriority w:val="99"/>
    <w:semiHidden/>
    <w:rsid w:val="00171962"/>
    <w:rPr>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C0C0C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171962"/>
    <w:rPr>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AFDFFF"/>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171962"/>
    <w:rPr>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FFB0B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171962"/>
    <w:rPr>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171962"/>
    <w:rPr>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E5E5E5"/>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171962"/>
    <w:rPr>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171962"/>
    <w:rPr>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3D3D3"/>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171962"/>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000000"/>
        </w:tcBorders>
      </w:tcPr>
    </w:tblStylePr>
    <w:tblStylePr w:type="lastRow">
      <w:rPr>
        <w:rFonts w:cs="Times New Roman"/>
        <w:b/>
        <w:bCs/>
        <w:color w:val="C6C6C6"/>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99"/>
    <w:semiHidden/>
    <w:rsid w:val="00171962"/>
    <w:rPr>
      <w:color w:val="000000"/>
      <w:sz w:val="20"/>
      <w:szCs w:val="20"/>
    </w:rPr>
    <w:tblPr>
      <w:tblStyleRowBandSize w:val="1"/>
      <w:tblStyleColBandSize w:val="1"/>
      <w:tblInd w:w="0" w:type="dxa"/>
      <w:tblBorders>
        <w:top w:val="single" w:sz="8" w:space="0" w:color="0072BC"/>
        <w:bottom w:val="single" w:sz="8" w:space="0" w:color="0072BC"/>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0072BC"/>
        </w:tcBorders>
      </w:tcPr>
    </w:tblStylePr>
    <w:tblStylePr w:type="lastRow">
      <w:rPr>
        <w:rFonts w:cs="Times New Roman"/>
        <w:b/>
        <w:bCs/>
        <w:color w:val="C6C6C6"/>
      </w:rPr>
      <w:tblPr/>
      <w:tcPr>
        <w:tcBorders>
          <w:top w:val="single" w:sz="8" w:space="0" w:color="0072BC"/>
          <w:bottom w:val="single" w:sz="8" w:space="0" w:color="0072BC"/>
        </w:tcBorders>
      </w:tcPr>
    </w:tblStylePr>
    <w:tblStylePr w:type="firstCol">
      <w:rPr>
        <w:rFonts w:cs="Times New Roman"/>
        <w:b/>
        <w:bCs/>
      </w:rPr>
    </w:tblStylePr>
    <w:tblStylePr w:type="lastCol">
      <w:rPr>
        <w:rFonts w:cs="Times New Roman"/>
        <w:b/>
        <w:bCs/>
      </w:rPr>
      <w:tblPr/>
      <w:tcPr>
        <w:tcBorders>
          <w:top w:val="single" w:sz="8" w:space="0" w:color="0072BC"/>
          <w:bottom w:val="single" w:sz="8" w:space="0" w:color="0072BC"/>
        </w:tcBorders>
      </w:tcPr>
    </w:tblStylePr>
    <w:tblStylePr w:type="band1Vert">
      <w:rPr>
        <w:rFonts w:cs="Times New Roman"/>
      </w:rPr>
      <w:tblPr/>
      <w:tcPr>
        <w:shd w:val="clear" w:color="auto" w:fill="AFDFFF"/>
      </w:tcPr>
    </w:tblStylePr>
    <w:tblStylePr w:type="band1Horz">
      <w:rPr>
        <w:rFonts w:cs="Times New Roman"/>
      </w:rPr>
      <w:tblPr/>
      <w:tcPr>
        <w:shd w:val="clear" w:color="auto" w:fill="AFDFFF"/>
      </w:tcPr>
    </w:tblStylePr>
  </w:style>
  <w:style w:type="table" w:styleId="MediumList1-Accent2">
    <w:name w:val="Medium List 1 Accent 2"/>
    <w:basedOn w:val="TableNormal"/>
    <w:uiPriority w:val="99"/>
    <w:semiHidden/>
    <w:rsid w:val="00171962"/>
    <w:rPr>
      <w:color w:val="000000"/>
      <w:sz w:val="20"/>
      <w:szCs w:val="20"/>
    </w:rPr>
    <w:tblPr>
      <w:tblStyleRowBandSize w:val="1"/>
      <w:tblStyleColBandSize w:val="1"/>
      <w:tblInd w:w="0" w:type="dxa"/>
      <w:tblBorders>
        <w:top w:val="single" w:sz="8" w:space="0" w:color="C00000"/>
        <w:bottom w:val="single" w:sz="8" w:space="0" w:color="C00000"/>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C00000"/>
        </w:tcBorders>
      </w:tcPr>
    </w:tblStylePr>
    <w:tblStylePr w:type="lastRow">
      <w:rPr>
        <w:rFonts w:cs="Times New Roman"/>
        <w:b/>
        <w:bCs/>
        <w:color w:val="C6C6C6"/>
      </w:rPr>
      <w:tblPr/>
      <w:tcPr>
        <w:tcBorders>
          <w:top w:val="single" w:sz="8" w:space="0" w:color="C00000"/>
          <w:bottom w:val="single" w:sz="8" w:space="0" w:color="C00000"/>
        </w:tcBorders>
      </w:tcPr>
    </w:tblStylePr>
    <w:tblStylePr w:type="firstCol">
      <w:rPr>
        <w:rFonts w:cs="Times New Roman"/>
        <w:b/>
        <w:bCs/>
      </w:rPr>
    </w:tblStylePr>
    <w:tblStylePr w:type="lastCol">
      <w:rPr>
        <w:rFonts w:cs="Times New Roman"/>
        <w:b/>
        <w:bCs/>
      </w:rPr>
      <w:tblPr/>
      <w:tcPr>
        <w:tcBorders>
          <w:top w:val="single" w:sz="8" w:space="0" w:color="C00000"/>
          <w:bottom w:val="single" w:sz="8" w:space="0" w:color="C00000"/>
        </w:tcBorders>
      </w:tcPr>
    </w:tblStylePr>
    <w:tblStylePr w:type="band1Vert">
      <w:rPr>
        <w:rFonts w:cs="Times New Roman"/>
      </w:rPr>
      <w:tblPr/>
      <w:tcPr>
        <w:shd w:val="clear" w:color="auto" w:fill="FFB0B0"/>
      </w:tcPr>
    </w:tblStylePr>
    <w:tblStylePr w:type="band1Horz">
      <w:rPr>
        <w:rFonts w:cs="Times New Roman"/>
      </w:rPr>
      <w:tblPr/>
      <w:tcPr>
        <w:shd w:val="clear" w:color="auto" w:fill="FFB0B0"/>
      </w:tcPr>
    </w:tblStylePr>
  </w:style>
  <w:style w:type="table" w:styleId="MediumList1-Accent3">
    <w:name w:val="Medium List 1 Accent 3"/>
    <w:basedOn w:val="TableNormal"/>
    <w:uiPriority w:val="99"/>
    <w:semiHidden/>
    <w:rsid w:val="00171962"/>
    <w:rPr>
      <w:color w:val="000000"/>
      <w:sz w:val="20"/>
      <w:szCs w:val="20"/>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4">
    <w:name w:val="Medium List 1 Accent 4"/>
    <w:basedOn w:val="TableNormal"/>
    <w:uiPriority w:val="99"/>
    <w:semiHidden/>
    <w:rsid w:val="00171962"/>
    <w:rPr>
      <w:color w:val="000000"/>
      <w:sz w:val="20"/>
      <w:szCs w:val="20"/>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969696"/>
        </w:tcBorders>
      </w:tcPr>
    </w:tblStylePr>
    <w:tblStylePr w:type="lastRow">
      <w:rPr>
        <w:rFonts w:cs="Times New Roman"/>
        <w:b/>
        <w:bCs/>
        <w:color w:val="C6C6C6"/>
      </w:rPr>
      <w:tblPr/>
      <w:tcPr>
        <w:tcBorders>
          <w:top w:val="single" w:sz="8" w:space="0" w:color="969696"/>
          <w:bottom w:val="single" w:sz="8" w:space="0" w:color="969696"/>
        </w:tcBorders>
      </w:tcPr>
    </w:tblStylePr>
    <w:tblStylePr w:type="firstCol">
      <w:rPr>
        <w:rFonts w:cs="Times New Roman"/>
        <w:b/>
        <w:bCs/>
      </w:rPr>
    </w:tblStylePr>
    <w:tblStylePr w:type="lastCol">
      <w:rPr>
        <w:rFonts w:cs="Times New Roman"/>
        <w:b/>
        <w:bCs/>
      </w:rPr>
      <w:tblPr/>
      <w:tcPr>
        <w:tcBorders>
          <w:top w:val="single" w:sz="8" w:space="0" w:color="969696"/>
          <w:bottom w:val="single" w:sz="8" w:space="0" w:color="969696"/>
        </w:tcBorders>
      </w:tcPr>
    </w:tblStylePr>
    <w:tblStylePr w:type="band1Vert">
      <w:rPr>
        <w:rFonts w:cs="Times New Roman"/>
      </w:rPr>
      <w:tblPr/>
      <w:tcPr>
        <w:shd w:val="clear" w:color="auto" w:fill="E5E5E5"/>
      </w:tcPr>
    </w:tblStylePr>
    <w:tblStylePr w:type="band1Horz">
      <w:rPr>
        <w:rFonts w:cs="Times New Roman"/>
      </w:rPr>
      <w:tblPr/>
      <w:tcPr>
        <w:shd w:val="clear" w:color="auto" w:fill="E5E5E5"/>
      </w:tcPr>
    </w:tblStylePr>
  </w:style>
  <w:style w:type="table" w:styleId="MediumList1-Accent5">
    <w:name w:val="Medium List 1 Accent 5"/>
    <w:basedOn w:val="TableNormal"/>
    <w:uiPriority w:val="99"/>
    <w:semiHidden/>
    <w:rsid w:val="00171962"/>
    <w:rPr>
      <w:color w:val="000000"/>
      <w:sz w:val="20"/>
      <w:szCs w:val="20"/>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6">
    <w:name w:val="Medium List 1 Accent 6"/>
    <w:basedOn w:val="TableNormal"/>
    <w:uiPriority w:val="99"/>
    <w:semiHidden/>
    <w:rsid w:val="00171962"/>
    <w:rPr>
      <w:color w:val="000000"/>
      <w:sz w:val="20"/>
      <w:szCs w:val="20"/>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4D4D4D"/>
        </w:tcBorders>
      </w:tcPr>
    </w:tblStylePr>
    <w:tblStylePr w:type="lastRow">
      <w:rPr>
        <w:rFonts w:cs="Times New Roman"/>
        <w:b/>
        <w:bCs/>
        <w:color w:val="C6C6C6"/>
      </w:rPr>
      <w:tblPr/>
      <w:tcPr>
        <w:tcBorders>
          <w:top w:val="single" w:sz="8" w:space="0" w:color="4D4D4D"/>
          <w:bottom w:val="single" w:sz="8" w:space="0" w:color="4D4D4D"/>
        </w:tcBorders>
      </w:tcPr>
    </w:tblStylePr>
    <w:tblStylePr w:type="firstCol">
      <w:rPr>
        <w:rFonts w:cs="Times New Roman"/>
        <w:b/>
        <w:bCs/>
      </w:rPr>
    </w:tblStylePr>
    <w:tblStylePr w:type="lastCol">
      <w:rPr>
        <w:rFonts w:cs="Times New Roman"/>
        <w:b/>
        <w:bCs/>
      </w:rPr>
      <w:tblPr/>
      <w:tcPr>
        <w:tcBorders>
          <w:top w:val="single" w:sz="8" w:space="0" w:color="4D4D4D"/>
          <w:bottom w:val="single" w:sz="8" w:space="0" w:color="4D4D4D"/>
        </w:tcBorders>
      </w:tcPr>
    </w:tblStylePr>
    <w:tblStylePr w:type="band1Vert">
      <w:rPr>
        <w:rFonts w:cs="Times New Roman"/>
      </w:rPr>
      <w:tblPr/>
      <w:tcPr>
        <w:shd w:val="clear" w:color="auto" w:fill="D3D3D3"/>
      </w:tcPr>
    </w:tblStylePr>
    <w:tblStylePr w:type="band1Horz">
      <w:rPr>
        <w:rFonts w:cs="Times New Roman"/>
      </w:rPr>
      <w:tblPr/>
      <w:tcPr>
        <w:shd w:val="clear" w:color="auto" w:fill="D3D3D3"/>
      </w:tcPr>
    </w:tblStylePr>
  </w:style>
  <w:style w:type="table" w:styleId="MediumList2">
    <w:name w:val="Medium List 2"/>
    <w:basedOn w:val="TableNormal"/>
    <w:uiPriority w:val="99"/>
    <w:semiHidden/>
    <w:rsid w:val="00171962"/>
    <w:rPr>
      <w:rFonts w:eastAsia="MS Gothic"/>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0072BC"/>
      </w:tcPr>
    </w:tblStylePr>
    <w:tblStylePr w:type="lastRow">
      <w:rPr>
        <w:rFonts w:cs="Times New Roman"/>
      </w:rPr>
      <w:tblPr/>
      <w:tcPr>
        <w:tcBorders>
          <w:top w:val="single" w:sz="8" w:space="0" w:color="0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0000"/>
          <w:insideH w:val="nil"/>
          <w:insideV w:val="nil"/>
        </w:tcBorders>
        <w:shd w:val="clear" w:color="auto" w:fill="0072BC"/>
      </w:tcPr>
    </w:tblStylePr>
    <w:tblStylePr w:type="lastCol">
      <w:rPr>
        <w:rFonts w:cs="Times New Roman"/>
      </w:rPr>
      <w:tblPr/>
      <w:tcPr>
        <w:tcBorders>
          <w:top w:val="nil"/>
          <w:left w:val="single" w:sz="8" w:space="0" w:color="0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1">
    <w:name w:val="Medium List 2 Accent 1"/>
    <w:basedOn w:val="TableNormal"/>
    <w:uiPriority w:val="99"/>
    <w:semiHidden/>
    <w:rsid w:val="00171962"/>
    <w:rPr>
      <w:rFonts w:eastAsia="MS Gothic"/>
      <w:color w:val="000000"/>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72BC"/>
          <w:right w:val="nil"/>
          <w:insideH w:val="nil"/>
          <w:insideV w:val="nil"/>
        </w:tcBorders>
        <w:shd w:val="clear" w:color="auto" w:fill="0072BC"/>
      </w:tcPr>
    </w:tblStylePr>
    <w:tblStylePr w:type="lastRow">
      <w:rPr>
        <w:rFonts w:cs="Times New Roman"/>
      </w:rPr>
      <w:tblPr/>
      <w:tcPr>
        <w:tcBorders>
          <w:top w:val="single" w:sz="8" w:space="0" w:color="0072BC"/>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72BC"/>
          <w:insideH w:val="nil"/>
          <w:insideV w:val="nil"/>
        </w:tcBorders>
        <w:shd w:val="clear" w:color="auto" w:fill="0072BC"/>
      </w:tcPr>
    </w:tblStylePr>
    <w:tblStylePr w:type="lastCol">
      <w:rPr>
        <w:rFonts w:cs="Times New Roman"/>
      </w:rPr>
      <w:tblPr/>
      <w:tcPr>
        <w:tcBorders>
          <w:top w:val="nil"/>
          <w:left w:val="single" w:sz="8" w:space="0" w:color="0072BC"/>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top w:val="nil"/>
          <w:bottom w:val="nil"/>
          <w:insideH w:val="nil"/>
          <w:insideV w:val="nil"/>
        </w:tcBorders>
        <w:shd w:val="clear" w:color="auto" w:fill="AFDFFF"/>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2">
    <w:name w:val="Medium List 2 Accent 2"/>
    <w:basedOn w:val="TableNormal"/>
    <w:uiPriority w:val="99"/>
    <w:semiHidden/>
    <w:rsid w:val="00171962"/>
    <w:rPr>
      <w:rFonts w:eastAsia="MS Gothic"/>
      <w:color w:val="000000"/>
      <w:sz w:val="20"/>
      <w:szCs w:val="20"/>
    </w:rPr>
    <w:tblPr>
      <w:tblStyleRowBandSize w:val="1"/>
      <w:tblStyleColBandSize w:val="1"/>
      <w:tblInd w:w="0" w:type="dxa"/>
      <w:tblBorders>
        <w:top w:val="single" w:sz="8" w:space="0" w:color="C00000"/>
        <w:left w:val="single" w:sz="8" w:space="0" w:color="C00000"/>
        <w:bottom w:val="single" w:sz="8" w:space="0" w:color="C00000"/>
        <w:right w:val="single" w:sz="8" w:space="0" w:color="C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0000"/>
          <w:right w:val="nil"/>
          <w:insideH w:val="nil"/>
          <w:insideV w:val="nil"/>
        </w:tcBorders>
        <w:shd w:val="clear" w:color="auto" w:fill="0072BC"/>
      </w:tcPr>
    </w:tblStylePr>
    <w:tblStylePr w:type="lastRow">
      <w:rPr>
        <w:rFonts w:cs="Times New Roman"/>
      </w:rPr>
      <w:tblPr/>
      <w:tcPr>
        <w:tcBorders>
          <w:top w:val="single" w:sz="8" w:space="0" w:color="C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C00000"/>
          <w:insideH w:val="nil"/>
          <w:insideV w:val="nil"/>
        </w:tcBorders>
        <w:shd w:val="clear" w:color="auto" w:fill="0072BC"/>
      </w:tcPr>
    </w:tblStylePr>
    <w:tblStylePr w:type="lastCol">
      <w:rPr>
        <w:rFonts w:cs="Times New Roman"/>
      </w:rPr>
      <w:tblPr/>
      <w:tcPr>
        <w:tcBorders>
          <w:top w:val="nil"/>
          <w:left w:val="single" w:sz="8" w:space="0" w:color="C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top w:val="nil"/>
          <w:bottom w:val="nil"/>
          <w:insideH w:val="nil"/>
          <w:insideV w:val="nil"/>
        </w:tcBorders>
        <w:shd w:val="clear" w:color="auto" w:fill="FFB0B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3">
    <w:name w:val="Medium List 2 Accent 3"/>
    <w:basedOn w:val="TableNormal"/>
    <w:uiPriority w:val="99"/>
    <w:semiHidden/>
    <w:rsid w:val="00171962"/>
    <w:rPr>
      <w:rFonts w:eastAsia="MS Gothic"/>
      <w:color w:val="000000"/>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4">
    <w:name w:val="Medium List 2 Accent 4"/>
    <w:basedOn w:val="TableNormal"/>
    <w:uiPriority w:val="99"/>
    <w:semiHidden/>
    <w:rsid w:val="00171962"/>
    <w:rPr>
      <w:rFonts w:eastAsia="MS Gothic"/>
      <w:color w:val="000000"/>
      <w:sz w:val="20"/>
      <w:szCs w:val="20"/>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69696"/>
          <w:right w:val="nil"/>
          <w:insideH w:val="nil"/>
          <w:insideV w:val="nil"/>
        </w:tcBorders>
        <w:shd w:val="clear" w:color="auto" w:fill="0072BC"/>
      </w:tcPr>
    </w:tblStylePr>
    <w:tblStylePr w:type="lastRow">
      <w:rPr>
        <w:rFonts w:cs="Times New Roman"/>
      </w:rPr>
      <w:tblPr/>
      <w:tcPr>
        <w:tcBorders>
          <w:top w:val="single" w:sz="8" w:space="0" w:color="969696"/>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969696"/>
          <w:insideH w:val="nil"/>
          <w:insideV w:val="nil"/>
        </w:tcBorders>
        <w:shd w:val="clear" w:color="auto" w:fill="0072BC"/>
      </w:tcPr>
    </w:tblStylePr>
    <w:tblStylePr w:type="lastCol">
      <w:rPr>
        <w:rFonts w:cs="Times New Roman"/>
      </w:rPr>
      <w:tblPr/>
      <w:tcPr>
        <w:tcBorders>
          <w:top w:val="nil"/>
          <w:left w:val="single" w:sz="8" w:space="0" w:color="969696"/>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top w:val="nil"/>
          <w:bottom w:val="nil"/>
          <w:insideH w:val="nil"/>
          <w:insideV w:val="nil"/>
        </w:tcBorders>
        <w:shd w:val="clear" w:color="auto" w:fill="E5E5E5"/>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5">
    <w:name w:val="Medium List 2 Accent 5"/>
    <w:basedOn w:val="TableNormal"/>
    <w:uiPriority w:val="99"/>
    <w:semiHidden/>
    <w:rsid w:val="00171962"/>
    <w:rPr>
      <w:rFonts w:eastAsia="MS Gothic"/>
      <w:color w:val="000000"/>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6">
    <w:name w:val="Medium List 2 Accent 6"/>
    <w:basedOn w:val="TableNormal"/>
    <w:uiPriority w:val="99"/>
    <w:semiHidden/>
    <w:rsid w:val="00171962"/>
    <w:rPr>
      <w:rFonts w:eastAsia="MS Gothic"/>
      <w:color w:val="000000"/>
      <w:sz w:val="20"/>
      <w:szCs w:val="20"/>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D4D4D"/>
          <w:right w:val="nil"/>
          <w:insideH w:val="nil"/>
          <w:insideV w:val="nil"/>
        </w:tcBorders>
        <w:shd w:val="clear" w:color="auto" w:fill="0072BC"/>
      </w:tcPr>
    </w:tblStylePr>
    <w:tblStylePr w:type="lastRow">
      <w:rPr>
        <w:rFonts w:cs="Times New Roman"/>
      </w:rPr>
      <w:tblPr/>
      <w:tcPr>
        <w:tcBorders>
          <w:top w:val="single" w:sz="8" w:space="0" w:color="4D4D4D"/>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4D4D4D"/>
          <w:insideH w:val="nil"/>
          <w:insideV w:val="nil"/>
        </w:tcBorders>
        <w:shd w:val="clear" w:color="auto" w:fill="0072BC"/>
      </w:tcPr>
    </w:tblStylePr>
    <w:tblStylePr w:type="lastCol">
      <w:rPr>
        <w:rFonts w:cs="Times New Roman"/>
      </w:rPr>
      <w:tblPr/>
      <w:tcPr>
        <w:tcBorders>
          <w:top w:val="nil"/>
          <w:left w:val="single" w:sz="8" w:space="0" w:color="4D4D4D"/>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top w:val="nil"/>
          <w:bottom w:val="nil"/>
          <w:insideH w:val="nil"/>
          <w:insideV w:val="nil"/>
        </w:tcBorders>
        <w:shd w:val="clear" w:color="auto" w:fill="D3D3D3"/>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Shading1">
    <w:name w:val="Medium Shading 1"/>
    <w:basedOn w:val="TableNormal"/>
    <w:uiPriority w:val="99"/>
    <w:semiHidden/>
    <w:rsid w:val="00171962"/>
    <w:rPr>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9"/>
    <w:semiHidden/>
    <w:rsid w:val="00171962"/>
    <w:rPr>
      <w:sz w:val="20"/>
      <w:szCs w:val="20"/>
    </w:rPr>
    <w:tblPr>
      <w:tblStyleRowBandSize w:val="1"/>
      <w:tblStyleColBandSize w:val="1"/>
      <w:tblInd w:w="0" w:type="dxa"/>
      <w:tblBorders>
        <w:top w:val="single" w:sz="8" w:space="0" w:color="0D9FFF"/>
        <w:left w:val="single" w:sz="8" w:space="0" w:color="0D9FFF"/>
        <w:bottom w:val="single" w:sz="8" w:space="0" w:color="0D9FFF"/>
        <w:right w:val="single" w:sz="8" w:space="0" w:color="0D9FFF"/>
        <w:insideH w:val="single" w:sz="8" w:space="0" w:color="0D9FFF"/>
      </w:tblBorders>
      <w:tblCellMar>
        <w:top w:w="0" w:type="dxa"/>
        <w:left w:w="108" w:type="dxa"/>
        <w:bottom w:w="0" w:type="dxa"/>
        <w:right w:w="108" w:type="dxa"/>
      </w:tblCellMar>
    </w:tblPr>
    <w:tblStylePr w:type="firstRow">
      <w:pPr>
        <w:spacing w:before="0" w:after="0"/>
      </w:pPr>
      <w:rPr>
        <w:rFonts w:cs="Times New Roman"/>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pPr>
      <w:rPr>
        <w:rFonts w:cs="Times New Roman"/>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DFFF"/>
      </w:tcPr>
    </w:tblStylePr>
    <w:tblStylePr w:type="band1Horz">
      <w:rPr>
        <w:rFonts w:cs="Times New Roman"/>
      </w:rPr>
      <w:tblPr/>
      <w:tcPr>
        <w:tcBorders>
          <w:insideH w:val="nil"/>
          <w:insideV w:val="nil"/>
        </w:tcBorders>
        <w:shd w:val="clear" w:color="auto" w:fill="AFDFF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99"/>
    <w:semiHidden/>
    <w:rsid w:val="00171962"/>
    <w:rPr>
      <w:sz w:val="20"/>
      <w:szCs w:val="20"/>
    </w:rPr>
    <w:tblPr>
      <w:tblStyleRowBandSize w:val="1"/>
      <w:tblStyleColBandSize w:val="1"/>
      <w:tblInd w:w="0" w:type="dxa"/>
      <w:tblBorders>
        <w:top w:val="single" w:sz="8" w:space="0" w:color="FF1010"/>
        <w:left w:val="single" w:sz="8" w:space="0" w:color="FF1010"/>
        <w:bottom w:val="single" w:sz="8" w:space="0" w:color="FF1010"/>
        <w:right w:val="single" w:sz="8" w:space="0" w:color="FF1010"/>
        <w:insideH w:val="single" w:sz="8" w:space="0" w:color="FF1010"/>
      </w:tblBorders>
      <w:tblCellMar>
        <w:top w:w="0" w:type="dxa"/>
        <w:left w:w="108" w:type="dxa"/>
        <w:bottom w:w="0" w:type="dxa"/>
        <w:right w:w="108" w:type="dxa"/>
      </w:tblCellMar>
    </w:tblPr>
    <w:tblStylePr w:type="firstRow">
      <w:pPr>
        <w:spacing w:before="0" w:after="0"/>
      </w:pPr>
      <w:rPr>
        <w:rFonts w:cs="Times New Roman"/>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pPr>
      <w:rPr>
        <w:rFonts w:cs="Times New Roman"/>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0B0"/>
      </w:tcPr>
    </w:tblStylePr>
    <w:tblStylePr w:type="band1Horz">
      <w:rPr>
        <w:rFonts w:cs="Times New Roman"/>
      </w:rPr>
      <w:tblPr/>
      <w:tcPr>
        <w:tcBorders>
          <w:insideH w:val="nil"/>
          <w:insideV w:val="nil"/>
        </w:tcBorders>
        <w:shd w:val="clear" w:color="auto" w:fill="FFB0B0"/>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semiHidden/>
    <w:rsid w:val="00171962"/>
    <w:rPr>
      <w:sz w:val="20"/>
      <w:szCs w:val="20"/>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semiHidden/>
    <w:rsid w:val="00171962"/>
    <w:rPr>
      <w:sz w:val="20"/>
      <w:szCs w:val="20"/>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tblBorders>
      <w:tblCellMar>
        <w:top w:w="0" w:type="dxa"/>
        <w:left w:w="108" w:type="dxa"/>
        <w:bottom w:w="0" w:type="dxa"/>
        <w:right w:w="108" w:type="dxa"/>
      </w:tblCellMar>
    </w:tblPr>
    <w:tblStylePr w:type="firstRow">
      <w:pPr>
        <w:spacing w:before="0" w:after="0"/>
      </w:pPr>
      <w:rPr>
        <w:rFonts w:cs="Times New Roman"/>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pPr>
      <w:rPr>
        <w:rFonts w:cs="Times New Roman"/>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E5E5"/>
      </w:tcPr>
    </w:tblStylePr>
    <w:tblStylePr w:type="band1Horz">
      <w:rPr>
        <w:rFonts w:cs="Times New Roman"/>
      </w:rPr>
      <w:tblPr/>
      <w:tcPr>
        <w:tcBorders>
          <w:insideH w:val="nil"/>
          <w:insideV w:val="nil"/>
        </w:tcBorders>
        <w:shd w:val="clear" w:color="auto" w:fill="E5E5E5"/>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semiHidden/>
    <w:rsid w:val="00171962"/>
    <w:rPr>
      <w:sz w:val="20"/>
      <w:szCs w:val="20"/>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semiHidden/>
    <w:rsid w:val="00171962"/>
    <w:rPr>
      <w:sz w:val="20"/>
      <w:szCs w:val="20"/>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tblBorders>
      <w:tblCellMar>
        <w:top w:w="0" w:type="dxa"/>
        <w:left w:w="108" w:type="dxa"/>
        <w:bottom w:w="0" w:type="dxa"/>
        <w:right w:w="108" w:type="dxa"/>
      </w:tblCellMar>
    </w:tblPr>
    <w:tblStylePr w:type="firstRow">
      <w:pPr>
        <w:spacing w:before="0" w:after="0"/>
      </w:pPr>
      <w:rPr>
        <w:rFonts w:cs="Times New Roman"/>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pPr>
      <w:rPr>
        <w:rFonts w:cs="Times New Roman"/>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3D3"/>
      </w:tcPr>
    </w:tblStylePr>
    <w:tblStylePr w:type="band1Horz">
      <w:rPr>
        <w:rFonts w:cs="Times New Roman"/>
      </w:rPr>
      <w:tblPr/>
      <w:tcPr>
        <w:tcBorders>
          <w:insideH w:val="nil"/>
          <w:insideV w:val="nil"/>
        </w:tcBorders>
        <w:shd w:val="clear" w:color="auto" w:fill="D3D3D3"/>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9"/>
    <w:semiHidden/>
    <w:rsid w:val="00171962"/>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0072BC"/>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171962"/>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72BC"/>
      </w:tcPr>
    </w:tblStylePr>
    <w:tblStylePr w:type="lastCol">
      <w:rPr>
        <w:rFonts w:cs="Times New Roman"/>
        <w:b/>
        <w:bCs/>
        <w:color w:val="0072BC"/>
      </w:rPr>
      <w:tblPr/>
      <w:tcPr>
        <w:tcBorders>
          <w:left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171962"/>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C00000"/>
      </w:tcPr>
    </w:tblStylePr>
    <w:tblStylePr w:type="lastCol">
      <w:rPr>
        <w:rFonts w:cs="Times New Roman"/>
        <w:b/>
        <w:bCs/>
        <w:color w:val="0072BC"/>
      </w:rPr>
      <w:tblPr/>
      <w:tcPr>
        <w:tcBorders>
          <w:left w:val="nil"/>
          <w:right w:val="nil"/>
          <w:insideH w:val="nil"/>
          <w:insideV w:val="nil"/>
        </w:tcBorders>
        <w:shd w:val="clear" w:color="auto" w:fill="C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171962"/>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171962"/>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969696"/>
      </w:tcPr>
    </w:tblStylePr>
    <w:tblStylePr w:type="lastCol">
      <w:rPr>
        <w:rFonts w:cs="Times New Roman"/>
        <w:b/>
        <w:bCs/>
        <w:color w:val="0072BC"/>
      </w:rPr>
      <w:tblPr/>
      <w:tcPr>
        <w:tcBorders>
          <w:left w:val="nil"/>
          <w:right w:val="nil"/>
          <w:insideH w:val="nil"/>
          <w:insideV w:val="nil"/>
        </w:tcBorders>
        <w:shd w:val="clear" w:color="auto" w:fill="969696"/>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171962"/>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171962"/>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4D4D4D"/>
      </w:tcPr>
    </w:tblStylePr>
    <w:tblStylePr w:type="lastCol">
      <w:rPr>
        <w:rFonts w:cs="Times New Roman"/>
        <w:b/>
        <w:bCs/>
        <w:color w:val="0072BC"/>
      </w:rPr>
      <w:tblPr/>
      <w:tcPr>
        <w:tcBorders>
          <w:left w:val="nil"/>
          <w:right w:val="nil"/>
          <w:insideH w:val="nil"/>
          <w:insideV w:val="nil"/>
        </w:tcBorders>
        <w:shd w:val="clear" w:color="auto" w:fill="4D4D4D"/>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71962"/>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basedOn w:val="DefaultParagraphFont"/>
    <w:link w:val="MessageHeader"/>
    <w:uiPriority w:val="99"/>
    <w:locked/>
    <w:rsid w:val="00171962"/>
    <w:rPr>
      <w:rFonts w:ascii="Times New Roman" w:eastAsia="MS Gothic" w:hAnsi="Times New Roman" w:cs="Times New Roman"/>
      <w:sz w:val="24"/>
      <w:szCs w:val="24"/>
      <w:shd w:val="pct20" w:color="auto" w:fill="auto"/>
      <w:lang w:val="en-GB"/>
    </w:rPr>
  </w:style>
  <w:style w:type="paragraph" w:styleId="NormalWeb">
    <w:name w:val="Normal (Web)"/>
    <w:basedOn w:val="Normal"/>
    <w:uiPriority w:val="99"/>
    <w:semiHidden/>
    <w:rsid w:val="00171962"/>
    <w:rPr>
      <w:szCs w:val="24"/>
    </w:rPr>
  </w:style>
  <w:style w:type="paragraph" w:styleId="NormalIndent">
    <w:name w:val="Normal Indent"/>
    <w:basedOn w:val="Normal"/>
    <w:uiPriority w:val="99"/>
    <w:semiHidden/>
    <w:rsid w:val="00171962"/>
    <w:pPr>
      <w:ind w:left="720"/>
    </w:pPr>
  </w:style>
  <w:style w:type="paragraph" w:styleId="NoteHeading">
    <w:name w:val="Note Heading"/>
    <w:basedOn w:val="Normal"/>
    <w:next w:val="Normal"/>
    <w:link w:val="NoteHeadingChar"/>
    <w:uiPriority w:val="99"/>
    <w:semiHidden/>
    <w:rsid w:val="00171962"/>
  </w:style>
  <w:style w:type="character" w:customStyle="1" w:styleId="NoteHeadingChar">
    <w:name w:val="Note Heading Char"/>
    <w:basedOn w:val="DefaultParagraphFont"/>
    <w:link w:val="NoteHeading"/>
    <w:uiPriority w:val="99"/>
    <w:locked/>
    <w:rsid w:val="00171962"/>
    <w:rPr>
      <w:rFonts w:cs="Times New Roman"/>
      <w:sz w:val="24"/>
      <w:lang w:val="en-GB"/>
    </w:rPr>
  </w:style>
  <w:style w:type="character" w:styleId="PlaceholderText">
    <w:name w:val="Placeholder Text"/>
    <w:basedOn w:val="DefaultParagraphFont"/>
    <w:uiPriority w:val="99"/>
    <w:semiHidden/>
    <w:rsid w:val="00171962"/>
    <w:rPr>
      <w:rFonts w:cs="Times New Roman"/>
      <w:color w:val="808080"/>
    </w:rPr>
  </w:style>
  <w:style w:type="paragraph" w:styleId="PlainText">
    <w:name w:val="Plain Text"/>
    <w:basedOn w:val="Normal"/>
    <w:link w:val="PlainTextChar"/>
    <w:uiPriority w:val="99"/>
    <w:semiHidden/>
    <w:rsid w:val="00171962"/>
    <w:rPr>
      <w:rFonts w:ascii="Consolas" w:hAnsi="Consolas" w:cs="Consolas"/>
      <w:sz w:val="21"/>
      <w:szCs w:val="21"/>
    </w:rPr>
  </w:style>
  <w:style w:type="character" w:customStyle="1" w:styleId="PlainTextChar">
    <w:name w:val="Plain Text Char"/>
    <w:basedOn w:val="DefaultParagraphFont"/>
    <w:link w:val="PlainText"/>
    <w:uiPriority w:val="99"/>
    <w:locked/>
    <w:rsid w:val="00171962"/>
    <w:rPr>
      <w:rFonts w:ascii="Consolas" w:hAnsi="Consolas" w:cs="Consolas"/>
      <w:sz w:val="21"/>
      <w:szCs w:val="21"/>
      <w:lang w:val="en-GB"/>
    </w:rPr>
  </w:style>
  <w:style w:type="paragraph" w:styleId="Salutation">
    <w:name w:val="Salutation"/>
    <w:basedOn w:val="Normal"/>
    <w:next w:val="Normal"/>
    <w:link w:val="SalutationChar"/>
    <w:uiPriority w:val="99"/>
    <w:semiHidden/>
    <w:rsid w:val="00171962"/>
  </w:style>
  <w:style w:type="character" w:customStyle="1" w:styleId="SalutationChar">
    <w:name w:val="Salutation Char"/>
    <w:basedOn w:val="DefaultParagraphFont"/>
    <w:link w:val="Salutation"/>
    <w:uiPriority w:val="99"/>
    <w:locked/>
    <w:rsid w:val="00171962"/>
    <w:rPr>
      <w:rFonts w:cs="Times New Roman"/>
      <w:sz w:val="24"/>
      <w:lang w:val="en-GB"/>
    </w:rPr>
  </w:style>
  <w:style w:type="paragraph" w:styleId="Signature">
    <w:name w:val="Signature"/>
    <w:basedOn w:val="Normal"/>
    <w:link w:val="SignatureChar"/>
    <w:uiPriority w:val="99"/>
    <w:semiHidden/>
    <w:rsid w:val="00171962"/>
    <w:pPr>
      <w:ind w:left="4252"/>
    </w:pPr>
  </w:style>
  <w:style w:type="character" w:customStyle="1" w:styleId="SignatureChar">
    <w:name w:val="Signature Char"/>
    <w:basedOn w:val="DefaultParagraphFont"/>
    <w:link w:val="Signature"/>
    <w:uiPriority w:val="99"/>
    <w:locked/>
    <w:rsid w:val="00171962"/>
    <w:rPr>
      <w:rFonts w:cs="Times New Roman"/>
      <w:sz w:val="24"/>
      <w:lang w:val="en-GB"/>
    </w:rPr>
  </w:style>
  <w:style w:type="table" w:styleId="Table3Deffects1">
    <w:name w:val="Table 3D effects 1"/>
    <w:basedOn w:val="TableNormal"/>
    <w:uiPriority w:val="99"/>
    <w:semiHidden/>
    <w:rsid w:val="00171962"/>
    <w:pPr>
      <w:suppressAutoHyphens/>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71962"/>
    <w:pPr>
      <w:suppressAutoHyphens/>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71962"/>
    <w:pPr>
      <w:suppressAutoHyphens/>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71962"/>
    <w:pPr>
      <w:suppressAutoHyphens/>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71962"/>
    <w:pPr>
      <w:suppressAutoHyphens/>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71962"/>
    <w:pPr>
      <w:suppressAutoHyphens/>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71962"/>
    <w:pPr>
      <w:suppressAutoHyphens/>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71962"/>
    <w:pPr>
      <w:suppressAutoHyphens/>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71962"/>
    <w:pPr>
      <w:suppressAutoHyphens/>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71962"/>
    <w:pPr>
      <w:suppressAutoHyphens/>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71962"/>
    <w:pPr>
      <w:suppressAutoHyphens/>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71962"/>
    <w:pPr>
      <w:suppressAutoHyphens/>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71962"/>
    <w:pPr>
      <w:suppressAutoHyphens/>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71962"/>
    <w:pPr>
      <w:suppressAutoHyphens/>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171962"/>
    <w:pPr>
      <w:suppressAutoHyphens/>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171962"/>
    <w:pPr>
      <w:suppressAutoHyphens/>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71962"/>
    <w:pPr>
      <w:suppressAutoHyphens/>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4214B5"/>
    <w:rPr>
      <w:rFonts w:eastAsia="MS Mincho"/>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171962"/>
    <w:pPr>
      <w:suppressAutoHyphens/>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71962"/>
    <w:pPr>
      <w:suppressAutoHyphens/>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71962"/>
    <w:pPr>
      <w:suppressAutoHyphens/>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71962"/>
    <w:pPr>
      <w:suppressAutoHyphens/>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71962"/>
    <w:pPr>
      <w:suppressAutoHyphens/>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171962"/>
    <w:pPr>
      <w:suppressAutoHyphens/>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171962"/>
    <w:pPr>
      <w:suppressAutoHyphens/>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171962"/>
    <w:pPr>
      <w:suppressAutoHyphens/>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171962"/>
    <w:pPr>
      <w:suppressAutoHyphens/>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71962"/>
    <w:pPr>
      <w:suppressAutoHyphens/>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71962"/>
    <w:pPr>
      <w:suppressAutoHyphens/>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71962"/>
    <w:pPr>
      <w:suppressAutoHyphens/>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71962"/>
    <w:pPr>
      <w:suppressAutoHyphens/>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71962"/>
    <w:pPr>
      <w:suppressAutoHyphens/>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71962"/>
    <w:pPr>
      <w:suppressAutoHyphens/>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71962"/>
    <w:pPr>
      <w:suppressAutoHyphens/>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71962"/>
    <w:pPr>
      <w:ind w:left="240" w:hanging="240"/>
    </w:pPr>
  </w:style>
  <w:style w:type="paragraph" w:styleId="TableofFigures">
    <w:name w:val="table of figures"/>
    <w:basedOn w:val="Normal"/>
    <w:next w:val="Normal"/>
    <w:uiPriority w:val="99"/>
    <w:semiHidden/>
    <w:rsid w:val="00171962"/>
  </w:style>
  <w:style w:type="table" w:styleId="TableProfessional">
    <w:name w:val="Table Professional"/>
    <w:basedOn w:val="TableNormal"/>
    <w:uiPriority w:val="99"/>
    <w:semiHidden/>
    <w:rsid w:val="00171962"/>
    <w:pPr>
      <w:suppressAutoHyphens/>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71962"/>
    <w:pPr>
      <w:suppressAutoHyphens/>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71962"/>
    <w:pPr>
      <w:suppressAutoHyphens/>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71962"/>
    <w:pPr>
      <w:suppressAutoHyphens/>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71962"/>
    <w:pPr>
      <w:suppressAutoHyphens/>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71962"/>
    <w:pPr>
      <w:suppressAutoHyphens/>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71962"/>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171962"/>
    <w:pPr>
      <w:suppressAutoHyphens/>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71962"/>
    <w:pPr>
      <w:suppressAutoHyphens/>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71962"/>
    <w:pPr>
      <w:suppressAutoHyphens/>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14B5"/>
    <w:pPr>
      <w:spacing w:before="120"/>
    </w:pPr>
    <w:rPr>
      <w:rFonts w:eastAsia="MS Gothic"/>
      <w:b/>
      <w:bCs/>
      <w:color w:val="474747"/>
      <w:szCs w:val="24"/>
    </w:rPr>
  </w:style>
  <w:style w:type="paragraph" w:styleId="TOC1">
    <w:name w:val="toc 1"/>
    <w:basedOn w:val="Normal"/>
    <w:next w:val="Normal"/>
    <w:autoRedefine/>
    <w:uiPriority w:val="99"/>
    <w:semiHidden/>
    <w:rsid w:val="004214B5"/>
    <w:pPr>
      <w:spacing w:before="120" w:after="60"/>
      <w:ind w:left="340" w:right="340" w:hanging="340"/>
    </w:pPr>
    <w:rPr>
      <w:color w:val="0D0D0D"/>
    </w:rPr>
  </w:style>
  <w:style w:type="paragraph" w:styleId="TOC2">
    <w:name w:val="toc 2"/>
    <w:basedOn w:val="Normal"/>
    <w:next w:val="Normal"/>
    <w:autoRedefine/>
    <w:uiPriority w:val="99"/>
    <w:semiHidden/>
    <w:rsid w:val="004214B5"/>
    <w:pPr>
      <w:spacing w:after="60"/>
      <w:ind w:left="680" w:right="340" w:hanging="340"/>
    </w:pPr>
  </w:style>
  <w:style w:type="paragraph" w:styleId="TOC3">
    <w:name w:val="toc 3"/>
    <w:basedOn w:val="Normal"/>
    <w:next w:val="Normal"/>
    <w:autoRedefine/>
    <w:uiPriority w:val="99"/>
    <w:semiHidden/>
    <w:rsid w:val="004214B5"/>
    <w:pPr>
      <w:spacing w:after="60"/>
      <w:ind w:left="1020" w:right="340" w:hanging="340"/>
    </w:pPr>
  </w:style>
  <w:style w:type="paragraph" w:styleId="TOC4">
    <w:name w:val="toc 4"/>
    <w:basedOn w:val="Normal"/>
    <w:next w:val="Normal"/>
    <w:autoRedefine/>
    <w:uiPriority w:val="99"/>
    <w:semiHidden/>
    <w:rsid w:val="004214B5"/>
    <w:pPr>
      <w:tabs>
        <w:tab w:val="right" w:leader="dot" w:pos="9017"/>
      </w:tabs>
      <w:spacing w:after="60"/>
      <w:ind w:left="1361" w:right="340" w:hanging="340"/>
    </w:pPr>
  </w:style>
  <w:style w:type="paragraph" w:styleId="TOC5">
    <w:name w:val="toc 5"/>
    <w:basedOn w:val="Normal"/>
    <w:next w:val="Normal"/>
    <w:autoRedefine/>
    <w:uiPriority w:val="99"/>
    <w:semiHidden/>
    <w:rsid w:val="004214B5"/>
    <w:pPr>
      <w:spacing w:after="60"/>
      <w:ind w:left="1701" w:right="340" w:hanging="340"/>
    </w:pPr>
  </w:style>
  <w:style w:type="paragraph" w:styleId="TOC6">
    <w:name w:val="toc 6"/>
    <w:basedOn w:val="Normal"/>
    <w:next w:val="Normal"/>
    <w:autoRedefine/>
    <w:uiPriority w:val="99"/>
    <w:semiHidden/>
    <w:rsid w:val="00171962"/>
    <w:pPr>
      <w:spacing w:after="100"/>
      <w:ind w:left="1200"/>
    </w:pPr>
  </w:style>
  <w:style w:type="paragraph" w:styleId="TOC7">
    <w:name w:val="toc 7"/>
    <w:basedOn w:val="Normal"/>
    <w:next w:val="Normal"/>
    <w:autoRedefine/>
    <w:uiPriority w:val="99"/>
    <w:semiHidden/>
    <w:rsid w:val="00171962"/>
    <w:pPr>
      <w:spacing w:after="100"/>
      <w:ind w:left="1440"/>
    </w:pPr>
  </w:style>
  <w:style w:type="paragraph" w:styleId="TOC8">
    <w:name w:val="toc 8"/>
    <w:basedOn w:val="Normal"/>
    <w:next w:val="Normal"/>
    <w:autoRedefine/>
    <w:uiPriority w:val="99"/>
    <w:semiHidden/>
    <w:rsid w:val="00171962"/>
    <w:pPr>
      <w:spacing w:after="100"/>
      <w:ind w:left="1680"/>
    </w:pPr>
  </w:style>
  <w:style w:type="paragraph" w:styleId="TOC9">
    <w:name w:val="toc 9"/>
    <w:basedOn w:val="Normal"/>
    <w:next w:val="Normal"/>
    <w:autoRedefine/>
    <w:uiPriority w:val="99"/>
    <w:semiHidden/>
    <w:rsid w:val="00171962"/>
    <w:pPr>
      <w:spacing w:after="100"/>
      <w:ind w:left="1920"/>
    </w:pPr>
  </w:style>
  <w:style w:type="paragraph" w:customStyle="1" w:styleId="ECHRTitleCentre1">
    <w:name w:val="ECHR_Title_Centre_1"/>
    <w:aliases w:val="Opi_H_Head"/>
    <w:basedOn w:val="Normal"/>
    <w:next w:val="OpiPara"/>
    <w:uiPriority w:val="99"/>
    <w:rsid w:val="004214B5"/>
    <w:pPr>
      <w:keepNext/>
      <w:keepLines/>
      <w:spacing w:after="240"/>
      <w:jc w:val="center"/>
      <w:outlineLvl w:val="0"/>
    </w:pPr>
    <w:rPr>
      <w:sz w:val="28"/>
      <w:lang w:val="fr-FR" w:eastAsia="fr-FR"/>
    </w:rPr>
  </w:style>
  <w:style w:type="paragraph" w:customStyle="1" w:styleId="JuQuotSub">
    <w:name w:val="Ju_Quot_Sub"/>
    <w:basedOn w:val="ECHRParaQuote"/>
    <w:uiPriority w:val="99"/>
    <w:rsid w:val="004214B5"/>
    <w:pPr>
      <w:ind w:left="567"/>
    </w:pPr>
  </w:style>
  <w:style w:type="paragraph" w:customStyle="1" w:styleId="JuInitialled">
    <w:name w:val="Ju_Initialled"/>
    <w:basedOn w:val="Normal"/>
    <w:uiPriority w:val="99"/>
    <w:rsid w:val="004214B5"/>
    <w:pPr>
      <w:tabs>
        <w:tab w:val="center" w:pos="6407"/>
      </w:tabs>
      <w:spacing w:before="720"/>
      <w:jc w:val="right"/>
    </w:pPr>
    <w:rPr>
      <w:lang w:val="fr-FR" w:eastAsia="fr-FR"/>
    </w:rPr>
  </w:style>
  <w:style w:type="paragraph" w:customStyle="1" w:styleId="OpiHA">
    <w:name w:val="Opi_H_A"/>
    <w:basedOn w:val="ECHRHeading1"/>
    <w:next w:val="OpiPara"/>
    <w:uiPriority w:val="99"/>
    <w:rsid w:val="004214B5"/>
    <w:pPr>
      <w:tabs>
        <w:tab w:val="clear" w:pos="357"/>
      </w:tabs>
      <w:outlineLvl w:val="1"/>
    </w:pPr>
    <w:rPr>
      <w:b/>
    </w:rPr>
  </w:style>
  <w:style w:type="character" w:customStyle="1" w:styleId="JUNAMES0">
    <w:name w:val="JU_NAMES"/>
    <w:uiPriority w:val="99"/>
    <w:rsid w:val="004214B5"/>
    <w:rPr>
      <w:smallCaps/>
    </w:rPr>
  </w:style>
  <w:style w:type="paragraph" w:customStyle="1" w:styleId="OpiTranslation">
    <w:name w:val="Opi_Translation"/>
    <w:basedOn w:val="Normal"/>
    <w:next w:val="OpiPara"/>
    <w:uiPriority w:val="99"/>
    <w:rsid w:val="004214B5"/>
    <w:pPr>
      <w:jc w:val="center"/>
      <w:outlineLvl w:val="0"/>
    </w:pPr>
    <w:rPr>
      <w:i/>
      <w:lang w:val="fr-FR" w:eastAsia="fr-FR"/>
    </w:rPr>
  </w:style>
  <w:style w:type="paragraph" w:customStyle="1" w:styleId="DecHTitle">
    <w:name w:val="Dec_H_Title"/>
    <w:basedOn w:val="ECHRTitleCentre1"/>
    <w:uiPriority w:val="99"/>
    <w:semiHidden/>
    <w:rsid w:val="004214B5"/>
  </w:style>
  <w:style w:type="paragraph" w:customStyle="1" w:styleId="ECHRHeading3">
    <w:name w:val="ECHR_Heading_3"/>
    <w:aliases w:val="Ju_H_1."/>
    <w:basedOn w:val="Heading3"/>
    <w:next w:val="ECHRPara"/>
    <w:uiPriority w:val="99"/>
    <w:rsid w:val="004214B5"/>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uiPriority w:val="99"/>
    <w:rsid w:val="004214B5"/>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99"/>
    <w:rsid w:val="004214B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99"/>
    <w:rsid w:val="004214B5"/>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99"/>
    <w:rsid w:val="004214B5"/>
    <w:pPr>
      <w:keepNext/>
      <w:keepLines/>
      <w:spacing w:before="240" w:after="120"/>
      <w:ind w:left="1236"/>
    </w:pPr>
    <w:rPr>
      <w:sz w:val="20"/>
    </w:rPr>
  </w:style>
  <w:style w:type="paragraph" w:customStyle="1" w:styleId="DecList">
    <w:name w:val="Dec_List"/>
    <w:basedOn w:val="Normal"/>
    <w:uiPriority w:val="99"/>
    <w:semiHidden/>
    <w:rsid w:val="004214B5"/>
    <w:pPr>
      <w:spacing w:before="240"/>
      <w:ind w:left="284"/>
    </w:pPr>
  </w:style>
  <w:style w:type="paragraph" w:customStyle="1" w:styleId="OpiH1">
    <w:name w:val="Opi_H_1"/>
    <w:basedOn w:val="ECHRHeading2"/>
    <w:uiPriority w:val="99"/>
    <w:rsid w:val="004214B5"/>
    <w:pPr>
      <w:ind w:left="635" w:hanging="357"/>
      <w:outlineLvl w:val="2"/>
    </w:pPr>
  </w:style>
  <w:style w:type="paragraph" w:customStyle="1" w:styleId="OpiHa0">
    <w:name w:val="Opi_H_a"/>
    <w:basedOn w:val="ECHRHeading3"/>
    <w:uiPriority w:val="99"/>
    <w:rsid w:val="004214B5"/>
    <w:pPr>
      <w:ind w:left="833" w:hanging="357"/>
      <w:outlineLvl w:val="3"/>
    </w:pPr>
    <w:rPr>
      <w:b/>
      <w:i w:val="0"/>
      <w:sz w:val="20"/>
    </w:rPr>
  </w:style>
  <w:style w:type="paragraph" w:customStyle="1" w:styleId="OpiHi">
    <w:name w:val="Opi_H_i"/>
    <w:basedOn w:val="ECHRHeading4"/>
    <w:uiPriority w:val="99"/>
    <w:rsid w:val="004214B5"/>
    <w:pPr>
      <w:ind w:left="1037" w:hanging="357"/>
      <w:outlineLvl w:val="4"/>
    </w:pPr>
    <w:rPr>
      <w:b w:val="0"/>
      <w:i/>
    </w:rPr>
  </w:style>
  <w:style w:type="table" w:customStyle="1" w:styleId="ECHRListTable">
    <w:name w:val="ECHR_List_Table"/>
    <w:uiPriority w:val="99"/>
    <w:rsid w:val="004214B5"/>
    <w:rPr>
      <w:sz w:val="20"/>
      <w:szCs w:val="20"/>
      <w:lang w:val="en-US" w:eastAsia="en-US"/>
    </w:rPr>
    <w:tblPr>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rFonts w:cs="Times New Roman"/>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character" w:customStyle="1" w:styleId="textcolumn">
    <w:name w:val="textcolumn"/>
    <w:basedOn w:val="DefaultParagraphFont"/>
    <w:uiPriority w:val="99"/>
    <w:rsid w:val="00246668"/>
    <w:rPr>
      <w:rFonts w:cs="Times New Roman"/>
    </w:rPr>
  </w:style>
  <w:style w:type="character" w:customStyle="1" w:styleId="apple-converted-space">
    <w:name w:val="apple-converted-space"/>
    <w:basedOn w:val="DefaultParagraphFont"/>
    <w:uiPriority w:val="99"/>
    <w:rsid w:val="00D7211B"/>
    <w:rPr>
      <w:rFonts w:cs="Times New Roman"/>
    </w:rPr>
  </w:style>
  <w:style w:type="character" w:customStyle="1" w:styleId="wordhighlighted">
    <w:name w:val="wordhighlighted"/>
    <w:basedOn w:val="DefaultParagraphFont"/>
    <w:uiPriority w:val="99"/>
    <w:rsid w:val="00D7211B"/>
    <w:rPr>
      <w:rFonts w:cs="Times New Roman"/>
    </w:rPr>
  </w:style>
  <w:style w:type="character" w:customStyle="1" w:styleId="JuParaCar">
    <w:name w:val="Ju_Para Car"/>
    <w:uiPriority w:val="99"/>
    <w:rsid w:val="00B446BF"/>
    <w:rPr>
      <w:rFonts w:eastAsia="MS Mincho"/>
      <w:sz w:val="24"/>
    </w:rPr>
  </w:style>
  <w:style w:type="paragraph" w:styleId="Revision">
    <w:name w:val="Revision"/>
    <w:hidden/>
    <w:uiPriority w:val="99"/>
    <w:semiHidden/>
    <w:rsid w:val="00092EA3"/>
    <w:rPr>
      <w:rFonts w:eastAsia="MS Mincho"/>
      <w:sz w:val="24"/>
      <w:lang w:val="en-US" w:eastAsia="en-US"/>
    </w:rPr>
  </w:style>
  <w:style w:type="character" w:customStyle="1" w:styleId="sb8d990e2">
    <w:name w:val="sb8d990e2"/>
    <w:basedOn w:val="DefaultParagraphFont"/>
    <w:uiPriority w:val="99"/>
    <w:rsid w:val="00230B2E"/>
    <w:rPr>
      <w:rFonts w:cs="Times New Roman"/>
    </w:rPr>
  </w:style>
  <w:style w:type="character" w:customStyle="1" w:styleId="s6b621b36">
    <w:name w:val="s6b621b36"/>
    <w:basedOn w:val="DefaultParagraphFont"/>
    <w:uiPriority w:val="99"/>
    <w:rsid w:val="006715BF"/>
    <w:rPr>
      <w:rFonts w:cs="Times New Roman"/>
    </w:rPr>
  </w:style>
  <w:style w:type="numbering" w:styleId="1ai">
    <w:name w:val="Outline List 1"/>
    <w:basedOn w:val="NoList"/>
    <w:uiPriority w:val="99"/>
    <w:semiHidden/>
    <w:unhideWhenUsed/>
    <w:rsid w:val="004E3133"/>
    <w:pPr>
      <w:numPr>
        <w:numId w:val="23"/>
      </w:numPr>
    </w:pPr>
  </w:style>
  <w:style w:type="numbering" w:styleId="111111">
    <w:name w:val="Outline List 2"/>
    <w:basedOn w:val="NoList"/>
    <w:uiPriority w:val="99"/>
    <w:semiHidden/>
    <w:unhideWhenUsed/>
    <w:rsid w:val="004E3133"/>
    <w:pPr>
      <w:numPr>
        <w:numId w:val="22"/>
      </w:numPr>
    </w:pPr>
  </w:style>
  <w:style w:type="numbering" w:styleId="ArticleSection">
    <w:name w:val="Outline List 3"/>
    <w:basedOn w:val="NoList"/>
    <w:uiPriority w:val="99"/>
    <w:semiHidden/>
    <w:unhideWhenUsed/>
    <w:rsid w:val="004E3133"/>
    <w:pPr>
      <w:numPr>
        <w:numId w:val="24"/>
      </w:numPr>
    </w:pPr>
  </w:style>
</w:styles>
</file>

<file path=word/webSettings.xml><?xml version="1.0" encoding="utf-8"?>
<w:webSettings xmlns:r="http://schemas.openxmlformats.org/officeDocument/2006/relationships" xmlns:w="http://schemas.openxmlformats.org/wordprocessingml/2006/main">
  <w:divs>
    <w:div w:id="2119597677">
      <w:marLeft w:val="0"/>
      <w:marRight w:val="0"/>
      <w:marTop w:val="0"/>
      <w:marBottom w:val="0"/>
      <w:divBdr>
        <w:top w:val="none" w:sz="0" w:space="0" w:color="auto"/>
        <w:left w:val="none" w:sz="0" w:space="0" w:color="auto"/>
        <w:bottom w:val="none" w:sz="0" w:space="0" w:color="auto"/>
        <w:right w:val="none" w:sz="0" w:space="0" w:color="auto"/>
      </w:divBdr>
    </w:div>
    <w:div w:id="2119597678">
      <w:marLeft w:val="0"/>
      <w:marRight w:val="0"/>
      <w:marTop w:val="0"/>
      <w:marBottom w:val="0"/>
      <w:divBdr>
        <w:top w:val="none" w:sz="0" w:space="0" w:color="auto"/>
        <w:left w:val="none" w:sz="0" w:space="0" w:color="auto"/>
        <w:bottom w:val="none" w:sz="0" w:space="0" w:color="auto"/>
        <w:right w:val="none" w:sz="0" w:space="0" w:color="auto"/>
      </w:divBdr>
      <w:divsChild>
        <w:div w:id="2119597679">
          <w:marLeft w:val="0"/>
          <w:marRight w:val="0"/>
          <w:marTop w:val="0"/>
          <w:marBottom w:val="0"/>
          <w:divBdr>
            <w:top w:val="none" w:sz="0" w:space="0" w:color="auto"/>
            <w:left w:val="none" w:sz="0" w:space="0" w:color="auto"/>
            <w:bottom w:val="none" w:sz="0" w:space="0" w:color="auto"/>
            <w:right w:val="none" w:sz="0" w:space="0" w:color="auto"/>
          </w:divBdr>
          <w:divsChild>
            <w:div w:id="2119597698">
              <w:marLeft w:val="0"/>
              <w:marRight w:val="0"/>
              <w:marTop w:val="0"/>
              <w:marBottom w:val="0"/>
              <w:divBdr>
                <w:top w:val="none" w:sz="0" w:space="0" w:color="auto"/>
                <w:left w:val="none" w:sz="0" w:space="0" w:color="auto"/>
                <w:bottom w:val="none" w:sz="0" w:space="0" w:color="auto"/>
                <w:right w:val="none" w:sz="0" w:space="0" w:color="auto"/>
              </w:divBdr>
              <w:divsChild>
                <w:div w:id="2119597696">
                  <w:marLeft w:val="0"/>
                  <w:marRight w:val="0"/>
                  <w:marTop w:val="0"/>
                  <w:marBottom w:val="0"/>
                  <w:divBdr>
                    <w:top w:val="none" w:sz="0" w:space="0" w:color="auto"/>
                    <w:left w:val="none" w:sz="0" w:space="0" w:color="auto"/>
                    <w:bottom w:val="none" w:sz="0" w:space="0" w:color="auto"/>
                    <w:right w:val="none" w:sz="0" w:space="0" w:color="auto"/>
                  </w:divBdr>
                  <w:divsChild>
                    <w:div w:id="2119597670">
                      <w:marLeft w:val="0"/>
                      <w:marRight w:val="0"/>
                      <w:marTop w:val="0"/>
                      <w:marBottom w:val="0"/>
                      <w:divBdr>
                        <w:top w:val="none" w:sz="0" w:space="0" w:color="auto"/>
                        <w:left w:val="none" w:sz="0" w:space="0" w:color="auto"/>
                        <w:bottom w:val="none" w:sz="0" w:space="0" w:color="auto"/>
                        <w:right w:val="none" w:sz="0" w:space="0" w:color="auto"/>
                      </w:divBdr>
                      <w:divsChild>
                        <w:div w:id="2119597674">
                          <w:marLeft w:val="0"/>
                          <w:marRight w:val="0"/>
                          <w:marTop w:val="0"/>
                          <w:marBottom w:val="0"/>
                          <w:divBdr>
                            <w:top w:val="none" w:sz="0" w:space="0" w:color="auto"/>
                            <w:left w:val="none" w:sz="0" w:space="0" w:color="auto"/>
                            <w:bottom w:val="none" w:sz="0" w:space="0" w:color="auto"/>
                            <w:right w:val="none" w:sz="0" w:space="0" w:color="auto"/>
                          </w:divBdr>
                          <w:divsChild>
                            <w:div w:id="2119597700">
                              <w:marLeft w:val="0"/>
                              <w:marRight w:val="0"/>
                              <w:marTop w:val="0"/>
                              <w:marBottom w:val="0"/>
                              <w:divBdr>
                                <w:top w:val="none" w:sz="0" w:space="0" w:color="auto"/>
                                <w:left w:val="none" w:sz="0" w:space="0" w:color="auto"/>
                                <w:bottom w:val="none" w:sz="0" w:space="0" w:color="auto"/>
                                <w:right w:val="none" w:sz="0" w:space="0" w:color="auto"/>
                              </w:divBdr>
                              <w:divsChild>
                                <w:div w:id="2119597695">
                                  <w:marLeft w:val="0"/>
                                  <w:marRight w:val="0"/>
                                  <w:marTop w:val="0"/>
                                  <w:marBottom w:val="0"/>
                                  <w:divBdr>
                                    <w:top w:val="none" w:sz="0" w:space="0" w:color="auto"/>
                                    <w:left w:val="none" w:sz="0" w:space="0" w:color="auto"/>
                                    <w:bottom w:val="none" w:sz="0" w:space="0" w:color="auto"/>
                                    <w:right w:val="none" w:sz="0" w:space="0" w:color="auto"/>
                                  </w:divBdr>
                                  <w:divsChild>
                                    <w:div w:id="2119597680">
                                      <w:marLeft w:val="0"/>
                                      <w:marRight w:val="0"/>
                                      <w:marTop w:val="0"/>
                                      <w:marBottom w:val="0"/>
                                      <w:divBdr>
                                        <w:top w:val="none" w:sz="0" w:space="0" w:color="auto"/>
                                        <w:left w:val="none" w:sz="0" w:space="0" w:color="auto"/>
                                        <w:bottom w:val="none" w:sz="0" w:space="0" w:color="auto"/>
                                        <w:right w:val="none" w:sz="0" w:space="0" w:color="auto"/>
                                      </w:divBdr>
                                      <w:divsChild>
                                        <w:div w:id="2119597697">
                                          <w:marLeft w:val="0"/>
                                          <w:marRight w:val="0"/>
                                          <w:marTop w:val="0"/>
                                          <w:marBottom w:val="0"/>
                                          <w:divBdr>
                                            <w:top w:val="none" w:sz="0" w:space="0" w:color="auto"/>
                                            <w:left w:val="none" w:sz="0" w:space="0" w:color="auto"/>
                                            <w:bottom w:val="none" w:sz="0" w:space="0" w:color="auto"/>
                                            <w:right w:val="none" w:sz="0" w:space="0" w:color="auto"/>
                                          </w:divBdr>
                                          <w:divsChild>
                                            <w:div w:id="2119597699">
                                              <w:marLeft w:val="0"/>
                                              <w:marRight w:val="0"/>
                                              <w:marTop w:val="0"/>
                                              <w:marBottom w:val="0"/>
                                              <w:divBdr>
                                                <w:top w:val="none" w:sz="0" w:space="0" w:color="auto"/>
                                                <w:left w:val="none" w:sz="0" w:space="0" w:color="auto"/>
                                                <w:bottom w:val="none" w:sz="0" w:space="0" w:color="auto"/>
                                                <w:right w:val="none" w:sz="0" w:space="0" w:color="auto"/>
                                              </w:divBdr>
                                              <w:divsChild>
                                                <w:div w:id="2119597689">
                                                  <w:marLeft w:val="0"/>
                                                  <w:marRight w:val="0"/>
                                                  <w:marTop w:val="0"/>
                                                  <w:marBottom w:val="0"/>
                                                  <w:divBdr>
                                                    <w:top w:val="none" w:sz="0" w:space="0" w:color="auto"/>
                                                    <w:left w:val="none" w:sz="0" w:space="0" w:color="auto"/>
                                                    <w:bottom w:val="none" w:sz="0" w:space="0" w:color="auto"/>
                                                    <w:right w:val="none" w:sz="0" w:space="0" w:color="auto"/>
                                                  </w:divBdr>
                                                  <w:divsChild>
                                                    <w:div w:id="2119597681">
                                                      <w:marLeft w:val="0"/>
                                                      <w:marRight w:val="0"/>
                                                      <w:marTop w:val="0"/>
                                                      <w:marBottom w:val="0"/>
                                                      <w:divBdr>
                                                        <w:top w:val="none" w:sz="0" w:space="0" w:color="auto"/>
                                                        <w:left w:val="none" w:sz="0" w:space="0" w:color="auto"/>
                                                        <w:bottom w:val="none" w:sz="0" w:space="0" w:color="auto"/>
                                                        <w:right w:val="none" w:sz="0" w:space="0" w:color="auto"/>
                                                      </w:divBdr>
                                                      <w:divsChild>
                                                        <w:div w:id="2119597671">
                                                          <w:marLeft w:val="0"/>
                                                          <w:marRight w:val="0"/>
                                                          <w:marTop w:val="0"/>
                                                          <w:marBottom w:val="0"/>
                                                          <w:divBdr>
                                                            <w:top w:val="none" w:sz="0" w:space="0" w:color="auto"/>
                                                            <w:left w:val="none" w:sz="0" w:space="0" w:color="auto"/>
                                                            <w:bottom w:val="none" w:sz="0" w:space="0" w:color="auto"/>
                                                            <w:right w:val="none" w:sz="0" w:space="0" w:color="auto"/>
                                                          </w:divBdr>
                                                          <w:divsChild>
                                                            <w:div w:id="2119597694">
                                                              <w:marLeft w:val="0"/>
                                                              <w:marRight w:val="0"/>
                                                              <w:marTop w:val="0"/>
                                                              <w:marBottom w:val="0"/>
                                                              <w:divBdr>
                                                                <w:top w:val="none" w:sz="0" w:space="0" w:color="auto"/>
                                                                <w:left w:val="none" w:sz="0" w:space="0" w:color="auto"/>
                                                                <w:bottom w:val="none" w:sz="0" w:space="0" w:color="auto"/>
                                                                <w:right w:val="none" w:sz="0" w:space="0" w:color="auto"/>
                                                              </w:divBdr>
                                                              <w:divsChild>
                                                                <w:div w:id="2119597686">
                                                                  <w:marLeft w:val="0"/>
                                                                  <w:marRight w:val="0"/>
                                                                  <w:marTop w:val="0"/>
                                                                  <w:marBottom w:val="0"/>
                                                                  <w:divBdr>
                                                                    <w:top w:val="none" w:sz="0" w:space="0" w:color="auto"/>
                                                                    <w:left w:val="none" w:sz="0" w:space="0" w:color="auto"/>
                                                                    <w:bottom w:val="none" w:sz="0" w:space="0" w:color="auto"/>
                                                                    <w:right w:val="none" w:sz="0" w:space="0" w:color="auto"/>
                                                                  </w:divBdr>
                                                                  <w:divsChild>
                                                                    <w:div w:id="2119597683">
                                                                      <w:marLeft w:val="0"/>
                                                                      <w:marRight w:val="0"/>
                                                                      <w:marTop w:val="0"/>
                                                                      <w:marBottom w:val="0"/>
                                                                      <w:divBdr>
                                                                        <w:top w:val="none" w:sz="0" w:space="0" w:color="auto"/>
                                                                        <w:left w:val="none" w:sz="0" w:space="0" w:color="auto"/>
                                                                        <w:bottom w:val="none" w:sz="0" w:space="0" w:color="auto"/>
                                                                        <w:right w:val="none" w:sz="0" w:space="0" w:color="auto"/>
                                                                      </w:divBdr>
                                                                      <w:divsChild>
                                                                        <w:div w:id="2119597691">
                                                                          <w:marLeft w:val="0"/>
                                                                          <w:marRight w:val="0"/>
                                                                          <w:marTop w:val="0"/>
                                                                          <w:marBottom w:val="0"/>
                                                                          <w:divBdr>
                                                                            <w:top w:val="none" w:sz="0" w:space="0" w:color="auto"/>
                                                                            <w:left w:val="none" w:sz="0" w:space="0" w:color="auto"/>
                                                                            <w:bottom w:val="none" w:sz="0" w:space="0" w:color="auto"/>
                                                                            <w:right w:val="none" w:sz="0" w:space="0" w:color="auto"/>
                                                                          </w:divBdr>
                                                                          <w:divsChild>
                                                                            <w:div w:id="2119597673">
                                                                              <w:marLeft w:val="0"/>
                                                                              <w:marRight w:val="0"/>
                                                                              <w:marTop w:val="0"/>
                                                                              <w:marBottom w:val="0"/>
                                                                              <w:divBdr>
                                                                                <w:top w:val="none" w:sz="0" w:space="0" w:color="auto"/>
                                                                                <w:left w:val="none" w:sz="0" w:space="0" w:color="auto"/>
                                                                                <w:bottom w:val="none" w:sz="0" w:space="0" w:color="auto"/>
                                                                                <w:right w:val="none" w:sz="0" w:space="0" w:color="auto"/>
                                                                              </w:divBdr>
                                                                              <w:divsChild>
                                                                                <w:div w:id="2119597687">
                                                                                  <w:marLeft w:val="0"/>
                                                                                  <w:marRight w:val="0"/>
                                                                                  <w:marTop w:val="0"/>
                                                                                  <w:marBottom w:val="0"/>
                                                                                  <w:divBdr>
                                                                                    <w:top w:val="none" w:sz="0" w:space="0" w:color="auto"/>
                                                                                    <w:left w:val="none" w:sz="0" w:space="0" w:color="auto"/>
                                                                                    <w:bottom w:val="none" w:sz="0" w:space="0" w:color="auto"/>
                                                                                    <w:right w:val="none" w:sz="0" w:space="0" w:color="auto"/>
                                                                                  </w:divBdr>
                                                                                  <w:divsChild>
                                                                                    <w:div w:id="2119597676">
                                                                                      <w:marLeft w:val="0"/>
                                                                                      <w:marRight w:val="0"/>
                                                                                      <w:marTop w:val="0"/>
                                                                                      <w:marBottom w:val="0"/>
                                                                                      <w:divBdr>
                                                                                        <w:top w:val="none" w:sz="0" w:space="0" w:color="auto"/>
                                                                                        <w:left w:val="none" w:sz="0" w:space="0" w:color="auto"/>
                                                                                        <w:bottom w:val="none" w:sz="0" w:space="0" w:color="auto"/>
                                                                                        <w:right w:val="none" w:sz="0" w:space="0" w:color="auto"/>
                                                                                      </w:divBdr>
                                                                                      <w:divsChild>
                                                                                        <w:div w:id="2119597693">
                                                                                          <w:marLeft w:val="0"/>
                                                                                          <w:marRight w:val="0"/>
                                                                                          <w:marTop w:val="0"/>
                                                                                          <w:marBottom w:val="0"/>
                                                                                          <w:divBdr>
                                                                                            <w:top w:val="none" w:sz="0" w:space="0" w:color="auto"/>
                                                                                            <w:left w:val="none" w:sz="0" w:space="0" w:color="auto"/>
                                                                                            <w:bottom w:val="none" w:sz="0" w:space="0" w:color="auto"/>
                                                                                            <w:right w:val="none" w:sz="0" w:space="0" w:color="auto"/>
                                                                                          </w:divBdr>
                                                                                          <w:divsChild>
                                                                                            <w:div w:id="2119597682">
                                                                                              <w:marLeft w:val="0"/>
                                                                                              <w:marRight w:val="0"/>
                                                                                              <w:marTop w:val="0"/>
                                                                                              <w:marBottom w:val="0"/>
                                                                                              <w:divBdr>
                                                                                                <w:top w:val="none" w:sz="0" w:space="0" w:color="auto"/>
                                                                                                <w:left w:val="none" w:sz="0" w:space="0" w:color="auto"/>
                                                                                                <w:bottom w:val="none" w:sz="0" w:space="0" w:color="auto"/>
                                                                                                <w:right w:val="none" w:sz="0" w:space="0" w:color="auto"/>
                                                                                              </w:divBdr>
                                                                                              <w:divsChild>
                                                                                                <w:div w:id="2119597685">
                                                                                                  <w:marLeft w:val="0"/>
                                                                                                  <w:marRight w:val="0"/>
                                                                                                  <w:marTop w:val="0"/>
                                                                                                  <w:marBottom w:val="0"/>
                                                                                                  <w:divBdr>
                                                                                                    <w:top w:val="none" w:sz="0" w:space="0" w:color="auto"/>
                                                                                                    <w:left w:val="none" w:sz="0" w:space="0" w:color="auto"/>
                                                                                                    <w:bottom w:val="none" w:sz="0" w:space="0" w:color="auto"/>
                                                                                                    <w:right w:val="none" w:sz="0" w:space="0" w:color="auto"/>
                                                                                                  </w:divBdr>
                                                                                                  <w:divsChild>
                                                                                                    <w:div w:id="2119597702">
                                                                                                      <w:marLeft w:val="0"/>
                                                                                                      <w:marRight w:val="0"/>
                                                                                                      <w:marTop w:val="0"/>
                                                                                                      <w:marBottom w:val="0"/>
                                                                                                      <w:divBdr>
                                                                                                        <w:top w:val="none" w:sz="0" w:space="0" w:color="auto"/>
                                                                                                        <w:left w:val="none" w:sz="0" w:space="0" w:color="auto"/>
                                                                                                        <w:bottom w:val="none" w:sz="0" w:space="0" w:color="auto"/>
                                                                                                        <w:right w:val="none" w:sz="0" w:space="0" w:color="auto"/>
                                                                                                      </w:divBdr>
                                                                                                      <w:divsChild>
                                                                                                        <w:div w:id="2119597690">
                                                                                                          <w:marLeft w:val="0"/>
                                                                                                          <w:marRight w:val="0"/>
                                                                                                          <w:marTop w:val="0"/>
                                                                                                          <w:marBottom w:val="0"/>
                                                                                                          <w:divBdr>
                                                                                                            <w:top w:val="none" w:sz="0" w:space="0" w:color="auto"/>
                                                                                                            <w:left w:val="none" w:sz="0" w:space="0" w:color="auto"/>
                                                                                                            <w:bottom w:val="none" w:sz="0" w:space="0" w:color="auto"/>
                                                                                                            <w:right w:val="none" w:sz="0" w:space="0" w:color="auto"/>
                                                                                                          </w:divBdr>
                                                                                                          <w:divsChild>
                                                                                                            <w:div w:id="2119597688">
                                                                                                              <w:marLeft w:val="0"/>
                                                                                                              <w:marRight w:val="0"/>
                                                                                                              <w:marTop w:val="0"/>
                                                                                                              <w:marBottom w:val="0"/>
                                                                                                              <w:divBdr>
                                                                                                                <w:top w:val="none" w:sz="0" w:space="0" w:color="auto"/>
                                                                                                                <w:left w:val="none" w:sz="0" w:space="0" w:color="auto"/>
                                                                                                                <w:bottom w:val="none" w:sz="0" w:space="0" w:color="auto"/>
                                                                                                                <w:right w:val="none" w:sz="0" w:space="0" w:color="auto"/>
                                                                                                              </w:divBdr>
                                                                                                              <w:divsChild>
                                                                                                                <w:div w:id="2119597672">
                                                                                                                  <w:marLeft w:val="0"/>
                                                                                                                  <w:marRight w:val="0"/>
                                                                                                                  <w:marTop w:val="0"/>
                                                                                                                  <w:marBottom w:val="0"/>
                                                                                                                  <w:divBdr>
                                                                                                                    <w:top w:val="none" w:sz="0" w:space="0" w:color="auto"/>
                                                                                                                    <w:left w:val="none" w:sz="0" w:space="0" w:color="auto"/>
                                                                                                                    <w:bottom w:val="none" w:sz="0" w:space="0" w:color="auto"/>
                                                                                                                    <w:right w:val="none" w:sz="0" w:space="0" w:color="auto"/>
                                                                                                                  </w:divBdr>
                                                                                                                  <w:divsChild>
                                                                                                                    <w:div w:id="2119597692">
                                                                                                                      <w:marLeft w:val="0"/>
                                                                                                                      <w:marRight w:val="0"/>
                                                                                                                      <w:marTop w:val="0"/>
                                                                                                                      <w:marBottom w:val="0"/>
                                                                                                                      <w:divBdr>
                                                                                                                        <w:top w:val="none" w:sz="0" w:space="0" w:color="auto"/>
                                                                                                                        <w:left w:val="none" w:sz="0" w:space="0" w:color="auto"/>
                                                                                                                        <w:bottom w:val="none" w:sz="0" w:space="0" w:color="auto"/>
                                                                                                                        <w:right w:val="none" w:sz="0" w:space="0" w:color="auto"/>
                                                                                                                      </w:divBdr>
                                                                                                                      <w:divsChild>
                                                                                                                        <w:div w:id="2119597684">
                                                                                                                          <w:marLeft w:val="0"/>
                                                                                                                          <w:marRight w:val="0"/>
                                                                                                                          <w:marTop w:val="0"/>
                                                                                                                          <w:marBottom w:val="0"/>
                                                                                                                          <w:divBdr>
                                                                                                                            <w:top w:val="none" w:sz="0" w:space="0" w:color="auto"/>
                                                                                                                            <w:left w:val="none" w:sz="0" w:space="0" w:color="auto"/>
                                                                                                                            <w:bottom w:val="none" w:sz="0" w:space="0" w:color="auto"/>
                                                                                                                            <w:right w:val="none" w:sz="0" w:space="0" w:color="auto"/>
                                                                                                                          </w:divBdr>
                                                                                                                          <w:divsChild>
                                                                                                                            <w:div w:id="21195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597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doc.echr.coe.int/sites/eng/Pages/search.aspx" TargetMode="Externa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yperlink" Target="http://hudoc.echr.coe.int/sites/eng/Pages/search.asp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18</Pages>
  <Words>26187</Words>
  <Characters>14927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2</cp:revision>
  <cp:lastPrinted>2008-01-17T09:46:00Z</cp:lastPrinted>
  <dcterms:created xsi:type="dcterms:W3CDTF">2014-02-11T08:52:00Z</dcterms:created>
  <dcterms:modified xsi:type="dcterms:W3CDTF">2014-03-25T08:14:00Z</dcterms:modified>
  <cp:category>ECHR Template</cp:category>
</cp:coreProperties>
</file>