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Default="00F71A6A" w:rsidP="009E3D54">
      <w:pPr>
        <w:jc w:val="center"/>
      </w:pPr>
    </w:p>
    <w:p w:rsidR="00813668" w:rsidRDefault="00813668" w:rsidP="009E3D54">
      <w:pPr>
        <w:jc w:val="center"/>
      </w:pPr>
    </w:p>
    <w:p w:rsidR="00813668" w:rsidRPr="00546EA4" w:rsidRDefault="00813668" w:rsidP="009E3D54">
      <w:pPr>
        <w:jc w:val="center"/>
      </w:pPr>
    </w:p>
    <w:p w:rsidR="00F71A6A" w:rsidRPr="00546EA4" w:rsidRDefault="00546EA4" w:rsidP="009E3D54">
      <w:pPr>
        <w:jc w:val="center"/>
      </w:pPr>
      <w:r w:rsidRPr="00546EA4">
        <w:t>FOURTH SECTION</w:t>
      </w:r>
    </w:p>
    <w:p w:rsidR="00F71A6A" w:rsidRDefault="00F71A6A" w:rsidP="009E3D54">
      <w:pPr>
        <w:jc w:val="center"/>
      </w:pPr>
    </w:p>
    <w:p w:rsidR="00813668" w:rsidRDefault="00813668" w:rsidP="009E3D54">
      <w:pPr>
        <w:jc w:val="center"/>
      </w:pPr>
    </w:p>
    <w:p w:rsidR="00813668" w:rsidRDefault="00813668" w:rsidP="009E3D54">
      <w:pPr>
        <w:jc w:val="center"/>
      </w:pPr>
    </w:p>
    <w:p w:rsidR="00813668" w:rsidRDefault="00813668" w:rsidP="009E3D54">
      <w:pPr>
        <w:jc w:val="center"/>
      </w:pPr>
    </w:p>
    <w:p w:rsidR="00813668" w:rsidRPr="00546EA4" w:rsidRDefault="00813668" w:rsidP="009E3D54">
      <w:pPr>
        <w:jc w:val="center"/>
      </w:pPr>
    </w:p>
    <w:p w:rsidR="00F71A6A" w:rsidRPr="00546EA4" w:rsidRDefault="00F71A6A" w:rsidP="009E3D54">
      <w:pPr>
        <w:jc w:val="center"/>
        <w:rPr>
          <w:b/>
        </w:rPr>
      </w:pPr>
      <w:bookmarkStart w:id="0" w:name="To"/>
      <w:r w:rsidRPr="00546EA4">
        <w:rPr>
          <w:b/>
        </w:rPr>
        <w:t xml:space="preserve">CASE OF </w:t>
      </w:r>
      <w:bookmarkEnd w:id="0"/>
      <w:r w:rsidR="00546EA4" w:rsidRPr="00546EA4">
        <w:rPr>
          <w:b/>
        </w:rPr>
        <w:t>BANNIKOV v. LATVIA</w:t>
      </w:r>
    </w:p>
    <w:p w:rsidR="00F71A6A" w:rsidRPr="00546EA4" w:rsidRDefault="00F71A6A" w:rsidP="009E3D54">
      <w:pPr>
        <w:jc w:val="center"/>
      </w:pPr>
    </w:p>
    <w:p w:rsidR="00F71A6A" w:rsidRPr="00546EA4" w:rsidRDefault="00F71A6A" w:rsidP="009E3D54">
      <w:pPr>
        <w:jc w:val="center"/>
        <w:rPr>
          <w:i/>
        </w:rPr>
      </w:pPr>
      <w:r w:rsidRPr="00546EA4">
        <w:rPr>
          <w:i/>
        </w:rPr>
        <w:t>(</w:t>
      </w:r>
      <w:r w:rsidR="00546EA4" w:rsidRPr="00546EA4">
        <w:rPr>
          <w:i/>
        </w:rPr>
        <w:t>Application no. 19279/03</w:t>
      </w:r>
      <w:r w:rsidRPr="00546EA4">
        <w:rPr>
          <w:i/>
        </w:rPr>
        <w:t>)</w:t>
      </w:r>
    </w:p>
    <w:p w:rsidR="00F71A6A" w:rsidRPr="00546EA4" w:rsidRDefault="00F71A6A" w:rsidP="009E3D54">
      <w:pPr>
        <w:jc w:val="center"/>
        <w:rPr>
          <w:szCs w:val="24"/>
        </w:rPr>
      </w:pPr>
    </w:p>
    <w:p w:rsidR="00F71A6A" w:rsidRPr="00546EA4" w:rsidRDefault="00F71A6A" w:rsidP="009E3D54">
      <w:pPr>
        <w:jc w:val="center"/>
        <w:rPr>
          <w:szCs w:val="24"/>
        </w:rPr>
      </w:pPr>
    </w:p>
    <w:p w:rsidR="00F71A6A" w:rsidRPr="00546EA4" w:rsidRDefault="00F71A6A" w:rsidP="009E3D54">
      <w:pPr>
        <w:jc w:val="center"/>
        <w:rPr>
          <w:szCs w:val="24"/>
        </w:rPr>
      </w:pPr>
    </w:p>
    <w:p w:rsidR="00F71A6A" w:rsidRPr="00546EA4" w:rsidRDefault="00F71A6A" w:rsidP="009E3D54">
      <w:pPr>
        <w:jc w:val="center"/>
        <w:rPr>
          <w:szCs w:val="24"/>
        </w:rPr>
      </w:pPr>
    </w:p>
    <w:p w:rsidR="00F71A6A" w:rsidRPr="00546EA4" w:rsidRDefault="00F71A6A" w:rsidP="009E3D54">
      <w:pPr>
        <w:jc w:val="center"/>
        <w:rPr>
          <w:szCs w:val="24"/>
        </w:rPr>
      </w:pPr>
    </w:p>
    <w:p w:rsidR="00F71A6A" w:rsidRPr="00813668" w:rsidRDefault="00813668" w:rsidP="00813668">
      <w:pPr>
        <w:jc w:val="center"/>
        <w:rPr>
          <w:szCs w:val="24"/>
        </w:rPr>
      </w:pPr>
      <w:r>
        <w:rPr>
          <w:szCs w:val="24"/>
        </w:rPr>
        <w:t>JUDGMENT</w:t>
      </w:r>
    </w:p>
    <w:p w:rsidR="00B11D20" w:rsidRPr="00546EA4" w:rsidRDefault="00B11D20" w:rsidP="00546EA4">
      <w:pPr>
        <w:jc w:val="both"/>
        <w:rPr>
          <w:szCs w:val="24"/>
        </w:rPr>
      </w:pPr>
    </w:p>
    <w:p w:rsidR="00813668" w:rsidRDefault="00813668" w:rsidP="00813668">
      <w:pPr>
        <w:pStyle w:val="JuCase"/>
        <w:ind w:firstLine="0"/>
        <w:jc w:val="center"/>
        <w:rPr>
          <w:b w:val="0"/>
        </w:rPr>
      </w:pPr>
    </w:p>
    <w:p w:rsidR="00813668" w:rsidRDefault="00813668" w:rsidP="00813668">
      <w:pPr>
        <w:pStyle w:val="JuCase"/>
        <w:ind w:firstLine="0"/>
        <w:jc w:val="center"/>
        <w:rPr>
          <w:b w:val="0"/>
        </w:rPr>
      </w:pPr>
    </w:p>
    <w:p w:rsidR="00813668" w:rsidRDefault="00813668" w:rsidP="00813668">
      <w:pPr>
        <w:pStyle w:val="JuCase"/>
        <w:ind w:firstLine="0"/>
        <w:jc w:val="center"/>
        <w:rPr>
          <w:b w:val="0"/>
        </w:rPr>
      </w:pPr>
      <w:r>
        <w:rPr>
          <w:b w:val="0"/>
        </w:rPr>
        <w:t>STRASBOURG</w:t>
      </w:r>
    </w:p>
    <w:p w:rsidR="00813668" w:rsidRDefault="00813668" w:rsidP="00813668">
      <w:pPr>
        <w:pStyle w:val="JuCase"/>
        <w:ind w:firstLine="0"/>
        <w:jc w:val="center"/>
        <w:rPr>
          <w:b w:val="0"/>
        </w:rPr>
      </w:pPr>
    </w:p>
    <w:p w:rsidR="00813668" w:rsidRDefault="00813668" w:rsidP="00813668">
      <w:pPr>
        <w:pStyle w:val="JuCase"/>
        <w:ind w:firstLine="0"/>
        <w:jc w:val="center"/>
        <w:rPr>
          <w:b w:val="0"/>
        </w:rPr>
      </w:pPr>
      <w:r>
        <w:rPr>
          <w:b w:val="0"/>
        </w:rPr>
        <w:t>11 June 2013</w:t>
      </w:r>
    </w:p>
    <w:p w:rsidR="00813668" w:rsidRDefault="00813668" w:rsidP="00813668">
      <w:pPr>
        <w:pStyle w:val="JuCase"/>
        <w:ind w:firstLine="0"/>
        <w:jc w:val="center"/>
        <w:rPr>
          <w:b w:val="0"/>
        </w:rPr>
      </w:pPr>
    </w:p>
    <w:p w:rsidR="00F50242" w:rsidRDefault="00F50242" w:rsidP="00F50242">
      <w:pPr>
        <w:pStyle w:val="jucase0"/>
        <w:ind w:firstLine="0"/>
        <w:jc w:val="center"/>
        <w:rPr>
          <w:color w:val="FF0000"/>
          <w:sz w:val="28"/>
          <w:szCs w:val="28"/>
          <w:u w:val="single"/>
        </w:rPr>
      </w:pPr>
      <w:r>
        <w:rPr>
          <w:color w:val="FF0000"/>
          <w:sz w:val="28"/>
          <w:szCs w:val="28"/>
          <w:u w:val="single"/>
        </w:rPr>
        <w:t>FINAL</w:t>
      </w:r>
    </w:p>
    <w:p w:rsidR="00F50242" w:rsidRDefault="00F50242" w:rsidP="00F50242">
      <w:pPr>
        <w:pStyle w:val="jupara0"/>
        <w:ind w:firstLine="0"/>
        <w:rPr>
          <w:color w:val="FF0000"/>
          <w:sz w:val="28"/>
          <w:szCs w:val="28"/>
        </w:rPr>
      </w:pPr>
    </w:p>
    <w:p w:rsidR="00F50242" w:rsidRDefault="00F50242" w:rsidP="00F50242">
      <w:pPr>
        <w:pStyle w:val="jupara0"/>
        <w:ind w:firstLine="0"/>
        <w:jc w:val="center"/>
        <w:rPr>
          <w:color w:val="FF0000"/>
          <w:sz w:val="28"/>
          <w:szCs w:val="28"/>
        </w:rPr>
      </w:pPr>
      <w:r>
        <w:rPr>
          <w:color w:val="FF0000"/>
          <w:sz w:val="28"/>
          <w:szCs w:val="28"/>
        </w:rPr>
        <w:t>11/09/2013</w:t>
      </w:r>
    </w:p>
    <w:p w:rsidR="00F50242" w:rsidRDefault="00F50242" w:rsidP="00F50242">
      <w:pPr>
        <w:pStyle w:val="jupara0"/>
        <w:ind w:firstLine="0"/>
        <w:jc w:val="center"/>
      </w:pPr>
    </w:p>
    <w:p w:rsidR="00F50242" w:rsidRDefault="00F50242" w:rsidP="00F50242">
      <w:pPr>
        <w:rPr>
          <w:i/>
          <w:iCs/>
          <w:sz w:val="22"/>
          <w:szCs w:val="22"/>
        </w:rPr>
      </w:pPr>
      <w:r>
        <w:rPr>
          <w:i/>
          <w:iCs/>
          <w:sz w:val="22"/>
          <w:szCs w:val="22"/>
        </w:rPr>
        <w:t>This judgment has become final under Article 44 § 2 of the Convention. It may be subject to editorial revision.</w:t>
      </w:r>
    </w:p>
    <w:p w:rsidR="00813668" w:rsidRDefault="00813668" w:rsidP="00813668">
      <w:pPr>
        <w:pStyle w:val="JuCase"/>
        <w:ind w:firstLine="0"/>
        <w:rPr>
          <w:b w:val="0"/>
          <w:i/>
          <w:sz w:val="22"/>
        </w:rPr>
      </w:pPr>
    </w:p>
    <w:p w:rsidR="00813668" w:rsidRPr="00813668" w:rsidRDefault="00813668" w:rsidP="00813668">
      <w:pPr>
        <w:pStyle w:val="JuPara"/>
        <w:sectPr w:rsidR="00813668" w:rsidRPr="00813668" w:rsidSect="00813668">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8E18A4" w:rsidRPr="00546EA4" w:rsidRDefault="00F71A6A" w:rsidP="00FD50AC">
      <w:pPr>
        <w:pStyle w:val="JuCase"/>
        <w:rPr>
          <w:b w:val="0"/>
          <w:bCs/>
        </w:rPr>
      </w:pPr>
      <w:r w:rsidRPr="00546EA4">
        <w:t xml:space="preserve">In the </w:t>
      </w:r>
      <w:r w:rsidR="00B04F25" w:rsidRPr="00546EA4">
        <w:t>case</w:t>
      </w:r>
      <w:r w:rsidRPr="00546EA4">
        <w:t xml:space="preserve"> of</w:t>
      </w:r>
      <w:r w:rsidR="008E18A4" w:rsidRPr="00546EA4">
        <w:t xml:space="preserve"> </w:t>
      </w:r>
      <w:r w:rsidR="00546EA4" w:rsidRPr="00546EA4">
        <w:t xml:space="preserve">Bannikov v. </w:t>
      </w:r>
      <w:smartTag w:uri="urn:schemas-microsoft-com:office:smarttags" w:element="place">
        <w:smartTag w:uri="urn:schemas-microsoft-com:office:smarttags" w:element="country-region">
          <w:r w:rsidR="00546EA4" w:rsidRPr="00546EA4">
            <w:t>Latvia</w:t>
          </w:r>
        </w:smartTag>
      </w:smartTag>
      <w:r w:rsidR="008E18A4" w:rsidRPr="00546EA4">
        <w:t>,</w:t>
      </w:r>
    </w:p>
    <w:p w:rsidR="00E51DEE" w:rsidRPr="00546EA4" w:rsidRDefault="00F71A6A" w:rsidP="008E18A4">
      <w:pPr>
        <w:pStyle w:val="JuCase"/>
        <w:rPr>
          <w:b w:val="0"/>
          <w:bCs/>
        </w:rPr>
      </w:pPr>
      <w:r w:rsidRPr="00546EA4">
        <w:rPr>
          <w:b w:val="0"/>
          <w:bCs/>
        </w:rPr>
        <w:t>The European Court of Human Rights (</w:t>
      </w:r>
      <w:r w:rsidR="00546EA4" w:rsidRPr="00546EA4">
        <w:rPr>
          <w:b w:val="0"/>
          <w:bCs/>
        </w:rPr>
        <w:t>Fourth Section</w:t>
      </w:r>
      <w:r w:rsidRPr="00546EA4">
        <w:rPr>
          <w:b w:val="0"/>
          <w:bCs/>
        </w:rPr>
        <w:t xml:space="preserve">), sitting as a </w:t>
      </w:r>
      <w:r w:rsidR="004A0B93">
        <w:rPr>
          <w:b w:val="0"/>
          <w:bCs/>
        </w:rPr>
        <w:t>Chamber</w:t>
      </w:r>
      <w:r w:rsidR="00E51DEE" w:rsidRPr="00546EA4">
        <w:rPr>
          <w:b w:val="0"/>
          <w:bCs/>
        </w:rPr>
        <w:t xml:space="preserve"> composed of:</w:t>
      </w:r>
    </w:p>
    <w:p w:rsidR="00F71A6A" w:rsidRPr="00273032" w:rsidRDefault="00813668" w:rsidP="009E3D54">
      <w:pPr>
        <w:pStyle w:val="JuJudges"/>
      </w:pPr>
      <w:r w:rsidRPr="00813668">
        <w:tab/>
        <w:t>David Thór</w:t>
      </w:r>
      <w:r>
        <w:t xml:space="preserve"> </w:t>
      </w:r>
      <w:r w:rsidRPr="00813668">
        <w:t>Björgvinsson</w:t>
      </w:r>
      <w:r>
        <w:t>,</w:t>
      </w:r>
      <w:r w:rsidRPr="00813668">
        <w:rPr>
          <w:i/>
        </w:rPr>
        <w:t xml:space="preserve"> President,</w:t>
      </w:r>
      <w:r>
        <w:rPr>
          <w:i/>
        </w:rPr>
        <w:br/>
      </w:r>
      <w:r w:rsidRPr="00813668">
        <w:tab/>
        <w:t>Ineta</w:t>
      </w:r>
      <w:r>
        <w:t xml:space="preserve"> </w:t>
      </w:r>
      <w:r w:rsidRPr="00813668">
        <w:t>Ziemele</w:t>
      </w:r>
      <w:r>
        <w:t>,</w:t>
      </w:r>
      <w:r>
        <w:rPr>
          <w:i/>
        </w:rPr>
        <w:br/>
      </w:r>
      <w:r w:rsidRPr="00813668">
        <w:tab/>
        <w:t>Päivi</w:t>
      </w:r>
      <w:r>
        <w:t xml:space="preserve"> </w:t>
      </w:r>
      <w:r w:rsidRPr="00813668">
        <w:t>Hirvelä</w:t>
      </w:r>
      <w:r>
        <w:t>,</w:t>
      </w:r>
      <w:r>
        <w:rPr>
          <w:i/>
        </w:rPr>
        <w:br/>
      </w:r>
      <w:r w:rsidRPr="00813668">
        <w:tab/>
        <w:t>George</w:t>
      </w:r>
      <w:r>
        <w:t xml:space="preserve"> </w:t>
      </w:r>
      <w:r w:rsidRPr="00813668">
        <w:t>Nicolaou</w:t>
      </w:r>
      <w:r>
        <w:t>,</w:t>
      </w:r>
      <w:r>
        <w:rPr>
          <w:i/>
        </w:rPr>
        <w:br/>
      </w:r>
      <w:r w:rsidRPr="00813668">
        <w:tab/>
        <w:t>Zdravka</w:t>
      </w:r>
      <w:r>
        <w:t xml:space="preserve"> </w:t>
      </w:r>
      <w:r w:rsidRPr="00813668">
        <w:t>Kalaydjieva</w:t>
      </w:r>
      <w:r>
        <w:t>,</w:t>
      </w:r>
      <w:r>
        <w:rPr>
          <w:i/>
        </w:rPr>
        <w:br/>
      </w:r>
      <w:r w:rsidRPr="00813668">
        <w:tab/>
        <w:t>Vincent A.</w:t>
      </w:r>
      <w:r>
        <w:t xml:space="preserve"> </w:t>
      </w:r>
      <w:r w:rsidR="0084582A">
        <w:t>D</w:t>
      </w:r>
      <w:r w:rsidRPr="00813668">
        <w:t>e Gaetano</w:t>
      </w:r>
      <w:r>
        <w:t>,</w:t>
      </w:r>
      <w:r>
        <w:rPr>
          <w:i/>
        </w:rPr>
        <w:br/>
      </w:r>
      <w:r w:rsidRPr="00813668">
        <w:tab/>
        <w:t>Krzysztof</w:t>
      </w:r>
      <w:r>
        <w:t xml:space="preserve"> </w:t>
      </w:r>
      <w:r w:rsidRPr="00813668">
        <w:t>Wojtyczek</w:t>
      </w:r>
      <w:r>
        <w:t>,</w:t>
      </w:r>
      <w:r w:rsidRPr="00813668">
        <w:rPr>
          <w:i/>
        </w:rPr>
        <w:t xml:space="preserve"> judges,</w:t>
      </w:r>
      <w:r w:rsidR="00E51DEE" w:rsidRPr="00546EA4">
        <w:br/>
      </w:r>
      <w:r w:rsidR="00F71A6A" w:rsidRPr="00546EA4">
        <w:t>and</w:t>
      </w:r>
      <w:r w:rsidR="00BE55FA" w:rsidRPr="00546EA4">
        <w:t xml:space="preserve"> </w:t>
      </w:r>
      <w:r w:rsidRPr="005A02C6">
        <w:rPr>
          <w:rStyle w:val="JuJudgesChar"/>
        </w:rPr>
        <w:t>Françoise Elens-Passos</w:t>
      </w:r>
      <w:r w:rsidR="00300753" w:rsidRPr="00546EA4">
        <w:rPr>
          <w:rStyle w:val="JuJudgesChar"/>
        </w:rPr>
        <w:t xml:space="preserve">, </w:t>
      </w:r>
      <w:r w:rsidR="00546EA4" w:rsidRPr="00546EA4">
        <w:rPr>
          <w:i/>
        </w:rPr>
        <w:t xml:space="preserve">Section </w:t>
      </w:r>
      <w:r w:rsidR="00546EA4" w:rsidRPr="00546EA4">
        <w:rPr>
          <w:i/>
          <w:iCs/>
        </w:rPr>
        <w:t>Registrar</w:t>
      </w:r>
      <w:r w:rsidR="00F71A6A" w:rsidRPr="00273032">
        <w:t>,</w:t>
      </w:r>
    </w:p>
    <w:p w:rsidR="00F71A6A" w:rsidRPr="00546EA4" w:rsidRDefault="00F71A6A" w:rsidP="009E3D54">
      <w:pPr>
        <w:pStyle w:val="JuPara"/>
      </w:pPr>
      <w:r w:rsidRPr="00546EA4">
        <w:t xml:space="preserve">Having deliberated in private on </w:t>
      </w:r>
      <w:r w:rsidR="00813668">
        <w:t>21 May 2013</w:t>
      </w:r>
      <w:r w:rsidRPr="00546EA4">
        <w:t>,</w:t>
      </w:r>
    </w:p>
    <w:p w:rsidR="00F71A6A" w:rsidRPr="00546EA4" w:rsidRDefault="00F71A6A" w:rsidP="00943B61">
      <w:pPr>
        <w:pStyle w:val="JuPara"/>
      </w:pPr>
      <w:r w:rsidRPr="00546EA4">
        <w:t>Delivers the following judgment, which was adopted on that date:</w:t>
      </w:r>
    </w:p>
    <w:p w:rsidR="00F71A6A" w:rsidRPr="00546EA4" w:rsidRDefault="00F71A6A" w:rsidP="009E3D54">
      <w:pPr>
        <w:pStyle w:val="JuHHead"/>
      </w:pPr>
      <w:r w:rsidRPr="00546EA4">
        <w:t>PROCEDURE</w:t>
      </w:r>
    </w:p>
    <w:p w:rsidR="00D771EC" w:rsidRDefault="00546EA4" w:rsidP="00B74432">
      <w:pPr>
        <w:pStyle w:val="JuPara"/>
      </w:pPr>
      <w:r w:rsidRPr="00546EA4">
        <w:fldChar w:fldCharType="begin"/>
      </w:r>
      <w:r w:rsidRPr="00546EA4">
        <w:instrText xml:space="preserve"> SEQ level0 \*arabic </w:instrText>
      </w:r>
      <w:r w:rsidRPr="00546EA4">
        <w:fldChar w:fldCharType="separate"/>
      </w:r>
      <w:r w:rsidR="00D814D9">
        <w:rPr>
          <w:noProof/>
        </w:rPr>
        <w:t>1</w:t>
      </w:r>
      <w:r w:rsidRPr="00546EA4">
        <w:fldChar w:fldCharType="end"/>
      </w:r>
      <w:r w:rsidR="00F71A6A" w:rsidRPr="00546EA4">
        <w:t xml:space="preserve">.  The </w:t>
      </w:r>
      <w:r w:rsidR="00B04F25" w:rsidRPr="00546EA4">
        <w:t>case</w:t>
      </w:r>
      <w:r w:rsidR="00F71A6A" w:rsidRPr="00546EA4">
        <w:t xml:space="preserve"> originated in </w:t>
      </w:r>
      <w:r w:rsidRPr="00546EA4">
        <w:rPr>
          <w:rStyle w:val="JuParaCar"/>
        </w:rPr>
        <w:t>an application (no. 19279/03)</w:t>
      </w:r>
      <w:r w:rsidR="00F71A6A" w:rsidRPr="00546EA4">
        <w:t xml:space="preserve"> against </w:t>
      </w:r>
      <w:r w:rsidRPr="00546EA4">
        <w:rPr>
          <w:rStyle w:val="JuParaCar"/>
        </w:rPr>
        <w:t xml:space="preserve">the </w:t>
      </w:r>
      <w:smartTag w:uri="urn:schemas-microsoft-com:office:smarttags" w:element="place">
        <w:smartTag w:uri="urn:schemas-microsoft-com:office:smarttags" w:element="PlaceType">
          <w:r w:rsidRPr="00546EA4">
            <w:rPr>
              <w:rStyle w:val="JuParaCar"/>
            </w:rPr>
            <w:t>Republic</w:t>
          </w:r>
        </w:smartTag>
        <w:r w:rsidRPr="00546EA4">
          <w:rPr>
            <w:rStyle w:val="JuParaCar"/>
          </w:rPr>
          <w:t xml:space="preserve"> of </w:t>
        </w:r>
        <w:smartTag w:uri="urn:schemas-microsoft-com:office:smarttags" w:element="PlaceName">
          <w:r w:rsidRPr="00546EA4">
            <w:rPr>
              <w:rStyle w:val="JuParaCar"/>
            </w:rPr>
            <w:t>Latvia</w:t>
          </w:r>
        </w:smartTag>
      </w:smartTag>
      <w:r w:rsidR="00F71A6A" w:rsidRPr="00546EA4">
        <w:t xml:space="preserve"> lodged with the </w:t>
      </w:r>
      <w:r w:rsidRPr="00546EA4">
        <w:t>Court under Article 34</w:t>
      </w:r>
      <w:r w:rsidR="009C77E7" w:rsidRPr="00546EA4">
        <w:t xml:space="preserve"> of the Convention for the Protection of Human Rights and Fundamental Freedoms (“the Convention”)</w:t>
      </w:r>
      <w:r w:rsidR="00F71A6A" w:rsidRPr="00546EA4">
        <w:t xml:space="preserve"> by </w:t>
      </w:r>
      <w:r w:rsidRPr="00546EA4">
        <w:rPr>
          <w:rStyle w:val="JuParaCar"/>
        </w:rPr>
        <w:t>a Russian national, Mr Igor Bannikov (“the applicant”), on 12 June 2003</w:t>
      </w:r>
      <w:r w:rsidR="00F71A6A" w:rsidRPr="00546EA4">
        <w:t>.</w:t>
      </w:r>
    </w:p>
    <w:p w:rsidR="0016278E" w:rsidRPr="00546EA4" w:rsidRDefault="00546EA4" w:rsidP="00EA1EBD">
      <w:pPr>
        <w:pStyle w:val="JuPara"/>
      </w:pPr>
      <w:r w:rsidRPr="00546EA4">
        <w:fldChar w:fldCharType="begin"/>
      </w:r>
      <w:r w:rsidRPr="00546EA4">
        <w:instrText xml:space="preserve"> SEQ level0 \*arabic </w:instrText>
      </w:r>
      <w:r w:rsidRPr="00546EA4">
        <w:fldChar w:fldCharType="separate"/>
      </w:r>
      <w:r w:rsidR="00D814D9">
        <w:rPr>
          <w:noProof/>
        </w:rPr>
        <w:t>2</w:t>
      </w:r>
      <w:r w:rsidRPr="00546EA4">
        <w:fldChar w:fldCharType="end"/>
      </w:r>
      <w:r w:rsidR="00F71A6A" w:rsidRPr="00546EA4">
        <w:t>.  </w:t>
      </w:r>
      <w:r w:rsidRPr="00546EA4">
        <w:rPr>
          <w:rStyle w:val="JuParaCar"/>
        </w:rPr>
        <w:t xml:space="preserve">The applicant was represented by Mr </w:t>
      </w:r>
      <w:r w:rsidR="00032A9C">
        <w:rPr>
          <w:rStyle w:val="JuParaCar"/>
        </w:rPr>
        <w:t>A. </w:t>
      </w:r>
      <w:r w:rsidRPr="00546EA4">
        <w:rPr>
          <w:rStyle w:val="JuParaCar"/>
        </w:rPr>
        <w:t xml:space="preserve">Manov, a lawyer practising in </w:t>
      </w:r>
      <w:smartTag w:uri="urn:schemas-microsoft-com:office:smarttags" w:element="place">
        <w:smartTag w:uri="urn:schemas-microsoft-com:office:smarttags" w:element="City">
          <w:r w:rsidRPr="00546EA4">
            <w:rPr>
              <w:rStyle w:val="JuParaCar"/>
            </w:rPr>
            <w:t>Moscow</w:t>
          </w:r>
        </w:smartTag>
      </w:smartTag>
      <w:r w:rsidRPr="00546EA4">
        <w:rPr>
          <w:rStyle w:val="JuParaCar"/>
        </w:rPr>
        <w:t xml:space="preserve">. </w:t>
      </w:r>
      <w:r w:rsidR="0016278E" w:rsidRPr="00546EA4">
        <w:t xml:space="preserve">The </w:t>
      </w:r>
      <w:r w:rsidRPr="00546EA4">
        <w:t>Latvian</w:t>
      </w:r>
      <w:r w:rsidR="0016278E" w:rsidRPr="00546EA4">
        <w:t xml:space="preserve"> Government (“the Government”) were represented by their Agent</w:t>
      </w:r>
      <w:r w:rsidR="002B0F64">
        <w:t>s</w:t>
      </w:r>
      <w:r w:rsidR="0016278E" w:rsidRPr="00546EA4">
        <w:t xml:space="preserve">, Mrs </w:t>
      </w:r>
      <w:r w:rsidR="00032A9C">
        <w:t>I. Reine and subsequently by Mrs K. L</w:t>
      </w:r>
      <w:r w:rsidR="00032A9C">
        <w:rPr>
          <w:lang w:val="lv-LV"/>
        </w:rPr>
        <w:t>īce</w:t>
      </w:r>
      <w:r w:rsidR="0016278E" w:rsidRPr="00546EA4">
        <w:t>.</w:t>
      </w:r>
    </w:p>
    <w:p w:rsidR="00CE67CB" w:rsidRPr="00546EA4" w:rsidRDefault="00546EA4" w:rsidP="00E02575">
      <w:pPr>
        <w:pStyle w:val="JuPara"/>
      </w:pPr>
      <w:r w:rsidRPr="00546EA4">
        <w:fldChar w:fldCharType="begin"/>
      </w:r>
      <w:r w:rsidRPr="00546EA4">
        <w:instrText xml:space="preserve"> SEQ level0 \*arabic </w:instrText>
      </w:r>
      <w:r w:rsidRPr="00546EA4">
        <w:fldChar w:fldCharType="separate"/>
      </w:r>
      <w:r w:rsidR="00D814D9">
        <w:rPr>
          <w:noProof/>
        </w:rPr>
        <w:t>3</w:t>
      </w:r>
      <w:r w:rsidRPr="00546EA4">
        <w:fldChar w:fldCharType="end"/>
      </w:r>
      <w:r w:rsidR="00F71A6A" w:rsidRPr="00546EA4">
        <w:t xml:space="preserve">.  On </w:t>
      </w:r>
      <w:r w:rsidRPr="00546EA4">
        <w:t>17 January 2012</w:t>
      </w:r>
      <w:r w:rsidR="00F71A6A" w:rsidRPr="00546EA4">
        <w:t xml:space="preserve"> </w:t>
      </w:r>
      <w:r w:rsidR="006B7780" w:rsidRPr="00546EA4">
        <w:t xml:space="preserve">the </w:t>
      </w:r>
      <w:r w:rsidRPr="00546EA4">
        <w:t xml:space="preserve">application was declared partly inadmissible and the complaints concerning the length of the </w:t>
      </w:r>
      <w:r w:rsidR="00032A9C">
        <w:t>applicant</w:t>
      </w:r>
      <w:r w:rsidR="00F50242">
        <w:t>’</w:t>
      </w:r>
      <w:r w:rsidR="00032A9C">
        <w:t xml:space="preserve">s pre-trial detention and </w:t>
      </w:r>
      <w:r w:rsidR="002B0F64">
        <w:t xml:space="preserve">the </w:t>
      </w:r>
      <w:r w:rsidR="008E16CF">
        <w:t xml:space="preserve">refusals of </w:t>
      </w:r>
      <w:r w:rsidR="00032A9C">
        <w:t xml:space="preserve">long-term visits </w:t>
      </w:r>
      <w:r w:rsidRPr="00546EA4">
        <w:t>were</w:t>
      </w:r>
      <w:r w:rsidR="006B7780" w:rsidRPr="00546EA4">
        <w:t xml:space="preserve"> communicated</w:t>
      </w:r>
      <w:r w:rsidR="00501D1A" w:rsidRPr="00546EA4">
        <w:t xml:space="preserve"> </w:t>
      </w:r>
      <w:r w:rsidR="00F71A6A" w:rsidRPr="00546EA4">
        <w:t>to the Government</w:t>
      </w:r>
      <w:r w:rsidR="00CE67CB" w:rsidRPr="00546EA4">
        <w:t>.</w:t>
      </w:r>
    </w:p>
    <w:p w:rsidR="00F71A6A" w:rsidRPr="00546EA4" w:rsidRDefault="00F71A6A" w:rsidP="009E3D54">
      <w:pPr>
        <w:pStyle w:val="JuHHead"/>
      </w:pPr>
      <w:r w:rsidRPr="00546EA4">
        <w:t>THE FACTS</w:t>
      </w:r>
    </w:p>
    <w:p w:rsidR="0050576E" w:rsidRPr="00546EA4" w:rsidRDefault="00032A9C" w:rsidP="009E3D54">
      <w:pPr>
        <w:pStyle w:val="JuHIRoman"/>
        <w:outlineLvl w:val="0"/>
      </w:pPr>
      <w:r>
        <w:t>I.  </w:t>
      </w:r>
      <w:r w:rsidR="0050576E" w:rsidRPr="00546EA4">
        <w:t>THE CIRCUMSTANCES OF THE CASE</w:t>
      </w:r>
    </w:p>
    <w:p w:rsidR="00F71A6A" w:rsidRDefault="00546EA4" w:rsidP="00943B61">
      <w:pPr>
        <w:pStyle w:val="JuPara"/>
      </w:pPr>
      <w:r w:rsidRPr="00546EA4">
        <w:fldChar w:fldCharType="begin"/>
      </w:r>
      <w:r w:rsidRPr="00546EA4">
        <w:instrText xml:space="preserve"> SEQ level0 \*arabic </w:instrText>
      </w:r>
      <w:r w:rsidRPr="00546EA4">
        <w:fldChar w:fldCharType="separate"/>
      </w:r>
      <w:r w:rsidR="00D814D9">
        <w:rPr>
          <w:noProof/>
        </w:rPr>
        <w:t>4</w:t>
      </w:r>
      <w:r w:rsidRPr="00546EA4">
        <w:fldChar w:fldCharType="end"/>
      </w:r>
      <w:r w:rsidR="00F71A6A" w:rsidRPr="00546EA4">
        <w:t xml:space="preserve">.  The </w:t>
      </w:r>
      <w:r w:rsidRPr="00546EA4">
        <w:t xml:space="preserve">applicant was born in </w:t>
      </w:r>
      <w:r w:rsidR="00032A9C">
        <w:t xml:space="preserve">1966 and, </w:t>
      </w:r>
      <w:r w:rsidR="00032A9C">
        <w:rPr>
          <w:color w:val="000000"/>
          <w:szCs w:val="24"/>
          <w:lang w:eastAsia="en-GB"/>
        </w:rPr>
        <w:t>having been sentenced by the Latvian courts</w:t>
      </w:r>
      <w:r w:rsidR="00BF2161">
        <w:rPr>
          <w:color w:val="000000"/>
          <w:szCs w:val="24"/>
          <w:lang w:eastAsia="en-GB"/>
        </w:rPr>
        <w:t xml:space="preserve"> and subsequently transferred to </w:t>
      </w:r>
      <w:smartTag w:uri="urn:schemas-microsoft-com:office:smarttags" w:element="country-region">
        <w:r w:rsidR="00BF2161">
          <w:rPr>
            <w:color w:val="000000"/>
            <w:szCs w:val="24"/>
            <w:lang w:eastAsia="en-GB"/>
          </w:rPr>
          <w:t>Russia</w:t>
        </w:r>
      </w:smartTag>
      <w:r w:rsidR="00032A9C">
        <w:rPr>
          <w:color w:val="000000"/>
          <w:szCs w:val="24"/>
          <w:lang w:eastAsia="en-GB"/>
        </w:rPr>
        <w:t xml:space="preserve">, is currently serving a prison sentence in the </w:t>
      </w:r>
      <w:r w:rsidR="00BF2161">
        <w:rPr>
          <w:color w:val="000000"/>
          <w:szCs w:val="24"/>
          <w:lang w:eastAsia="en-GB"/>
        </w:rPr>
        <w:t>Russian Federation</w:t>
      </w:r>
      <w:r w:rsidR="00F71A6A" w:rsidRPr="00546EA4">
        <w:t>.</w:t>
      </w:r>
    </w:p>
    <w:p w:rsidR="00D771EC" w:rsidRDefault="00032A9C" w:rsidP="00032A9C">
      <w:pPr>
        <w:pStyle w:val="JuHA"/>
      </w:pPr>
      <w:r>
        <w:t>A.  The applicant</w:t>
      </w:r>
      <w:r w:rsidR="00F50242">
        <w:t>’</w:t>
      </w:r>
      <w:r>
        <w:t xml:space="preserve">s </w:t>
      </w:r>
      <w:r w:rsidR="009D1F29">
        <w:t>arrest and detention</w:t>
      </w:r>
    </w:p>
    <w:p w:rsidR="00032A9C" w:rsidRDefault="00032A9C" w:rsidP="00032A9C">
      <w:pPr>
        <w:pStyle w:val="JuPara"/>
      </w:pPr>
      <w:r>
        <w:fldChar w:fldCharType="begin"/>
      </w:r>
      <w:r>
        <w:instrText xml:space="preserve"> SEQ level0 \*arabic </w:instrText>
      </w:r>
      <w:r>
        <w:fldChar w:fldCharType="separate"/>
      </w:r>
      <w:r w:rsidR="00D814D9">
        <w:rPr>
          <w:noProof/>
        </w:rPr>
        <w:t>5</w:t>
      </w:r>
      <w:r>
        <w:fldChar w:fldCharType="end"/>
      </w:r>
      <w:r>
        <w:t>.  On 27 May 2002 the applicant was arrested on suspicion of murder.</w:t>
      </w:r>
    </w:p>
    <w:p w:rsidR="00E1511B" w:rsidRDefault="00E1511B" w:rsidP="00032A9C">
      <w:pPr>
        <w:pStyle w:val="JuPara"/>
      </w:pPr>
      <w:r w:rsidRPr="007C3349">
        <w:fldChar w:fldCharType="begin"/>
      </w:r>
      <w:r w:rsidRPr="007C3349">
        <w:instrText xml:space="preserve"> SEQ level0 \*arabic </w:instrText>
      </w:r>
      <w:r w:rsidRPr="007C3349">
        <w:fldChar w:fldCharType="separate"/>
      </w:r>
      <w:r w:rsidR="00D814D9">
        <w:rPr>
          <w:noProof/>
        </w:rPr>
        <w:t>6</w:t>
      </w:r>
      <w:r w:rsidRPr="007C3349">
        <w:fldChar w:fldCharType="end"/>
      </w:r>
      <w:r w:rsidRPr="007C3349">
        <w:t>.  On 29 May 2002 a judge authorised the applicant</w:t>
      </w:r>
      <w:r w:rsidR="00F50242">
        <w:t>’</w:t>
      </w:r>
      <w:r w:rsidRPr="007C3349">
        <w:t>s remand</w:t>
      </w:r>
      <w:r w:rsidR="00BF2161" w:rsidRPr="007C3349">
        <w:t xml:space="preserve"> in custody</w:t>
      </w:r>
      <w:r w:rsidR="007C3349" w:rsidRPr="007C3349">
        <w:t>,</w:t>
      </w:r>
      <w:r w:rsidR="007C3349">
        <w:t xml:space="preserve"> </w:t>
      </w:r>
      <w:r w:rsidR="007C3349" w:rsidRPr="007C3349">
        <w:rPr>
          <w:bCs/>
        </w:rPr>
        <w:t>citing the following reasons: the applicant might abscond and impede the investigation; and in view of the severity of the offence, his prior convictions and his absence of a registered place of residence.</w:t>
      </w:r>
    </w:p>
    <w:p w:rsidR="00D705A7" w:rsidRDefault="00D705A7" w:rsidP="00032A9C">
      <w:pPr>
        <w:pStyle w:val="JuPara"/>
      </w:pPr>
      <w:r>
        <w:fldChar w:fldCharType="begin"/>
      </w:r>
      <w:r>
        <w:instrText xml:space="preserve"> SEQ level0 \*arabic </w:instrText>
      </w:r>
      <w:r>
        <w:fldChar w:fldCharType="separate"/>
      </w:r>
      <w:r w:rsidR="00D814D9">
        <w:rPr>
          <w:noProof/>
        </w:rPr>
        <w:t>7</w:t>
      </w:r>
      <w:r>
        <w:fldChar w:fldCharType="end"/>
      </w:r>
      <w:r>
        <w:t>.  On 19 July 2002 another judge authorised the applicant</w:t>
      </w:r>
      <w:r w:rsidR="00F50242">
        <w:t>’</w:t>
      </w:r>
      <w:r>
        <w:t xml:space="preserve">s detention </w:t>
      </w:r>
      <w:r w:rsidR="00C2322D">
        <w:t>for two months and eight days</w:t>
      </w:r>
      <w:r w:rsidR="00BF2161">
        <w:t>,</w:t>
      </w:r>
      <w:r w:rsidR="00C2322D">
        <w:t xml:space="preserve"> </w:t>
      </w:r>
      <w:r w:rsidR="008E16CF">
        <w:t>citing</w:t>
      </w:r>
      <w:r w:rsidR="00141DEB">
        <w:t xml:space="preserve"> the following reasons: the gravity of the offence, </w:t>
      </w:r>
      <w:r w:rsidR="00C2322D">
        <w:t xml:space="preserve">the </w:t>
      </w:r>
      <w:r w:rsidR="00141DEB">
        <w:t>circumstances surrounding it and the applicant</w:t>
      </w:r>
      <w:r w:rsidR="00F50242">
        <w:t>’</w:t>
      </w:r>
      <w:r w:rsidR="00141DEB">
        <w:t xml:space="preserve">s </w:t>
      </w:r>
      <w:r w:rsidR="000C333C">
        <w:t>character</w:t>
      </w:r>
      <w:r w:rsidR="00141DEB">
        <w:t xml:space="preserve">. The judge saw no reason to change the </w:t>
      </w:r>
      <w:r w:rsidR="00D13932">
        <w:t>preventive</w:t>
      </w:r>
      <w:r w:rsidR="00141DEB">
        <w:t xml:space="preserve"> measure imposed on the applicant.</w:t>
      </w:r>
    </w:p>
    <w:p w:rsidR="00E36D2F" w:rsidRDefault="00141DEB" w:rsidP="00032A9C">
      <w:pPr>
        <w:pStyle w:val="JuPara"/>
      </w:pPr>
      <w:r>
        <w:fldChar w:fldCharType="begin"/>
      </w:r>
      <w:r>
        <w:instrText xml:space="preserve"> SEQ level0 \*arabic </w:instrText>
      </w:r>
      <w:r>
        <w:fldChar w:fldCharType="separate"/>
      </w:r>
      <w:r w:rsidR="00D814D9">
        <w:rPr>
          <w:noProof/>
        </w:rPr>
        <w:t>8</w:t>
      </w:r>
      <w:r>
        <w:fldChar w:fldCharType="end"/>
      </w:r>
      <w:r>
        <w:t>.  </w:t>
      </w:r>
      <w:r w:rsidR="00C2322D">
        <w:t>On 13 September 2002 the same judge authorised the applicant</w:t>
      </w:r>
      <w:r w:rsidR="00F50242">
        <w:t>’</w:t>
      </w:r>
      <w:r w:rsidR="00C2322D">
        <w:t xml:space="preserve">s detention for </w:t>
      </w:r>
      <w:r w:rsidR="00BF2161">
        <w:t xml:space="preserve">a further </w:t>
      </w:r>
      <w:r w:rsidR="00C2322D">
        <w:t>two months (until 27 November 2002)</w:t>
      </w:r>
      <w:r w:rsidR="00BF2161">
        <w:t>,</w:t>
      </w:r>
      <w:r w:rsidR="00C2322D">
        <w:t xml:space="preserve"> </w:t>
      </w:r>
      <w:r w:rsidR="008E16CF">
        <w:t>citing</w:t>
      </w:r>
      <w:r w:rsidR="00C2322D">
        <w:t xml:space="preserve"> the following reasons: </w:t>
      </w:r>
      <w:r w:rsidR="00B910E9">
        <w:t>the applicant</w:t>
      </w:r>
      <w:r w:rsidR="00F50242">
        <w:t>’</w:t>
      </w:r>
      <w:r w:rsidR="00B910E9">
        <w:t xml:space="preserve">s </w:t>
      </w:r>
      <w:r w:rsidR="000C333C">
        <w:t>character</w:t>
      </w:r>
      <w:r w:rsidR="00B910E9">
        <w:t>, the circumstances of the case</w:t>
      </w:r>
      <w:r w:rsidR="008E16CF">
        <w:t xml:space="preserve"> and</w:t>
      </w:r>
      <w:r w:rsidR="00B910E9">
        <w:t xml:space="preserve"> the need to carry out </w:t>
      </w:r>
      <w:r w:rsidR="008E16CF">
        <w:t xml:space="preserve">a </w:t>
      </w:r>
      <w:r w:rsidR="00B910E9">
        <w:t>forensic psychiatric examination.</w:t>
      </w:r>
      <w:r w:rsidR="00ED5FD3">
        <w:t xml:space="preserve"> The judge saw no reason to change the </w:t>
      </w:r>
      <w:r w:rsidR="00D13932">
        <w:t>preventive</w:t>
      </w:r>
      <w:r w:rsidR="00ED5FD3">
        <w:t xml:space="preserve"> measure imposed on the applicant.</w:t>
      </w:r>
      <w:r w:rsidR="00E36D2F">
        <w:t xml:space="preserve"> The applicant complained about this decision to a prosecutor and </w:t>
      </w:r>
      <w:r w:rsidR="00BF2161">
        <w:t xml:space="preserve">pointed out </w:t>
      </w:r>
      <w:r w:rsidR="00E36D2F">
        <w:t xml:space="preserve">that he had </w:t>
      </w:r>
      <w:r w:rsidR="008E16CF">
        <w:t xml:space="preserve">a </w:t>
      </w:r>
      <w:r w:rsidR="00E36D2F">
        <w:t xml:space="preserve">wife and minor children </w:t>
      </w:r>
      <w:r w:rsidR="008E16CF">
        <w:t>who</w:t>
      </w:r>
      <w:r w:rsidR="00E36D2F">
        <w:t xml:space="preserve"> </w:t>
      </w:r>
      <w:r w:rsidR="00BF2161">
        <w:t>were dependent on him</w:t>
      </w:r>
      <w:r w:rsidR="00E36D2F">
        <w:t>.</w:t>
      </w:r>
    </w:p>
    <w:p w:rsidR="00141DEB" w:rsidRDefault="00E36D2F" w:rsidP="00032A9C">
      <w:pPr>
        <w:pStyle w:val="JuPara"/>
      </w:pPr>
      <w:r>
        <w:fldChar w:fldCharType="begin"/>
      </w:r>
      <w:r>
        <w:instrText xml:space="preserve"> SEQ level0 \*arabic </w:instrText>
      </w:r>
      <w:r>
        <w:fldChar w:fldCharType="separate"/>
      </w:r>
      <w:r w:rsidR="00D814D9">
        <w:rPr>
          <w:noProof/>
        </w:rPr>
        <w:t>9</w:t>
      </w:r>
      <w:r>
        <w:fldChar w:fldCharType="end"/>
      </w:r>
      <w:r w:rsidR="00813668">
        <w:t>.  </w:t>
      </w:r>
      <w:r>
        <w:t xml:space="preserve">On 3 October 2002 the prosecutor examined his complaint and rejected it on the grounds that the applicant was charged with a </w:t>
      </w:r>
      <w:r w:rsidR="008E16CF">
        <w:t>serious</w:t>
      </w:r>
      <w:r>
        <w:t xml:space="preserve"> crime. His </w:t>
      </w:r>
      <w:r w:rsidR="000C333C">
        <w:t xml:space="preserve">character </w:t>
      </w:r>
      <w:r>
        <w:t>(</w:t>
      </w:r>
      <w:r w:rsidR="000C333C">
        <w:t>the applicant</w:t>
      </w:r>
      <w:r w:rsidR="00F50242">
        <w:t>’</w:t>
      </w:r>
      <w:r w:rsidR="000C333C">
        <w:t xml:space="preserve">s </w:t>
      </w:r>
      <w:r>
        <w:t>two prior convictions</w:t>
      </w:r>
      <w:r w:rsidR="000C333C">
        <w:t xml:space="preserve"> were noted</w:t>
      </w:r>
      <w:r>
        <w:t xml:space="preserve">) and his family </w:t>
      </w:r>
      <w:r w:rsidR="000C333C">
        <w:t xml:space="preserve">responsibilities had </w:t>
      </w:r>
      <w:r>
        <w:t xml:space="preserve">not </w:t>
      </w:r>
      <w:r w:rsidR="000C333C">
        <w:t xml:space="preserve">dissuaded </w:t>
      </w:r>
      <w:r>
        <w:t xml:space="preserve">him from committing a </w:t>
      </w:r>
      <w:r w:rsidR="008E16CF">
        <w:t>serious</w:t>
      </w:r>
      <w:r>
        <w:t xml:space="preserve"> crime.</w:t>
      </w:r>
      <w:r w:rsidR="000227BC">
        <w:t xml:space="preserve"> The applicant lodged another complaint </w:t>
      </w:r>
      <w:r w:rsidR="00BF2161">
        <w:t xml:space="preserve">challenging </w:t>
      </w:r>
      <w:r w:rsidR="000227BC">
        <w:t xml:space="preserve">his </w:t>
      </w:r>
      <w:r w:rsidR="00D13932">
        <w:t>preventive</w:t>
      </w:r>
      <w:r w:rsidR="000227BC">
        <w:t xml:space="preserve"> measure</w:t>
      </w:r>
      <w:r w:rsidR="00F01A80">
        <w:t>;</w:t>
      </w:r>
      <w:r w:rsidR="000227BC">
        <w:t xml:space="preserve"> </w:t>
      </w:r>
      <w:r w:rsidR="00F01A80">
        <w:t xml:space="preserve">the same prosecutor </w:t>
      </w:r>
      <w:r w:rsidR="000227BC">
        <w:t xml:space="preserve">rejected </w:t>
      </w:r>
      <w:r w:rsidR="00F01A80">
        <w:t xml:space="preserve">it </w:t>
      </w:r>
      <w:r w:rsidR="000227BC">
        <w:t>on 24</w:t>
      </w:r>
      <w:r w:rsidR="00F01A80">
        <w:t> </w:t>
      </w:r>
      <w:r w:rsidR="000227BC">
        <w:t>October 2002.</w:t>
      </w:r>
    </w:p>
    <w:p w:rsidR="000E2EA1" w:rsidRDefault="00CB54AD" w:rsidP="00032A9C">
      <w:pPr>
        <w:pStyle w:val="JuPara"/>
      </w:pPr>
      <w:r>
        <w:fldChar w:fldCharType="begin"/>
      </w:r>
      <w:r>
        <w:instrText xml:space="preserve"> SEQ level0 \*arabic </w:instrText>
      </w:r>
      <w:r>
        <w:fldChar w:fldCharType="separate"/>
      </w:r>
      <w:r w:rsidR="00D814D9">
        <w:rPr>
          <w:noProof/>
        </w:rPr>
        <w:t>10</w:t>
      </w:r>
      <w:r>
        <w:fldChar w:fldCharType="end"/>
      </w:r>
      <w:r>
        <w:t xml:space="preserve">.  On 25 November 2002 another judge </w:t>
      </w:r>
      <w:r w:rsidR="00C61B2F">
        <w:t>authorised the applicant</w:t>
      </w:r>
      <w:r w:rsidR="00F50242">
        <w:t>’</w:t>
      </w:r>
      <w:r w:rsidR="00C61B2F">
        <w:t xml:space="preserve">s detention for </w:t>
      </w:r>
      <w:r w:rsidR="005B540F">
        <w:t>a further</w:t>
      </w:r>
      <w:r w:rsidR="00C61B2F">
        <w:t xml:space="preserve"> month</w:t>
      </w:r>
      <w:r w:rsidR="00BF2161">
        <w:t>,</w:t>
      </w:r>
      <w:r w:rsidR="00C61B2F">
        <w:t xml:space="preserve"> </w:t>
      </w:r>
      <w:r w:rsidR="008E16CF">
        <w:t>citing</w:t>
      </w:r>
      <w:r w:rsidR="00C61B2F">
        <w:t xml:space="preserve"> the following reasons: the applicant</w:t>
      </w:r>
      <w:r w:rsidR="00F50242">
        <w:t>’</w:t>
      </w:r>
      <w:r w:rsidR="00C61B2F">
        <w:t xml:space="preserve">s </w:t>
      </w:r>
      <w:r w:rsidR="000C333C">
        <w:t xml:space="preserve">character </w:t>
      </w:r>
      <w:r w:rsidR="00C61B2F">
        <w:t>and the circumstances of the case.</w:t>
      </w:r>
    </w:p>
    <w:p w:rsidR="002913E2" w:rsidRDefault="002913E2" w:rsidP="00032A9C">
      <w:pPr>
        <w:pStyle w:val="JuPara"/>
      </w:pPr>
      <w:r>
        <w:fldChar w:fldCharType="begin"/>
      </w:r>
      <w:r>
        <w:instrText xml:space="preserve"> SEQ level0 \*arabic </w:instrText>
      </w:r>
      <w:r>
        <w:fldChar w:fldCharType="separate"/>
      </w:r>
      <w:r w:rsidR="00D814D9">
        <w:rPr>
          <w:noProof/>
        </w:rPr>
        <w:t>11</w:t>
      </w:r>
      <w:r>
        <w:fldChar w:fldCharType="end"/>
      </w:r>
      <w:r>
        <w:t xml:space="preserve">.  On 17 December 2002 the final </w:t>
      </w:r>
      <w:r w:rsidR="00834A8F">
        <w:t xml:space="preserve">indictment </w:t>
      </w:r>
      <w:r>
        <w:t xml:space="preserve">was </w:t>
      </w:r>
      <w:r w:rsidR="00834A8F">
        <w:t xml:space="preserve">issued </w:t>
      </w:r>
      <w:r>
        <w:t>against the applicant.</w:t>
      </w:r>
    </w:p>
    <w:p w:rsidR="00032A9C" w:rsidRDefault="00032A9C" w:rsidP="00032A9C">
      <w:pPr>
        <w:pStyle w:val="JuPara"/>
      </w:pPr>
      <w:r>
        <w:fldChar w:fldCharType="begin"/>
      </w:r>
      <w:r>
        <w:instrText xml:space="preserve"> SEQ level0 \*arabic </w:instrText>
      </w:r>
      <w:r>
        <w:fldChar w:fldCharType="separate"/>
      </w:r>
      <w:r w:rsidR="00D814D9">
        <w:rPr>
          <w:noProof/>
        </w:rPr>
        <w:t>12</w:t>
      </w:r>
      <w:r>
        <w:fldChar w:fldCharType="end"/>
      </w:r>
      <w:r>
        <w:t xml:space="preserve">.  On 24 December 2002 the case file was sent for </w:t>
      </w:r>
      <w:r w:rsidR="000C333C">
        <w:t xml:space="preserve">trial </w:t>
      </w:r>
      <w:r>
        <w:t>to the Rīga Regional Court.</w:t>
      </w:r>
    </w:p>
    <w:p w:rsidR="00032A9C" w:rsidRDefault="00032A9C" w:rsidP="00032A9C">
      <w:pPr>
        <w:pStyle w:val="JuPara"/>
      </w:pPr>
      <w:r>
        <w:fldChar w:fldCharType="begin"/>
      </w:r>
      <w:r>
        <w:instrText xml:space="preserve"> SEQ level0 \*arabic </w:instrText>
      </w:r>
      <w:r>
        <w:fldChar w:fldCharType="separate"/>
      </w:r>
      <w:r w:rsidR="00D814D9">
        <w:rPr>
          <w:noProof/>
        </w:rPr>
        <w:t>13</w:t>
      </w:r>
      <w:r>
        <w:fldChar w:fldCharType="end"/>
      </w:r>
      <w:r>
        <w:t>.  On 6 January 2003 the applicant was committed for trial and the first hearing was scheduled for 10 May 2004.</w:t>
      </w:r>
      <w:r w:rsidR="008648B9">
        <w:t xml:space="preserve"> The </w:t>
      </w:r>
      <w:r w:rsidR="00D13932">
        <w:t>preventive</w:t>
      </w:r>
      <w:r w:rsidR="008648B9">
        <w:t xml:space="preserve"> measure imposed on the applicant (remand</w:t>
      </w:r>
      <w:r w:rsidR="00834A8F">
        <w:t xml:space="preserve"> in custody</w:t>
      </w:r>
      <w:r w:rsidR="008648B9">
        <w:t>) remained unchanged; no reasons were given.</w:t>
      </w:r>
    </w:p>
    <w:p w:rsidR="005D23B3" w:rsidRDefault="005D23B3" w:rsidP="00032A9C">
      <w:pPr>
        <w:pStyle w:val="JuPara"/>
      </w:pPr>
      <w:r>
        <w:fldChar w:fldCharType="begin"/>
      </w:r>
      <w:r>
        <w:instrText xml:space="preserve"> SEQ level0 \*arabic </w:instrText>
      </w:r>
      <w:r>
        <w:fldChar w:fldCharType="separate"/>
      </w:r>
      <w:r w:rsidR="00D814D9">
        <w:rPr>
          <w:noProof/>
        </w:rPr>
        <w:t>14</w:t>
      </w:r>
      <w:r>
        <w:fldChar w:fldCharType="end"/>
      </w:r>
      <w:r>
        <w:t>.  No more detention orders were issued in respect of the applicant.</w:t>
      </w:r>
    </w:p>
    <w:p w:rsidR="005D23B3" w:rsidRDefault="005D23B3" w:rsidP="005D23B3">
      <w:pPr>
        <w:pStyle w:val="JuHA"/>
      </w:pPr>
      <w:r>
        <w:t>B.  The applicant</w:t>
      </w:r>
      <w:r w:rsidR="00F50242">
        <w:t>’</w:t>
      </w:r>
      <w:r>
        <w:t>s trial</w:t>
      </w:r>
    </w:p>
    <w:p w:rsidR="007076C4" w:rsidRDefault="00032A9C" w:rsidP="00032A9C">
      <w:pPr>
        <w:pStyle w:val="JuPara"/>
      </w:pPr>
      <w:r>
        <w:fldChar w:fldCharType="begin"/>
      </w:r>
      <w:r>
        <w:instrText xml:space="preserve"> SEQ level0 \*arabic </w:instrText>
      </w:r>
      <w:r>
        <w:fldChar w:fldCharType="separate"/>
      </w:r>
      <w:r w:rsidR="00D814D9">
        <w:rPr>
          <w:noProof/>
        </w:rPr>
        <w:t>15</w:t>
      </w:r>
      <w:r>
        <w:fldChar w:fldCharType="end"/>
      </w:r>
      <w:r>
        <w:t>.  </w:t>
      </w:r>
      <w:r w:rsidR="007076C4">
        <w:t xml:space="preserve">Between 10 and 14 May 2004 the </w:t>
      </w:r>
      <w:r w:rsidR="00834A8F">
        <w:t xml:space="preserve">trial </w:t>
      </w:r>
      <w:r w:rsidR="007076C4">
        <w:t xml:space="preserve">hearings before the Rīga Regional Court took place, </w:t>
      </w:r>
      <w:r w:rsidR="00C43E00">
        <w:t>and</w:t>
      </w:r>
      <w:r w:rsidR="007076C4">
        <w:t xml:space="preserve"> </w:t>
      </w:r>
      <w:r w:rsidR="00834A8F">
        <w:t xml:space="preserve">the trial was </w:t>
      </w:r>
      <w:r w:rsidR="007076C4">
        <w:t>concluded on the latter date.</w:t>
      </w:r>
    </w:p>
    <w:p w:rsidR="00032A9C" w:rsidRDefault="007076C4" w:rsidP="007076C4">
      <w:pPr>
        <w:pStyle w:val="JuPara"/>
      </w:pPr>
      <w:r>
        <w:fldChar w:fldCharType="begin"/>
      </w:r>
      <w:r>
        <w:instrText xml:space="preserve"> SEQ level0 \*arabic </w:instrText>
      </w:r>
      <w:r>
        <w:fldChar w:fldCharType="separate"/>
      </w:r>
      <w:r w:rsidR="00D814D9">
        <w:rPr>
          <w:noProof/>
        </w:rPr>
        <w:t>16</w:t>
      </w:r>
      <w:r>
        <w:fldChar w:fldCharType="end"/>
      </w:r>
      <w:r>
        <w:t>.  </w:t>
      </w:r>
      <w:r w:rsidR="00032A9C">
        <w:t xml:space="preserve">On 14 May 2004 the Rīga Regional Court </w:t>
      </w:r>
      <w:r>
        <w:t xml:space="preserve">pronounced the judgment. It convicted the applicant </w:t>
      </w:r>
      <w:r w:rsidR="00032A9C">
        <w:t>of aggravated murder and hooliganism; he was sentenced to sixteen years</w:t>
      </w:r>
      <w:r w:rsidR="00F50242">
        <w:t>’</w:t>
      </w:r>
      <w:r w:rsidR="00032A9C">
        <w:t xml:space="preserve"> imprisonment. As an additional penalty the court ordered his expulsion from </w:t>
      </w:r>
      <w:smartTag w:uri="urn:schemas-microsoft-com:office:smarttags" w:element="place">
        <w:smartTag w:uri="urn:schemas-microsoft-com:office:smarttags" w:element="country-region">
          <w:r w:rsidR="00032A9C">
            <w:t>Latvia</w:t>
          </w:r>
        </w:smartTag>
      </w:smartTag>
      <w:r w:rsidR="00032A9C">
        <w:t>.</w:t>
      </w:r>
    </w:p>
    <w:p w:rsidR="00032A9C" w:rsidRDefault="00032A9C" w:rsidP="00032A9C">
      <w:pPr>
        <w:pStyle w:val="JuPara"/>
      </w:pPr>
      <w:r>
        <w:fldChar w:fldCharType="begin"/>
      </w:r>
      <w:r>
        <w:instrText xml:space="preserve"> SEQ level0 \*arabic </w:instrText>
      </w:r>
      <w:r>
        <w:fldChar w:fldCharType="separate"/>
      </w:r>
      <w:r w:rsidR="00D814D9">
        <w:rPr>
          <w:noProof/>
        </w:rPr>
        <w:t>17</w:t>
      </w:r>
      <w:r>
        <w:fldChar w:fldCharType="end"/>
      </w:r>
      <w:r>
        <w:t>.  On 2 March 2005 the appellate court upheld the ruling of the first</w:t>
      </w:r>
      <w:r w:rsidR="00C91C3C">
        <w:t>­</w:t>
      </w:r>
      <w:r>
        <w:t>instance court.</w:t>
      </w:r>
    </w:p>
    <w:p w:rsidR="00032A9C" w:rsidRDefault="00032A9C" w:rsidP="00032A9C">
      <w:pPr>
        <w:pStyle w:val="JuPara"/>
      </w:pPr>
      <w:r>
        <w:fldChar w:fldCharType="begin"/>
      </w:r>
      <w:r>
        <w:instrText xml:space="preserve"> SEQ level0 \*arabic </w:instrText>
      </w:r>
      <w:r>
        <w:fldChar w:fldCharType="separate"/>
      </w:r>
      <w:r w:rsidR="00D814D9">
        <w:rPr>
          <w:noProof/>
        </w:rPr>
        <w:t>18</w:t>
      </w:r>
      <w:r>
        <w:fldChar w:fldCharType="end"/>
      </w:r>
      <w:r>
        <w:t>.  On 18 May 2005 the applicant</w:t>
      </w:r>
      <w:r w:rsidR="00F50242">
        <w:t>’</w:t>
      </w:r>
      <w:r>
        <w:t>s appeal on points of law was dismissed.</w:t>
      </w:r>
    </w:p>
    <w:p w:rsidR="00032A9C" w:rsidRDefault="00032A9C" w:rsidP="00032A9C">
      <w:pPr>
        <w:pStyle w:val="JuPara"/>
      </w:pPr>
      <w:r>
        <w:fldChar w:fldCharType="begin"/>
      </w:r>
      <w:r>
        <w:instrText xml:space="preserve"> SEQ level0 \*arabic </w:instrText>
      </w:r>
      <w:r>
        <w:fldChar w:fldCharType="separate"/>
      </w:r>
      <w:r w:rsidR="00D814D9">
        <w:rPr>
          <w:noProof/>
        </w:rPr>
        <w:t>19</w:t>
      </w:r>
      <w:r>
        <w:fldChar w:fldCharType="end"/>
      </w:r>
      <w:r>
        <w:t>.  </w:t>
      </w:r>
      <w:r>
        <w:rPr>
          <w:color w:val="000000"/>
          <w:szCs w:val="24"/>
          <w:lang w:eastAsia="en-GB"/>
        </w:rPr>
        <w:t xml:space="preserve">On an unspecified date the applicant was transferred to a prison in </w:t>
      </w:r>
      <w:smartTag w:uri="urn:schemas-microsoft-com:office:smarttags" w:element="place">
        <w:smartTag w:uri="urn:schemas-microsoft-com:office:smarttags" w:element="City">
          <w:r>
            <w:rPr>
              <w:color w:val="000000"/>
              <w:szCs w:val="24"/>
              <w:lang w:eastAsia="en-GB"/>
            </w:rPr>
            <w:t>Daugavpils</w:t>
          </w:r>
        </w:smartTag>
      </w:smartTag>
      <w:r>
        <w:rPr>
          <w:color w:val="000000"/>
          <w:szCs w:val="24"/>
          <w:lang w:eastAsia="en-GB"/>
        </w:rPr>
        <w:t xml:space="preserve"> to serve his sentence, where he was detained until 16 June 2011.</w:t>
      </w:r>
    </w:p>
    <w:p w:rsidR="00032A9C" w:rsidRDefault="005D23B3" w:rsidP="00804C30">
      <w:pPr>
        <w:pStyle w:val="JuHA"/>
      </w:pPr>
      <w:r>
        <w:t>C</w:t>
      </w:r>
      <w:r w:rsidR="00032A9C">
        <w:t>.  The applicant</w:t>
      </w:r>
      <w:r w:rsidR="00F50242">
        <w:t>’</w:t>
      </w:r>
      <w:r w:rsidR="00032A9C">
        <w:t>s family visits</w:t>
      </w:r>
    </w:p>
    <w:p w:rsidR="00D771EC" w:rsidRDefault="00032A9C" w:rsidP="00032A9C">
      <w:pPr>
        <w:pStyle w:val="JuPara"/>
        <w:rPr>
          <w:color w:val="000000"/>
          <w:szCs w:val="24"/>
          <w:lang w:eastAsia="en-GB"/>
        </w:rPr>
      </w:pPr>
      <w:r>
        <w:fldChar w:fldCharType="begin"/>
      </w:r>
      <w:r>
        <w:instrText xml:space="preserve"> SEQ level0 \*arabic </w:instrText>
      </w:r>
      <w:r>
        <w:fldChar w:fldCharType="separate"/>
      </w:r>
      <w:r w:rsidR="00D814D9">
        <w:rPr>
          <w:noProof/>
        </w:rPr>
        <w:t>20</w:t>
      </w:r>
      <w:r>
        <w:fldChar w:fldCharType="end"/>
      </w:r>
      <w:r>
        <w:t>.  </w:t>
      </w:r>
      <w:r>
        <w:rPr>
          <w:color w:val="000000"/>
          <w:szCs w:val="24"/>
          <w:lang w:eastAsia="en-GB"/>
        </w:rPr>
        <w:t xml:space="preserve">On several occasions the prison </w:t>
      </w:r>
      <w:r w:rsidR="00F25840">
        <w:rPr>
          <w:color w:val="000000"/>
          <w:szCs w:val="24"/>
          <w:lang w:eastAsia="en-GB"/>
        </w:rPr>
        <w:t xml:space="preserve">authorities </w:t>
      </w:r>
      <w:r>
        <w:rPr>
          <w:color w:val="000000"/>
          <w:szCs w:val="24"/>
          <w:lang w:eastAsia="en-GB"/>
        </w:rPr>
        <w:t>refused long-term visits in prison by the applicant</w:t>
      </w:r>
      <w:r w:rsidR="00F50242">
        <w:rPr>
          <w:color w:val="000000"/>
          <w:szCs w:val="24"/>
          <w:lang w:eastAsia="en-GB"/>
        </w:rPr>
        <w:t>’</w:t>
      </w:r>
      <w:r>
        <w:rPr>
          <w:color w:val="000000"/>
          <w:szCs w:val="24"/>
          <w:lang w:eastAsia="en-GB"/>
        </w:rPr>
        <w:t xml:space="preserve">s partner, M.B., and her daughter, R.B., born in 2000, who he considered to be his only family in </w:t>
      </w:r>
      <w:smartTag w:uri="urn:schemas-microsoft-com:office:smarttags" w:element="place">
        <w:smartTag w:uri="urn:schemas-microsoft-com:office:smarttags" w:element="country-region">
          <w:r>
            <w:rPr>
              <w:color w:val="000000"/>
              <w:szCs w:val="24"/>
              <w:lang w:eastAsia="en-GB"/>
            </w:rPr>
            <w:t>Latvia</w:t>
          </w:r>
        </w:smartTag>
      </w:smartTag>
      <w:r>
        <w:rPr>
          <w:color w:val="000000"/>
          <w:szCs w:val="24"/>
          <w:lang w:eastAsia="en-GB"/>
        </w:rPr>
        <w:t>. The applicant lodged complaints against these refusals.</w:t>
      </w:r>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21</w:t>
      </w:r>
      <w:r>
        <w:rPr>
          <w:color w:val="000000"/>
          <w:szCs w:val="24"/>
          <w:lang w:eastAsia="en-GB"/>
        </w:rPr>
        <w:fldChar w:fldCharType="end"/>
      </w:r>
      <w:r>
        <w:rPr>
          <w:color w:val="000000"/>
          <w:szCs w:val="24"/>
          <w:lang w:eastAsia="en-GB"/>
        </w:rPr>
        <w:t>.  On 16 June 2006 the administration of Daugavpils Prison referred to section 45 of the Sentence Enforcement Code and observed that the applicant had a right to receive a long-term visit by R.B.</w:t>
      </w:r>
      <w:r w:rsidR="00C43E00">
        <w:rPr>
          <w:color w:val="000000"/>
          <w:szCs w:val="24"/>
          <w:lang w:eastAsia="en-GB"/>
        </w:rPr>
        <w:t xml:space="preserve"> if he was noted as her father o</w:t>
      </w:r>
      <w:r>
        <w:rPr>
          <w:color w:val="000000"/>
          <w:szCs w:val="24"/>
          <w:lang w:eastAsia="en-GB"/>
        </w:rPr>
        <w:t>n her birth certificate. The applicant could not receive a long</w:t>
      </w:r>
      <w:r w:rsidR="00C91C3C">
        <w:rPr>
          <w:color w:val="000000"/>
          <w:szCs w:val="24"/>
          <w:lang w:eastAsia="en-GB"/>
        </w:rPr>
        <w:t>­</w:t>
      </w:r>
      <w:r>
        <w:rPr>
          <w:color w:val="000000"/>
          <w:szCs w:val="24"/>
          <w:lang w:eastAsia="en-GB"/>
        </w:rPr>
        <w:t xml:space="preserve">term visit from M.B. </w:t>
      </w:r>
      <w:r w:rsidR="00F25840">
        <w:rPr>
          <w:color w:val="000000"/>
          <w:szCs w:val="24"/>
          <w:lang w:eastAsia="en-GB"/>
        </w:rPr>
        <w:t xml:space="preserve">because </w:t>
      </w:r>
      <w:r>
        <w:rPr>
          <w:color w:val="000000"/>
          <w:szCs w:val="24"/>
          <w:lang w:eastAsia="en-GB"/>
        </w:rPr>
        <w:t xml:space="preserve">she was not </w:t>
      </w:r>
      <w:r w:rsidR="00F25840">
        <w:rPr>
          <w:color w:val="000000"/>
          <w:szCs w:val="24"/>
          <w:lang w:eastAsia="en-GB"/>
        </w:rPr>
        <w:t xml:space="preserve">considered to be a </w:t>
      </w:r>
      <w:r>
        <w:rPr>
          <w:color w:val="000000"/>
          <w:szCs w:val="24"/>
          <w:lang w:eastAsia="en-GB"/>
        </w:rPr>
        <w:t>close family</w:t>
      </w:r>
      <w:r w:rsidR="00F25840">
        <w:rPr>
          <w:color w:val="000000"/>
          <w:szCs w:val="24"/>
          <w:lang w:eastAsia="en-GB"/>
        </w:rPr>
        <w:t xml:space="preserve"> member</w:t>
      </w:r>
      <w:r>
        <w:rPr>
          <w:color w:val="000000"/>
          <w:szCs w:val="24"/>
          <w:lang w:eastAsia="en-GB"/>
        </w:rPr>
        <w:t xml:space="preserve">. It appears that the applicant further complained to the </w:t>
      </w:r>
      <w:r w:rsidRPr="00217AF4">
        <w:rPr>
          <w:color w:val="000000"/>
          <w:szCs w:val="24"/>
          <w:lang w:eastAsia="en-GB"/>
        </w:rPr>
        <w:t>Prison</w:t>
      </w:r>
      <w:r>
        <w:rPr>
          <w:color w:val="000000"/>
          <w:szCs w:val="24"/>
          <w:lang w:eastAsia="en-GB"/>
        </w:rPr>
        <w:t>s</w:t>
      </w:r>
      <w:r w:rsidRPr="00217AF4">
        <w:rPr>
          <w:color w:val="000000"/>
          <w:szCs w:val="24"/>
          <w:lang w:eastAsia="en-GB"/>
        </w:rPr>
        <w:t xml:space="preserve"> Administration</w:t>
      </w:r>
      <w:r>
        <w:rPr>
          <w:color w:val="000000"/>
          <w:szCs w:val="24"/>
          <w:lang w:eastAsia="en-GB"/>
        </w:rPr>
        <w:t xml:space="preserve"> (</w:t>
      </w:r>
      <w:r>
        <w:rPr>
          <w:i/>
          <w:color w:val="000000"/>
          <w:szCs w:val="24"/>
          <w:lang w:eastAsia="en-GB"/>
        </w:rPr>
        <w:t>Ieslodzījumu vietu pārvalde</w:t>
      </w:r>
      <w:r>
        <w:rPr>
          <w:color w:val="000000"/>
          <w:szCs w:val="24"/>
          <w:lang w:eastAsia="en-GB"/>
        </w:rPr>
        <w:t xml:space="preserve">) and the </w:t>
      </w:r>
      <w:smartTag w:uri="urn:schemas-microsoft-com:office:smarttags" w:element="place">
        <w:smartTag w:uri="urn:schemas-microsoft-com:office:smarttags" w:element="City">
          <w:r>
            <w:rPr>
              <w:color w:val="000000"/>
              <w:szCs w:val="24"/>
              <w:lang w:eastAsia="en-GB"/>
            </w:rPr>
            <w:t>Daugavpils</w:t>
          </w:r>
        </w:smartTag>
      </w:smartTag>
      <w:r>
        <w:rPr>
          <w:color w:val="000000"/>
          <w:szCs w:val="24"/>
          <w:lang w:eastAsia="en-GB"/>
        </w:rPr>
        <w:t xml:space="preserve"> prison administration </w:t>
      </w:r>
      <w:r w:rsidR="00F25840">
        <w:rPr>
          <w:color w:val="000000"/>
          <w:szCs w:val="24"/>
          <w:lang w:eastAsia="en-GB"/>
        </w:rPr>
        <w:t>informed that authority</w:t>
      </w:r>
      <w:r>
        <w:rPr>
          <w:color w:val="000000"/>
          <w:szCs w:val="24"/>
          <w:lang w:eastAsia="en-GB"/>
        </w:rPr>
        <w:t xml:space="preserve"> that the applicant had not received any short-term visits from M.B. during his imprisonment.</w:t>
      </w:r>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22</w:t>
      </w:r>
      <w:r>
        <w:rPr>
          <w:color w:val="000000"/>
          <w:szCs w:val="24"/>
          <w:lang w:eastAsia="en-GB"/>
        </w:rPr>
        <w:fldChar w:fldCharType="end"/>
      </w:r>
      <w:r>
        <w:rPr>
          <w:color w:val="000000"/>
          <w:szCs w:val="24"/>
          <w:lang w:eastAsia="en-GB"/>
        </w:rPr>
        <w:t>.  According to the Government, on 4 July 2006 the applicant requested a long-term visit by his partner and her daughter. They did not have more information concerning this request.</w:t>
      </w:r>
    </w:p>
    <w:p w:rsidR="000E2EA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23</w:t>
      </w:r>
      <w:r>
        <w:rPr>
          <w:color w:val="000000"/>
          <w:szCs w:val="24"/>
          <w:lang w:eastAsia="en-GB"/>
        </w:rPr>
        <w:fldChar w:fldCharType="end"/>
      </w:r>
      <w:r>
        <w:rPr>
          <w:color w:val="000000"/>
          <w:szCs w:val="24"/>
          <w:lang w:eastAsia="en-GB"/>
        </w:rPr>
        <w:t>.  On 12 October 2006 the applicant requested a long-term visit by his partner and her daughter. In reply, he received the following statement written on his request: “You have received an answer in writing in this respect”.</w:t>
      </w:r>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24</w:t>
      </w:r>
      <w:r>
        <w:rPr>
          <w:color w:val="000000"/>
          <w:szCs w:val="24"/>
          <w:lang w:eastAsia="en-GB"/>
        </w:rPr>
        <w:fldChar w:fldCharType="end"/>
      </w:r>
      <w:r>
        <w:rPr>
          <w:color w:val="000000"/>
          <w:szCs w:val="24"/>
          <w:lang w:eastAsia="en-GB"/>
        </w:rPr>
        <w:t xml:space="preserve">.  According to the applicant, he received a short-term visit from M.B. and R.B. in </w:t>
      </w:r>
      <w:smartTag w:uri="urn:schemas-microsoft-com:office:smarttags" w:element="place">
        <w:smartTag w:uri="urn:schemas-microsoft-com:office:smarttags" w:element="City">
          <w:r>
            <w:rPr>
              <w:color w:val="000000"/>
              <w:szCs w:val="24"/>
              <w:lang w:eastAsia="en-GB"/>
            </w:rPr>
            <w:t>Daugavpils</w:t>
          </w:r>
        </w:smartTag>
      </w:smartTag>
      <w:r>
        <w:rPr>
          <w:color w:val="000000"/>
          <w:szCs w:val="24"/>
          <w:lang w:eastAsia="en-GB"/>
        </w:rPr>
        <w:t xml:space="preserve"> prison in June 2007.</w:t>
      </w:r>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25</w:t>
      </w:r>
      <w:r>
        <w:rPr>
          <w:color w:val="000000"/>
          <w:szCs w:val="24"/>
          <w:lang w:eastAsia="en-GB"/>
        </w:rPr>
        <w:fldChar w:fldCharType="end"/>
      </w:r>
      <w:r>
        <w:rPr>
          <w:color w:val="000000"/>
          <w:szCs w:val="24"/>
          <w:lang w:eastAsia="en-GB"/>
        </w:rPr>
        <w:t xml:space="preserve">.  The applicant was refused a short-term visit during his </w:t>
      </w:r>
      <w:r w:rsidR="00B53E3B">
        <w:rPr>
          <w:color w:val="000000"/>
          <w:szCs w:val="24"/>
          <w:lang w:eastAsia="en-GB"/>
        </w:rPr>
        <w:t>admission to</w:t>
      </w:r>
      <w:r>
        <w:rPr>
          <w:color w:val="000000"/>
          <w:szCs w:val="24"/>
          <w:lang w:eastAsia="en-GB"/>
        </w:rPr>
        <w:t xml:space="preserve"> the </w:t>
      </w:r>
      <w:r w:rsidR="00F97031">
        <w:rPr>
          <w:color w:val="000000"/>
          <w:szCs w:val="24"/>
          <w:lang w:eastAsia="en-GB"/>
        </w:rPr>
        <w:t xml:space="preserve">Prison Hospital </w:t>
      </w:r>
      <w:r>
        <w:rPr>
          <w:color w:val="000000"/>
          <w:szCs w:val="24"/>
          <w:lang w:eastAsia="en-GB"/>
        </w:rPr>
        <w:t>in Rīga. He complained about the refusal and on 13 June 2007 he received a reply that only tuberculosis patients were allowed to receive short-term visits with the permission of a doctor, or seriously ill patients with the permission of the head of the hospital.</w:t>
      </w:r>
    </w:p>
    <w:p w:rsidR="00A75E60" w:rsidRDefault="00A75E60"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26</w:t>
      </w:r>
      <w:r>
        <w:rPr>
          <w:color w:val="000000"/>
          <w:szCs w:val="24"/>
          <w:lang w:eastAsia="en-GB"/>
        </w:rPr>
        <w:fldChar w:fldCharType="end"/>
      </w:r>
      <w:r>
        <w:rPr>
          <w:color w:val="000000"/>
          <w:szCs w:val="24"/>
          <w:lang w:eastAsia="en-GB"/>
        </w:rPr>
        <w:t>.  According to the Government, on 9 August 2007 the applicant requested another long-term visit by his partner and her daughter. On 17 August 2007 this request was refused</w:t>
      </w:r>
      <w:r w:rsidR="00B53E3B">
        <w:rPr>
          <w:color w:val="000000"/>
          <w:szCs w:val="24"/>
          <w:lang w:eastAsia="en-GB"/>
        </w:rPr>
        <w:t>,</w:t>
      </w:r>
      <w:r>
        <w:rPr>
          <w:color w:val="000000"/>
          <w:szCs w:val="24"/>
          <w:lang w:eastAsia="en-GB"/>
        </w:rPr>
        <w:t xml:space="preserve"> given that M.B. was not </w:t>
      </w:r>
      <w:r w:rsidR="00B53E3B">
        <w:rPr>
          <w:color w:val="000000"/>
          <w:szCs w:val="24"/>
          <w:lang w:eastAsia="en-GB"/>
        </w:rPr>
        <w:t xml:space="preserve">a </w:t>
      </w:r>
      <w:r>
        <w:rPr>
          <w:color w:val="000000"/>
          <w:szCs w:val="24"/>
          <w:lang w:eastAsia="en-GB"/>
        </w:rPr>
        <w:t>“close family</w:t>
      </w:r>
      <w:r w:rsidR="00B53E3B">
        <w:rPr>
          <w:color w:val="000000"/>
          <w:szCs w:val="24"/>
          <w:lang w:eastAsia="en-GB"/>
        </w:rPr>
        <w:t xml:space="preserve"> member</w:t>
      </w:r>
      <w:r>
        <w:rPr>
          <w:color w:val="000000"/>
          <w:szCs w:val="24"/>
          <w:lang w:eastAsia="en-GB"/>
        </w:rPr>
        <w:t>”</w:t>
      </w:r>
      <w:r w:rsidR="00B53E3B">
        <w:rPr>
          <w:color w:val="000000"/>
          <w:szCs w:val="24"/>
          <w:lang w:eastAsia="en-GB"/>
        </w:rPr>
        <w:t xml:space="preserve"> of his</w:t>
      </w:r>
      <w:r>
        <w:rPr>
          <w:color w:val="000000"/>
          <w:szCs w:val="24"/>
          <w:lang w:eastAsia="en-GB"/>
        </w:rPr>
        <w:t xml:space="preserve"> within the meaning of section 45 of the Sentence Enforcement Code. The applicant </w:t>
      </w:r>
      <w:r w:rsidR="00B53E3B">
        <w:rPr>
          <w:color w:val="000000"/>
          <w:szCs w:val="24"/>
          <w:lang w:eastAsia="en-GB"/>
        </w:rPr>
        <w:t>was informed that he could be visited by</w:t>
      </w:r>
      <w:r>
        <w:rPr>
          <w:color w:val="000000"/>
          <w:szCs w:val="24"/>
          <w:lang w:eastAsia="en-GB"/>
        </w:rPr>
        <w:t xml:space="preserve"> R.B. if he was recorded as </w:t>
      </w:r>
      <w:r w:rsidR="00C43E00">
        <w:rPr>
          <w:color w:val="000000"/>
          <w:szCs w:val="24"/>
          <w:lang w:eastAsia="en-GB"/>
        </w:rPr>
        <w:t xml:space="preserve">her </w:t>
      </w:r>
      <w:r>
        <w:rPr>
          <w:color w:val="000000"/>
          <w:szCs w:val="24"/>
          <w:lang w:eastAsia="en-GB"/>
        </w:rPr>
        <w:t xml:space="preserve">father </w:t>
      </w:r>
      <w:r w:rsidR="00C43E00">
        <w:rPr>
          <w:color w:val="000000"/>
          <w:szCs w:val="24"/>
          <w:lang w:eastAsia="en-GB"/>
        </w:rPr>
        <w:t>o</w:t>
      </w:r>
      <w:r>
        <w:rPr>
          <w:color w:val="000000"/>
          <w:szCs w:val="24"/>
          <w:lang w:eastAsia="en-GB"/>
        </w:rPr>
        <w:t>n her birth certificate.</w:t>
      </w:r>
    </w:p>
    <w:p w:rsidR="00EA49AD" w:rsidRDefault="00EA49AD" w:rsidP="00EA49AD">
      <w:pPr>
        <w:pStyle w:val="JuH1"/>
        <w:rPr>
          <w:lang w:eastAsia="en-GB"/>
        </w:rPr>
      </w:pPr>
      <w:r>
        <w:rPr>
          <w:lang w:eastAsia="en-GB"/>
        </w:rPr>
        <w:t>1.  Review by the Ombudsman</w:t>
      </w:r>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27</w:t>
      </w:r>
      <w:r>
        <w:rPr>
          <w:color w:val="000000"/>
          <w:szCs w:val="24"/>
          <w:lang w:eastAsia="en-GB"/>
        </w:rPr>
        <w:fldChar w:fldCharType="end"/>
      </w:r>
      <w:r>
        <w:rPr>
          <w:color w:val="000000"/>
          <w:szCs w:val="24"/>
          <w:lang w:eastAsia="en-GB"/>
        </w:rPr>
        <w:t>.  Subsequently, a complaint by the applicant</w:t>
      </w:r>
      <w:r w:rsidRPr="00EB48F4">
        <w:rPr>
          <w:color w:val="000000"/>
          <w:szCs w:val="24"/>
          <w:lang w:eastAsia="en-GB"/>
        </w:rPr>
        <w:t xml:space="preserve"> </w:t>
      </w:r>
      <w:r>
        <w:rPr>
          <w:color w:val="000000"/>
          <w:szCs w:val="24"/>
          <w:lang w:eastAsia="en-GB"/>
        </w:rPr>
        <w:t>concerning long-term visits was accepted for review</w:t>
      </w:r>
      <w:r w:rsidRPr="00217AF4">
        <w:rPr>
          <w:color w:val="000000"/>
          <w:szCs w:val="24"/>
          <w:lang w:eastAsia="en-GB"/>
        </w:rPr>
        <w:t xml:space="preserve"> </w:t>
      </w:r>
      <w:r>
        <w:rPr>
          <w:color w:val="000000"/>
          <w:szCs w:val="24"/>
          <w:lang w:eastAsia="en-GB"/>
        </w:rPr>
        <w:t>by the Ombudsman</w:t>
      </w:r>
      <w:r w:rsidR="00F50242">
        <w:rPr>
          <w:color w:val="000000"/>
          <w:szCs w:val="24"/>
          <w:lang w:eastAsia="en-GB"/>
        </w:rPr>
        <w:t>’</w:t>
      </w:r>
      <w:r>
        <w:rPr>
          <w:color w:val="000000"/>
          <w:szCs w:val="24"/>
          <w:lang w:eastAsia="en-GB"/>
        </w:rPr>
        <w:t>s office.</w:t>
      </w:r>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28</w:t>
      </w:r>
      <w:r>
        <w:rPr>
          <w:color w:val="000000"/>
          <w:szCs w:val="24"/>
          <w:lang w:eastAsia="en-GB"/>
        </w:rPr>
        <w:fldChar w:fldCharType="end"/>
      </w:r>
      <w:r>
        <w:rPr>
          <w:color w:val="000000"/>
          <w:szCs w:val="24"/>
          <w:lang w:eastAsia="en-GB"/>
        </w:rPr>
        <w:t xml:space="preserve">.  On 18 April 2008 the Ombudsman delivered his opinion, which was not binding on the domestic authorities. He noted that the application of section 45 of the Sentence Enforcement Code was not uniform among the domestic authorities, but that in Daugavpils </w:t>
      </w:r>
      <w:r w:rsidR="00287D33">
        <w:rPr>
          <w:color w:val="000000"/>
          <w:szCs w:val="24"/>
          <w:lang w:eastAsia="en-GB"/>
        </w:rPr>
        <w:t>P</w:t>
      </w:r>
      <w:r>
        <w:rPr>
          <w:color w:val="000000"/>
          <w:szCs w:val="24"/>
          <w:lang w:eastAsia="en-GB"/>
        </w:rPr>
        <w:t xml:space="preserve">rison, in particular, long-term visits were often refused in the form of a simple reply using </w:t>
      </w:r>
      <w:r w:rsidR="00B53E3B">
        <w:rPr>
          <w:color w:val="000000"/>
          <w:szCs w:val="24"/>
          <w:lang w:eastAsia="en-GB"/>
        </w:rPr>
        <w:t xml:space="preserve">vague </w:t>
      </w:r>
      <w:r>
        <w:rPr>
          <w:color w:val="000000"/>
          <w:szCs w:val="24"/>
          <w:lang w:eastAsia="en-GB"/>
        </w:rPr>
        <w:t>phrases such as “to be refused in accordance with the law” or “impossible to determine the visit</w:t>
      </w:r>
      <w:r w:rsidR="00F50242">
        <w:rPr>
          <w:color w:val="000000"/>
          <w:szCs w:val="24"/>
          <w:lang w:eastAsia="en-GB"/>
        </w:rPr>
        <w:t>’</w:t>
      </w:r>
      <w:r>
        <w:rPr>
          <w:color w:val="000000"/>
          <w:szCs w:val="24"/>
          <w:lang w:eastAsia="en-GB"/>
        </w:rPr>
        <w:t>s usefulness”. The refusal in the applicant</w:t>
      </w:r>
      <w:r w:rsidR="00F50242">
        <w:rPr>
          <w:color w:val="000000"/>
          <w:szCs w:val="24"/>
          <w:lang w:eastAsia="en-GB"/>
        </w:rPr>
        <w:t>’</w:t>
      </w:r>
      <w:r>
        <w:rPr>
          <w:color w:val="000000"/>
          <w:szCs w:val="24"/>
          <w:lang w:eastAsia="en-GB"/>
        </w:rPr>
        <w:t xml:space="preserve">s case had been given in one sentence, informing him that M.B. was not </w:t>
      </w:r>
      <w:r w:rsidR="00B53E3B">
        <w:rPr>
          <w:color w:val="000000"/>
          <w:szCs w:val="24"/>
          <w:lang w:eastAsia="en-GB"/>
        </w:rPr>
        <w:t xml:space="preserve">considered to be a </w:t>
      </w:r>
      <w:r>
        <w:rPr>
          <w:color w:val="000000"/>
          <w:szCs w:val="24"/>
          <w:lang w:eastAsia="en-GB"/>
        </w:rPr>
        <w:t>close family</w:t>
      </w:r>
      <w:r w:rsidR="00B53E3B">
        <w:rPr>
          <w:color w:val="000000"/>
          <w:szCs w:val="24"/>
          <w:lang w:eastAsia="en-GB"/>
        </w:rPr>
        <w:t xml:space="preserve"> member of his</w:t>
      </w:r>
      <w:r>
        <w:rPr>
          <w:color w:val="000000"/>
          <w:szCs w:val="24"/>
          <w:lang w:eastAsia="en-GB"/>
        </w:rPr>
        <w:t xml:space="preserve">. No other options had been considered, </w:t>
      </w:r>
      <w:r w:rsidR="009D462E">
        <w:rPr>
          <w:color w:val="000000"/>
          <w:szCs w:val="24"/>
          <w:lang w:eastAsia="en-GB"/>
        </w:rPr>
        <w:t>such as</w:t>
      </w:r>
      <w:r w:rsidR="00B53E3B">
        <w:rPr>
          <w:color w:val="000000"/>
          <w:szCs w:val="24"/>
          <w:lang w:eastAsia="en-GB"/>
        </w:rPr>
        <w:t>,</w:t>
      </w:r>
      <w:r w:rsidR="009D462E">
        <w:rPr>
          <w:color w:val="000000"/>
          <w:szCs w:val="24"/>
          <w:lang w:eastAsia="en-GB"/>
        </w:rPr>
        <w:t xml:space="preserve"> </w:t>
      </w:r>
      <w:r>
        <w:rPr>
          <w:color w:val="000000"/>
          <w:szCs w:val="24"/>
          <w:lang w:eastAsia="en-GB"/>
        </w:rPr>
        <w:t xml:space="preserve">for example, </w:t>
      </w:r>
      <w:r w:rsidR="00614E64">
        <w:rPr>
          <w:color w:val="000000"/>
          <w:szCs w:val="24"/>
          <w:lang w:eastAsia="en-GB"/>
        </w:rPr>
        <w:t xml:space="preserve">whether </w:t>
      </w:r>
      <w:r>
        <w:rPr>
          <w:color w:val="000000"/>
          <w:szCs w:val="24"/>
          <w:lang w:eastAsia="en-GB"/>
        </w:rPr>
        <w:t xml:space="preserve">the applicant could receive a long-term visit by M.B. </w:t>
      </w:r>
      <w:r w:rsidR="00614E64">
        <w:rPr>
          <w:color w:val="000000"/>
          <w:szCs w:val="24"/>
          <w:lang w:eastAsia="en-GB"/>
        </w:rPr>
        <w:t xml:space="preserve">in another capacity </w:t>
      </w:r>
      <w:r>
        <w:rPr>
          <w:color w:val="000000"/>
          <w:szCs w:val="24"/>
          <w:lang w:eastAsia="en-GB"/>
        </w:rPr>
        <w:t xml:space="preserve">(and not only </w:t>
      </w:r>
      <w:r w:rsidR="00614E64">
        <w:rPr>
          <w:color w:val="000000"/>
          <w:szCs w:val="24"/>
          <w:lang w:eastAsia="en-GB"/>
        </w:rPr>
        <w:t xml:space="preserve">on the basis of their relationship centred </w:t>
      </w:r>
      <w:r w:rsidR="00D03C1F">
        <w:rPr>
          <w:color w:val="000000"/>
          <w:szCs w:val="24"/>
          <w:lang w:eastAsia="en-GB"/>
        </w:rPr>
        <w:t>on</w:t>
      </w:r>
      <w:r w:rsidR="00614E64">
        <w:rPr>
          <w:color w:val="000000"/>
          <w:szCs w:val="24"/>
          <w:lang w:eastAsia="en-GB"/>
        </w:rPr>
        <w:t xml:space="preserve"> </w:t>
      </w:r>
      <w:r>
        <w:rPr>
          <w:color w:val="000000"/>
          <w:szCs w:val="24"/>
          <w:lang w:eastAsia="en-GB"/>
        </w:rPr>
        <w:t xml:space="preserve">R.B.). No individual assessment had been made in his case, which had breached the rules </w:t>
      </w:r>
      <w:r w:rsidR="00B53E3B">
        <w:rPr>
          <w:color w:val="000000"/>
          <w:szCs w:val="24"/>
          <w:lang w:eastAsia="en-GB"/>
        </w:rPr>
        <w:t xml:space="preserve">of </w:t>
      </w:r>
      <w:r>
        <w:rPr>
          <w:color w:val="000000"/>
          <w:szCs w:val="24"/>
          <w:lang w:eastAsia="en-GB"/>
        </w:rPr>
        <w:t>administrative procedure.</w:t>
      </w:r>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29</w:t>
      </w:r>
      <w:r>
        <w:rPr>
          <w:color w:val="000000"/>
          <w:szCs w:val="24"/>
          <w:lang w:eastAsia="en-GB"/>
        </w:rPr>
        <w:fldChar w:fldCharType="end"/>
      </w:r>
      <w:r>
        <w:rPr>
          <w:color w:val="000000"/>
          <w:szCs w:val="24"/>
          <w:lang w:eastAsia="en-GB"/>
        </w:rPr>
        <w:t xml:space="preserve">.  On the one hand, the Ombudsman observed that even if the applicant had complained to the Prisons Administration and the administrative courts about the refusal of long-term visits, it was most likely that he would not have been granted such visits; rather, </w:t>
      </w:r>
      <w:r w:rsidR="009D462E">
        <w:rPr>
          <w:color w:val="000000"/>
          <w:szCs w:val="24"/>
          <w:lang w:eastAsia="en-GB"/>
        </w:rPr>
        <w:t xml:space="preserve">he could only have </w:t>
      </w:r>
      <w:r>
        <w:rPr>
          <w:color w:val="000000"/>
          <w:szCs w:val="24"/>
          <w:lang w:eastAsia="en-GB"/>
        </w:rPr>
        <w:t>received compensation. On the other hand, the Ombudsman informed the applicant that he could lodge a complaint with the Constitutional Court (</w:t>
      </w:r>
      <w:r>
        <w:rPr>
          <w:i/>
          <w:color w:val="000000"/>
          <w:szCs w:val="24"/>
          <w:lang w:eastAsia="en-GB"/>
        </w:rPr>
        <w:t xml:space="preserve">Satversmes </w:t>
      </w:r>
      <w:r w:rsidRPr="007F78AA">
        <w:rPr>
          <w:i/>
          <w:color w:val="000000"/>
          <w:szCs w:val="24"/>
          <w:lang w:eastAsia="en-GB"/>
        </w:rPr>
        <w:t>tiesa</w:t>
      </w:r>
      <w:r>
        <w:rPr>
          <w:color w:val="000000"/>
          <w:szCs w:val="24"/>
          <w:lang w:eastAsia="en-GB"/>
        </w:rPr>
        <w:t xml:space="preserve">) </w:t>
      </w:r>
      <w:r w:rsidRPr="007F78AA">
        <w:rPr>
          <w:color w:val="000000"/>
          <w:szCs w:val="24"/>
          <w:lang w:eastAsia="en-GB"/>
        </w:rPr>
        <w:t>about</w:t>
      </w:r>
      <w:r>
        <w:rPr>
          <w:color w:val="000000"/>
          <w:szCs w:val="24"/>
          <w:lang w:eastAsia="en-GB"/>
        </w:rPr>
        <w:t xml:space="preserve"> the compliance of the legal provision concerning such long</w:t>
      </w:r>
      <w:r w:rsidR="00C91C3C">
        <w:rPr>
          <w:color w:val="000000"/>
          <w:szCs w:val="24"/>
          <w:lang w:eastAsia="en-GB"/>
        </w:rPr>
        <w:t>­</w:t>
      </w:r>
      <w:r>
        <w:rPr>
          <w:color w:val="000000"/>
          <w:szCs w:val="24"/>
          <w:lang w:eastAsia="en-GB"/>
        </w:rPr>
        <w:t>term visits with the Constitution (</w:t>
      </w:r>
      <w:r>
        <w:rPr>
          <w:i/>
          <w:color w:val="000000"/>
          <w:szCs w:val="24"/>
          <w:lang w:eastAsia="en-GB"/>
        </w:rPr>
        <w:t>Satversme</w:t>
      </w:r>
      <w:r>
        <w:rPr>
          <w:color w:val="000000"/>
          <w:szCs w:val="24"/>
          <w:lang w:eastAsia="en-GB"/>
        </w:rPr>
        <w:t>).</w:t>
      </w:r>
    </w:p>
    <w:p w:rsidR="00EA49AD" w:rsidRDefault="00EA49AD" w:rsidP="00EA49AD">
      <w:pPr>
        <w:pStyle w:val="JuH1"/>
        <w:rPr>
          <w:lang w:eastAsia="en-GB"/>
        </w:rPr>
      </w:pPr>
      <w:r>
        <w:rPr>
          <w:lang w:eastAsia="en-GB"/>
        </w:rPr>
        <w:t xml:space="preserve">2.  Review by the </w:t>
      </w:r>
      <w:smartTag w:uri="urn:schemas-microsoft-com:office:smarttags" w:element="Street">
        <w:smartTag w:uri="urn:schemas-microsoft-com:office:smarttags" w:element="address">
          <w:r>
            <w:rPr>
              <w:lang w:eastAsia="en-GB"/>
            </w:rPr>
            <w:t>Constitutional Court</w:t>
          </w:r>
        </w:smartTag>
      </w:smartTag>
    </w:p>
    <w:p w:rsidR="000F6E91" w:rsidRDefault="000F6E91" w:rsidP="000F6E91">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30</w:t>
      </w:r>
      <w:r>
        <w:rPr>
          <w:color w:val="000000"/>
          <w:szCs w:val="24"/>
          <w:lang w:eastAsia="en-GB"/>
        </w:rPr>
        <w:fldChar w:fldCharType="end"/>
      </w:r>
      <w:r>
        <w:rPr>
          <w:color w:val="000000"/>
          <w:szCs w:val="24"/>
          <w:lang w:eastAsia="en-GB"/>
        </w:rPr>
        <w:t xml:space="preserve">.  On 12 May 2008 the applicant lodged a complaint with the </w:t>
      </w:r>
      <w:smartTag w:uri="urn:schemas-microsoft-com:office:smarttags" w:element="Street">
        <w:smartTag w:uri="urn:schemas-microsoft-com:office:smarttags" w:element="PlaceName">
          <w:smartTag w:uri="urn:schemas-microsoft-com:office:smarttags" w:element="address">
            <w:r>
              <w:rPr>
                <w:color w:val="000000"/>
                <w:szCs w:val="24"/>
                <w:lang w:eastAsia="en-GB"/>
              </w:rPr>
              <w:t>Constitutional Court</w:t>
            </w:r>
          </w:smartTag>
        </w:smartTag>
      </w:smartTag>
      <w:r>
        <w:rPr>
          <w:color w:val="000000"/>
          <w:szCs w:val="24"/>
          <w:lang w:eastAsia="en-GB"/>
        </w:rPr>
        <w:t>. By a decision of 4 June 2008 it was dismissed on formal grounds for non-compliance with the applicable admissibility criteria.</w:t>
      </w:r>
    </w:p>
    <w:p w:rsidR="00EA49AD" w:rsidRDefault="00EA49AD" w:rsidP="00EA49AD">
      <w:pPr>
        <w:pStyle w:val="JuH1"/>
        <w:rPr>
          <w:lang w:eastAsia="en-GB"/>
        </w:rPr>
      </w:pPr>
      <w:r>
        <w:rPr>
          <w:lang w:eastAsia="en-GB"/>
        </w:rPr>
        <w:t xml:space="preserve">3.  Review </w:t>
      </w:r>
      <w:r w:rsidR="00306F2A">
        <w:rPr>
          <w:lang w:eastAsia="en-GB"/>
        </w:rPr>
        <w:t>in accordance with the Law of Administrative Procedure</w:t>
      </w:r>
    </w:p>
    <w:p w:rsidR="000E2EA1" w:rsidRDefault="00032A9C" w:rsidP="00032A9C">
      <w:pPr>
        <w:pStyle w:val="JuPara"/>
      </w:pPr>
      <w:r>
        <w:fldChar w:fldCharType="begin"/>
      </w:r>
      <w:r>
        <w:instrText xml:space="preserve"> SEQ level0 \*arabic </w:instrText>
      </w:r>
      <w:r>
        <w:fldChar w:fldCharType="separate"/>
      </w:r>
      <w:r w:rsidR="00D814D9">
        <w:rPr>
          <w:noProof/>
        </w:rPr>
        <w:t>31</w:t>
      </w:r>
      <w:r>
        <w:fldChar w:fldCharType="end"/>
      </w:r>
      <w:r>
        <w:t>.  </w:t>
      </w:r>
      <w:r w:rsidR="007F0608">
        <w:t>O</w:t>
      </w:r>
      <w:r w:rsidR="00EA49AD">
        <w:t>n 23 September 2008 the applicant</w:t>
      </w:r>
      <w:r w:rsidR="007F0608">
        <w:t xml:space="preserve"> forwarded a complaint</w:t>
      </w:r>
      <w:r w:rsidR="00EA49AD">
        <w:t xml:space="preserve"> to the Prisons </w:t>
      </w:r>
      <w:r w:rsidR="00AA6FA8">
        <w:t>Administration</w:t>
      </w:r>
      <w:r w:rsidR="007F0608">
        <w:t>, which it received on 6 October 2008,</w:t>
      </w:r>
      <w:r w:rsidR="00EA49AD">
        <w:t xml:space="preserve"> about</w:t>
      </w:r>
      <w:r w:rsidR="00B274FF">
        <w:t xml:space="preserve"> the</w:t>
      </w:r>
      <w:r w:rsidR="00EA49AD">
        <w:t xml:space="preserve"> </w:t>
      </w:r>
      <w:r w:rsidR="007F0608">
        <w:t xml:space="preserve">refusals by the administration of Daugavpils Prison to </w:t>
      </w:r>
      <w:r w:rsidR="00232CEE">
        <w:t xml:space="preserve">allow </w:t>
      </w:r>
      <w:r w:rsidR="007F0608">
        <w:t xml:space="preserve">long-term visits </w:t>
      </w:r>
      <w:r w:rsidR="006975AF">
        <w:t>by</w:t>
      </w:r>
      <w:r w:rsidR="007F0608">
        <w:t xml:space="preserve"> his partner and her daughter. </w:t>
      </w:r>
      <w:r w:rsidR="00232CEE">
        <w:t xml:space="preserve">He claimed that </w:t>
      </w:r>
      <w:r w:rsidR="0044553B">
        <w:t xml:space="preserve">had been told </w:t>
      </w:r>
      <w:r w:rsidR="00E11C49">
        <w:t>o</w:t>
      </w:r>
      <w:r w:rsidR="0044553B">
        <w:t xml:space="preserve">rally that visits by them would not be allowed, and he considered </w:t>
      </w:r>
      <w:r w:rsidR="00232CEE">
        <w:t xml:space="preserve">this blanket refusal </w:t>
      </w:r>
      <w:r w:rsidR="0044553B">
        <w:t xml:space="preserve">to be in violation of Article 8 of the Convention. He </w:t>
      </w:r>
      <w:r w:rsidR="00232CEE">
        <w:t xml:space="preserve">pointed out </w:t>
      </w:r>
      <w:r w:rsidR="0044553B">
        <w:t xml:space="preserve">that he had not received any long-term visits </w:t>
      </w:r>
      <w:r w:rsidR="002F1BC6">
        <w:t>since</w:t>
      </w:r>
      <w:r w:rsidR="0044553B">
        <w:t xml:space="preserve"> </w:t>
      </w:r>
      <w:r w:rsidR="00792F7A">
        <w:t>his conviction</w:t>
      </w:r>
      <w:r w:rsidR="0044553B">
        <w:t>.</w:t>
      </w:r>
    </w:p>
    <w:p w:rsidR="000E2EA1" w:rsidRDefault="008739AD" w:rsidP="00032A9C">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32</w:t>
      </w:r>
      <w:r>
        <w:rPr>
          <w:color w:val="000000"/>
          <w:szCs w:val="24"/>
          <w:lang w:eastAsia="en-GB"/>
        </w:rPr>
        <w:fldChar w:fldCharType="end"/>
      </w:r>
      <w:r>
        <w:rPr>
          <w:color w:val="000000"/>
          <w:szCs w:val="24"/>
          <w:lang w:eastAsia="en-GB"/>
        </w:rPr>
        <w:t xml:space="preserve">.  On 3 November 2008 the Prisons </w:t>
      </w:r>
      <w:r w:rsidR="002F712A">
        <w:rPr>
          <w:color w:val="000000"/>
          <w:szCs w:val="24"/>
          <w:lang w:eastAsia="en-GB"/>
        </w:rPr>
        <w:t>Administration</w:t>
      </w:r>
      <w:r>
        <w:rPr>
          <w:color w:val="000000"/>
          <w:szCs w:val="24"/>
          <w:lang w:eastAsia="en-GB"/>
        </w:rPr>
        <w:t xml:space="preserve"> examined and dismissed the applicant</w:t>
      </w:r>
      <w:r w:rsidR="00F50242">
        <w:rPr>
          <w:color w:val="000000"/>
          <w:szCs w:val="24"/>
          <w:lang w:eastAsia="en-GB"/>
        </w:rPr>
        <w:t>’</w:t>
      </w:r>
      <w:r>
        <w:rPr>
          <w:color w:val="000000"/>
          <w:szCs w:val="24"/>
          <w:lang w:eastAsia="en-GB"/>
        </w:rPr>
        <w:t>s complaint.</w:t>
      </w:r>
    </w:p>
    <w:p w:rsidR="00D771EC" w:rsidRDefault="007F0608" w:rsidP="00032A9C">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33</w:t>
      </w:r>
      <w:r>
        <w:rPr>
          <w:color w:val="000000"/>
          <w:szCs w:val="24"/>
          <w:lang w:eastAsia="en-GB"/>
        </w:rPr>
        <w:fldChar w:fldCharType="end"/>
      </w:r>
      <w:r>
        <w:rPr>
          <w:color w:val="000000"/>
          <w:szCs w:val="24"/>
          <w:lang w:eastAsia="en-GB"/>
        </w:rPr>
        <w:t>.  </w:t>
      </w:r>
      <w:r w:rsidR="00032A9C">
        <w:rPr>
          <w:color w:val="000000"/>
          <w:szCs w:val="24"/>
          <w:lang w:eastAsia="en-GB"/>
        </w:rPr>
        <w:t>On 22 November 2008 the applicant applied to the administrative courts with his complaint concerning long-term visits.</w:t>
      </w:r>
    </w:p>
    <w:p w:rsidR="00032A9C" w:rsidRDefault="00032A9C" w:rsidP="00032A9C">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34</w:t>
      </w:r>
      <w:r>
        <w:rPr>
          <w:color w:val="000000"/>
          <w:szCs w:val="24"/>
          <w:lang w:eastAsia="en-GB"/>
        </w:rPr>
        <w:fldChar w:fldCharType="end"/>
      </w:r>
      <w:r>
        <w:rPr>
          <w:color w:val="000000"/>
          <w:szCs w:val="24"/>
          <w:lang w:eastAsia="en-GB"/>
        </w:rPr>
        <w:t xml:space="preserve">.  On 22 January 2009 the Administrative District Court exempted the applicant from the payment of </w:t>
      </w:r>
      <w:r w:rsidR="00B35ABB">
        <w:rPr>
          <w:color w:val="000000"/>
          <w:szCs w:val="24"/>
          <w:lang w:eastAsia="en-GB"/>
        </w:rPr>
        <w:t>court fees</w:t>
      </w:r>
      <w:r>
        <w:rPr>
          <w:color w:val="000000"/>
          <w:szCs w:val="24"/>
          <w:lang w:eastAsia="en-GB"/>
        </w:rPr>
        <w:t xml:space="preserve"> and admitted the complaint for examination in part, in so far as </w:t>
      </w:r>
      <w:r w:rsidR="00232CEE">
        <w:rPr>
          <w:color w:val="000000"/>
          <w:szCs w:val="24"/>
          <w:lang w:eastAsia="en-GB"/>
        </w:rPr>
        <w:t xml:space="preserve">it concerned </w:t>
      </w:r>
      <w:r>
        <w:rPr>
          <w:color w:val="000000"/>
          <w:szCs w:val="24"/>
          <w:lang w:eastAsia="en-GB"/>
        </w:rPr>
        <w:t>an action of a public authority (</w:t>
      </w:r>
      <w:r>
        <w:rPr>
          <w:i/>
          <w:color w:val="000000"/>
          <w:szCs w:val="24"/>
          <w:lang w:eastAsia="en-GB"/>
        </w:rPr>
        <w:t>faktiskā rīcība</w:t>
      </w:r>
      <w:r>
        <w:rPr>
          <w:color w:val="000000"/>
          <w:szCs w:val="24"/>
          <w:lang w:eastAsia="en-GB"/>
        </w:rPr>
        <w:t>) (</w:t>
      </w:r>
      <w:r w:rsidR="00232CEE">
        <w:rPr>
          <w:color w:val="000000"/>
          <w:szCs w:val="24"/>
          <w:lang w:eastAsia="en-GB"/>
        </w:rPr>
        <w:t xml:space="preserve">namely the </w:t>
      </w:r>
      <w:r>
        <w:rPr>
          <w:color w:val="000000"/>
          <w:szCs w:val="24"/>
          <w:lang w:eastAsia="en-GB"/>
        </w:rPr>
        <w:t xml:space="preserve">refusal </w:t>
      </w:r>
      <w:r w:rsidR="00232CEE">
        <w:rPr>
          <w:color w:val="000000"/>
          <w:szCs w:val="24"/>
          <w:lang w:eastAsia="en-GB"/>
        </w:rPr>
        <w:t xml:space="preserve">to allow </w:t>
      </w:r>
      <w:r>
        <w:rPr>
          <w:color w:val="000000"/>
          <w:szCs w:val="24"/>
          <w:lang w:eastAsia="en-GB"/>
        </w:rPr>
        <w:t>long-term visits by M.B. and R.B.). The applicant</w:t>
      </w:r>
      <w:r w:rsidR="00F50242">
        <w:rPr>
          <w:color w:val="000000"/>
          <w:szCs w:val="24"/>
          <w:lang w:eastAsia="en-GB"/>
        </w:rPr>
        <w:t>’</w:t>
      </w:r>
      <w:r>
        <w:rPr>
          <w:color w:val="000000"/>
          <w:szCs w:val="24"/>
          <w:lang w:eastAsia="en-GB"/>
        </w:rPr>
        <w:t xml:space="preserve">s compensation claim for 20,000 </w:t>
      </w:r>
      <w:r>
        <w:t>Latvian lati</w:t>
      </w:r>
      <w:r>
        <w:rPr>
          <w:color w:val="000000"/>
          <w:szCs w:val="24"/>
          <w:lang w:eastAsia="en-GB"/>
        </w:rPr>
        <w:t xml:space="preserve"> (LVL) was not admitted, as he had not lodged such a claim with the Prisons Administration (in contrast to his complaint concerning an action of a public authority). The applicant lodged an ancillary complaint against this decision with the Administrative Regional Court,</w:t>
      </w:r>
      <w:r w:rsidR="002667C2">
        <w:rPr>
          <w:color w:val="000000"/>
          <w:szCs w:val="24"/>
          <w:lang w:eastAsia="en-GB"/>
        </w:rPr>
        <w:t xml:space="preserve"> </w:t>
      </w:r>
      <w:r w:rsidR="00E11C49">
        <w:rPr>
          <w:color w:val="000000"/>
          <w:szCs w:val="24"/>
          <w:lang w:eastAsia="en-GB"/>
        </w:rPr>
        <w:t xml:space="preserve">which was rejected </w:t>
      </w:r>
      <w:r w:rsidR="002667C2">
        <w:rPr>
          <w:color w:val="000000"/>
          <w:szCs w:val="24"/>
          <w:lang w:eastAsia="en-GB"/>
        </w:rPr>
        <w:t>on 8</w:t>
      </w:r>
      <w:r w:rsidR="00C91C3C">
        <w:rPr>
          <w:color w:val="000000"/>
          <w:szCs w:val="24"/>
          <w:lang w:eastAsia="en-GB"/>
        </w:rPr>
        <w:t> </w:t>
      </w:r>
      <w:r w:rsidR="002667C2">
        <w:rPr>
          <w:color w:val="000000"/>
          <w:szCs w:val="24"/>
          <w:lang w:eastAsia="en-GB"/>
        </w:rPr>
        <w:t>April 2009</w:t>
      </w:r>
      <w:r>
        <w:rPr>
          <w:color w:val="000000"/>
          <w:szCs w:val="24"/>
          <w:lang w:eastAsia="en-GB"/>
        </w:rPr>
        <w:t>.</w:t>
      </w:r>
    </w:p>
    <w:p w:rsidR="00032A9C" w:rsidRDefault="00032A9C" w:rsidP="00032A9C">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35</w:t>
      </w:r>
      <w:r>
        <w:rPr>
          <w:color w:val="000000"/>
          <w:szCs w:val="24"/>
          <w:lang w:eastAsia="en-GB"/>
        </w:rPr>
        <w:fldChar w:fldCharType="end"/>
      </w:r>
      <w:r>
        <w:rPr>
          <w:color w:val="000000"/>
          <w:szCs w:val="24"/>
          <w:lang w:eastAsia="en-GB"/>
        </w:rPr>
        <w:t>.  On 5 August 2010 the Administrative District Court examined and dismissed the applicant</w:t>
      </w:r>
      <w:r w:rsidR="00F50242">
        <w:rPr>
          <w:color w:val="000000"/>
          <w:szCs w:val="24"/>
          <w:lang w:eastAsia="en-GB"/>
        </w:rPr>
        <w:t>’</w:t>
      </w:r>
      <w:r>
        <w:rPr>
          <w:color w:val="000000"/>
          <w:szCs w:val="24"/>
          <w:lang w:eastAsia="en-GB"/>
        </w:rPr>
        <w:t xml:space="preserve">s complaint. </w:t>
      </w:r>
      <w:r w:rsidR="004E54E7">
        <w:rPr>
          <w:color w:val="000000"/>
          <w:szCs w:val="24"/>
          <w:lang w:eastAsia="en-GB"/>
        </w:rPr>
        <w:t xml:space="preserve">The applicant was present during the hearing and submitted that his relationship with M.B. and R.B. had </w:t>
      </w:r>
      <w:r w:rsidR="00E5080D">
        <w:rPr>
          <w:color w:val="000000"/>
          <w:szCs w:val="24"/>
          <w:lang w:eastAsia="en-GB"/>
        </w:rPr>
        <w:t xml:space="preserve">broken down </w:t>
      </w:r>
      <w:r w:rsidR="005114C1">
        <w:rPr>
          <w:color w:val="000000"/>
          <w:szCs w:val="24"/>
          <w:lang w:eastAsia="en-GB"/>
        </w:rPr>
        <w:t>owing</w:t>
      </w:r>
      <w:r w:rsidR="004E54E7">
        <w:rPr>
          <w:color w:val="000000"/>
          <w:szCs w:val="24"/>
          <w:lang w:eastAsia="en-GB"/>
        </w:rPr>
        <w:t xml:space="preserve"> to the refusal by the prison authorities to </w:t>
      </w:r>
      <w:r w:rsidR="00B35ABB">
        <w:rPr>
          <w:color w:val="000000"/>
          <w:szCs w:val="24"/>
          <w:lang w:eastAsia="en-GB"/>
        </w:rPr>
        <w:t xml:space="preserve">allow </w:t>
      </w:r>
      <w:r w:rsidR="004E54E7">
        <w:rPr>
          <w:color w:val="000000"/>
          <w:szCs w:val="24"/>
          <w:lang w:eastAsia="en-GB"/>
        </w:rPr>
        <w:t xml:space="preserve">long-term visits. </w:t>
      </w:r>
      <w:r>
        <w:rPr>
          <w:color w:val="000000"/>
          <w:szCs w:val="24"/>
          <w:lang w:eastAsia="en-GB"/>
        </w:rPr>
        <w:t xml:space="preserve">The district court found that the applicant had on numerous occasions asked for permission to receive long-term visits by M.B. and R.B. It considered that </w:t>
      </w:r>
      <w:r w:rsidR="00B35ABB">
        <w:rPr>
          <w:color w:val="000000"/>
          <w:szCs w:val="24"/>
          <w:lang w:eastAsia="en-GB"/>
        </w:rPr>
        <w:t>the authorities</w:t>
      </w:r>
      <w:r w:rsidR="00F50242">
        <w:rPr>
          <w:color w:val="000000"/>
          <w:szCs w:val="24"/>
          <w:lang w:eastAsia="en-GB"/>
        </w:rPr>
        <w:t>’</w:t>
      </w:r>
      <w:r w:rsidR="00B35ABB">
        <w:rPr>
          <w:color w:val="000000"/>
          <w:szCs w:val="24"/>
          <w:lang w:eastAsia="en-GB"/>
        </w:rPr>
        <w:t xml:space="preserve"> refusals to allow such visits </w:t>
      </w:r>
      <w:r>
        <w:rPr>
          <w:color w:val="000000"/>
          <w:szCs w:val="24"/>
          <w:lang w:eastAsia="en-GB"/>
        </w:rPr>
        <w:t>had constituted an interference with the applicant</w:t>
      </w:r>
      <w:r w:rsidR="00F50242">
        <w:rPr>
          <w:color w:val="000000"/>
          <w:szCs w:val="24"/>
          <w:lang w:eastAsia="en-GB"/>
        </w:rPr>
        <w:t>’</w:t>
      </w:r>
      <w:r>
        <w:rPr>
          <w:color w:val="000000"/>
          <w:szCs w:val="24"/>
          <w:lang w:eastAsia="en-GB"/>
        </w:rPr>
        <w:t xml:space="preserve">s rights under Article 8 of the Convention and Article 96 of the Constitution and </w:t>
      </w:r>
      <w:r w:rsidR="00B35ABB">
        <w:rPr>
          <w:color w:val="000000"/>
          <w:szCs w:val="24"/>
          <w:lang w:eastAsia="en-GB"/>
        </w:rPr>
        <w:t>as also established by</w:t>
      </w:r>
      <w:r>
        <w:rPr>
          <w:color w:val="000000"/>
          <w:szCs w:val="24"/>
          <w:lang w:eastAsia="en-GB"/>
        </w:rPr>
        <w:t xml:space="preserve"> section 45 of the Sentence Enforcement Code. Notwithstanding</w:t>
      </w:r>
      <w:r w:rsidR="007662D9">
        <w:rPr>
          <w:color w:val="000000"/>
          <w:szCs w:val="24"/>
          <w:lang w:eastAsia="en-GB"/>
        </w:rPr>
        <w:t xml:space="preserve"> that</w:t>
      </w:r>
      <w:r>
        <w:rPr>
          <w:color w:val="000000"/>
          <w:szCs w:val="24"/>
          <w:lang w:eastAsia="en-GB"/>
        </w:rPr>
        <w:t>, the district court held as follows:</w:t>
      </w:r>
    </w:p>
    <w:p w:rsidR="00032A9C" w:rsidRDefault="00032A9C" w:rsidP="00032A9C">
      <w:pPr>
        <w:pStyle w:val="JuQuot"/>
        <w:rPr>
          <w:lang w:eastAsia="en-GB"/>
        </w:rPr>
      </w:pPr>
      <w:r>
        <w:rPr>
          <w:lang w:eastAsia="en-GB"/>
        </w:rPr>
        <w:t xml:space="preserve">“The court notes that the applicant </w:t>
      </w:r>
      <w:r w:rsidR="00E76E80">
        <w:rPr>
          <w:lang w:eastAsia="en-GB"/>
        </w:rPr>
        <w:t xml:space="preserve">could </w:t>
      </w:r>
      <w:r>
        <w:rPr>
          <w:lang w:eastAsia="en-GB"/>
        </w:rPr>
        <w:t>prove his father-daughter relationship by showing the birth certificate of R.B., where he is recorded as her father. The defendant [the Prisons Administration] confirmed during the hearing that the applicant could receive a long-term visit by his daughter, if he produced her birth certificate. The applicant, for his part, considered that he did not need to prove anything.</w:t>
      </w:r>
    </w:p>
    <w:p w:rsidR="00032A9C" w:rsidRDefault="00032A9C" w:rsidP="00032A9C">
      <w:pPr>
        <w:pStyle w:val="JuQuot"/>
        <w:rPr>
          <w:lang w:eastAsia="en-GB"/>
        </w:rPr>
      </w:pPr>
      <w:r>
        <w:rPr>
          <w:lang w:eastAsia="en-GB"/>
        </w:rPr>
        <w:t>The court finds that the prison administration has not set an insurmountable obstacle by asking the applicant to provide documents attesting to his family relationships. The case file shows that the applicant has received several short-term visits by his partner, M.B., and her daughter, R.B., during which they could [in principle]</w:t>
      </w:r>
      <w:r w:rsidR="00E76E80">
        <w:rPr>
          <w:lang w:eastAsia="en-GB"/>
        </w:rPr>
        <w:t xml:space="preserve"> have</w:t>
      </w:r>
      <w:r>
        <w:rPr>
          <w:lang w:eastAsia="en-GB"/>
        </w:rPr>
        <w:t xml:space="preserve"> </w:t>
      </w:r>
      <w:r w:rsidR="00E76E80">
        <w:rPr>
          <w:lang w:eastAsia="en-GB"/>
        </w:rPr>
        <w:t xml:space="preserve">complied </w:t>
      </w:r>
      <w:r>
        <w:rPr>
          <w:lang w:eastAsia="en-GB"/>
        </w:rPr>
        <w:t>with the formal requirement to show R.B.</w:t>
      </w:r>
      <w:r w:rsidR="00F50242">
        <w:rPr>
          <w:lang w:eastAsia="en-GB"/>
        </w:rPr>
        <w:t>’</w:t>
      </w:r>
      <w:r>
        <w:rPr>
          <w:lang w:eastAsia="en-GB"/>
        </w:rPr>
        <w:t xml:space="preserve">s birth certificate </w:t>
      </w:r>
      <w:r w:rsidR="00E76E80">
        <w:rPr>
          <w:lang w:eastAsia="en-GB"/>
        </w:rPr>
        <w:t xml:space="preserve">in order </w:t>
      </w:r>
      <w:r>
        <w:rPr>
          <w:lang w:eastAsia="en-GB"/>
        </w:rPr>
        <w:t>to receive a long</w:t>
      </w:r>
      <w:r w:rsidR="00C91C3C">
        <w:rPr>
          <w:lang w:eastAsia="en-GB"/>
        </w:rPr>
        <w:t>­</w:t>
      </w:r>
      <w:r>
        <w:rPr>
          <w:lang w:eastAsia="en-GB"/>
        </w:rPr>
        <w:t>term visit [by her].</w:t>
      </w:r>
    </w:p>
    <w:p w:rsidR="00032A9C" w:rsidRDefault="00032A9C" w:rsidP="00032A9C">
      <w:pPr>
        <w:pStyle w:val="JuQuot"/>
        <w:rPr>
          <w:lang w:eastAsia="en-GB"/>
        </w:rPr>
      </w:pPr>
      <w:r>
        <w:rPr>
          <w:lang w:eastAsia="en-GB"/>
        </w:rPr>
        <w:t xml:space="preserve">In view of the above, the court concludes that the applicant and the </w:t>
      </w:r>
      <w:r w:rsidR="00437423">
        <w:rPr>
          <w:lang w:eastAsia="en-GB"/>
        </w:rPr>
        <w:t xml:space="preserve">people </w:t>
      </w:r>
      <w:r>
        <w:rPr>
          <w:lang w:eastAsia="en-GB"/>
        </w:rPr>
        <w:t xml:space="preserve">from whom he </w:t>
      </w:r>
      <w:r w:rsidR="00E5080D">
        <w:rPr>
          <w:lang w:eastAsia="en-GB"/>
        </w:rPr>
        <w:t xml:space="preserve">has asked </w:t>
      </w:r>
      <w:r>
        <w:rPr>
          <w:lang w:eastAsia="en-GB"/>
        </w:rPr>
        <w:t>to receive a long-term visit have not taken minimal steps to prove the applicant</w:t>
      </w:r>
      <w:r w:rsidR="00F50242">
        <w:rPr>
          <w:lang w:eastAsia="en-GB"/>
        </w:rPr>
        <w:t>’</w:t>
      </w:r>
      <w:r>
        <w:rPr>
          <w:lang w:eastAsia="en-GB"/>
        </w:rPr>
        <w:t>s relationship with R.B. This created doubts that the applicant had a family relationship with R.B. Thus the defendant</w:t>
      </w:r>
      <w:r w:rsidR="00F50242">
        <w:rPr>
          <w:lang w:eastAsia="en-GB"/>
        </w:rPr>
        <w:t>’</w:t>
      </w:r>
      <w:r>
        <w:rPr>
          <w:lang w:eastAsia="en-GB"/>
        </w:rPr>
        <w:t>s refusal to allow long-term visits by M.B. and R.B was justified.”</w:t>
      </w:r>
    </w:p>
    <w:p w:rsidR="00EC6837" w:rsidRDefault="00032A9C" w:rsidP="00032A9C">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36</w:t>
      </w:r>
      <w:r>
        <w:rPr>
          <w:color w:val="000000"/>
          <w:szCs w:val="24"/>
          <w:lang w:eastAsia="en-GB"/>
        </w:rPr>
        <w:fldChar w:fldCharType="end"/>
      </w:r>
      <w:r>
        <w:rPr>
          <w:color w:val="000000"/>
          <w:szCs w:val="24"/>
          <w:lang w:eastAsia="en-GB"/>
        </w:rPr>
        <w:t xml:space="preserve">.  The applicant lodged an appeal against this ruling, which was </w:t>
      </w:r>
      <w:r w:rsidR="00A672D2">
        <w:rPr>
          <w:color w:val="000000"/>
          <w:szCs w:val="24"/>
          <w:lang w:eastAsia="en-GB"/>
        </w:rPr>
        <w:t xml:space="preserve">refused on several occasions </w:t>
      </w:r>
      <w:r>
        <w:rPr>
          <w:color w:val="000000"/>
          <w:szCs w:val="24"/>
          <w:lang w:eastAsia="en-GB"/>
        </w:rPr>
        <w:t>on formal grounds</w:t>
      </w:r>
      <w:r w:rsidR="00A672D2">
        <w:rPr>
          <w:color w:val="000000"/>
          <w:szCs w:val="24"/>
          <w:lang w:eastAsia="en-GB"/>
        </w:rPr>
        <w:t xml:space="preserve"> (failure to pay </w:t>
      </w:r>
      <w:r w:rsidR="00E76E80">
        <w:rPr>
          <w:color w:val="000000"/>
          <w:szCs w:val="24"/>
          <w:lang w:eastAsia="en-GB"/>
        </w:rPr>
        <w:t>court fees</w:t>
      </w:r>
      <w:r w:rsidR="00D771EC">
        <w:rPr>
          <w:color w:val="000000"/>
          <w:szCs w:val="24"/>
          <w:lang w:eastAsia="en-GB"/>
        </w:rPr>
        <w:t xml:space="preserve"> and</w:t>
      </w:r>
      <w:r w:rsidR="00A672D2">
        <w:rPr>
          <w:color w:val="000000"/>
          <w:szCs w:val="24"/>
          <w:lang w:eastAsia="en-GB"/>
        </w:rPr>
        <w:t xml:space="preserve"> failure to provide a translation </w:t>
      </w:r>
      <w:r w:rsidR="00D771EC">
        <w:rPr>
          <w:color w:val="000000"/>
          <w:szCs w:val="24"/>
          <w:lang w:eastAsia="en-GB"/>
        </w:rPr>
        <w:t>of</w:t>
      </w:r>
      <w:r w:rsidR="009A3B65">
        <w:rPr>
          <w:color w:val="000000"/>
          <w:szCs w:val="24"/>
          <w:lang w:eastAsia="en-GB"/>
        </w:rPr>
        <w:t xml:space="preserve"> the</w:t>
      </w:r>
      <w:r w:rsidR="00D771EC">
        <w:rPr>
          <w:color w:val="000000"/>
          <w:szCs w:val="24"/>
          <w:lang w:eastAsia="en-GB"/>
        </w:rPr>
        <w:t xml:space="preserve"> </w:t>
      </w:r>
      <w:r w:rsidR="00E76E80">
        <w:rPr>
          <w:color w:val="000000"/>
          <w:szCs w:val="24"/>
          <w:lang w:eastAsia="en-GB"/>
        </w:rPr>
        <w:t xml:space="preserve">statement of </w:t>
      </w:r>
      <w:r w:rsidR="00D771EC">
        <w:rPr>
          <w:color w:val="000000"/>
          <w:szCs w:val="24"/>
          <w:lang w:eastAsia="en-GB"/>
        </w:rPr>
        <w:t xml:space="preserve">appeal </w:t>
      </w:r>
      <w:r w:rsidR="00A672D2">
        <w:rPr>
          <w:color w:val="000000"/>
          <w:szCs w:val="24"/>
          <w:lang w:eastAsia="en-GB"/>
        </w:rPr>
        <w:t xml:space="preserve">in </w:t>
      </w:r>
      <w:r w:rsidR="00D771EC">
        <w:rPr>
          <w:color w:val="000000"/>
          <w:szCs w:val="24"/>
          <w:lang w:eastAsia="en-GB"/>
        </w:rPr>
        <w:t>Latvian)</w:t>
      </w:r>
      <w:r w:rsidR="00EB3605">
        <w:rPr>
          <w:color w:val="000000"/>
          <w:szCs w:val="24"/>
          <w:lang w:eastAsia="en-GB"/>
        </w:rPr>
        <w:t>.</w:t>
      </w:r>
      <w:r w:rsidR="00EC6837">
        <w:rPr>
          <w:color w:val="000000"/>
          <w:szCs w:val="24"/>
          <w:lang w:eastAsia="en-GB"/>
        </w:rPr>
        <w:t xml:space="preserve"> After several unsuccessful ancillary complaints about these procedural decisions, on 9 June 2011 the </w:t>
      </w:r>
      <w:smartTag w:uri="urn:schemas-microsoft-com:office:smarttags" w:element="Street">
        <w:smartTag w:uri="urn:schemas-microsoft-com:office:smarttags" w:element="address">
          <w:r w:rsidR="00EC6837">
            <w:rPr>
              <w:color w:val="000000"/>
              <w:szCs w:val="24"/>
              <w:lang w:eastAsia="en-GB"/>
            </w:rPr>
            <w:t>Administrative Regional Court</w:t>
          </w:r>
        </w:smartTag>
      </w:smartTag>
      <w:r w:rsidR="00EC6837">
        <w:rPr>
          <w:color w:val="000000"/>
          <w:szCs w:val="24"/>
          <w:lang w:eastAsia="en-GB"/>
        </w:rPr>
        <w:t xml:space="preserve"> examined his appeal against the first-instance court</w:t>
      </w:r>
      <w:r w:rsidR="00F50242">
        <w:rPr>
          <w:color w:val="000000"/>
          <w:szCs w:val="24"/>
          <w:lang w:eastAsia="en-GB"/>
        </w:rPr>
        <w:t>’</w:t>
      </w:r>
      <w:r w:rsidR="00EC6837">
        <w:rPr>
          <w:color w:val="000000"/>
          <w:szCs w:val="24"/>
          <w:lang w:eastAsia="en-GB"/>
        </w:rPr>
        <w:t xml:space="preserve">s refusal to exempt him from the payment of </w:t>
      </w:r>
      <w:r w:rsidR="00E76E80">
        <w:rPr>
          <w:color w:val="000000"/>
          <w:szCs w:val="24"/>
          <w:lang w:eastAsia="en-GB"/>
        </w:rPr>
        <w:t>court fees</w:t>
      </w:r>
      <w:r w:rsidR="00EC6837">
        <w:rPr>
          <w:color w:val="000000"/>
          <w:szCs w:val="24"/>
          <w:lang w:eastAsia="en-GB"/>
        </w:rPr>
        <w:t>. The case was sent back to the first-instance court to decide on the exemption.</w:t>
      </w:r>
    </w:p>
    <w:p w:rsidR="003D5452" w:rsidRDefault="00D771EC" w:rsidP="00032A9C">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37</w:t>
      </w:r>
      <w:r>
        <w:rPr>
          <w:color w:val="000000"/>
          <w:szCs w:val="24"/>
          <w:lang w:eastAsia="en-GB"/>
        </w:rPr>
        <w:fldChar w:fldCharType="end"/>
      </w:r>
      <w:r>
        <w:rPr>
          <w:color w:val="000000"/>
          <w:szCs w:val="24"/>
          <w:lang w:eastAsia="en-GB"/>
        </w:rPr>
        <w:t xml:space="preserve">.  On </w:t>
      </w:r>
      <w:r w:rsidR="003D5452">
        <w:rPr>
          <w:color w:val="000000"/>
          <w:szCs w:val="24"/>
          <w:lang w:eastAsia="en-GB"/>
        </w:rPr>
        <w:t xml:space="preserve">23 August 2011 the Administrative District Court partially exempted the applicant from the payment of </w:t>
      </w:r>
      <w:r w:rsidR="00E76E80">
        <w:rPr>
          <w:color w:val="000000"/>
          <w:szCs w:val="24"/>
          <w:lang w:eastAsia="en-GB"/>
        </w:rPr>
        <w:t xml:space="preserve">court fees </w:t>
      </w:r>
      <w:r w:rsidR="003D5452">
        <w:rPr>
          <w:color w:val="000000"/>
          <w:szCs w:val="24"/>
          <w:lang w:eastAsia="en-GB"/>
        </w:rPr>
        <w:t xml:space="preserve">for </w:t>
      </w:r>
      <w:r w:rsidR="00E76E80">
        <w:rPr>
          <w:color w:val="000000"/>
          <w:szCs w:val="24"/>
          <w:lang w:eastAsia="en-GB"/>
        </w:rPr>
        <w:t xml:space="preserve">an </w:t>
      </w:r>
      <w:r w:rsidR="003D5452">
        <w:rPr>
          <w:color w:val="000000"/>
          <w:szCs w:val="24"/>
          <w:lang w:eastAsia="en-GB"/>
        </w:rPr>
        <w:t xml:space="preserve">appeal and set a time-limit for payment of the </w:t>
      </w:r>
      <w:r w:rsidR="00F050DB">
        <w:rPr>
          <w:color w:val="000000"/>
          <w:szCs w:val="24"/>
          <w:lang w:eastAsia="en-GB"/>
        </w:rPr>
        <w:t xml:space="preserve">reduced </w:t>
      </w:r>
      <w:r w:rsidR="00E76E80">
        <w:rPr>
          <w:color w:val="000000"/>
          <w:szCs w:val="24"/>
          <w:lang w:eastAsia="en-GB"/>
        </w:rPr>
        <w:t>court fees</w:t>
      </w:r>
      <w:r w:rsidR="006D75A9">
        <w:rPr>
          <w:color w:val="000000"/>
          <w:szCs w:val="24"/>
          <w:lang w:eastAsia="en-GB"/>
        </w:rPr>
        <w:t xml:space="preserve"> in the amount of </w:t>
      </w:r>
      <w:r w:rsidR="003D5452">
        <w:rPr>
          <w:color w:val="000000"/>
          <w:szCs w:val="24"/>
          <w:lang w:eastAsia="en-GB"/>
        </w:rPr>
        <w:t>LVL</w:t>
      </w:r>
      <w:r w:rsidR="006D75A9">
        <w:rPr>
          <w:color w:val="000000"/>
          <w:szCs w:val="24"/>
          <w:lang w:eastAsia="en-GB"/>
        </w:rPr>
        <w:t xml:space="preserve"> 5</w:t>
      </w:r>
      <w:r w:rsidR="003D5452">
        <w:rPr>
          <w:color w:val="000000"/>
          <w:szCs w:val="24"/>
          <w:lang w:eastAsia="en-GB"/>
        </w:rPr>
        <w:t xml:space="preserve">. </w:t>
      </w:r>
      <w:r w:rsidR="00031D35">
        <w:rPr>
          <w:color w:val="000000"/>
          <w:szCs w:val="24"/>
          <w:lang w:eastAsia="en-GB"/>
        </w:rPr>
        <w:t>This decision was sent to the applicant</w:t>
      </w:r>
      <w:r w:rsidR="00F50242">
        <w:rPr>
          <w:color w:val="000000"/>
          <w:szCs w:val="24"/>
          <w:lang w:eastAsia="en-GB"/>
        </w:rPr>
        <w:t>’</w:t>
      </w:r>
      <w:r w:rsidR="00031D35">
        <w:rPr>
          <w:color w:val="000000"/>
          <w:szCs w:val="24"/>
          <w:lang w:eastAsia="en-GB"/>
        </w:rPr>
        <w:t xml:space="preserve">s address in prison in </w:t>
      </w:r>
      <w:smartTag w:uri="urn:schemas-microsoft-com:office:smarttags" w:element="country-region">
        <w:r w:rsidR="00031D35">
          <w:rPr>
            <w:color w:val="000000"/>
            <w:szCs w:val="24"/>
            <w:lang w:eastAsia="en-GB"/>
          </w:rPr>
          <w:t>Latvia</w:t>
        </w:r>
      </w:smartTag>
      <w:r w:rsidR="00E76E80">
        <w:rPr>
          <w:color w:val="000000"/>
          <w:szCs w:val="24"/>
          <w:lang w:eastAsia="en-GB"/>
        </w:rPr>
        <w:t>,</w:t>
      </w:r>
      <w:r w:rsidR="00031D35">
        <w:rPr>
          <w:color w:val="000000"/>
          <w:szCs w:val="24"/>
          <w:lang w:eastAsia="en-GB"/>
        </w:rPr>
        <w:t xml:space="preserve"> as he had not informed the district court </w:t>
      </w:r>
      <w:r w:rsidR="00E76E80">
        <w:rPr>
          <w:color w:val="000000"/>
          <w:szCs w:val="24"/>
          <w:lang w:eastAsia="en-GB"/>
        </w:rPr>
        <w:t xml:space="preserve">that he had been transferred to a prison in </w:t>
      </w:r>
      <w:smartTag w:uri="urn:schemas-microsoft-com:office:smarttags" w:element="place">
        <w:smartTag w:uri="urn:schemas-microsoft-com:office:smarttags" w:element="country-region">
          <w:r w:rsidR="00E76E80">
            <w:rPr>
              <w:color w:val="000000"/>
              <w:szCs w:val="24"/>
              <w:lang w:eastAsia="en-GB"/>
            </w:rPr>
            <w:t>Russia</w:t>
          </w:r>
        </w:smartTag>
      </w:smartTag>
      <w:r w:rsidR="00E76E80">
        <w:rPr>
          <w:color w:val="000000"/>
          <w:szCs w:val="24"/>
          <w:lang w:eastAsia="en-GB"/>
        </w:rPr>
        <w:t xml:space="preserve"> (see below)</w:t>
      </w:r>
      <w:r w:rsidR="00031D35">
        <w:rPr>
          <w:color w:val="000000"/>
          <w:szCs w:val="24"/>
          <w:lang w:eastAsia="en-GB"/>
        </w:rPr>
        <w:t>.</w:t>
      </w:r>
    </w:p>
    <w:p w:rsidR="003D5452" w:rsidRDefault="003D5452" w:rsidP="00032A9C">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D814D9">
        <w:rPr>
          <w:noProof/>
          <w:color w:val="000000"/>
          <w:szCs w:val="24"/>
          <w:lang w:eastAsia="en-GB"/>
        </w:rPr>
        <w:t>38</w:t>
      </w:r>
      <w:r>
        <w:rPr>
          <w:color w:val="000000"/>
          <w:szCs w:val="24"/>
          <w:lang w:eastAsia="en-GB"/>
        </w:rPr>
        <w:fldChar w:fldCharType="end"/>
      </w:r>
      <w:r>
        <w:rPr>
          <w:color w:val="000000"/>
          <w:szCs w:val="24"/>
          <w:lang w:eastAsia="en-GB"/>
        </w:rPr>
        <w:t xml:space="preserve">.  On 29 September 2011 the Administrative District Court found that the applicant had </w:t>
      </w:r>
      <w:r w:rsidR="00031D35">
        <w:rPr>
          <w:color w:val="000000"/>
          <w:szCs w:val="24"/>
          <w:lang w:eastAsia="en-GB"/>
        </w:rPr>
        <w:t xml:space="preserve">not paid the reduced </w:t>
      </w:r>
      <w:r w:rsidR="00E76E80">
        <w:rPr>
          <w:color w:val="000000"/>
          <w:szCs w:val="24"/>
          <w:lang w:eastAsia="en-GB"/>
        </w:rPr>
        <w:t>court fees</w:t>
      </w:r>
      <w:r w:rsidR="00031D35">
        <w:rPr>
          <w:color w:val="000000"/>
          <w:szCs w:val="24"/>
          <w:lang w:eastAsia="en-GB"/>
        </w:rPr>
        <w:t xml:space="preserve"> for lodging an appeal and had also </w:t>
      </w:r>
      <w:r>
        <w:rPr>
          <w:color w:val="000000"/>
          <w:szCs w:val="24"/>
          <w:lang w:eastAsia="en-GB"/>
        </w:rPr>
        <w:t xml:space="preserve">not informed it of </w:t>
      </w:r>
      <w:r w:rsidR="00E76E80">
        <w:rPr>
          <w:color w:val="000000"/>
          <w:szCs w:val="24"/>
          <w:lang w:eastAsia="en-GB"/>
        </w:rPr>
        <w:t>h</w:t>
      </w:r>
      <w:r w:rsidR="00E0162C">
        <w:rPr>
          <w:color w:val="000000"/>
          <w:szCs w:val="24"/>
          <w:lang w:eastAsia="en-GB"/>
        </w:rPr>
        <w:t>is</w:t>
      </w:r>
      <w:r w:rsidR="00E76E80">
        <w:rPr>
          <w:color w:val="000000"/>
          <w:szCs w:val="24"/>
          <w:lang w:eastAsia="en-GB"/>
        </w:rPr>
        <w:t xml:space="preserve"> </w:t>
      </w:r>
      <w:r w:rsidR="00E0162C">
        <w:rPr>
          <w:color w:val="000000"/>
          <w:szCs w:val="24"/>
          <w:lang w:eastAsia="en-GB"/>
        </w:rPr>
        <w:t>transfer to another prison</w:t>
      </w:r>
      <w:r>
        <w:rPr>
          <w:color w:val="000000"/>
          <w:szCs w:val="24"/>
          <w:lang w:eastAsia="en-GB"/>
        </w:rPr>
        <w:t xml:space="preserve">. </w:t>
      </w:r>
      <w:r w:rsidR="00031D35">
        <w:rPr>
          <w:color w:val="000000"/>
          <w:szCs w:val="24"/>
          <w:lang w:eastAsia="en-GB"/>
        </w:rPr>
        <w:t xml:space="preserve">As the applicant had failed to rectify the </w:t>
      </w:r>
      <w:r w:rsidR="000C333C">
        <w:rPr>
          <w:color w:val="000000"/>
          <w:szCs w:val="24"/>
          <w:lang w:eastAsia="en-GB"/>
        </w:rPr>
        <w:t xml:space="preserve">procedural shortcomings </w:t>
      </w:r>
      <w:r w:rsidR="00031D35">
        <w:rPr>
          <w:color w:val="000000"/>
          <w:szCs w:val="24"/>
          <w:lang w:eastAsia="en-GB"/>
        </w:rPr>
        <w:t xml:space="preserve">in his </w:t>
      </w:r>
      <w:r w:rsidR="000C333C">
        <w:rPr>
          <w:color w:val="000000"/>
          <w:szCs w:val="24"/>
          <w:lang w:eastAsia="en-GB"/>
        </w:rPr>
        <w:t xml:space="preserve">appeal </w:t>
      </w:r>
      <w:r w:rsidR="00031D35">
        <w:rPr>
          <w:color w:val="000000"/>
          <w:szCs w:val="24"/>
          <w:lang w:eastAsia="en-GB"/>
        </w:rPr>
        <w:t xml:space="preserve">(he had not paid the </w:t>
      </w:r>
      <w:r w:rsidR="00DF22F5">
        <w:rPr>
          <w:color w:val="000000"/>
          <w:szCs w:val="24"/>
          <w:lang w:eastAsia="en-GB"/>
        </w:rPr>
        <w:t>reduced</w:t>
      </w:r>
      <w:r w:rsidR="00910BED">
        <w:rPr>
          <w:color w:val="000000"/>
          <w:szCs w:val="24"/>
          <w:lang w:eastAsia="en-GB"/>
        </w:rPr>
        <w:t xml:space="preserve"> </w:t>
      </w:r>
      <w:r w:rsidR="00E0162C">
        <w:rPr>
          <w:color w:val="000000"/>
          <w:szCs w:val="24"/>
          <w:lang w:eastAsia="en-GB"/>
        </w:rPr>
        <w:t>court fees</w:t>
      </w:r>
      <w:r w:rsidR="00031D35">
        <w:rPr>
          <w:color w:val="000000"/>
          <w:szCs w:val="24"/>
          <w:lang w:eastAsia="en-GB"/>
        </w:rPr>
        <w:t>)</w:t>
      </w:r>
      <w:r w:rsidR="009A3B65">
        <w:rPr>
          <w:color w:val="000000"/>
          <w:szCs w:val="24"/>
          <w:lang w:eastAsia="en-GB"/>
        </w:rPr>
        <w:t>,</w:t>
      </w:r>
      <w:r w:rsidR="00031D35">
        <w:rPr>
          <w:color w:val="000000"/>
          <w:szCs w:val="24"/>
          <w:lang w:eastAsia="en-GB"/>
        </w:rPr>
        <w:t xml:space="preserve"> his </w:t>
      </w:r>
      <w:r>
        <w:rPr>
          <w:color w:val="000000"/>
          <w:szCs w:val="24"/>
          <w:lang w:eastAsia="en-GB"/>
        </w:rPr>
        <w:t>appeal against the 5 August 2010 ruling was therefore considered as not submitted.</w:t>
      </w:r>
      <w:r w:rsidR="00325B01">
        <w:rPr>
          <w:color w:val="000000"/>
          <w:szCs w:val="24"/>
          <w:lang w:eastAsia="en-GB"/>
        </w:rPr>
        <w:t xml:space="preserve"> </w:t>
      </w:r>
      <w:r w:rsidR="007F0676">
        <w:rPr>
          <w:color w:val="000000"/>
          <w:szCs w:val="24"/>
          <w:lang w:eastAsia="en-GB"/>
        </w:rPr>
        <w:t>This decision took effect on 18 October 2011</w:t>
      </w:r>
      <w:r w:rsidR="00E0162C">
        <w:rPr>
          <w:color w:val="000000"/>
          <w:szCs w:val="24"/>
          <w:lang w:eastAsia="en-GB"/>
        </w:rPr>
        <w:t>,</w:t>
      </w:r>
      <w:r w:rsidR="007F0676">
        <w:rPr>
          <w:color w:val="000000"/>
          <w:szCs w:val="24"/>
          <w:lang w:eastAsia="en-GB"/>
        </w:rPr>
        <w:t xml:space="preserve"> as the applicant did not lodge an ancillary complaint against it on time.</w:t>
      </w:r>
    </w:p>
    <w:p w:rsidR="00032A9C" w:rsidRDefault="00804C30" w:rsidP="00804C30">
      <w:pPr>
        <w:pStyle w:val="JuHA"/>
      </w:pPr>
      <w:r>
        <w:t>C</w:t>
      </w:r>
      <w:r w:rsidR="00032A9C">
        <w:t>.  The applicant</w:t>
      </w:r>
      <w:r w:rsidR="00F50242">
        <w:t>’</w:t>
      </w:r>
      <w:r w:rsidR="00032A9C">
        <w:t xml:space="preserve">s transfer to </w:t>
      </w:r>
      <w:smartTag w:uri="urn:schemas-microsoft-com:office:smarttags" w:element="place">
        <w:smartTag w:uri="urn:schemas-microsoft-com:office:smarttags" w:element="country-region">
          <w:r w:rsidR="00032A9C">
            <w:t>Russia</w:t>
          </w:r>
        </w:smartTag>
      </w:smartTag>
    </w:p>
    <w:p w:rsidR="00032A9C" w:rsidRDefault="00032A9C" w:rsidP="00032A9C">
      <w:pPr>
        <w:pStyle w:val="JuPara"/>
      </w:pPr>
      <w:r>
        <w:fldChar w:fldCharType="begin"/>
      </w:r>
      <w:r>
        <w:instrText xml:space="preserve"> SEQ level0 \*arabic </w:instrText>
      </w:r>
      <w:r>
        <w:fldChar w:fldCharType="separate"/>
      </w:r>
      <w:r w:rsidR="00D814D9">
        <w:rPr>
          <w:noProof/>
        </w:rPr>
        <w:t>39</w:t>
      </w:r>
      <w:r>
        <w:fldChar w:fldCharType="end"/>
      </w:r>
      <w:r>
        <w:t xml:space="preserve">.  On 23 November 2009 the applicant </w:t>
      </w:r>
      <w:r w:rsidR="00B35ABB">
        <w:t xml:space="preserve">asked </w:t>
      </w:r>
      <w:r>
        <w:t xml:space="preserve">to be transferred to </w:t>
      </w:r>
      <w:smartTag w:uri="urn:schemas-microsoft-com:office:smarttags" w:element="place">
        <w:smartTag w:uri="urn:schemas-microsoft-com:office:smarttags" w:element="country-region">
          <w:r>
            <w:t>Russia</w:t>
          </w:r>
        </w:smartTag>
      </w:smartTag>
      <w:r>
        <w:t xml:space="preserve"> to continue serving his sentence there.</w:t>
      </w:r>
    </w:p>
    <w:p w:rsidR="00032A9C" w:rsidRDefault="00032A9C" w:rsidP="00032A9C">
      <w:pPr>
        <w:pStyle w:val="JuPara"/>
      </w:pPr>
      <w:r>
        <w:fldChar w:fldCharType="begin"/>
      </w:r>
      <w:r>
        <w:instrText xml:space="preserve"> SEQ level0 \*arabic </w:instrText>
      </w:r>
      <w:r>
        <w:fldChar w:fldCharType="separate"/>
      </w:r>
      <w:r w:rsidR="00D814D9">
        <w:rPr>
          <w:noProof/>
        </w:rPr>
        <w:t>40</w:t>
      </w:r>
      <w:r>
        <w:fldChar w:fldCharType="end"/>
      </w:r>
      <w:r>
        <w:t>.  On 5 January 2010 the applicant was informed that a request had been sent to the Russian authorities in accordance with applicable law.</w:t>
      </w:r>
    </w:p>
    <w:p w:rsidR="00032A9C" w:rsidRDefault="00032A9C" w:rsidP="00032A9C">
      <w:pPr>
        <w:pStyle w:val="JuPara"/>
      </w:pPr>
      <w:r>
        <w:fldChar w:fldCharType="begin"/>
      </w:r>
      <w:r>
        <w:instrText xml:space="preserve"> SEQ level0 \*arabic </w:instrText>
      </w:r>
      <w:r>
        <w:fldChar w:fldCharType="separate"/>
      </w:r>
      <w:r w:rsidR="00D814D9">
        <w:rPr>
          <w:noProof/>
        </w:rPr>
        <w:t>41</w:t>
      </w:r>
      <w:r>
        <w:fldChar w:fldCharType="end"/>
      </w:r>
      <w:r>
        <w:t xml:space="preserve">.  On 27 April 2011 the applicant was informed that the Russian authorities had accepted the request and that he </w:t>
      </w:r>
      <w:r w:rsidR="00CE2FE0">
        <w:t>would</w:t>
      </w:r>
      <w:r>
        <w:t xml:space="preserve"> be transferred to </w:t>
      </w:r>
      <w:smartTag w:uri="urn:schemas-microsoft-com:office:smarttags" w:element="place">
        <w:smartTag w:uri="urn:schemas-microsoft-com:office:smarttags" w:element="country-region">
          <w:r>
            <w:t>Russia</w:t>
          </w:r>
        </w:smartTag>
      </w:smartTag>
      <w:r>
        <w:t xml:space="preserve"> to continue serving his sentence.</w:t>
      </w:r>
    </w:p>
    <w:p w:rsidR="00032A9C" w:rsidRDefault="00032A9C" w:rsidP="00032A9C">
      <w:pPr>
        <w:pStyle w:val="JuPara"/>
      </w:pPr>
      <w:r>
        <w:fldChar w:fldCharType="begin"/>
      </w:r>
      <w:r>
        <w:instrText xml:space="preserve"> SEQ level0 \*arabic </w:instrText>
      </w:r>
      <w:r>
        <w:fldChar w:fldCharType="separate"/>
      </w:r>
      <w:r w:rsidR="00D814D9">
        <w:rPr>
          <w:noProof/>
        </w:rPr>
        <w:t>42</w:t>
      </w:r>
      <w:r>
        <w:fldChar w:fldCharType="end"/>
      </w:r>
      <w:r>
        <w:t xml:space="preserve">.  On 16 June 2011 the applicant was transferred to a prison in Rīga, in view of his scheduled transfer to </w:t>
      </w:r>
      <w:smartTag w:uri="urn:schemas-microsoft-com:office:smarttags" w:element="place">
        <w:smartTag w:uri="urn:schemas-microsoft-com:office:smarttags" w:element="country-region">
          <w:r>
            <w:t>Russia</w:t>
          </w:r>
        </w:smartTag>
      </w:smartTag>
      <w:r>
        <w:t>.</w:t>
      </w:r>
    </w:p>
    <w:p w:rsidR="00D771EC" w:rsidRDefault="00032A9C" w:rsidP="00032A9C">
      <w:pPr>
        <w:pStyle w:val="JuPara"/>
      </w:pPr>
      <w:r>
        <w:fldChar w:fldCharType="begin"/>
      </w:r>
      <w:r>
        <w:instrText xml:space="preserve"> SEQ level0 \*arabic </w:instrText>
      </w:r>
      <w:r>
        <w:fldChar w:fldCharType="separate"/>
      </w:r>
      <w:r w:rsidR="00D814D9">
        <w:rPr>
          <w:noProof/>
        </w:rPr>
        <w:t>43</w:t>
      </w:r>
      <w:r>
        <w:fldChar w:fldCharType="end"/>
      </w:r>
      <w:r>
        <w:t>.  On 22 June 2011 the applicant was handed over to the Russian authorities at R</w:t>
      </w:r>
      <w:r>
        <w:rPr>
          <w:lang w:val="lv-LV"/>
        </w:rPr>
        <w:t xml:space="preserve">īga </w:t>
      </w:r>
      <w:r w:rsidRPr="00E0162C">
        <w:t>International Airport</w:t>
      </w:r>
      <w:r>
        <w:t>.</w:t>
      </w:r>
    </w:p>
    <w:p w:rsidR="00032A9C" w:rsidRDefault="00032A9C" w:rsidP="00032A9C">
      <w:pPr>
        <w:pStyle w:val="JuPara"/>
      </w:pPr>
      <w:r>
        <w:fldChar w:fldCharType="begin"/>
      </w:r>
      <w:r>
        <w:instrText xml:space="preserve"> SEQ level0 \*arabic </w:instrText>
      </w:r>
      <w:r>
        <w:fldChar w:fldCharType="separate"/>
      </w:r>
      <w:r w:rsidR="00D814D9">
        <w:rPr>
          <w:noProof/>
        </w:rPr>
        <w:t>44</w:t>
      </w:r>
      <w:r>
        <w:fldChar w:fldCharType="end"/>
      </w:r>
      <w:r>
        <w:t>.  </w:t>
      </w:r>
      <w:r w:rsidR="00804C30">
        <w:t>On 10 August 2012 the applicant informed the Court that he intended to pursue his application</w:t>
      </w:r>
      <w:r w:rsidR="00B156FE">
        <w:t xml:space="preserve"> in </w:t>
      </w:r>
      <w:smartTag w:uri="urn:schemas-microsoft-com:office:smarttags" w:element="place">
        <w:smartTag w:uri="urn:schemas-microsoft-com:office:smarttags" w:element="City">
          <w:r w:rsidR="00B156FE">
            <w:t>Strasbourg</w:t>
          </w:r>
        </w:smartTag>
      </w:smartTag>
      <w:r w:rsidR="00804C30">
        <w:t>.</w:t>
      </w:r>
    </w:p>
    <w:p w:rsidR="00032A9C" w:rsidRDefault="00032A9C" w:rsidP="00032A9C">
      <w:pPr>
        <w:pStyle w:val="JuHIRoman"/>
        <w:outlineLvl w:val="0"/>
      </w:pPr>
      <w:r>
        <w:t>II.  RELEVANT DOMESTIC LAW</w:t>
      </w:r>
    </w:p>
    <w:p w:rsidR="00032A9C" w:rsidRPr="00804C30" w:rsidRDefault="00032A9C" w:rsidP="00032A9C">
      <w:pPr>
        <w:pStyle w:val="JuPara"/>
        <w:rPr>
          <w:szCs w:val="24"/>
          <w:lang w:eastAsia="en-US"/>
        </w:rPr>
      </w:pPr>
      <w:r>
        <w:fldChar w:fldCharType="begin"/>
      </w:r>
      <w:r>
        <w:instrText xml:space="preserve"> SEQ level0 \*arabic </w:instrText>
      </w:r>
      <w:r>
        <w:fldChar w:fldCharType="separate"/>
      </w:r>
      <w:r w:rsidR="00D814D9">
        <w:rPr>
          <w:noProof/>
        </w:rPr>
        <w:t>45</w:t>
      </w:r>
      <w:r>
        <w:fldChar w:fldCharType="end"/>
      </w:r>
      <w:r>
        <w:t xml:space="preserve">.  A full description of the law and practice as concerns pre-trial detention at the relevant time may be found in </w:t>
      </w:r>
      <w:r w:rsidRPr="00B60462">
        <w:rPr>
          <w:i/>
          <w:szCs w:val="24"/>
          <w:lang w:eastAsia="en-US"/>
        </w:rPr>
        <w:t xml:space="preserve">Svipsta v. </w:t>
      </w:r>
      <w:smartTag w:uri="urn:schemas-microsoft-com:office:smarttags" w:element="country-region">
        <w:smartTag w:uri="urn:schemas-microsoft-com:office:smarttags" w:element="place">
          <w:r w:rsidRPr="00B60462">
            <w:rPr>
              <w:i/>
              <w:szCs w:val="24"/>
              <w:lang w:eastAsia="en-US"/>
            </w:rPr>
            <w:t>Latvia</w:t>
          </w:r>
        </w:smartTag>
      </w:smartTag>
      <w:r>
        <w:rPr>
          <w:szCs w:val="24"/>
          <w:lang w:eastAsia="en-US"/>
        </w:rPr>
        <w:t xml:space="preserve"> (</w:t>
      </w:r>
      <w:r w:rsidRPr="00B60462">
        <w:rPr>
          <w:szCs w:val="24"/>
          <w:lang w:eastAsia="en-US"/>
        </w:rPr>
        <w:t>no.</w:t>
      </w:r>
      <w:r>
        <w:rPr>
          <w:szCs w:val="24"/>
          <w:lang w:eastAsia="en-US"/>
        </w:rPr>
        <w:t> </w:t>
      </w:r>
      <w:r w:rsidRPr="00B60462">
        <w:rPr>
          <w:szCs w:val="24"/>
          <w:lang w:eastAsia="en-US"/>
        </w:rPr>
        <w:t>66820/01, §§</w:t>
      </w:r>
      <w:r>
        <w:rPr>
          <w:szCs w:val="24"/>
          <w:lang w:eastAsia="en-US"/>
        </w:rPr>
        <w:t xml:space="preserve"> 53-66</w:t>
      </w:r>
      <w:r w:rsidRPr="00B60462">
        <w:rPr>
          <w:szCs w:val="24"/>
          <w:lang w:eastAsia="en-US"/>
        </w:rPr>
        <w:t xml:space="preserve">, </w:t>
      </w:r>
      <w:r w:rsidRPr="00B60462">
        <w:rPr>
          <w:lang w:eastAsia="en-US"/>
        </w:rPr>
        <w:t>ECHR 2006</w:t>
      </w:r>
      <w:r w:rsidRPr="00B60462">
        <w:rPr>
          <w:lang w:eastAsia="en-US"/>
        </w:rPr>
        <w:noBreakHyphen/>
        <w:t>III (extracts)</w:t>
      </w:r>
      <w:r>
        <w:rPr>
          <w:lang w:eastAsia="en-US"/>
        </w:rPr>
        <w:t xml:space="preserve">) </w:t>
      </w:r>
      <w:r w:rsidR="007D5646">
        <w:rPr>
          <w:lang w:eastAsia="en-US"/>
        </w:rPr>
        <w:t xml:space="preserve">and </w:t>
      </w:r>
      <w:r w:rsidR="00804C30" w:rsidRPr="00804C30">
        <w:rPr>
          <w:i/>
          <w:szCs w:val="24"/>
          <w:lang w:eastAsia="en-US"/>
        </w:rPr>
        <w:t>Vogins v. Latvia</w:t>
      </w:r>
      <w:r w:rsidR="00804C30">
        <w:rPr>
          <w:szCs w:val="24"/>
          <w:lang w:eastAsia="en-US"/>
        </w:rPr>
        <w:t xml:space="preserve"> (</w:t>
      </w:r>
      <w:r w:rsidR="00804C30" w:rsidRPr="00804C30">
        <w:rPr>
          <w:szCs w:val="24"/>
          <w:lang w:eastAsia="en-US"/>
        </w:rPr>
        <w:t>no. 3992/02, §</w:t>
      </w:r>
      <w:r w:rsidR="00804C30">
        <w:rPr>
          <w:szCs w:val="24"/>
          <w:lang w:eastAsia="en-US"/>
        </w:rPr>
        <w:t>§ 22-23</w:t>
      </w:r>
      <w:r w:rsidR="00804C30" w:rsidRPr="00804C30">
        <w:rPr>
          <w:szCs w:val="24"/>
          <w:lang w:eastAsia="en-US"/>
        </w:rPr>
        <w:t>, 1 February 2007</w:t>
      </w:r>
      <w:r w:rsidR="00804C30">
        <w:rPr>
          <w:szCs w:val="24"/>
          <w:lang w:eastAsia="en-US"/>
        </w:rPr>
        <w:t>).</w:t>
      </w:r>
    </w:p>
    <w:bookmarkStart w:id="1" w:name="domlaw_SIK"/>
    <w:p w:rsidR="000E2EA1" w:rsidRDefault="00032A9C" w:rsidP="00032A9C">
      <w:pPr>
        <w:pStyle w:val="JuPara"/>
        <w:rPr>
          <w:snapToGrid w:val="0"/>
          <w:lang w:val="pt-BR" w:eastAsia="en-US"/>
        </w:rPr>
      </w:pPr>
      <w:r>
        <w:fldChar w:fldCharType="begin"/>
      </w:r>
      <w:r>
        <w:instrText xml:space="preserve"> SEQ level0 \*arabic </w:instrText>
      </w:r>
      <w:r>
        <w:fldChar w:fldCharType="separate"/>
      </w:r>
      <w:r w:rsidR="00D814D9">
        <w:rPr>
          <w:noProof/>
        </w:rPr>
        <w:t>46</w:t>
      </w:r>
      <w:r>
        <w:fldChar w:fldCharType="end"/>
      </w:r>
      <w:bookmarkEnd w:id="1"/>
      <w:r>
        <w:t>.  </w:t>
      </w:r>
      <w:r w:rsidR="00B35ABB">
        <w:t>Section 45 of the Sentence Enforcement Code,</w:t>
      </w:r>
      <w:r w:rsidR="00804C30">
        <w:t xml:space="preserve"> concerning visits in prison</w:t>
      </w:r>
      <w:r w:rsidR="00B35ABB">
        <w:t>,</w:t>
      </w:r>
      <w:r w:rsidR="00804C30">
        <w:t xml:space="preserve"> can be found in </w:t>
      </w:r>
      <w:r w:rsidR="00804C30" w:rsidRPr="00804C30">
        <w:rPr>
          <w:i/>
          <w:szCs w:val="22"/>
          <w:lang w:eastAsia="en-US"/>
        </w:rPr>
        <w:t>Aleksejeva v. Latvia</w:t>
      </w:r>
      <w:r w:rsidR="00804C30">
        <w:rPr>
          <w:szCs w:val="22"/>
          <w:lang w:eastAsia="en-US"/>
        </w:rPr>
        <w:t xml:space="preserve"> (</w:t>
      </w:r>
      <w:r w:rsidR="00804C30" w:rsidRPr="00804C30">
        <w:rPr>
          <w:szCs w:val="22"/>
          <w:lang w:eastAsia="en-US"/>
        </w:rPr>
        <w:t>no. 21780/07</w:t>
      </w:r>
      <w:r w:rsidR="00804C30" w:rsidRPr="00804C30">
        <w:rPr>
          <w:snapToGrid w:val="0"/>
          <w:lang w:val="pt-BR" w:eastAsia="en-US"/>
        </w:rPr>
        <w:t xml:space="preserve">, § </w:t>
      </w:r>
      <w:r w:rsidR="00804C30">
        <w:rPr>
          <w:snapToGrid w:val="0"/>
          <w:lang w:val="pt-BR" w:eastAsia="en-US"/>
        </w:rPr>
        <w:t>28</w:t>
      </w:r>
      <w:r w:rsidR="00804C30" w:rsidRPr="00804C30">
        <w:rPr>
          <w:snapToGrid w:val="0"/>
          <w:lang w:val="pt-BR" w:eastAsia="en-US"/>
        </w:rPr>
        <w:t>, 3 July 2012</w:t>
      </w:r>
      <w:r w:rsidR="00804C30">
        <w:rPr>
          <w:snapToGrid w:val="0"/>
          <w:lang w:val="pt-BR" w:eastAsia="en-US"/>
        </w:rPr>
        <w:t>).</w:t>
      </w:r>
    </w:p>
    <w:p w:rsidR="00422709" w:rsidRPr="00950570" w:rsidRDefault="00422709" w:rsidP="00032A9C">
      <w:pPr>
        <w:pStyle w:val="JuPara"/>
        <w:rPr>
          <w:snapToGrid w:val="0"/>
          <w:lang w:eastAsia="en-US"/>
        </w:rPr>
      </w:pPr>
      <w:r w:rsidRPr="00950570">
        <w:rPr>
          <w:snapToGrid w:val="0"/>
          <w:lang w:eastAsia="en-US"/>
        </w:rPr>
        <w:fldChar w:fldCharType="begin"/>
      </w:r>
      <w:r w:rsidRPr="00950570">
        <w:rPr>
          <w:snapToGrid w:val="0"/>
          <w:lang w:eastAsia="en-US"/>
        </w:rPr>
        <w:instrText xml:space="preserve"> SEQ level0 \*arabic </w:instrText>
      </w:r>
      <w:r w:rsidRPr="00950570">
        <w:rPr>
          <w:snapToGrid w:val="0"/>
          <w:lang w:eastAsia="en-US"/>
        </w:rPr>
        <w:fldChar w:fldCharType="separate"/>
      </w:r>
      <w:r w:rsidR="00D814D9">
        <w:rPr>
          <w:noProof/>
          <w:snapToGrid w:val="0"/>
          <w:lang w:eastAsia="en-US"/>
        </w:rPr>
        <w:t>47</w:t>
      </w:r>
      <w:r w:rsidRPr="00950570">
        <w:rPr>
          <w:snapToGrid w:val="0"/>
          <w:lang w:eastAsia="en-US"/>
        </w:rPr>
        <w:fldChar w:fldCharType="end"/>
      </w:r>
      <w:r w:rsidRPr="00950570">
        <w:rPr>
          <w:snapToGrid w:val="0"/>
          <w:lang w:eastAsia="en-US"/>
        </w:rPr>
        <w:t xml:space="preserve">.  With legislative amendments that took effect on 11 August 2011, </w:t>
      </w:r>
      <w:r w:rsidR="00B35ABB" w:rsidRPr="00950570">
        <w:rPr>
          <w:snapToGrid w:val="0"/>
          <w:lang w:eastAsia="en-US"/>
        </w:rPr>
        <w:t>that</w:t>
      </w:r>
      <w:r w:rsidR="00981DF6" w:rsidRPr="00950570">
        <w:rPr>
          <w:snapToGrid w:val="0"/>
          <w:lang w:eastAsia="en-US"/>
        </w:rPr>
        <w:t xml:space="preserve"> provision</w:t>
      </w:r>
      <w:r w:rsidRPr="00950570">
        <w:rPr>
          <w:snapToGrid w:val="0"/>
          <w:lang w:eastAsia="en-US"/>
        </w:rPr>
        <w:t xml:space="preserve"> </w:t>
      </w:r>
      <w:r w:rsidR="00B35ABB" w:rsidRPr="00950570">
        <w:rPr>
          <w:snapToGrid w:val="0"/>
          <w:lang w:eastAsia="en-US"/>
        </w:rPr>
        <w:t xml:space="preserve">now </w:t>
      </w:r>
      <w:r w:rsidRPr="00950570">
        <w:rPr>
          <w:snapToGrid w:val="0"/>
          <w:lang w:eastAsia="en-US"/>
        </w:rPr>
        <w:t>reads:</w:t>
      </w:r>
    </w:p>
    <w:p w:rsidR="00422709" w:rsidRDefault="00422709" w:rsidP="00422709">
      <w:pPr>
        <w:pStyle w:val="JuQuot"/>
        <w:rPr>
          <w:snapToGrid w:val="0"/>
          <w:lang w:eastAsia="en-US"/>
        </w:rPr>
      </w:pPr>
      <w:r w:rsidRPr="00950570">
        <w:rPr>
          <w:snapToGrid w:val="0"/>
          <w:lang w:eastAsia="en-US"/>
        </w:rPr>
        <w:t xml:space="preserve">“The administration of a prison may </w:t>
      </w:r>
      <w:r w:rsidR="00E0162C" w:rsidRPr="00950570">
        <w:rPr>
          <w:snapToGrid w:val="0"/>
          <w:lang w:eastAsia="en-US"/>
        </w:rPr>
        <w:t xml:space="preserve">also </w:t>
      </w:r>
      <w:r w:rsidRPr="00950570">
        <w:rPr>
          <w:snapToGrid w:val="0"/>
          <w:lang w:eastAsia="en-US"/>
        </w:rPr>
        <w:t xml:space="preserve">authorise long-term visits </w:t>
      </w:r>
      <w:r w:rsidR="00E0162C" w:rsidRPr="00950570">
        <w:rPr>
          <w:snapToGrid w:val="0"/>
          <w:lang w:eastAsia="en-US"/>
        </w:rPr>
        <w:t>by</w:t>
      </w:r>
      <w:r w:rsidRPr="00950570">
        <w:rPr>
          <w:snapToGrid w:val="0"/>
          <w:lang w:eastAsia="en-US"/>
        </w:rPr>
        <w:t xml:space="preserve"> another individual, provided that prior to his or her imprisonment the convicted person had a common household or a child with that individual</w:t>
      </w:r>
      <w:r w:rsidR="0035735B" w:rsidRPr="00950570">
        <w:rPr>
          <w:snapToGrid w:val="0"/>
          <w:lang w:eastAsia="en-US"/>
        </w:rPr>
        <w:t>.</w:t>
      </w:r>
      <w:r w:rsidRPr="00950570">
        <w:rPr>
          <w:snapToGrid w:val="0"/>
          <w:lang w:eastAsia="en-US"/>
        </w:rPr>
        <w:t>”</w:t>
      </w:r>
    </w:p>
    <w:p w:rsidR="00BC4D0D" w:rsidRPr="00297141" w:rsidRDefault="00BC4D0D" w:rsidP="00BC4D0D">
      <w:pPr>
        <w:pStyle w:val="JuPara"/>
        <w:rPr>
          <w:snapToGrid w:val="0"/>
          <w:lang w:eastAsia="en-US"/>
        </w:rPr>
      </w:pPr>
      <w:r w:rsidRPr="00297141">
        <w:rPr>
          <w:snapToGrid w:val="0"/>
          <w:lang w:eastAsia="en-US"/>
        </w:rPr>
        <w:fldChar w:fldCharType="begin"/>
      </w:r>
      <w:r w:rsidRPr="00297141">
        <w:rPr>
          <w:snapToGrid w:val="0"/>
          <w:lang w:eastAsia="en-US"/>
        </w:rPr>
        <w:instrText xml:space="preserve"> SEQ level0 \*arabic </w:instrText>
      </w:r>
      <w:r w:rsidRPr="00297141">
        <w:rPr>
          <w:snapToGrid w:val="0"/>
          <w:lang w:eastAsia="en-US"/>
        </w:rPr>
        <w:fldChar w:fldCharType="separate"/>
      </w:r>
      <w:r w:rsidR="00D814D9">
        <w:rPr>
          <w:noProof/>
          <w:snapToGrid w:val="0"/>
          <w:lang w:eastAsia="en-US"/>
        </w:rPr>
        <w:t>48</w:t>
      </w:r>
      <w:r w:rsidRPr="00297141">
        <w:rPr>
          <w:snapToGrid w:val="0"/>
          <w:lang w:eastAsia="en-US"/>
        </w:rPr>
        <w:fldChar w:fldCharType="end"/>
      </w:r>
      <w:r w:rsidRPr="00297141">
        <w:rPr>
          <w:snapToGrid w:val="0"/>
          <w:lang w:eastAsia="en-US"/>
        </w:rPr>
        <w:t>.  </w:t>
      </w:r>
      <w:r w:rsidR="00297141" w:rsidRPr="00297141">
        <w:rPr>
          <w:rStyle w:val="sb8d990e2"/>
          <w:bCs/>
        </w:rPr>
        <w:t>The Law of Administrative Procedure (</w:t>
      </w:r>
      <w:r w:rsidR="00297141" w:rsidRPr="00297141">
        <w:rPr>
          <w:rStyle w:val="s6b621b36"/>
          <w:bCs/>
          <w:i/>
          <w:iCs/>
        </w:rPr>
        <w:t>Administratīvā procesa likums</w:t>
      </w:r>
      <w:r w:rsidR="00297141" w:rsidRPr="00297141">
        <w:rPr>
          <w:rStyle w:val="sb8d990e2"/>
          <w:bCs/>
        </w:rPr>
        <w:t>) took effect on 1 February 2004. It provides for the right to challenge administrative acts (</w:t>
      </w:r>
      <w:r w:rsidR="00297141" w:rsidRPr="00297141">
        <w:rPr>
          <w:rStyle w:val="s6b621b36"/>
          <w:bCs/>
          <w:i/>
          <w:iCs/>
        </w:rPr>
        <w:t>administratīvais akts</w:t>
      </w:r>
      <w:r w:rsidR="00297141" w:rsidRPr="00297141">
        <w:rPr>
          <w:rStyle w:val="sb8d990e2"/>
          <w:bCs/>
        </w:rPr>
        <w:t>) and actions of a public authority (</w:t>
      </w:r>
      <w:r w:rsidR="00297141" w:rsidRPr="00297141">
        <w:rPr>
          <w:rStyle w:val="s6b621b36"/>
          <w:bCs/>
          <w:i/>
          <w:iCs/>
        </w:rPr>
        <w:t>faktiskā rīcība</w:t>
      </w:r>
      <w:r w:rsidR="00297141" w:rsidRPr="00297141">
        <w:rPr>
          <w:rStyle w:val="sb8d990e2"/>
          <w:bCs/>
        </w:rPr>
        <w:t>) before the administrative courts</w:t>
      </w:r>
      <w:r w:rsidR="00297141" w:rsidRPr="00297141">
        <w:rPr>
          <w:rStyle w:val="sb8d990e2"/>
        </w:rPr>
        <w:t>.</w:t>
      </w:r>
    </w:p>
    <w:p w:rsidR="00F71A6A" w:rsidRPr="00546EA4" w:rsidRDefault="00F71A6A" w:rsidP="009E3D54">
      <w:pPr>
        <w:pStyle w:val="JuHHead"/>
      </w:pPr>
      <w:r w:rsidRPr="00546EA4">
        <w:t>THE LAW</w:t>
      </w:r>
    </w:p>
    <w:p w:rsidR="0016278E" w:rsidRPr="00546EA4" w:rsidRDefault="0016278E" w:rsidP="002E2C22">
      <w:pPr>
        <w:pStyle w:val="JuHIRoman"/>
        <w:outlineLvl w:val="0"/>
      </w:pPr>
      <w:r w:rsidRPr="00546EA4">
        <w:t xml:space="preserve">I.  ALLEGED VIOLATION OF ARTICLE </w:t>
      </w:r>
      <w:r w:rsidR="00032A9C">
        <w:t>5</w:t>
      </w:r>
      <w:r w:rsidRPr="00546EA4">
        <w:t xml:space="preserve"> § </w:t>
      </w:r>
      <w:r w:rsidR="00032A9C">
        <w:t>3</w:t>
      </w:r>
      <w:r w:rsidRPr="00546EA4">
        <w:t xml:space="preserve"> OF THE CONVENTION</w:t>
      </w:r>
    </w:p>
    <w:p w:rsidR="0016278E" w:rsidRPr="00546EA4" w:rsidRDefault="00546EA4" w:rsidP="00943B61">
      <w:pPr>
        <w:pStyle w:val="JuPara"/>
      </w:pPr>
      <w:r w:rsidRPr="00546EA4">
        <w:fldChar w:fldCharType="begin"/>
      </w:r>
      <w:r w:rsidRPr="00546EA4">
        <w:instrText xml:space="preserve"> SEQ level0 \*arabic </w:instrText>
      </w:r>
      <w:r w:rsidRPr="00546EA4">
        <w:fldChar w:fldCharType="separate"/>
      </w:r>
      <w:r w:rsidR="00D814D9">
        <w:rPr>
          <w:noProof/>
        </w:rPr>
        <w:t>49</w:t>
      </w:r>
      <w:r w:rsidRPr="00546EA4">
        <w:fldChar w:fldCharType="end"/>
      </w:r>
      <w:r w:rsidR="0016278E" w:rsidRPr="00546EA4">
        <w:t xml:space="preserve">.  The </w:t>
      </w:r>
      <w:r w:rsidR="00B04F25" w:rsidRPr="00546EA4">
        <w:t>applicant</w:t>
      </w:r>
      <w:r w:rsidR="0016278E" w:rsidRPr="00546EA4">
        <w:t xml:space="preserve"> complained </w:t>
      </w:r>
      <w:r w:rsidR="00032A9C">
        <w:t>about the length of his pre-trial detention</w:t>
      </w:r>
      <w:r w:rsidR="007D5646">
        <w:t>. The Court will examine this complaint</w:t>
      </w:r>
      <w:r w:rsidR="00032A9C">
        <w:t xml:space="preserve"> under Article 5 § 3 of the Convention</w:t>
      </w:r>
      <w:r w:rsidR="0016278E" w:rsidRPr="00546EA4">
        <w:t>, which reads as follows:</w:t>
      </w:r>
    </w:p>
    <w:p w:rsidR="00032A9C" w:rsidRDefault="00032A9C">
      <w:pPr>
        <w:pStyle w:val="JuQuot"/>
      </w:pPr>
      <w:r>
        <w:t>“Everyone arrested or detained in accordance with the provisions of paragraph 1 (c) of this Article shall be ... entitled to trial within a reasonable time or to release pending trial. Release may be conditioned by guarantees to appear for trial.”</w:t>
      </w:r>
    </w:p>
    <w:p w:rsidR="0016278E" w:rsidRPr="00546EA4" w:rsidRDefault="0016278E" w:rsidP="009E3D54">
      <w:pPr>
        <w:pStyle w:val="JuHA"/>
        <w:outlineLvl w:val="0"/>
      </w:pPr>
      <w:r w:rsidRPr="00546EA4">
        <w:t>A.  Admissibility</w:t>
      </w:r>
    </w:p>
    <w:p w:rsidR="00B2581B" w:rsidRDefault="00546EA4" w:rsidP="00943B61">
      <w:pPr>
        <w:pStyle w:val="JuPara"/>
      </w:pPr>
      <w:r w:rsidRPr="00546EA4">
        <w:fldChar w:fldCharType="begin"/>
      </w:r>
      <w:r w:rsidRPr="00546EA4">
        <w:instrText xml:space="preserve"> SEQ level0 \*arabic </w:instrText>
      </w:r>
      <w:r w:rsidRPr="00546EA4">
        <w:fldChar w:fldCharType="separate"/>
      </w:r>
      <w:r w:rsidR="00D814D9">
        <w:rPr>
          <w:noProof/>
        </w:rPr>
        <w:t>50</w:t>
      </w:r>
      <w:r w:rsidRPr="00546EA4">
        <w:fldChar w:fldCharType="end"/>
      </w:r>
      <w:r w:rsidR="0016278E" w:rsidRPr="00546EA4">
        <w:t>.  </w:t>
      </w:r>
      <w:r w:rsidR="00BF4076">
        <w:t xml:space="preserve">The Government contested </w:t>
      </w:r>
      <w:r w:rsidR="00781E6B">
        <w:t xml:space="preserve">the </w:t>
      </w:r>
      <w:r w:rsidR="00BF4076">
        <w:t xml:space="preserve">admissibility </w:t>
      </w:r>
      <w:r w:rsidR="007E13BF">
        <w:t xml:space="preserve">of this complaint </w:t>
      </w:r>
      <w:r w:rsidR="00BF4076">
        <w:t xml:space="preserve">on several grounds. First of all, they submitted that the applicant had failed to comply with Article 34 of the Convention and Rule 47 of the Rules of Court </w:t>
      </w:r>
      <w:r w:rsidR="00072E54">
        <w:t>because he had failed</w:t>
      </w:r>
      <w:r w:rsidR="00BF4076">
        <w:t xml:space="preserve"> to provide relevant documents</w:t>
      </w:r>
      <w:r w:rsidR="00072E54">
        <w:t>,</w:t>
      </w:r>
      <w:r w:rsidR="00BF4076">
        <w:t xml:space="preserve"> to fill in an application form, and to inform the Court of the change of </w:t>
      </w:r>
      <w:r w:rsidR="007E13BF">
        <w:t xml:space="preserve">his </w:t>
      </w:r>
      <w:r w:rsidR="00BF4076">
        <w:t>address</w:t>
      </w:r>
      <w:r w:rsidR="00072E54">
        <w:t xml:space="preserve"> resulting from his transfer to a prison in </w:t>
      </w:r>
      <w:smartTag w:uri="urn:schemas-microsoft-com:office:smarttags" w:element="place">
        <w:smartTag w:uri="urn:schemas-microsoft-com:office:smarttags" w:element="country-region">
          <w:r w:rsidR="00072E54">
            <w:t>Russia</w:t>
          </w:r>
        </w:smartTag>
      </w:smartTag>
      <w:r w:rsidR="00BF4076">
        <w:t xml:space="preserve">. </w:t>
      </w:r>
      <w:r w:rsidR="00515486">
        <w:t xml:space="preserve">Secondly, they contended that the applicant </w:t>
      </w:r>
      <w:r w:rsidR="00072E54">
        <w:t xml:space="preserve">had </w:t>
      </w:r>
      <w:r w:rsidR="00515486">
        <w:t>not wish</w:t>
      </w:r>
      <w:r w:rsidR="00072E54">
        <w:t>ed</w:t>
      </w:r>
      <w:r w:rsidR="00515486">
        <w:t xml:space="preserve"> to pursue his application and invited the Court to strike it out of the Court</w:t>
      </w:r>
      <w:r w:rsidR="00F50242">
        <w:t>’</w:t>
      </w:r>
      <w:r w:rsidR="00515486">
        <w:t xml:space="preserve">s list of cases. Thirdly, they considered that </w:t>
      </w:r>
      <w:r w:rsidR="00AB0844">
        <w:t xml:space="preserve">the applicant had not suffered any significant disadvantage within the meaning of </w:t>
      </w:r>
      <w:r w:rsidR="00515486">
        <w:t>Article</w:t>
      </w:r>
      <w:r w:rsidR="00810ED5">
        <w:t> </w:t>
      </w:r>
      <w:r w:rsidR="00515486">
        <w:t>35 § 3 (b) of the Convention.</w:t>
      </w:r>
      <w:r w:rsidR="00021413">
        <w:t xml:space="preserve"> </w:t>
      </w:r>
      <w:r w:rsidR="00021413">
        <w:rPr>
          <w:color w:val="000000"/>
        </w:rPr>
        <w:t xml:space="preserve">They did not, however, provide more detail </w:t>
      </w:r>
      <w:r w:rsidR="00F23AB4">
        <w:rPr>
          <w:color w:val="000000"/>
        </w:rPr>
        <w:t xml:space="preserve">with respect </w:t>
      </w:r>
      <w:r w:rsidR="00021413">
        <w:rPr>
          <w:color w:val="000000"/>
        </w:rPr>
        <w:t>to th</w:t>
      </w:r>
      <w:r w:rsidR="000010C3">
        <w:rPr>
          <w:color w:val="000000"/>
        </w:rPr>
        <w:t>is</w:t>
      </w:r>
      <w:r w:rsidR="00021413">
        <w:rPr>
          <w:color w:val="000000"/>
        </w:rPr>
        <w:t xml:space="preserve"> argument.</w:t>
      </w:r>
    </w:p>
    <w:p w:rsidR="00515486" w:rsidRDefault="00515486" w:rsidP="00943B61">
      <w:pPr>
        <w:pStyle w:val="JuPara"/>
      </w:pPr>
      <w:r>
        <w:fldChar w:fldCharType="begin"/>
      </w:r>
      <w:r>
        <w:instrText xml:space="preserve"> SEQ level0 \*arabic </w:instrText>
      </w:r>
      <w:r>
        <w:fldChar w:fldCharType="separate"/>
      </w:r>
      <w:r w:rsidR="00D814D9">
        <w:rPr>
          <w:noProof/>
        </w:rPr>
        <w:t>51</w:t>
      </w:r>
      <w:r>
        <w:fldChar w:fldCharType="end"/>
      </w:r>
      <w:r>
        <w:t>.  The applicant offered no comment.</w:t>
      </w:r>
    </w:p>
    <w:p w:rsidR="00515486" w:rsidRPr="000D76AB" w:rsidRDefault="00515486" w:rsidP="00943B61">
      <w:pPr>
        <w:pStyle w:val="JuPara"/>
      </w:pPr>
      <w:r>
        <w:fldChar w:fldCharType="begin"/>
      </w:r>
      <w:r>
        <w:instrText xml:space="preserve"> SEQ level0 \*arabic </w:instrText>
      </w:r>
      <w:r>
        <w:fldChar w:fldCharType="separate"/>
      </w:r>
      <w:r w:rsidR="00D814D9">
        <w:rPr>
          <w:noProof/>
        </w:rPr>
        <w:t>52</w:t>
      </w:r>
      <w:r>
        <w:fldChar w:fldCharType="end"/>
      </w:r>
      <w:r>
        <w:t>.  In response to the Government</w:t>
      </w:r>
      <w:r w:rsidR="00F50242">
        <w:t>’</w:t>
      </w:r>
      <w:r>
        <w:t xml:space="preserve">s submission that the applicant </w:t>
      </w:r>
      <w:r w:rsidR="00072E54">
        <w:t xml:space="preserve">did </w:t>
      </w:r>
      <w:r>
        <w:t xml:space="preserve">not properly lodge his complaints before the Court, it suffices to note that </w:t>
      </w:r>
      <w:r w:rsidRPr="000D76AB">
        <w:t xml:space="preserve">the Court has already examined and rejected similar arguments in other cases (see </w:t>
      </w:r>
      <w:r w:rsidRPr="000D76AB">
        <w:rPr>
          <w:i/>
          <w:lang w:eastAsia="en-US"/>
        </w:rPr>
        <w:t>Marina v. Latvia</w:t>
      </w:r>
      <w:r w:rsidRPr="000D76AB">
        <w:rPr>
          <w:lang w:eastAsia="en-US"/>
        </w:rPr>
        <w:t>, no. 46040/07</w:t>
      </w:r>
      <w:r w:rsidRPr="000D76AB">
        <w:rPr>
          <w:snapToGrid w:val="0"/>
          <w:szCs w:val="24"/>
          <w:lang w:eastAsia="en-US"/>
        </w:rPr>
        <w:t>, §§ 34-44, 26 October 2010, and</w:t>
      </w:r>
      <w:r w:rsidR="000E2EA1" w:rsidRPr="000D76AB">
        <w:rPr>
          <w:snapToGrid w:val="0"/>
          <w:szCs w:val="24"/>
          <w:lang w:eastAsia="en-US"/>
        </w:rPr>
        <w:t xml:space="preserve"> </w:t>
      </w:r>
      <w:r w:rsidRPr="000D76AB">
        <w:rPr>
          <w:i/>
          <w:szCs w:val="22"/>
          <w:lang w:eastAsia="en-US"/>
        </w:rPr>
        <w:t>Petriks v. Latvia</w:t>
      </w:r>
      <w:r w:rsidRPr="000D76AB">
        <w:rPr>
          <w:szCs w:val="22"/>
          <w:lang w:eastAsia="en-US"/>
        </w:rPr>
        <w:t>, no. 19619/03</w:t>
      </w:r>
      <w:r w:rsidRPr="000D76AB">
        <w:rPr>
          <w:snapToGrid w:val="0"/>
          <w:lang w:eastAsia="en-US"/>
        </w:rPr>
        <w:t>, §§ 18-20, 4 December 2012). It sees no reason to decide otherwise in the present case. As concerns the applicant</w:t>
      </w:r>
      <w:r w:rsidR="00F50242">
        <w:rPr>
          <w:snapToGrid w:val="0"/>
          <w:lang w:eastAsia="en-US"/>
        </w:rPr>
        <w:t>’</w:t>
      </w:r>
      <w:r w:rsidRPr="000D76AB">
        <w:rPr>
          <w:snapToGrid w:val="0"/>
          <w:lang w:eastAsia="en-US"/>
        </w:rPr>
        <w:t xml:space="preserve">s change of address, the Court takes note of his letter of </w:t>
      </w:r>
      <w:r w:rsidRPr="000D76AB">
        <w:t xml:space="preserve">10 August 2012, whereby he </w:t>
      </w:r>
      <w:r w:rsidR="00072E54" w:rsidRPr="000D76AB">
        <w:t xml:space="preserve">provided </w:t>
      </w:r>
      <w:r w:rsidRPr="000D76AB">
        <w:t xml:space="preserve">this information to the Court. </w:t>
      </w:r>
      <w:r w:rsidRPr="000D76AB">
        <w:rPr>
          <w:snapToGrid w:val="0"/>
          <w:lang w:eastAsia="en-US"/>
        </w:rPr>
        <w:t>Accordingly, the Government</w:t>
      </w:r>
      <w:r w:rsidR="00F50242">
        <w:rPr>
          <w:snapToGrid w:val="0"/>
          <w:lang w:eastAsia="en-US"/>
        </w:rPr>
        <w:t>’</w:t>
      </w:r>
      <w:r w:rsidRPr="000D76AB">
        <w:rPr>
          <w:snapToGrid w:val="0"/>
          <w:lang w:eastAsia="en-US"/>
        </w:rPr>
        <w:t>s objection has to be dismissed.</w:t>
      </w:r>
    </w:p>
    <w:p w:rsidR="00B2581B" w:rsidRDefault="00515486" w:rsidP="00943B61">
      <w:pPr>
        <w:pStyle w:val="JuPara"/>
      </w:pPr>
      <w:r>
        <w:fldChar w:fldCharType="begin"/>
      </w:r>
      <w:r>
        <w:instrText xml:space="preserve"> SEQ level0 \*arabic </w:instrText>
      </w:r>
      <w:r>
        <w:fldChar w:fldCharType="separate"/>
      </w:r>
      <w:r w:rsidR="00D814D9">
        <w:rPr>
          <w:noProof/>
        </w:rPr>
        <w:t>53</w:t>
      </w:r>
      <w:r>
        <w:fldChar w:fldCharType="end"/>
      </w:r>
      <w:r>
        <w:t>.  As concerns the Government</w:t>
      </w:r>
      <w:r w:rsidR="00F50242">
        <w:t>’</w:t>
      </w:r>
      <w:r>
        <w:t xml:space="preserve">s second objection, the Court refers to the </w:t>
      </w:r>
      <w:r w:rsidR="002A1F9F">
        <w:t xml:space="preserve">letter of 10 August 2012 </w:t>
      </w:r>
      <w:r>
        <w:t xml:space="preserve">and notes that the applicant clearly stated that he </w:t>
      </w:r>
      <w:r w:rsidR="00072E54">
        <w:t xml:space="preserve">intended </w:t>
      </w:r>
      <w:r>
        <w:t xml:space="preserve">to pursue his application. Consequently, Article 37 § 1 (a) </w:t>
      </w:r>
      <w:r w:rsidR="000010C3">
        <w:t xml:space="preserve">of the Convention </w:t>
      </w:r>
      <w:r>
        <w:t>does not apply.</w:t>
      </w:r>
    </w:p>
    <w:p w:rsidR="00AB0844" w:rsidRDefault="006457C5" w:rsidP="00AB0844">
      <w:pPr>
        <w:pStyle w:val="JuPara"/>
      </w:pPr>
      <w:r>
        <w:fldChar w:fldCharType="begin"/>
      </w:r>
      <w:r>
        <w:instrText xml:space="preserve"> SEQ level0 \*arabic </w:instrText>
      </w:r>
      <w:r>
        <w:fldChar w:fldCharType="separate"/>
      </w:r>
      <w:r w:rsidR="00D814D9">
        <w:rPr>
          <w:noProof/>
        </w:rPr>
        <w:t>54</w:t>
      </w:r>
      <w:r>
        <w:fldChar w:fldCharType="end"/>
      </w:r>
      <w:r w:rsidR="00AB0844">
        <w:t>.  </w:t>
      </w:r>
      <w:r w:rsidR="007745AE">
        <w:t xml:space="preserve">In response to the </w:t>
      </w:r>
      <w:r w:rsidR="00021413">
        <w:t>Government</w:t>
      </w:r>
      <w:r w:rsidR="00F50242">
        <w:t>’</w:t>
      </w:r>
      <w:r w:rsidR="00021413">
        <w:t xml:space="preserve">s third objection, </w:t>
      </w:r>
      <w:r w:rsidR="00AB0844">
        <w:t xml:space="preserve">the Court notes that </w:t>
      </w:r>
      <w:r w:rsidR="00AB0844">
        <w:rPr>
          <w:rStyle w:val="sb8d990e2"/>
        </w:rPr>
        <w:t xml:space="preserve">Article 20 of Protocol No. 14 to the Convention provides </w:t>
      </w:r>
      <w:r w:rsidR="00AB0844" w:rsidRPr="00AB0844">
        <w:t>as</w:t>
      </w:r>
      <w:r w:rsidR="00AB0844">
        <w:rPr>
          <w:rStyle w:val="sb8d990e2"/>
        </w:rPr>
        <w:t xml:space="preserve"> follows:</w:t>
      </w:r>
    </w:p>
    <w:p w:rsidR="00AB0844" w:rsidRPr="000E2EA1" w:rsidRDefault="00263500" w:rsidP="000E2EA1">
      <w:pPr>
        <w:pStyle w:val="JuQuot"/>
      </w:pPr>
      <w:r>
        <w:t>“1.  </w:t>
      </w:r>
      <w:r w:rsidR="00AB0844" w:rsidRPr="000E2EA1">
        <w:t>From the date of the entry into force of this Protocol, its provisions shall apply to all applications pending before the Court as well as to all judgments whose execution is under supervision by the Committee of Ministers.</w:t>
      </w:r>
    </w:p>
    <w:p w:rsidR="00AB0844" w:rsidRPr="000E2EA1" w:rsidRDefault="00263500" w:rsidP="000E2EA1">
      <w:pPr>
        <w:pStyle w:val="JuQuot"/>
      </w:pPr>
      <w:r>
        <w:t>2.  </w:t>
      </w:r>
      <w:r w:rsidR="00AB0844" w:rsidRPr="000E2EA1">
        <w:t>The new admissibility criterion inserted by Article 12 of this Protocol in Article</w:t>
      </w:r>
      <w:r w:rsidR="00C91C3C">
        <w:t> </w:t>
      </w:r>
      <w:r w:rsidR="00AB0844" w:rsidRPr="000E2EA1">
        <w:t>35, paragraph 3.b of the Convention, shall not apply to applications declared admissible before the entry into force of the Protocol. In the two years following the entry into force of this Protocol, the new admissibility criterion may only be applied by Chambers and the Grand Chamber of the Court.”</w:t>
      </w:r>
    </w:p>
    <w:p w:rsidR="00AB0844" w:rsidRPr="00C0386C" w:rsidRDefault="00AB0844" w:rsidP="00C0386C">
      <w:pPr>
        <w:pStyle w:val="JuPara"/>
      </w:pPr>
      <w:r w:rsidRPr="00C0386C">
        <w:fldChar w:fldCharType="begin"/>
      </w:r>
      <w:r w:rsidRPr="00C0386C">
        <w:instrText xml:space="preserve"> SEQ level0 \*arabic </w:instrText>
      </w:r>
      <w:r w:rsidRPr="00C0386C">
        <w:fldChar w:fldCharType="separate"/>
      </w:r>
      <w:r w:rsidR="00D814D9">
        <w:rPr>
          <w:noProof/>
        </w:rPr>
        <w:t>55</w:t>
      </w:r>
      <w:r w:rsidRPr="00C0386C">
        <w:fldChar w:fldCharType="end"/>
      </w:r>
      <w:r w:rsidRPr="00C0386C">
        <w:t xml:space="preserve">.  The present application is not one of those declared admissible before 1 June 2010. It follows that, under the </w:t>
      </w:r>
      <w:r w:rsidR="00611073" w:rsidRPr="00C0386C">
        <w:t>terms of Article 20 of Protocol </w:t>
      </w:r>
      <w:r w:rsidRPr="00C0386C">
        <w:t xml:space="preserve">No. 14, the Court is not prevented from considering it under the </w:t>
      </w:r>
      <w:r w:rsidR="00297141" w:rsidRPr="00C0386C">
        <w:t>“no significant disadvantage”</w:t>
      </w:r>
      <w:r w:rsidRPr="00C0386C">
        <w:t xml:space="preserve"> criterion.</w:t>
      </w:r>
    </w:p>
    <w:p w:rsidR="00AB0844" w:rsidRPr="00C0386C" w:rsidRDefault="00AB0844" w:rsidP="00C0386C">
      <w:pPr>
        <w:pStyle w:val="JuPara"/>
      </w:pPr>
      <w:r w:rsidRPr="00C0386C">
        <w:fldChar w:fldCharType="begin"/>
      </w:r>
      <w:r w:rsidRPr="00C0386C">
        <w:instrText xml:space="preserve"> SEQ level0 \*arabic </w:instrText>
      </w:r>
      <w:r w:rsidRPr="00C0386C">
        <w:fldChar w:fldCharType="separate"/>
      </w:r>
      <w:r w:rsidR="00D814D9">
        <w:rPr>
          <w:noProof/>
        </w:rPr>
        <w:t>56</w:t>
      </w:r>
      <w:r w:rsidRPr="00C0386C">
        <w:fldChar w:fldCharType="end"/>
      </w:r>
      <w:r w:rsidRPr="00C0386C">
        <w:t xml:space="preserve">.  Article 35 § 3 (b) </w:t>
      </w:r>
      <w:r w:rsidR="00021413" w:rsidRPr="00C0386C">
        <w:t xml:space="preserve">of the Convention </w:t>
      </w:r>
      <w:r w:rsidRPr="00C0386C">
        <w:t>provides as follows:</w:t>
      </w:r>
    </w:p>
    <w:p w:rsidR="00AB0844" w:rsidRPr="000E2EA1" w:rsidRDefault="00263500" w:rsidP="000E2EA1">
      <w:pPr>
        <w:pStyle w:val="JuQuot"/>
      </w:pPr>
      <w:r>
        <w:t>“3.  </w:t>
      </w:r>
      <w:r w:rsidR="00AB0844" w:rsidRPr="000E2EA1">
        <w:t>The Court shall declare inadmissible any individual application submitted under Article 34 if it considers that:</w:t>
      </w:r>
    </w:p>
    <w:p w:rsidR="00AB0844" w:rsidRPr="000E2EA1" w:rsidRDefault="00AB0844" w:rsidP="000E2EA1">
      <w:pPr>
        <w:pStyle w:val="JuQuot"/>
      </w:pPr>
      <w:r w:rsidRPr="000E2EA1">
        <w:t>...</w:t>
      </w:r>
    </w:p>
    <w:p w:rsidR="00AB0844" w:rsidRPr="000E2EA1" w:rsidRDefault="00AB0844" w:rsidP="000E2EA1">
      <w:pPr>
        <w:pStyle w:val="JuQuot"/>
      </w:pPr>
      <w:r w:rsidRPr="000E2EA1">
        <w:t>(</w:t>
      </w:r>
      <w:r w:rsidR="00FC6793">
        <w:t>b)  </w:t>
      </w:r>
      <w:r w:rsidRPr="000E2EA1">
        <w:t>the applicant has not suffered a significant disadvantage, unless respect for human rights as defined in the Convention and the Protocols thereto requires an examination of the application on the merits and provided that no case may be rejected on this ground which has not been duly considered by a domestic tribunal.”</w:t>
      </w:r>
    </w:p>
    <w:p w:rsidR="00AB0844" w:rsidRDefault="00AB0844" w:rsidP="00AB0844">
      <w:pPr>
        <w:pStyle w:val="JuPara"/>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57</w:t>
      </w:r>
      <w:r>
        <w:rPr>
          <w:rStyle w:val="sb8d990e2"/>
        </w:rPr>
        <w:fldChar w:fldCharType="end"/>
      </w:r>
      <w:r>
        <w:rPr>
          <w:rStyle w:val="sb8d990e2"/>
        </w:rPr>
        <w:t xml:space="preserve">.  The </w:t>
      </w:r>
      <w:r w:rsidRPr="001D4928">
        <w:rPr>
          <w:rStyle w:val="sb8d990e2"/>
        </w:rPr>
        <w:t xml:space="preserve">Court has clarified its understanding of the </w:t>
      </w:r>
      <w:r w:rsidR="001D4928" w:rsidRPr="001D4928">
        <w:rPr>
          <w:rStyle w:val="sb8d990e2"/>
          <w:bCs/>
        </w:rPr>
        <w:t>“no significant disadvantage”</w:t>
      </w:r>
      <w:r w:rsidR="001D4928" w:rsidRPr="001D4928">
        <w:rPr>
          <w:rStyle w:val="sb8d990e2"/>
        </w:rPr>
        <w:t xml:space="preserve"> </w:t>
      </w:r>
      <w:r w:rsidRPr="001D4928">
        <w:rPr>
          <w:rStyle w:val="sb8d990e2"/>
        </w:rPr>
        <w:t>criterion</w:t>
      </w:r>
      <w:r>
        <w:rPr>
          <w:rStyle w:val="sb8d990e2"/>
        </w:rPr>
        <w:t xml:space="preserve"> in </w:t>
      </w:r>
      <w:r w:rsidRPr="00AB0844">
        <w:rPr>
          <w:rStyle w:val="s6b621b36"/>
          <w:i/>
        </w:rPr>
        <w:t>Korolev v. Russia</w:t>
      </w:r>
      <w:r>
        <w:rPr>
          <w:rStyle w:val="sb8d990e2"/>
        </w:rPr>
        <w:t xml:space="preserve"> (dec.) (no. 25551/05, ECHR 2010), in the following terms:</w:t>
      </w:r>
    </w:p>
    <w:p w:rsidR="00AB0844" w:rsidRPr="000E2EA1" w:rsidRDefault="00AB0844" w:rsidP="000E2EA1">
      <w:pPr>
        <w:pStyle w:val="JuQuot"/>
      </w:pPr>
      <w:r w:rsidRPr="000E2EA1">
        <w:t xml:space="preserve">“Inspired by the ... general principle </w:t>
      </w:r>
      <w:r w:rsidRPr="00F97031">
        <w:rPr>
          <w:i/>
        </w:rPr>
        <w:t>de minimis non curat praetor</w:t>
      </w:r>
      <w:r w:rsidRPr="000E2EA1">
        <w:t xml:space="preserve">, the new criterion hinges on the idea that a violation of a right, however real from a purely legal point of view, should attain a minimum level of severity to warrant consideration by an international court. The assessment of this minimum level is, in the nature of things, relative and depends on all the circumstances of the case (see, </w:t>
      </w:r>
      <w:r w:rsidRPr="00F97031">
        <w:rPr>
          <w:i/>
        </w:rPr>
        <w:t>mutatis mutandis</w:t>
      </w:r>
      <w:r w:rsidRPr="000E2EA1">
        <w:t xml:space="preserve">, </w:t>
      </w:r>
      <w:r w:rsidRPr="00F97031">
        <w:rPr>
          <w:i/>
        </w:rPr>
        <w:t>Soering v. the United Kingdom</w:t>
      </w:r>
      <w:r w:rsidRPr="000E2EA1">
        <w:t>, 7 July 1989, § 100, Series A no. 161). The severity of a violation should be assessed, taking account of both the applicant</w:t>
      </w:r>
      <w:r w:rsidR="00F50242">
        <w:t>’</w:t>
      </w:r>
      <w:r w:rsidRPr="000E2EA1">
        <w:t>s subjective perceptions and what is objectively at stake in a particular case.”</w:t>
      </w:r>
    </w:p>
    <w:p w:rsidR="0038183E" w:rsidRDefault="00021413" w:rsidP="002F44D0">
      <w:pPr>
        <w:pStyle w:val="JuPara"/>
        <w:rPr>
          <w:snapToGrid w:val="0"/>
          <w:szCs w:val="22"/>
          <w:lang w:eastAsia="en-US"/>
        </w:rPr>
      </w:pPr>
      <w:r w:rsidRPr="001D4928">
        <w:rPr>
          <w:rStyle w:val="sb8d990e2"/>
        </w:rPr>
        <w:fldChar w:fldCharType="begin"/>
      </w:r>
      <w:r w:rsidRPr="001D4928">
        <w:rPr>
          <w:rStyle w:val="sb8d990e2"/>
        </w:rPr>
        <w:instrText xml:space="preserve"> SEQ level0 \*arabic </w:instrText>
      </w:r>
      <w:r w:rsidRPr="001D4928">
        <w:rPr>
          <w:rStyle w:val="sb8d990e2"/>
        </w:rPr>
        <w:fldChar w:fldCharType="separate"/>
      </w:r>
      <w:r w:rsidR="00D814D9">
        <w:rPr>
          <w:rStyle w:val="sb8d990e2"/>
          <w:noProof/>
        </w:rPr>
        <w:t>58</w:t>
      </w:r>
      <w:r w:rsidRPr="001D4928">
        <w:rPr>
          <w:rStyle w:val="sb8d990e2"/>
        </w:rPr>
        <w:fldChar w:fldCharType="end"/>
      </w:r>
      <w:r w:rsidRPr="001D4928">
        <w:rPr>
          <w:rStyle w:val="sb8d990e2"/>
        </w:rPr>
        <w:t>.  </w:t>
      </w:r>
      <w:r w:rsidR="001D4928" w:rsidRPr="001D4928">
        <w:rPr>
          <w:rStyle w:val="sb8d990e2"/>
          <w:bCs/>
        </w:rPr>
        <w:t xml:space="preserve">This means that the Court will examine whether: (1) the applicant has suffered a significant disadvantage; (2) whether respect for human rights as defined in the Convention and the Protocols attached thereto requires an examination of the application on the merits; and (3) whether the case was duly considered by a domestic tribunal (see </w:t>
      </w:r>
      <w:r w:rsidR="001D4928" w:rsidRPr="001D4928">
        <w:rPr>
          <w:rStyle w:val="sb8d990e2"/>
          <w:bCs/>
          <w:i/>
          <w:iCs/>
        </w:rPr>
        <w:t xml:space="preserve">Zwinkels v. the Netherlands </w:t>
      </w:r>
      <w:r w:rsidR="001D4928" w:rsidRPr="001D4928">
        <w:rPr>
          <w:rStyle w:val="sb8d990e2"/>
          <w:bCs/>
        </w:rPr>
        <w:t>(dec.), no. 16593/10, § 24, 9 October 2012).</w:t>
      </w:r>
      <w:r w:rsidR="00853D89">
        <w:rPr>
          <w:rStyle w:val="sb8d990e2"/>
          <w:bCs/>
        </w:rPr>
        <w:t xml:space="preserve"> </w:t>
      </w:r>
      <w:r w:rsidR="000A4179">
        <w:rPr>
          <w:rStyle w:val="sb8d990e2"/>
          <w:bCs/>
        </w:rPr>
        <w:t xml:space="preserve">Firstly, the Court notes that it has not yet applied this admissibility criterion </w:t>
      </w:r>
      <w:r w:rsidR="000A4179" w:rsidRPr="001D4928">
        <w:rPr>
          <w:color w:val="000000"/>
        </w:rPr>
        <w:t xml:space="preserve">in cases relating to complaints under Article 5 § 3 of the Convention (compare with </w:t>
      </w:r>
      <w:r w:rsidR="000A4179" w:rsidRPr="001D4928">
        <w:rPr>
          <w:i/>
          <w:lang w:eastAsia="en-US"/>
        </w:rPr>
        <w:t>Van Velden v. the Netherlands</w:t>
      </w:r>
      <w:r w:rsidR="000A4179" w:rsidRPr="001D4928">
        <w:rPr>
          <w:lang w:eastAsia="en-US"/>
        </w:rPr>
        <w:t>, no. 30666/08</w:t>
      </w:r>
      <w:r w:rsidR="000A4179" w:rsidRPr="001D4928">
        <w:rPr>
          <w:snapToGrid w:val="0"/>
          <w:szCs w:val="24"/>
          <w:lang w:eastAsia="en-US"/>
        </w:rPr>
        <w:t>, §§ 33-39, 19 July 2011, where the Court rejected the application of the new admissibility criterion in relation to a complaint under Article 5 § 4 of the Convention)</w:t>
      </w:r>
      <w:r w:rsidR="000A4179" w:rsidRPr="001D4928">
        <w:rPr>
          <w:color w:val="000000"/>
        </w:rPr>
        <w:t>.</w:t>
      </w:r>
      <w:r w:rsidR="000A4179">
        <w:rPr>
          <w:color w:val="000000"/>
        </w:rPr>
        <w:t xml:space="preserve"> </w:t>
      </w:r>
      <w:r w:rsidRPr="001D4928">
        <w:rPr>
          <w:rStyle w:val="sb8d990e2"/>
        </w:rPr>
        <w:t>As the Court understands the</w:t>
      </w:r>
      <w:r w:rsidR="003124C1" w:rsidRPr="001D4928">
        <w:rPr>
          <w:rStyle w:val="sb8d990e2"/>
        </w:rPr>
        <w:t xml:space="preserve"> </w:t>
      </w:r>
      <w:r w:rsidRPr="001D4928">
        <w:rPr>
          <w:rStyle w:val="sb8d990e2"/>
        </w:rPr>
        <w:t>Government</w:t>
      </w:r>
      <w:r w:rsidR="00F50242">
        <w:rPr>
          <w:rStyle w:val="sb8d990e2"/>
        </w:rPr>
        <w:t>’</w:t>
      </w:r>
      <w:r w:rsidRPr="001D4928">
        <w:rPr>
          <w:rStyle w:val="sb8d990e2"/>
        </w:rPr>
        <w:t>s reliance on Article </w:t>
      </w:r>
      <w:r w:rsidRPr="001D4928">
        <w:t>3</w:t>
      </w:r>
      <w:r w:rsidR="000A4179">
        <w:t>5</w:t>
      </w:r>
      <w:r w:rsidRPr="001D4928">
        <w:t> § </w:t>
      </w:r>
      <w:r w:rsidR="000A4179">
        <w:t>3</w:t>
      </w:r>
      <w:r w:rsidRPr="001D4928">
        <w:t xml:space="preserve"> (</w:t>
      </w:r>
      <w:r w:rsidR="000A4179">
        <w:t>b</w:t>
      </w:r>
      <w:r w:rsidRPr="001D4928">
        <w:t>) of the Convention</w:t>
      </w:r>
      <w:r w:rsidRPr="001D4928">
        <w:rPr>
          <w:rStyle w:val="sb8d990e2"/>
        </w:rPr>
        <w:t>, the</w:t>
      </w:r>
      <w:r w:rsidR="00402274" w:rsidRPr="001D4928">
        <w:rPr>
          <w:rStyle w:val="sb8d990e2"/>
        </w:rPr>
        <w:t>y</w:t>
      </w:r>
      <w:r w:rsidRPr="001D4928">
        <w:rPr>
          <w:rStyle w:val="sb8d990e2"/>
        </w:rPr>
        <w:t xml:space="preserve"> </w:t>
      </w:r>
      <w:r w:rsidR="006C6436" w:rsidRPr="001D4928">
        <w:rPr>
          <w:rStyle w:val="sb8d990e2"/>
        </w:rPr>
        <w:t>consider</w:t>
      </w:r>
      <w:r w:rsidRPr="001D4928">
        <w:rPr>
          <w:rStyle w:val="sb8d990e2"/>
        </w:rPr>
        <w:t xml:space="preserve"> that the </w:t>
      </w:r>
      <w:r w:rsidR="00D64987" w:rsidRPr="001D4928">
        <w:rPr>
          <w:rStyle w:val="sb8d990e2"/>
        </w:rPr>
        <w:t xml:space="preserve">applicant did not suffer a significant disadvantage by virtue of the length of his pre-trial detention that lasted </w:t>
      </w:r>
      <w:r w:rsidRPr="001D4928">
        <w:rPr>
          <w:rStyle w:val="sb8d990e2"/>
        </w:rPr>
        <w:t xml:space="preserve">for </w:t>
      </w:r>
      <w:r w:rsidRPr="001D4928">
        <w:rPr>
          <w:color w:val="000000"/>
        </w:rPr>
        <w:t>one year, eleven months and eighteen days</w:t>
      </w:r>
      <w:r w:rsidR="00D64987" w:rsidRPr="001D4928">
        <w:rPr>
          <w:color w:val="000000"/>
        </w:rPr>
        <w:t>.</w:t>
      </w:r>
      <w:r w:rsidR="00853D89">
        <w:rPr>
          <w:color w:val="000000"/>
        </w:rPr>
        <w:t xml:space="preserve"> </w:t>
      </w:r>
      <w:r w:rsidR="000A4179">
        <w:rPr>
          <w:color w:val="000000"/>
        </w:rPr>
        <w:t xml:space="preserve">Furthermore, the Court has reiterated on many occasions </w:t>
      </w:r>
      <w:r w:rsidR="00515766" w:rsidRPr="001D4928">
        <w:rPr>
          <w:color w:val="000000"/>
        </w:rPr>
        <w:t>the importance of personal liberty in a democratic society (see</w:t>
      </w:r>
      <w:r w:rsidR="00C91C3C">
        <w:rPr>
          <w:color w:val="000000"/>
        </w:rPr>
        <w:t> </w:t>
      </w:r>
      <w:r w:rsidR="00515766" w:rsidRPr="001D4928">
        <w:rPr>
          <w:i/>
          <w:szCs w:val="24"/>
          <w:lang w:eastAsia="en-US"/>
        </w:rPr>
        <w:t>Storck v. Germany</w:t>
      </w:r>
      <w:r w:rsidR="00515766" w:rsidRPr="001D4928">
        <w:rPr>
          <w:szCs w:val="24"/>
          <w:lang w:eastAsia="en-US"/>
        </w:rPr>
        <w:t>, no. 61603/00, § 102, ECHR 2005</w:t>
      </w:r>
      <w:r w:rsidR="00515766" w:rsidRPr="001D4928">
        <w:rPr>
          <w:szCs w:val="24"/>
          <w:lang w:eastAsia="en-US"/>
        </w:rPr>
        <w:noBreakHyphen/>
        <w:t>V</w:t>
      </w:r>
      <w:r w:rsidR="00072E54" w:rsidRPr="001D4928">
        <w:rPr>
          <w:szCs w:val="24"/>
          <w:lang w:eastAsia="en-US"/>
        </w:rPr>
        <w:t xml:space="preserve">, and </w:t>
      </w:r>
      <w:r w:rsidR="00515766" w:rsidRPr="001D4928">
        <w:rPr>
          <w:i/>
          <w:lang w:eastAsia="en-US"/>
        </w:rPr>
        <w:t>Stanev v.</w:t>
      </w:r>
      <w:r w:rsidR="00C91C3C">
        <w:rPr>
          <w:i/>
          <w:lang w:eastAsia="en-US"/>
        </w:rPr>
        <w:t> </w:t>
      </w:r>
      <w:r w:rsidR="00515766" w:rsidRPr="001D4928">
        <w:rPr>
          <w:i/>
          <w:lang w:eastAsia="en-US"/>
        </w:rPr>
        <w:t xml:space="preserve">Bulgaria </w:t>
      </w:r>
      <w:r w:rsidR="00515766" w:rsidRPr="001D4928">
        <w:rPr>
          <w:lang w:eastAsia="en-US"/>
        </w:rPr>
        <w:t>[GC], no.</w:t>
      </w:r>
      <w:r w:rsidR="009B19FB" w:rsidRPr="001D4928">
        <w:rPr>
          <w:lang w:eastAsia="en-US"/>
        </w:rPr>
        <w:t> </w:t>
      </w:r>
      <w:r w:rsidR="00515766" w:rsidRPr="001D4928">
        <w:rPr>
          <w:lang w:eastAsia="en-US"/>
        </w:rPr>
        <w:t>36760/06</w:t>
      </w:r>
      <w:r w:rsidR="00515766" w:rsidRPr="001D4928">
        <w:rPr>
          <w:snapToGrid w:val="0"/>
          <w:szCs w:val="24"/>
          <w:lang w:val="pt-BR" w:eastAsia="en-US"/>
        </w:rPr>
        <w:t xml:space="preserve">, § 120, </w:t>
      </w:r>
      <w:r w:rsidR="00515766" w:rsidRPr="001D4928">
        <w:rPr>
          <w:snapToGrid w:val="0"/>
          <w:szCs w:val="22"/>
          <w:lang w:eastAsia="en-US"/>
        </w:rPr>
        <w:t>ECHR 2012)</w:t>
      </w:r>
      <w:r w:rsidR="000A4179">
        <w:rPr>
          <w:snapToGrid w:val="0"/>
          <w:szCs w:val="22"/>
          <w:lang w:eastAsia="en-US"/>
        </w:rPr>
        <w:t>.</w:t>
      </w:r>
      <w:r w:rsidR="00C6419F">
        <w:rPr>
          <w:snapToGrid w:val="0"/>
          <w:szCs w:val="22"/>
          <w:lang w:eastAsia="en-US"/>
        </w:rPr>
        <w:t xml:space="preserve"> </w:t>
      </w:r>
      <w:r w:rsidR="000A4179">
        <w:rPr>
          <w:snapToGrid w:val="0"/>
          <w:szCs w:val="22"/>
          <w:lang w:eastAsia="en-US"/>
        </w:rPr>
        <w:t>Taking into consideration the length of the applicant</w:t>
      </w:r>
      <w:r w:rsidR="00F50242">
        <w:rPr>
          <w:snapToGrid w:val="0"/>
          <w:szCs w:val="22"/>
          <w:lang w:eastAsia="en-US"/>
        </w:rPr>
        <w:t>’</w:t>
      </w:r>
      <w:r w:rsidR="000A4179">
        <w:rPr>
          <w:snapToGrid w:val="0"/>
          <w:szCs w:val="22"/>
          <w:lang w:eastAsia="en-US"/>
        </w:rPr>
        <w:t xml:space="preserve">s pre-trial detention in the present case, the Court considers that </w:t>
      </w:r>
      <w:r w:rsidR="009555CF">
        <w:rPr>
          <w:snapToGrid w:val="0"/>
          <w:szCs w:val="22"/>
          <w:lang w:eastAsia="en-US"/>
        </w:rPr>
        <w:t xml:space="preserve">in </w:t>
      </w:r>
      <w:r w:rsidR="000A4179">
        <w:rPr>
          <w:snapToGrid w:val="0"/>
          <w:szCs w:val="22"/>
          <w:lang w:eastAsia="en-US"/>
        </w:rPr>
        <w:t xml:space="preserve">such circumstances the </w:t>
      </w:r>
      <w:r w:rsidR="000A4179">
        <w:rPr>
          <w:i/>
          <w:snapToGrid w:val="0"/>
          <w:szCs w:val="22"/>
          <w:lang w:eastAsia="en-US"/>
        </w:rPr>
        <w:t xml:space="preserve">de minimis </w:t>
      </w:r>
      <w:r w:rsidR="000A4179">
        <w:rPr>
          <w:snapToGrid w:val="0"/>
          <w:szCs w:val="22"/>
          <w:lang w:eastAsia="en-US"/>
        </w:rPr>
        <w:t>criterion could hardly be applied.</w:t>
      </w:r>
    </w:p>
    <w:p w:rsidR="007D31CA" w:rsidRDefault="00994B01" w:rsidP="00021413">
      <w:pPr>
        <w:pStyle w:val="JuPara"/>
        <w:rPr>
          <w:rStyle w:val="sb8d990e2"/>
        </w:rPr>
      </w:pPr>
      <w:r w:rsidRPr="001D4928">
        <w:rPr>
          <w:rStyle w:val="sb8d990e2"/>
        </w:rPr>
        <w:fldChar w:fldCharType="begin"/>
      </w:r>
      <w:r w:rsidRPr="001D4928">
        <w:rPr>
          <w:rStyle w:val="sb8d990e2"/>
        </w:rPr>
        <w:instrText xml:space="preserve"> SEQ level0 \*arabic </w:instrText>
      </w:r>
      <w:r w:rsidRPr="001D4928">
        <w:rPr>
          <w:rStyle w:val="sb8d990e2"/>
        </w:rPr>
        <w:fldChar w:fldCharType="separate"/>
      </w:r>
      <w:r w:rsidR="00D814D9">
        <w:rPr>
          <w:rStyle w:val="sb8d990e2"/>
          <w:noProof/>
        </w:rPr>
        <w:t>59</w:t>
      </w:r>
      <w:r w:rsidRPr="001D4928">
        <w:rPr>
          <w:rStyle w:val="sb8d990e2"/>
        </w:rPr>
        <w:fldChar w:fldCharType="end"/>
      </w:r>
      <w:r w:rsidRPr="001D4928">
        <w:rPr>
          <w:rStyle w:val="sb8d990e2"/>
        </w:rPr>
        <w:t>.  </w:t>
      </w:r>
      <w:r w:rsidR="00061096">
        <w:rPr>
          <w:rStyle w:val="sb8d990e2"/>
        </w:rPr>
        <w:t>Finally, the Court finds that</w:t>
      </w:r>
      <w:r w:rsidR="00340D0F" w:rsidRPr="001D4928">
        <w:rPr>
          <w:rStyle w:val="sb8d990e2"/>
        </w:rPr>
        <w:t xml:space="preserve"> </w:t>
      </w:r>
      <w:r w:rsidR="00061096">
        <w:rPr>
          <w:rStyle w:val="sb8d990e2"/>
        </w:rPr>
        <w:t>i</w:t>
      </w:r>
      <w:r w:rsidR="00340D0F" w:rsidRPr="001D4928">
        <w:rPr>
          <w:rStyle w:val="sb8d990e2"/>
        </w:rPr>
        <w:t>n the circumstances where the very essence of the applicant</w:t>
      </w:r>
      <w:r w:rsidR="00F50242">
        <w:rPr>
          <w:rStyle w:val="sb8d990e2"/>
        </w:rPr>
        <w:t>’</w:t>
      </w:r>
      <w:r w:rsidR="00340D0F" w:rsidRPr="001D4928">
        <w:rPr>
          <w:rStyle w:val="sb8d990e2"/>
        </w:rPr>
        <w:t xml:space="preserve">s complaint relates to the proper examination by the domestic courts of relevant and sufficient reasons for </w:t>
      </w:r>
      <w:r w:rsidR="00950570" w:rsidRPr="001D4928">
        <w:rPr>
          <w:rStyle w:val="sb8d990e2"/>
        </w:rPr>
        <w:t xml:space="preserve">his continued </w:t>
      </w:r>
      <w:r w:rsidR="00340D0F" w:rsidRPr="001D4928">
        <w:rPr>
          <w:rStyle w:val="sb8d990e2"/>
        </w:rPr>
        <w:t xml:space="preserve">deprivation of liberty and in view of the fact that the Court has found serious shortcomings in such examination at the material time in Latvia (see paragraph </w:t>
      </w:r>
      <w:r w:rsidR="00C91C3C">
        <w:rPr>
          <w:rStyle w:val="sb8d990e2"/>
        </w:rPr>
        <w:t>65</w:t>
      </w:r>
      <w:r w:rsidR="00340D0F" w:rsidRPr="001D4928">
        <w:rPr>
          <w:rStyle w:val="sb8d990e2"/>
        </w:rPr>
        <w:t xml:space="preserve"> below), the Court cannot consider </w:t>
      </w:r>
      <w:r w:rsidR="00BB0DB1" w:rsidRPr="001D4928">
        <w:rPr>
          <w:rStyle w:val="sb8d990e2"/>
        </w:rPr>
        <w:t>whether</w:t>
      </w:r>
      <w:r w:rsidR="00340D0F" w:rsidRPr="001D4928">
        <w:rPr>
          <w:rStyle w:val="sb8d990e2"/>
        </w:rPr>
        <w:t xml:space="preserve"> the case has been “duly considered” </w:t>
      </w:r>
      <w:r w:rsidR="00BB0DB1" w:rsidRPr="001D4928">
        <w:rPr>
          <w:rStyle w:val="sb8d990e2"/>
        </w:rPr>
        <w:t xml:space="preserve">by domestic courts </w:t>
      </w:r>
      <w:r w:rsidR="00340D0F" w:rsidRPr="001D4928">
        <w:rPr>
          <w:rStyle w:val="sb8d990e2"/>
        </w:rPr>
        <w:t>without examining the merits of th</w:t>
      </w:r>
      <w:r w:rsidR="00BB0DB1" w:rsidRPr="001D4928">
        <w:rPr>
          <w:rStyle w:val="sb8d990e2"/>
        </w:rPr>
        <w:t>e</w:t>
      </w:r>
      <w:r w:rsidR="00340D0F" w:rsidRPr="001D4928">
        <w:rPr>
          <w:rStyle w:val="sb8d990e2"/>
        </w:rPr>
        <w:t xml:space="preserve"> case. It follows that the present application cannot be dismissed </w:t>
      </w:r>
      <w:r w:rsidR="00ED03C5">
        <w:rPr>
          <w:rStyle w:val="sb8d990e2"/>
        </w:rPr>
        <w:t xml:space="preserve">under Article 35 </w:t>
      </w:r>
      <w:r w:rsidR="00ED03C5" w:rsidRPr="001D4928">
        <w:rPr>
          <w:snapToGrid w:val="0"/>
          <w:szCs w:val="24"/>
          <w:lang w:eastAsia="en-US"/>
        </w:rPr>
        <w:t>§</w:t>
      </w:r>
      <w:r w:rsidR="00ED03C5">
        <w:rPr>
          <w:snapToGrid w:val="0"/>
          <w:szCs w:val="24"/>
          <w:lang w:eastAsia="en-US"/>
        </w:rPr>
        <w:t xml:space="preserve"> </w:t>
      </w:r>
      <w:r w:rsidR="00181206">
        <w:rPr>
          <w:snapToGrid w:val="0"/>
          <w:szCs w:val="24"/>
          <w:lang w:eastAsia="en-US"/>
        </w:rPr>
        <w:t>3 (b) of the Convention</w:t>
      </w:r>
      <w:r w:rsidR="00340D0F" w:rsidRPr="001D4928">
        <w:rPr>
          <w:rStyle w:val="sb8d990e2"/>
        </w:rPr>
        <w:t>.</w:t>
      </w:r>
    </w:p>
    <w:p w:rsidR="0016278E" w:rsidRPr="00546EA4" w:rsidRDefault="00B85EF4" w:rsidP="00943B61">
      <w:pPr>
        <w:pStyle w:val="JuPara"/>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60</w:t>
      </w:r>
      <w:r>
        <w:rPr>
          <w:rStyle w:val="sb8d990e2"/>
        </w:rPr>
        <w:fldChar w:fldCharType="end"/>
      </w:r>
      <w:r>
        <w:rPr>
          <w:rStyle w:val="sb8d990e2"/>
        </w:rPr>
        <w:t xml:space="preserve">.  The Court concludes that </w:t>
      </w:r>
      <w:r w:rsidR="0016278E" w:rsidRPr="00546EA4">
        <w:t xml:space="preserve">this complaint is not manifestly ill-founded within the meaning of Article </w:t>
      </w:r>
      <w:r w:rsidR="00257EB2" w:rsidRPr="00546EA4">
        <w:t xml:space="preserve">35 § 3 (a) </w:t>
      </w:r>
      <w:r w:rsidR="0016278E" w:rsidRPr="00546EA4">
        <w:t>of the Convention. It further notes that it is not inadmissible on any other grounds. It must therefore be declared admissible.</w:t>
      </w:r>
    </w:p>
    <w:p w:rsidR="0016278E" w:rsidRPr="00546EA4" w:rsidRDefault="0016278E" w:rsidP="009E3D54">
      <w:pPr>
        <w:pStyle w:val="JuHA"/>
        <w:outlineLvl w:val="0"/>
      </w:pPr>
      <w:r w:rsidRPr="00546EA4">
        <w:t>B.  Merits</w:t>
      </w:r>
    </w:p>
    <w:p w:rsidR="00A26B9E" w:rsidRDefault="00F147E9" w:rsidP="00943B61">
      <w:pPr>
        <w:pStyle w:val="JuPara"/>
        <w:rPr>
          <w:rStyle w:val="sb8d990e2"/>
        </w:rPr>
      </w:pPr>
      <w:r>
        <w:fldChar w:fldCharType="begin"/>
      </w:r>
      <w:r>
        <w:instrText xml:space="preserve"> SEQ level0 \*arabic </w:instrText>
      </w:r>
      <w:r>
        <w:fldChar w:fldCharType="separate"/>
      </w:r>
      <w:r w:rsidR="00D814D9">
        <w:rPr>
          <w:noProof/>
        </w:rPr>
        <w:t>61</w:t>
      </w:r>
      <w:r>
        <w:fldChar w:fldCharType="end"/>
      </w:r>
      <w:r>
        <w:t>.  </w:t>
      </w:r>
      <w:r>
        <w:rPr>
          <w:rStyle w:val="sb8d990e2"/>
        </w:rPr>
        <w:t>The Government considered that the grounds justifying the applicant</w:t>
      </w:r>
      <w:r w:rsidR="00F50242">
        <w:rPr>
          <w:rStyle w:val="sb8d990e2"/>
        </w:rPr>
        <w:t>’</w:t>
      </w:r>
      <w:r>
        <w:rPr>
          <w:rStyle w:val="sb8d990e2"/>
        </w:rPr>
        <w:t xml:space="preserve">s continued detention had been relevant and sufficient and </w:t>
      </w:r>
      <w:r w:rsidR="004C748F">
        <w:rPr>
          <w:rStyle w:val="sb8d990e2"/>
        </w:rPr>
        <w:t xml:space="preserve">that the authorities </w:t>
      </w:r>
      <w:r>
        <w:rPr>
          <w:rStyle w:val="sb8d990e2"/>
        </w:rPr>
        <w:t>had therefore complied with Article 5 § 3 of the Convention. They argued that the initial period of the applicant</w:t>
      </w:r>
      <w:r w:rsidR="00F50242">
        <w:rPr>
          <w:rStyle w:val="sb8d990e2"/>
        </w:rPr>
        <w:t>’</w:t>
      </w:r>
      <w:r>
        <w:rPr>
          <w:rStyle w:val="sb8d990e2"/>
        </w:rPr>
        <w:t xml:space="preserve">s </w:t>
      </w:r>
      <w:r w:rsidR="006C6436">
        <w:rPr>
          <w:rStyle w:val="sb8d990e2"/>
        </w:rPr>
        <w:t xml:space="preserve">pre-trial </w:t>
      </w:r>
      <w:r>
        <w:rPr>
          <w:rStyle w:val="sb8d990e2"/>
        </w:rPr>
        <w:t xml:space="preserve">detention had been justified by his </w:t>
      </w:r>
      <w:r w:rsidR="006C6436">
        <w:rPr>
          <w:rStyle w:val="sb8d990e2"/>
        </w:rPr>
        <w:t xml:space="preserve">character </w:t>
      </w:r>
      <w:r>
        <w:rPr>
          <w:rStyle w:val="sb8d990e2"/>
        </w:rPr>
        <w:t xml:space="preserve">and the severity of the charges brought against him, as well as </w:t>
      </w:r>
      <w:r w:rsidR="004C748F">
        <w:rPr>
          <w:rStyle w:val="sb8d990e2"/>
        </w:rPr>
        <w:t xml:space="preserve">by </w:t>
      </w:r>
      <w:r>
        <w:rPr>
          <w:rStyle w:val="sb8d990e2"/>
        </w:rPr>
        <w:t xml:space="preserve">the fact that he had not had </w:t>
      </w:r>
      <w:r w:rsidR="007906A9">
        <w:rPr>
          <w:rStyle w:val="sb8d990e2"/>
        </w:rPr>
        <w:t xml:space="preserve">a </w:t>
      </w:r>
      <w:r>
        <w:rPr>
          <w:rStyle w:val="sb8d990e2"/>
        </w:rPr>
        <w:t xml:space="preserve">registered domicile in </w:t>
      </w:r>
      <w:smartTag w:uri="urn:schemas-microsoft-com:office:smarttags" w:element="country-region">
        <w:smartTag w:uri="urn:schemas-microsoft-com:office:smarttags" w:element="place">
          <w:r>
            <w:rPr>
              <w:rStyle w:val="sb8d990e2"/>
            </w:rPr>
            <w:t>Latvia</w:t>
          </w:r>
        </w:smartTag>
      </w:smartTag>
      <w:r>
        <w:rPr>
          <w:rStyle w:val="sb8d990e2"/>
        </w:rPr>
        <w:t>.</w:t>
      </w:r>
    </w:p>
    <w:p w:rsidR="00F147E9" w:rsidRDefault="00A26B9E" w:rsidP="00943B61">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62</w:t>
      </w:r>
      <w:r>
        <w:rPr>
          <w:rStyle w:val="sb8d990e2"/>
        </w:rPr>
        <w:fldChar w:fldCharType="end"/>
      </w:r>
      <w:r>
        <w:rPr>
          <w:rStyle w:val="sb8d990e2"/>
        </w:rPr>
        <w:t xml:space="preserve">.  As </w:t>
      </w:r>
      <w:r w:rsidR="004C748F">
        <w:rPr>
          <w:rStyle w:val="sb8d990e2"/>
        </w:rPr>
        <w:t xml:space="preserve">for </w:t>
      </w:r>
      <w:r>
        <w:rPr>
          <w:rStyle w:val="sb8d990e2"/>
        </w:rPr>
        <w:t>the domestic authorities, the Government argued that they had displayed special diligence</w:t>
      </w:r>
      <w:r w:rsidR="004C748F">
        <w:rPr>
          <w:rStyle w:val="sb8d990e2"/>
        </w:rPr>
        <w:t>,</w:t>
      </w:r>
      <w:r>
        <w:rPr>
          <w:rStyle w:val="sb8d990e2"/>
        </w:rPr>
        <w:t xml:space="preserve"> </w:t>
      </w:r>
      <w:r w:rsidR="004C748F">
        <w:rPr>
          <w:rStyle w:val="sb8d990e2"/>
        </w:rPr>
        <w:t xml:space="preserve">as </w:t>
      </w:r>
      <w:r>
        <w:rPr>
          <w:rStyle w:val="sb8d990e2"/>
        </w:rPr>
        <w:t xml:space="preserve">they </w:t>
      </w:r>
      <w:r w:rsidR="007906A9">
        <w:rPr>
          <w:rStyle w:val="sb8d990e2"/>
        </w:rPr>
        <w:t xml:space="preserve">had </w:t>
      </w:r>
      <w:r>
        <w:rPr>
          <w:rStyle w:val="sb8d990e2"/>
        </w:rPr>
        <w:t>complete</w:t>
      </w:r>
      <w:r w:rsidR="004C748F">
        <w:rPr>
          <w:rStyle w:val="sb8d990e2"/>
        </w:rPr>
        <w:t>d</w:t>
      </w:r>
      <w:r>
        <w:rPr>
          <w:rStyle w:val="sb8d990e2"/>
        </w:rPr>
        <w:t xml:space="preserve"> the pre-trial investigation in six months</w:t>
      </w:r>
      <w:r w:rsidR="007906A9">
        <w:rPr>
          <w:rStyle w:val="sb8d990e2"/>
        </w:rPr>
        <w:t xml:space="preserve"> and had also </w:t>
      </w:r>
      <w:r w:rsidR="006C6436">
        <w:rPr>
          <w:rStyle w:val="sb8d990e2"/>
        </w:rPr>
        <w:t xml:space="preserve">taken a number of steps </w:t>
      </w:r>
      <w:r w:rsidR="00F23AB4">
        <w:rPr>
          <w:rStyle w:val="sb8d990e2"/>
        </w:rPr>
        <w:t>such as</w:t>
      </w:r>
      <w:r w:rsidR="007906A9">
        <w:rPr>
          <w:rStyle w:val="sb8d990e2"/>
        </w:rPr>
        <w:t xml:space="preserve"> </w:t>
      </w:r>
      <w:r w:rsidR="006C6436">
        <w:rPr>
          <w:rStyle w:val="sb8d990e2"/>
        </w:rPr>
        <w:t xml:space="preserve">arranging </w:t>
      </w:r>
      <w:r w:rsidR="007906A9">
        <w:rPr>
          <w:rStyle w:val="sb8d990e2"/>
        </w:rPr>
        <w:t>the forensic psychiatric examination of the applicant. Concerning the period from 24 December 2002 to 10 May 2004, they admitted that there had been a certain delay</w:t>
      </w:r>
      <w:r w:rsidR="004C748F">
        <w:rPr>
          <w:rStyle w:val="sb8d990e2"/>
        </w:rPr>
        <w:t xml:space="preserve"> in the proceedings</w:t>
      </w:r>
      <w:r w:rsidR="007906A9">
        <w:rPr>
          <w:rStyle w:val="sb8d990e2"/>
        </w:rPr>
        <w:t xml:space="preserve">. However, the </w:t>
      </w:r>
      <w:r w:rsidR="004C748F">
        <w:rPr>
          <w:rStyle w:val="sb8d990e2"/>
        </w:rPr>
        <w:t xml:space="preserve">trial </w:t>
      </w:r>
      <w:r w:rsidR="007906A9">
        <w:rPr>
          <w:rStyle w:val="sb8d990e2"/>
        </w:rPr>
        <w:t xml:space="preserve">hearings </w:t>
      </w:r>
      <w:r w:rsidR="004C748F">
        <w:rPr>
          <w:rStyle w:val="sb8d990e2"/>
        </w:rPr>
        <w:t xml:space="preserve">had taken </w:t>
      </w:r>
      <w:r w:rsidR="007906A9">
        <w:rPr>
          <w:rStyle w:val="sb8d990e2"/>
        </w:rPr>
        <w:t xml:space="preserve">place as initially scheduled and the trial </w:t>
      </w:r>
      <w:r w:rsidR="004C748F">
        <w:rPr>
          <w:rStyle w:val="sb8d990e2"/>
        </w:rPr>
        <w:t xml:space="preserve">had been </w:t>
      </w:r>
      <w:r w:rsidR="007906A9">
        <w:rPr>
          <w:rStyle w:val="sb8d990e2"/>
        </w:rPr>
        <w:t>concluded within the time</w:t>
      </w:r>
      <w:r w:rsidR="00C91C3C">
        <w:rPr>
          <w:rStyle w:val="sb8d990e2"/>
        </w:rPr>
        <w:t>­</w:t>
      </w:r>
      <w:r w:rsidR="007906A9">
        <w:rPr>
          <w:rStyle w:val="sb8d990e2"/>
        </w:rPr>
        <w:t xml:space="preserve">limit set </w:t>
      </w:r>
      <w:r w:rsidR="004C748F">
        <w:rPr>
          <w:rStyle w:val="sb8d990e2"/>
        </w:rPr>
        <w:t>by</w:t>
      </w:r>
      <w:r w:rsidR="007906A9">
        <w:rPr>
          <w:rStyle w:val="sb8d990e2"/>
        </w:rPr>
        <w:t xml:space="preserve"> domestic law.</w:t>
      </w:r>
    </w:p>
    <w:p w:rsidR="006F69CE" w:rsidRDefault="00546EA4" w:rsidP="00943B61">
      <w:pPr>
        <w:pStyle w:val="JuPara"/>
      </w:pPr>
      <w:r w:rsidRPr="00546EA4">
        <w:fldChar w:fldCharType="begin"/>
      </w:r>
      <w:r w:rsidRPr="00546EA4">
        <w:instrText xml:space="preserve"> SEQ level0 \*arabic </w:instrText>
      </w:r>
      <w:r w:rsidRPr="00546EA4">
        <w:fldChar w:fldCharType="separate"/>
      </w:r>
      <w:r w:rsidR="00D814D9">
        <w:rPr>
          <w:noProof/>
        </w:rPr>
        <w:t>63</w:t>
      </w:r>
      <w:r w:rsidRPr="00546EA4">
        <w:fldChar w:fldCharType="end"/>
      </w:r>
      <w:r w:rsidR="0016278E" w:rsidRPr="00546EA4">
        <w:t>.  </w:t>
      </w:r>
      <w:r w:rsidR="007906A9">
        <w:t>The applicant did not comment.</w:t>
      </w:r>
    </w:p>
    <w:p w:rsidR="007906A9" w:rsidRPr="006C28D9" w:rsidRDefault="007906A9" w:rsidP="00943B61">
      <w:pPr>
        <w:pStyle w:val="JuPara"/>
        <w:rPr>
          <w:color w:val="000000"/>
        </w:rPr>
      </w:pPr>
      <w:r w:rsidRPr="00153F89">
        <w:fldChar w:fldCharType="begin"/>
      </w:r>
      <w:r w:rsidRPr="00153F89">
        <w:instrText xml:space="preserve"> SEQ level0 \*arabic </w:instrText>
      </w:r>
      <w:r w:rsidRPr="00153F89">
        <w:fldChar w:fldCharType="separate"/>
      </w:r>
      <w:r w:rsidR="00D814D9">
        <w:rPr>
          <w:noProof/>
        </w:rPr>
        <w:t>64</w:t>
      </w:r>
      <w:r w:rsidRPr="00153F89">
        <w:fldChar w:fldCharType="end"/>
      </w:r>
      <w:r w:rsidRPr="00153F89">
        <w:t>.  </w:t>
      </w:r>
      <w:r w:rsidRPr="00153F89">
        <w:rPr>
          <w:rStyle w:val="sb8d990e2"/>
        </w:rPr>
        <w:t>The Court notes that the applicant</w:t>
      </w:r>
      <w:r w:rsidR="00F50242">
        <w:rPr>
          <w:rStyle w:val="sb8d990e2"/>
        </w:rPr>
        <w:t>’</w:t>
      </w:r>
      <w:r w:rsidRPr="00153F89">
        <w:rPr>
          <w:rStyle w:val="sb8d990e2"/>
        </w:rPr>
        <w:t xml:space="preserve">s pre-trial detention, for the purposes of Article 5 § 3 of the Convention, lasted from </w:t>
      </w:r>
      <w:r w:rsidRPr="00153F89">
        <w:t>27 May 2002</w:t>
      </w:r>
      <w:r w:rsidRPr="00153F89">
        <w:rPr>
          <w:rStyle w:val="sb8d990e2"/>
        </w:rPr>
        <w:t xml:space="preserve">, when he was arrested, until </w:t>
      </w:r>
      <w:r w:rsidRPr="00153F89">
        <w:t xml:space="preserve">14 May 2004, when he was found guilty and sentenced by the Rīga Regional Court. Therefore, the applicant spent </w:t>
      </w:r>
      <w:r w:rsidRPr="00153F89">
        <w:rPr>
          <w:color w:val="000000"/>
        </w:rPr>
        <w:t xml:space="preserve">one year, eleven months and eighteen days </w:t>
      </w:r>
      <w:r w:rsidR="004C748F" w:rsidRPr="00153F89">
        <w:rPr>
          <w:color w:val="000000"/>
        </w:rPr>
        <w:t xml:space="preserve">remanded </w:t>
      </w:r>
      <w:r w:rsidRPr="00153F89">
        <w:rPr>
          <w:color w:val="000000"/>
        </w:rPr>
        <w:t xml:space="preserve">in </w:t>
      </w:r>
      <w:r w:rsidR="004C748F" w:rsidRPr="00153F89">
        <w:rPr>
          <w:color w:val="000000"/>
        </w:rPr>
        <w:t>custody</w:t>
      </w:r>
      <w:r w:rsidRPr="00153F89">
        <w:rPr>
          <w:color w:val="000000"/>
        </w:rPr>
        <w:t>.</w:t>
      </w:r>
      <w:r w:rsidR="006C28D9" w:rsidRPr="00153F89">
        <w:rPr>
          <w:rStyle w:val="OpiHA"/>
        </w:rPr>
        <w:t xml:space="preserve"> </w:t>
      </w:r>
      <w:r w:rsidR="006C28D9" w:rsidRPr="00153F89">
        <w:rPr>
          <w:rStyle w:val="sb8d990e2"/>
        </w:rPr>
        <w:t>The Court considers such a length to be</w:t>
      </w:r>
      <w:r w:rsidR="00BC4D0D" w:rsidRPr="00153F89">
        <w:rPr>
          <w:rStyle w:val="sb8d990e2"/>
        </w:rPr>
        <w:t xml:space="preserve"> </w:t>
      </w:r>
      <w:r w:rsidR="006C28D9" w:rsidRPr="00153F89">
        <w:rPr>
          <w:rStyle w:val="sb8d990e2"/>
        </w:rPr>
        <w:t>sufficient to raise an issue under Article 5</w:t>
      </w:r>
      <w:r w:rsidR="00C91C3C">
        <w:rPr>
          <w:rStyle w:val="sb8d990e2"/>
        </w:rPr>
        <w:t> </w:t>
      </w:r>
      <w:r w:rsidR="006C28D9" w:rsidRPr="00153F89">
        <w:rPr>
          <w:rStyle w:val="sb8d990e2"/>
        </w:rPr>
        <w:t>§</w:t>
      </w:r>
      <w:r w:rsidR="00C91C3C">
        <w:rPr>
          <w:rStyle w:val="sb8d990e2"/>
        </w:rPr>
        <w:t> </w:t>
      </w:r>
      <w:r w:rsidR="006C28D9" w:rsidRPr="00153F89">
        <w:rPr>
          <w:rStyle w:val="sb8d990e2"/>
        </w:rPr>
        <w:t xml:space="preserve">3 of the Convention (see </w:t>
      </w:r>
      <w:r w:rsidR="006C28D9" w:rsidRPr="00153F89">
        <w:rPr>
          <w:rStyle w:val="sb8d990e2"/>
          <w:i/>
        </w:rPr>
        <w:t>Vogins</w:t>
      </w:r>
      <w:r w:rsidR="00F31DA2">
        <w:rPr>
          <w:rStyle w:val="sb8d990e2"/>
        </w:rPr>
        <w:t>, cited above</w:t>
      </w:r>
      <w:r w:rsidR="00544BDD" w:rsidRPr="00153F89">
        <w:rPr>
          <w:color w:val="000000"/>
        </w:rPr>
        <w:t xml:space="preserve">, § 40, </w:t>
      </w:r>
      <w:r w:rsidR="006C28D9" w:rsidRPr="00153F89">
        <w:rPr>
          <w:rStyle w:val="sb8d990e2"/>
        </w:rPr>
        <w:t>where the applicant</w:t>
      </w:r>
      <w:r w:rsidR="00F50242">
        <w:rPr>
          <w:rStyle w:val="sb8d990e2"/>
        </w:rPr>
        <w:t>’</w:t>
      </w:r>
      <w:r w:rsidR="006C28D9" w:rsidRPr="00153F89">
        <w:rPr>
          <w:rStyle w:val="sb8d990e2"/>
        </w:rPr>
        <w:t xml:space="preserve">s pre-trial detention lasted for </w:t>
      </w:r>
      <w:r w:rsidR="00E55825" w:rsidRPr="00153F89">
        <w:rPr>
          <w:rStyle w:val="sb8d990e2"/>
        </w:rPr>
        <w:t xml:space="preserve">an </w:t>
      </w:r>
      <w:r w:rsidR="00B45BD0" w:rsidRPr="00153F89">
        <w:rPr>
          <w:rStyle w:val="sb8d990e2"/>
        </w:rPr>
        <w:t xml:space="preserve">even shorter period – </w:t>
      </w:r>
      <w:r w:rsidR="006C28D9" w:rsidRPr="00153F89">
        <w:rPr>
          <w:rStyle w:val="sb8d990e2"/>
        </w:rPr>
        <w:t>one year, seven months and two days)</w:t>
      </w:r>
      <w:r w:rsidR="00B27E8E" w:rsidRPr="00153F89">
        <w:rPr>
          <w:rStyle w:val="sb8d990e2"/>
        </w:rPr>
        <w:t>.</w:t>
      </w:r>
    </w:p>
    <w:bookmarkStart w:id="2" w:name="law_shortcomings"/>
    <w:p w:rsidR="007906A9" w:rsidRPr="00B65D36" w:rsidRDefault="007906A9" w:rsidP="00943B61">
      <w:pPr>
        <w:pStyle w:val="JuPara"/>
        <w:rPr>
          <w:rStyle w:val="sb8d990e2"/>
          <w:i/>
          <w:lang w:eastAsia="en-US"/>
        </w:rPr>
      </w:pPr>
      <w:r>
        <w:rPr>
          <w:color w:val="000000"/>
        </w:rPr>
        <w:fldChar w:fldCharType="begin"/>
      </w:r>
      <w:r>
        <w:rPr>
          <w:color w:val="000000"/>
        </w:rPr>
        <w:instrText xml:space="preserve"> SEQ level0 \*arabic </w:instrText>
      </w:r>
      <w:r>
        <w:rPr>
          <w:color w:val="000000"/>
        </w:rPr>
        <w:fldChar w:fldCharType="separate"/>
      </w:r>
      <w:r w:rsidR="00D814D9">
        <w:rPr>
          <w:noProof/>
          <w:color w:val="000000"/>
        </w:rPr>
        <w:t>65</w:t>
      </w:r>
      <w:r>
        <w:rPr>
          <w:color w:val="000000"/>
        </w:rPr>
        <w:fldChar w:fldCharType="end"/>
      </w:r>
      <w:bookmarkEnd w:id="2"/>
      <w:r>
        <w:rPr>
          <w:color w:val="000000"/>
        </w:rPr>
        <w:t>.  </w:t>
      </w:r>
      <w:r>
        <w:rPr>
          <w:rStyle w:val="sb8d990e2"/>
        </w:rPr>
        <w:t xml:space="preserve">The Court reiterates at the outset that in a number of Latvian cases </w:t>
      </w:r>
      <w:r w:rsidR="00F23AB4">
        <w:rPr>
          <w:rStyle w:val="sb8d990e2"/>
        </w:rPr>
        <w:t>which</w:t>
      </w:r>
      <w:r>
        <w:rPr>
          <w:rStyle w:val="sb8d990e2"/>
        </w:rPr>
        <w:t xml:space="preserve"> concerned the corresponding period of time</w:t>
      </w:r>
      <w:r w:rsidR="00F23AB4">
        <w:rPr>
          <w:rStyle w:val="sb8d990e2"/>
        </w:rPr>
        <w:t>,</w:t>
      </w:r>
      <w:r>
        <w:rPr>
          <w:rStyle w:val="sb8d990e2"/>
        </w:rPr>
        <w:t xml:space="preserve"> it </w:t>
      </w:r>
      <w:r w:rsidR="00B94A4E">
        <w:rPr>
          <w:rStyle w:val="sb8d990e2"/>
        </w:rPr>
        <w:t xml:space="preserve">has </w:t>
      </w:r>
      <w:r>
        <w:rPr>
          <w:rStyle w:val="sb8d990e2"/>
        </w:rPr>
        <w:t xml:space="preserve">found a violation of Article 5 § 3 of the Convention because of the extremely basic and summary </w:t>
      </w:r>
      <w:r w:rsidR="002A7332">
        <w:rPr>
          <w:rStyle w:val="sb8d990e2"/>
        </w:rPr>
        <w:t xml:space="preserve">reasoning </w:t>
      </w:r>
      <w:r>
        <w:rPr>
          <w:rStyle w:val="sb8d990e2"/>
        </w:rPr>
        <w:t>of court orders and decisions extending the applicants</w:t>
      </w:r>
      <w:r w:rsidR="00F50242">
        <w:rPr>
          <w:rStyle w:val="sb8d990e2"/>
        </w:rPr>
        <w:t>’</w:t>
      </w:r>
      <w:r>
        <w:rPr>
          <w:rStyle w:val="sb8d990e2"/>
        </w:rPr>
        <w:t xml:space="preserve"> pre-trial detention (see </w:t>
      </w:r>
      <w:r w:rsidRPr="007906A9">
        <w:rPr>
          <w:rStyle w:val="s6b621b36"/>
          <w:i/>
        </w:rPr>
        <w:t>Svipsta</w:t>
      </w:r>
      <w:r>
        <w:rPr>
          <w:rStyle w:val="sb8d990e2"/>
        </w:rPr>
        <w:t xml:space="preserve">, </w:t>
      </w:r>
      <w:r w:rsidR="00002455">
        <w:rPr>
          <w:rStyle w:val="sb8d990e2"/>
        </w:rPr>
        <w:t xml:space="preserve">cited above, </w:t>
      </w:r>
      <w:r>
        <w:rPr>
          <w:rStyle w:val="sb8d990e2"/>
        </w:rPr>
        <w:t>§§ 108-113</w:t>
      </w:r>
      <w:r w:rsidR="002A7332">
        <w:rPr>
          <w:rStyle w:val="sb8d990e2"/>
        </w:rPr>
        <w:t xml:space="preserve">; </w:t>
      </w:r>
      <w:r w:rsidRPr="007906A9">
        <w:rPr>
          <w:rStyle w:val="s6b621b36"/>
          <w:i/>
        </w:rPr>
        <w:t>Estrikh</w:t>
      </w:r>
      <w:r w:rsidR="00002455">
        <w:rPr>
          <w:rStyle w:val="s6b621b36"/>
          <w:i/>
        </w:rPr>
        <w:t xml:space="preserve"> v. Latvia</w:t>
      </w:r>
      <w:r>
        <w:rPr>
          <w:rStyle w:val="sb8d990e2"/>
        </w:rPr>
        <w:t xml:space="preserve">, </w:t>
      </w:r>
      <w:r w:rsidR="00002455">
        <w:rPr>
          <w:rStyle w:val="sb8d990e2"/>
        </w:rPr>
        <w:t xml:space="preserve">no. 73819/01, </w:t>
      </w:r>
      <w:r>
        <w:rPr>
          <w:rStyle w:val="sb8d990e2"/>
        </w:rPr>
        <w:t>§§ 122-127</w:t>
      </w:r>
      <w:r w:rsidR="00002455">
        <w:rPr>
          <w:rStyle w:val="sb8d990e2"/>
        </w:rPr>
        <w:t xml:space="preserve">, </w:t>
      </w:r>
      <w:r w:rsidR="00002455" w:rsidRPr="000D01C8">
        <w:rPr>
          <w:szCs w:val="24"/>
          <w:lang w:eastAsia="en-US"/>
        </w:rPr>
        <w:t>18</w:t>
      </w:r>
      <w:r w:rsidR="00002455">
        <w:rPr>
          <w:szCs w:val="24"/>
          <w:lang w:eastAsia="en-US"/>
        </w:rPr>
        <w:t> </w:t>
      </w:r>
      <w:r w:rsidR="00002455" w:rsidRPr="000D01C8">
        <w:rPr>
          <w:szCs w:val="24"/>
          <w:lang w:eastAsia="en-US"/>
        </w:rPr>
        <w:t>January 2007</w:t>
      </w:r>
      <w:r w:rsidR="002A7332">
        <w:rPr>
          <w:rStyle w:val="sb8d990e2"/>
        </w:rPr>
        <w:t xml:space="preserve">; </w:t>
      </w:r>
      <w:r w:rsidR="000B3D20" w:rsidRPr="000B3D20">
        <w:rPr>
          <w:i/>
          <w:szCs w:val="24"/>
          <w:lang w:eastAsia="en-US"/>
        </w:rPr>
        <w:t xml:space="preserve">Nazarenko v. </w:t>
      </w:r>
      <w:smartTag w:uri="urn:schemas-microsoft-com:office:smarttags" w:element="country-region">
        <w:smartTag w:uri="urn:schemas-microsoft-com:office:smarttags" w:element="place">
          <w:r w:rsidR="000B3D20" w:rsidRPr="000B3D20">
            <w:rPr>
              <w:i/>
              <w:szCs w:val="24"/>
              <w:lang w:eastAsia="en-US"/>
            </w:rPr>
            <w:t>Latvia</w:t>
          </w:r>
        </w:smartTag>
      </w:smartTag>
      <w:r w:rsidR="000B3D20" w:rsidRPr="000B3D20">
        <w:rPr>
          <w:szCs w:val="24"/>
          <w:lang w:eastAsia="en-US"/>
        </w:rPr>
        <w:t>, no.</w:t>
      </w:r>
      <w:r w:rsidR="000B7BD7">
        <w:rPr>
          <w:szCs w:val="24"/>
          <w:lang w:eastAsia="en-US"/>
        </w:rPr>
        <w:t> </w:t>
      </w:r>
      <w:r w:rsidR="000B3D20" w:rsidRPr="000B3D20">
        <w:rPr>
          <w:szCs w:val="24"/>
          <w:lang w:eastAsia="en-US"/>
        </w:rPr>
        <w:t>76843/01, §</w:t>
      </w:r>
      <w:r w:rsidR="000B3D20">
        <w:rPr>
          <w:szCs w:val="24"/>
          <w:lang w:eastAsia="en-US"/>
        </w:rPr>
        <w:t>§ 59</w:t>
      </w:r>
      <w:r w:rsidR="00C91C3C">
        <w:rPr>
          <w:szCs w:val="24"/>
          <w:lang w:eastAsia="en-US"/>
        </w:rPr>
        <w:t>­</w:t>
      </w:r>
      <w:r w:rsidR="000B3D20">
        <w:rPr>
          <w:szCs w:val="24"/>
          <w:lang w:eastAsia="en-US"/>
        </w:rPr>
        <w:t>61</w:t>
      </w:r>
      <w:r w:rsidR="000B3D20" w:rsidRPr="000B3D20">
        <w:rPr>
          <w:szCs w:val="24"/>
          <w:lang w:eastAsia="en-US"/>
        </w:rPr>
        <w:t>, 1</w:t>
      </w:r>
      <w:r w:rsidR="000B3D20">
        <w:rPr>
          <w:szCs w:val="24"/>
          <w:lang w:eastAsia="en-US"/>
        </w:rPr>
        <w:t> </w:t>
      </w:r>
      <w:r w:rsidR="000B3D20" w:rsidRPr="000B3D20">
        <w:rPr>
          <w:szCs w:val="24"/>
          <w:lang w:eastAsia="en-US"/>
        </w:rPr>
        <w:t>February 2007</w:t>
      </w:r>
      <w:r w:rsidR="000B3D20">
        <w:rPr>
          <w:szCs w:val="24"/>
          <w:lang w:eastAsia="en-US"/>
        </w:rPr>
        <w:t xml:space="preserve">; </w:t>
      </w:r>
      <w:r w:rsidR="006A174A" w:rsidRPr="006A174A">
        <w:rPr>
          <w:i/>
          <w:lang w:eastAsia="en-US"/>
        </w:rPr>
        <w:t xml:space="preserve">Ž. v. </w:t>
      </w:r>
      <w:smartTag w:uri="urn:schemas-microsoft-com:office:smarttags" w:element="country-region">
        <w:smartTag w:uri="urn:schemas-microsoft-com:office:smarttags" w:element="place">
          <w:r w:rsidR="006A174A" w:rsidRPr="006A174A">
            <w:rPr>
              <w:i/>
              <w:lang w:eastAsia="en-US"/>
            </w:rPr>
            <w:t>Latvia</w:t>
          </w:r>
        </w:smartTag>
      </w:smartTag>
      <w:r w:rsidR="006A174A" w:rsidRPr="006A174A">
        <w:rPr>
          <w:lang w:eastAsia="en-US"/>
        </w:rPr>
        <w:t>, no. 14755/03, §</w:t>
      </w:r>
      <w:r w:rsidR="006A174A">
        <w:rPr>
          <w:lang w:eastAsia="en-US"/>
        </w:rPr>
        <w:t>§</w:t>
      </w:r>
      <w:r w:rsidR="006A174A" w:rsidRPr="006A174A">
        <w:rPr>
          <w:lang w:eastAsia="en-US"/>
        </w:rPr>
        <w:t xml:space="preserve"> </w:t>
      </w:r>
      <w:r w:rsidR="006A174A">
        <w:rPr>
          <w:lang w:eastAsia="en-US"/>
        </w:rPr>
        <w:t>72-75</w:t>
      </w:r>
      <w:r w:rsidR="006A174A" w:rsidRPr="006A174A">
        <w:rPr>
          <w:lang w:eastAsia="en-US"/>
        </w:rPr>
        <w:t>, 24 January 2008</w:t>
      </w:r>
      <w:r w:rsidR="006A174A">
        <w:rPr>
          <w:lang w:eastAsia="en-US"/>
        </w:rPr>
        <w:t xml:space="preserve">; </w:t>
      </w:r>
      <w:r w:rsidR="006A174A" w:rsidRPr="006A174A">
        <w:rPr>
          <w:i/>
          <w:lang w:eastAsia="en-US"/>
        </w:rPr>
        <w:t xml:space="preserve">Gasiņš v. </w:t>
      </w:r>
      <w:smartTag w:uri="urn:schemas-microsoft-com:office:smarttags" w:element="country-region">
        <w:smartTag w:uri="urn:schemas-microsoft-com:office:smarttags" w:element="place">
          <w:r w:rsidR="006A174A" w:rsidRPr="006A174A">
            <w:rPr>
              <w:i/>
              <w:lang w:eastAsia="en-US"/>
            </w:rPr>
            <w:t>Latvia</w:t>
          </w:r>
        </w:smartTag>
      </w:smartTag>
      <w:r w:rsidR="006A174A" w:rsidRPr="006A174A">
        <w:rPr>
          <w:lang w:eastAsia="en-US"/>
        </w:rPr>
        <w:t>, no. 69458/01</w:t>
      </w:r>
      <w:r w:rsidR="006A174A" w:rsidRPr="006A174A">
        <w:rPr>
          <w:szCs w:val="24"/>
          <w:lang w:eastAsia="en-US"/>
        </w:rPr>
        <w:t>, §§</w:t>
      </w:r>
      <w:r w:rsidR="006A174A">
        <w:rPr>
          <w:szCs w:val="24"/>
          <w:lang w:eastAsia="en-US"/>
        </w:rPr>
        <w:t xml:space="preserve"> 64-66</w:t>
      </w:r>
      <w:r w:rsidR="006A174A" w:rsidRPr="006A174A">
        <w:rPr>
          <w:szCs w:val="24"/>
          <w:lang w:eastAsia="en-US"/>
        </w:rPr>
        <w:t>, 19</w:t>
      </w:r>
      <w:r w:rsidR="006A174A" w:rsidRPr="006A174A">
        <w:rPr>
          <w:snapToGrid w:val="0"/>
          <w:szCs w:val="24"/>
          <w:lang w:eastAsia="en-US"/>
        </w:rPr>
        <w:t xml:space="preserve"> April 2011</w:t>
      </w:r>
      <w:r w:rsidR="00B65D36">
        <w:rPr>
          <w:snapToGrid w:val="0"/>
          <w:szCs w:val="24"/>
          <w:lang w:eastAsia="en-US"/>
        </w:rPr>
        <w:t xml:space="preserve">; </w:t>
      </w:r>
      <w:r w:rsidR="00B65D36" w:rsidRPr="00B65D36">
        <w:rPr>
          <w:i/>
          <w:szCs w:val="22"/>
          <w:lang w:eastAsia="en-US"/>
        </w:rPr>
        <w:t xml:space="preserve">Zandbergs </w:t>
      </w:r>
      <w:r w:rsidR="00B65D36" w:rsidRPr="00B65D36">
        <w:rPr>
          <w:i/>
          <w:lang w:eastAsia="en-US"/>
        </w:rPr>
        <w:t xml:space="preserve">v. </w:t>
      </w:r>
      <w:smartTag w:uri="urn:schemas-microsoft-com:office:smarttags" w:element="country-region">
        <w:smartTag w:uri="urn:schemas-microsoft-com:office:smarttags" w:element="place">
          <w:r w:rsidR="00B65D36" w:rsidRPr="00B65D36">
            <w:rPr>
              <w:i/>
              <w:lang w:eastAsia="en-US"/>
            </w:rPr>
            <w:t>Latvia</w:t>
          </w:r>
        </w:smartTag>
      </w:smartTag>
      <w:r w:rsidR="00B65D36" w:rsidRPr="00B65D36">
        <w:rPr>
          <w:lang w:eastAsia="en-US"/>
        </w:rPr>
        <w:t>, no. 71092/01</w:t>
      </w:r>
      <w:r w:rsidR="00B65D36" w:rsidRPr="00B65D36">
        <w:rPr>
          <w:snapToGrid w:val="0"/>
          <w:szCs w:val="24"/>
          <w:lang w:eastAsia="en-US"/>
        </w:rPr>
        <w:t>, §§</w:t>
      </w:r>
      <w:r w:rsidR="00B65D36">
        <w:rPr>
          <w:snapToGrid w:val="0"/>
          <w:szCs w:val="24"/>
          <w:lang w:eastAsia="en-US"/>
        </w:rPr>
        <w:t xml:space="preserve"> 72-73</w:t>
      </w:r>
      <w:r w:rsidR="00B65D36" w:rsidRPr="00B65D36">
        <w:rPr>
          <w:snapToGrid w:val="0"/>
          <w:szCs w:val="24"/>
          <w:lang w:eastAsia="en-US"/>
        </w:rPr>
        <w:t xml:space="preserve">, </w:t>
      </w:r>
      <w:r w:rsidR="00B65D36" w:rsidRPr="00B65D36">
        <w:rPr>
          <w:szCs w:val="24"/>
          <w:lang w:eastAsia="en-US"/>
        </w:rPr>
        <w:t>20</w:t>
      </w:r>
      <w:r w:rsidR="00B65D36" w:rsidRPr="00B65D36">
        <w:rPr>
          <w:snapToGrid w:val="0"/>
          <w:szCs w:val="24"/>
          <w:lang w:eastAsia="en-US"/>
        </w:rPr>
        <w:t xml:space="preserve"> </w:t>
      </w:r>
      <w:r w:rsidR="00B65D36" w:rsidRPr="00B65D36">
        <w:rPr>
          <w:szCs w:val="24"/>
          <w:lang w:eastAsia="en-US"/>
        </w:rPr>
        <w:t xml:space="preserve">December </w:t>
      </w:r>
      <w:r w:rsidR="00B65D36" w:rsidRPr="00B65D36">
        <w:rPr>
          <w:snapToGrid w:val="0"/>
          <w:szCs w:val="24"/>
          <w:lang w:eastAsia="en-US"/>
        </w:rPr>
        <w:t>2011</w:t>
      </w:r>
      <w:r>
        <w:rPr>
          <w:rStyle w:val="sb8d990e2"/>
        </w:rPr>
        <w:t>). Moreover, the Court</w:t>
      </w:r>
      <w:r w:rsidR="002A7332">
        <w:rPr>
          <w:rStyle w:val="sb8d990e2"/>
        </w:rPr>
        <w:t xml:space="preserve"> has</w:t>
      </w:r>
      <w:r>
        <w:rPr>
          <w:rStyle w:val="sb8d990e2"/>
        </w:rPr>
        <w:t xml:space="preserve"> expressly noted </w:t>
      </w:r>
      <w:r w:rsidR="003C2B14">
        <w:rPr>
          <w:rStyle w:val="sb8d990e2"/>
        </w:rPr>
        <w:t xml:space="preserve">that </w:t>
      </w:r>
      <w:r w:rsidR="00B81ECC">
        <w:rPr>
          <w:rStyle w:val="sb8d990e2"/>
        </w:rPr>
        <w:t xml:space="preserve">it has found </w:t>
      </w:r>
      <w:r w:rsidR="003C2B14">
        <w:rPr>
          <w:rStyle w:val="sb8d990e2"/>
        </w:rPr>
        <w:t xml:space="preserve">violations of Article 5 § 3 of the Convention in several cases brought against Latvia on the grounds of </w:t>
      </w:r>
      <w:r w:rsidR="003C2B14" w:rsidRPr="00153F89">
        <w:rPr>
          <w:rStyle w:val="sb8d990e2"/>
        </w:rPr>
        <w:t xml:space="preserve">insufficient </w:t>
      </w:r>
      <w:r w:rsidR="00BC4D0D" w:rsidRPr="00153F89">
        <w:rPr>
          <w:rStyle w:val="sb8d990e2"/>
        </w:rPr>
        <w:t>reasoning</w:t>
      </w:r>
      <w:r w:rsidR="003C2B14" w:rsidRPr="00153F89">
        <w:rPr>
          <w:rStyle w:val="sb8d990e2"/>
        </w:rPr>
        <w:t xml:space="preserve"> and inadequate proceedings in deciding on continued</w:t>
      </w:r>
      <w:r w:rsidR="003C2B14">
        <w:rPr>
          <w:rStyle w:val="sb8d990e2"/>
        </w:rPr>
        <w:t xml:space="preserve"> detention</w:t>
      </w:r>
      <w:r w:rsidR="00B81ECC">
        <w:rPr>
          <w:rStyle w:val="sb8d990e2"/>
        </w:rPr>
        <w:t>, and that “</w:t>
      </w:r>
      <w:r>
        <w:rPr>
          <w:rStyle w:val="sb8d990e2"/>
        </w:rPr>
        <w:t>these cases as well as the fact that there are dozens of similar applications pending before the Court seems to disclose a systemic problem in relation to the apparently indiscriminate application of detention as a preventive measure in Latvia” (</w:t>
      </w:r>
      <w:r w:rsidR="00027FAB">
        <w:rPr>
          <w:rStyle w:val="sb8d990e2"/>
        </w:rPr>
        <w:t xml:space="preserve">see </w:t>
      </w:r>
      <w:r w:rsidRPr="00027FAB">
        <w:rPr>
          <w:rStyle w:val="s6b621b36"/>
          <w:i/>
        </w:rPr>
        <w:t>Estrikh</w:t>
      </w:r>
      <w:r>
        <w:rPr>
          <w:rStyle w:val="sb8d990e2"/>
        </w:rPr>
        <w:t xml:space="preserve">, cited above, </w:t>
      </w:r>
      <w:r w:rsidR="00F84036">
        <w:rPr>
          <w:rStyle w:val="sb8d990e2"/>
        </w:rPr>
        <w:t>§ </w:t>
      </w:r>
      <w:r>
        <w:rPr>
          <w:rStyle w:val="sb8d990e2"/>
        </w:rPr>
        <w:t>127)</w:t>
      </w:r>
      <w:r w:rsidR="00950570">
        <w:rPr>
          <w:rStyle w:val="sb8d990e2"/>
        </w:rPr>
        <w:t xml:space="preserve"> under the former </w:t>
      </w:r>
      <w:r w:rsidR="005924C4">
        <w:rPr>
          <w:rStyle w:val="sb8d990e2"/>
        </w:rPr>
        <w:t>Code of Criminal Procedure</w:t>
      </w:r>
      <w:r>
        <w:rPr>
          <w:rStyle w:val="sb8d990e2"/>
        </w:rPr>
        <w:t>.</w:t>
      </w:r>
    </w:p>
    <w:p w:rsidR="000E2EA1" w:rsidRDefault="00DD2470" w:rsidP="00943B61">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66</w:t>
      </w:r>
      <w:r>
        <w:rPr>
          <w:rStyle w:val="sb8d990e2"/>
        </w:rPr>
        <w:fldChar w:fldCharType="end"/>
      </w:r>
      <w:r>
        <w:rPr>
          <w:rStyle w:val="sb8d990e2"/>
        </w:rPr>
        <w:t>.  </w:t>
      </w:r>
      <w:r w:rsidR="0000633C">
        <w:rPr>
          <w:rStyle w:val="sb8d990e2"/>
        </w:rPr>
        <w:t>Turning to the present case</w:t>
      </w:r>
      <w:r w:rsidR="00376B86">
        <w:rPr>
          <w:rStyle w:val="sb8d990e2"/>
        </w:rPr>
        <w:t>,</w:t>
      </w:r>
      <w:r w:rsidR="0000633C">
        <w:rPr>
          <w:rStyle w:val="sb8d990e2"/>
        </w:rPr>
        <w:t xml:space="preserve"> the Court observes that </w:t>
      </w:r>
      <w:r w:rsidR="00CF441E">
        <w:rPr>
          <w:rStyle w:val="sb8d990e2"/>
        </w:rPr>
        <w:t xml:space="preserve">despite the fact that the preliminary investigation was </w:t>
      </w:r>
      <w:r w:rsidR="006A5C8D">
        <w:rPr>
          <w:rStyle w:val="sb8d990e2"/>
        </w:rPr>
        <w:t>completed</w:t>
      </w:r>
      <w:r w:rsidR="00CF441E">
        <w:rPr>
          <w:rStyle w:val="sb8d990e2"/>
        </w:rPr>
        <w:t xml:space="preserve"> </w:t>
      </w:r>
      <w:r w:rsidR="00D77313">
        <w:rPr>
          <w:rStyle w:val="sb8d990e2"/>
        </w:rPr>
        <w:t xml:space="preserve">within </w:t>
      </w:r>
      <w:r w:rsidR="006A5C8D">
        <w:rPr>
          <w:rStyle w:val="sb8d990e2"/>
        </w:rPr>
        <w:t xml:space="preserve">less than </w:t>
      </w:r>
      <w:r w:rsidR="00D77313">
        <w:rPr>
          <w:rStyle w:val="sb8d990e2"/>
        </w:rPr>
        <w:t xml:space="preserve">seven months </w:t>
      </w:r>
      <w:r w:rsidR="002A7332">
        <w:rPr>
          <w:rStyle w:val="sb8d990e2"/>
        </w:rPr>
        <w:t xml:space="preserve">of </w:t>
      </w:r>
      <w:r w:rsidR="00D77313">
        <w:rPr>
          <w:rStyle w:val="sb8d990e2"/>
        </w:rPr>
        <w:t>the applicant</w:t>
      </w:r>
      <w:r w:rsidR="00F50242">
        <w:rPr>
          <w:rStyle w:val="sb8d990e2"/>
        </w:rPr>
        <w:t>’</w:t>
      </w:r>
      <w:r w:rsidR="00D77313">
        <w:rPr>
          <w:rStyle w:val="sb8d990e2"/>
        </w:rPr>
        <w:t>s arrest</w:t>
      </w:r>
      <w:r w:rsidR="00CF441E">
        <w:rPr>
          <w:rStyle w:val="sb8d990e2"/>
        </w:rPr>
        <w:t xml:space="preserve">, </w:t>
      </w:r>
      <w:r w:rsidR="0014338E">
        <w:rPr>
          <w:rStyle w:val="sb8d990e2"/>
        </w:rPr>
        <w:t>his</w:t>
      </w:r>
      <w:r w:rsidR="0000633C">
        <w:rPr>
          <w:rStyle w:val="sb8d990e2"/>
        </w:rPr>
        <w:t xml:space="preserve"> criminal case was dormant before the </w:t>
      </w:r>
      <w:r w:rsidR="00FB53C9">
        <w:rPr>
          <w:rStyle w:val="sb8d990e2"/>
        </w:rPr>
        <w:t>Rīga Regional Court</w:t>
      </w:r>
      <w:r w:rsidR="0000633C">
        <w:rPr>
          <w:rStyle w:val="sb8d990e2"/>
        </w:rPr>
        <w:t xml:space="preserve"> from 6 January 2003, when the applicant was committed for trial, to 10 May 2004, when the first </w:t>
      </w:r>
      <w:r w:rsidR="002A7332">
        <w:rPr>
          <w:rStyle w:val="sb8d990e2"/>
        </w:rPr>
        <w:t xml:space="preserve">trial </w:t>
      </w:r>
      <w:r w:rsidR="0000633C">
        <w:rPr>
          <w:rStyle w:val="sb8d990e2"/>
        </w:rPr>
        <w:t xml:space="preserve">hearing took place. </w:t>
      </w:r>
      <w:r w:rsidR="00376B86">
        <w:rPr>
          <w:rStyle w:val="sb8d990e2"/>
        </w:rPr>
        <w:t>No procedural actions were taken during this period</w:t>
      </w:r>
      <w:r w:rsidR="002A7332">
        <w:rPr>
          <w:rStyle w:val="sb8d990e2"/>
        </w:rPr>
        <w:t>.</w:t>
      </w:r>
      <w:r w:rsidR="00376B86">
        <w:rPr>
          <w:rStyle w:val="sb8d990e2"/>
        </w:rPr>
        <w:t xml:space="preserve"> </w:t>
      </w:r>
      <w:r w:rsidR="002A7332">
        <w:rPr>
          <w:rStyle w:val="sb8d990e2"/>
        </w:rPr>
        <w:t xml:space="preserve">It </w:t>
      </w:r>
      <w:r w:rsidR="00376B86">
        <w:rPr>
          <w:rStyle w:val="sb8d990e2"/>
        </w:rPr>
        <w:t>was</w:t>
      </w:r>
      <w:r w:rsidR="002A7332">
        <w:rPr>
          <w:rStyle w:val="sb8d990e2"/>
        </w:rPr>
        <w:t xml:space="preserve"> therefore</w:t>
      </w:r>
      <w:r w:rsidR="00376B86">
        <w:rPr>
          <w:rStyle w:val="sb8d990e2"/>
        </w:rPr>
        <w:t xml:space="preserve"> merely </w:t>
      </w:r>
      <w:r w:rsidR="00FB53C9">
        <w:rPr>
          <w:rStyle w:val="sb8d990e2"/>
        </w:rPr>
        <w:t xml:space="preserve">a </w:t>
      </w:r>
      <w:r w:rsidR="00376B86">
        <w:rPr>
          <w:rStyle w:val="sb8d990e2"/>
        </w:rPr>
        <w:t xml:space="preserve">waiting time </w:t>
      </w:r>
      <w:r w:rsidR="002A7332">
        <w:rPr>
          <w:rStyle w:val="sb8d990e2"/>
        </w:rPr>
        <w:t xml:space="preserve">– albeit one </w:t>
      </w:r>
      <w:r w:rsidR="00376B86">
        <w:rPr>
          <w:rStyle w:val="sb8d990e2"/>
        </w:rPr>
        <w:t>that lasted for one year, four months and three days.</w:t>
      </w:r>
      <w:r w:rsidR="00FB53C9">
        <w:rPr>
          <w:rStyle w:val="sb8d990e2"/>
        </w:rPr>
        <w:t xml:space="preserve"> Only the most compelling reasons could </w:t>
      </w:r>
      <w:r w:rsidR="00FB53C9" w:rsidRPr="00FB53C9">
        <w:rPr>
          <w:rStyle w:val="sb8d990e2"/>
        </w:rPr>
        <w:t xml:space="preserve">justify keeping </w:t>
      </w:r>
      <w:r w:rsidR="00FB53C9">
        <w:rPr>
          <w:rStyle w:val="sb8d990e2"/>
        </w:rPr>
        <w:t>a</w:t>
      </w:r>
      <w:r w:rsidR="00FB53C9" w:rsidRPr="00FB53C9">
        <w:rPr>
          <w:rStyle w:val="sb8d990e2"/>
        </w:rPr>
        <w:t xml:space="preserve"> person in custody for </w:t>
      </w:r>
      <w:r w:rsidR="00FB53C9">
        <w:rPr>
          <w:rStyle w:val="sb8d990e2"/>
        </w:rPr>
        <w:t>such a period of inactivity</w:t>
      </w:r>
      <w:r w:rsidR="0030686E">
        <w:rPr>
          <w:rStyle w:val="sb8d990e2"/>
        </w:rPr>
        <w:t xml:space="preserve"> (see also the above-cited </w:t>
      </w:r>
      <w:r w:rsidR="0030686E">
        <w:rPr>
          <w:rStyle w:val="sb8d990e2"/>
          <w:i/>
        </w:rPr>
        <w:t>Vogins</w:t>
      </w:r>
      <w:r w:rsidR="0030686E">
        <w:rPr>
          <w:rStyle w:val="sb8d990e2"/>
        </w:rPr>
        <w:t xml:space="preserve"> case, §</w:t>
      </w:r>
      <w:r w:rsidR="00C91C3C">
        <w:rPr>
          <w:rStyle w:val="sb8d990e2"/>
        </w:rPr>
        <w:t> </w:t>
      </w:r>
      <w:r w:rsidR="0030686E">
        <w:rPr>
          <w:rStyle w:val="sb8d990e2"/>
        </w:rPr>
        <w:t xml:space="preserve">41). The national courts have not provided such reasons in their decisions and </w:t>
      </w:r>
      <w:r w:rsidR="00FB53C9">
        <w:rPr>
          <w:rStyle w:val="sb8d990e2"/>
        </w:rPr>
        <w:t>the Court cannot detect such reasons in the present case</w:t>
      </w:r>
      <w:r w:rsidR="00FB53C9" w:rsidRPr="00FB53C9">
        <w:rPr>
          <w:rStyle w:val="sb8d990e2"/>
        </w:rPr>
        <w:t>.</w:t>
      </w:r>
    </w:p>
    <w:p w:rsidR="0054007B" w:rsidRPr="00FB53C9" w:rsidRDefault="0054007B" w:rsidP="00943B61">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67</w:t>
      </w:r>
      <w:r>
        <w:rPr>
          <w:rStyle w:val="sb8d990e2"/>
        </w:rPr>
        <w:fldChar w:fldCharType="end"/>
      </w:r>
      <w:r>
        <w:rPr>
          <w:rStyle w:val="sb8d990e2"/>
        </w:rPr>
        <w:t>.  In the light of the above, the Court concludes that there has been a violation of Article 5 § 3 of the Convention.</w:t>
      </w:r>
    </w:p>
    <w:p w:rsidR="00546EA4" w:rsidRPr="00546EA4" w:rsidRDefault="00546EA4" w:rsidP="002E2C22">
      <w:pPr>
        <w:pStyle w:val="JuHIRoman"/>
        <w:outlineLvl w:val="0"/>
        <w:rPr>
          <w:rStyle w:val="JuHIRomanChar"/>
        </w:rPr>
      </w:pPr>
      <w:r w:rsidRPr="00546EA4">
        <w:t>II.  </w:t>
      </w:r>
      <w:r w:rsidRPr="00546EA4">
        <w:rPr>
          <w:rStyle w:val="JuHIRomanChar"/>
        </w:rPr>
        <w:t xml:space="preserve">ALLEGED VIOLATION OF ARTICLE </w:t>
      </w:r>
      <w:r w:rsidR="007D5646">
        <w:rPr>
          <w:rStyle w:val="JuHIRomanChar"/>
        </w:rPr>
        <w:t>8</w:t>
      </w:r>
      <w:r w:rsidRPr="00546EA4">
        <w:rPr>
          <w:rStyle w:val="JuHIRomanChar"/>
        </w:rPr>
        <w:t xml:space="preserve"> OF THE CONVENTION</w:t>
      </w:r>
    </w:p>
    <w:p w:rsidR="007D5646" w:rsidRDefault="00546EA4" w:rsidP="00510BF7">
      <w:pPr>
        <w:pStyle w:val="JuPara"/>
      </w:pPr>
      <w:r w:rsidRPr="00546EA4">
        <w:fldChar w:fldCharType="begin"/>
      </w:r>
      <w:r w:rsidRPr="00546EA4">
        <w:instrText xml:space="preserve"> SEQ level0 \*arabic </w:instrText>
      </w:r>
      <w:r w:rsidRPr="00546EA4">
        <w:fldChar w:fldCharType="separate"/>
      </w:r>
      <w:r w:rsidR="00D814D9">
        <w:rPr>
          <w:noProof/>
        </w:rPr>
        <w:t>68</w:t>
      </w:r>
      <w:r w:rsidRPr="00546EA4">
        <w:fldChar w:fldCharType="end"/>
      </w:r>
      <w:r w:rsidRPr="00546EA4">
        <w:t xml:space="preserve">.  The applicant further complained </w:t>
      </w:r>
      <w:r w:rsidR="007D5646">
        <w:t>that he had not been able to receive long-term visits in prison by his partner and her daughter. The Court will examine this complaint under Article 8 of the Convention, which reads as follows:</w:t>
      </w:r>
    </w:p>
    <w:p w:rsidR="007D5646" w:rsidRDefault="007D5646">
      <w:pPr>
        <w:pStyle w:val="JuQuot"/>
      </w:pPr>
      <w:r>
        <w:t>“1.  Everyone has the right to respect for his private and family life, his home and his correspondence.</w:t>
      </w:r>
    </w:p>
    <w:p w:rsidR="007D5646" w:rsidRDefault="007D5646" w:rsidP="007D5646">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7D5646" w:rsidRDefault="007D5646" w:rsidP="007D5646">
      <w:pPr>
        <w:pStyle w:val="JuHA"/>
        <w:outlineLvl w:val="0"/>
      </w:pPr>
      <w:r w:rsidRPr="00546EA4">
        <w:t>Admissibility</w:t>
      </w:r>
    </w:p>
    <w:p w:rsidR="007531BC" w:rsidRDefault="001C34F4" w:rsidP="001C34F4">
      <w:pPr>
        <w:pStyle w:val="JuPara"/>
      </w:pPr>
      <w:r>
        <w:fldChar w:fldCharType="begin"/>
      </w:r>
      <w:r>
        <w:instrText xml:space="preserve"> SEQ level0 \*arabic </w:instrText>
      </w:r>
      <w:r>
        <w:fldChar w:fldCharType="separate"/>
      </w:r>
      <w:r w:rsidR="00D814D9">
        <w:rPr>
          <w:noProof/>
        </w:rPr>
        <w:t>69</w:t>
      </w:r>
      <w:r>
        <w:fldChar w:fldCharType="end"/>
      </w:r>
      <w:r>
        <w:t>.  </w:t>
      </w:r>
      <w:r w:rsidR="00805D57">
        <w:t xml:space="preserve">The Government contested </w:t>
      </w:r>
      <w:r w:rsidR="003C3745">
        <w:t xml:space="preserve">the </w:t>
      </w:r>
      <w:r w:rsidR="00805D57">
        <w:t>admissibility of this complaint on two grounds.</w:t>
      </w:r>
      <w:r w:rsidR="0073753A">
        <w:t xml:space="preserve"> Firstly, they argued that the applicant had failed to exhaust domestic remedies</w:t>
      </w:r>
      <w:r w:rsidR="003C3745">
        <w:t>,</w:t>
      </w:r>
      <w:r w:rsidR="0073753A">
        <w:t xml:space="preserve"> </w:t>
      </w:r>
      <w:r w:rsidR="0088787E">
        <w:t xml:space="preserve">in that he </w:t>
      </w:r>
      <w:r w:rsidR="003C3745">
        <w:t xml:space="preserve">had </w:t>
      </w:r>
      <w:r w:rsidR="0088787E">
        <w:t>not lodge</w:t>
      </w:r>
      <w:r w:rsidR="003C3745">
        <w:t>d</w:t>
      </w:r>
      <w:r w:rsidR="0088787E">
        <w:t xml:space="preserve"> </w:t>
      </w:r>
      <w:r w:rsidR="0073753A">
        <w:t xml:space="preserve">complaints with the </w:t>
      </w:r>
      <w:r w:rsidR="0088522B">
        <w:t>administrative courts</w:t>
      </w:r>
      <w:r w:rsidR="00D46687">
        <w:t xml:space="preserve">, he had not appealed against the 29 September 2011 decision, </w:t>
      </w:r>
      <w:r w:rsidR="0088522B">
        <w:t>and</w:t>
      </w:r>
      <w:r w:rsidR="00F050DB">
        <w:t xml:space="preserve"> </w:t>
      </w:r>
      <w:r w:rsidR="00D46687">
        <w:t xml:space="preserve">he </w:t>
      </w:r>
      <w:r w:rsidR="003C3745">
        <w:t xml:space="preserve">had </w:t>
      </w:r>
      <w:r w:rsidR="00D46687">
        <w:t>not complain</w:t>
      </w:r>
      <w:r w:rsidR="003C3745">
        <w:t>ed</w:t>
      </w:r>
      <w:r w:rsidR="00D46687">
        <w:t xml:space="preserve"> to </w:t>
      </w:r>
      <w:r w:rsidR="0073753A">
        <w:t xml:space="preserve">the </w:t>
      </w:r>
      <w:smartTag w:uri="urn:schemas-microsoft-com:office:smarttags" w:element="Street">
        <w:smartTag w:uri="urn:schemas-microsoft-com:office:smarttags" w:element="address">
          <w:r w:rsidR="0073753A">
            <w:t>Constitutional Court</w:t>
          </w:r>
        </w:smartTag>
      </w:smartTag>
      <w:r w:rsidR="0073753A">
        <w:t>.</w:t>
      </w:r>
      <w:r w:rsidR="0088787E">
        <w:t xml:space="preserve"> </w:t>
      </w:r>
      <w:r w:rsidR="002868E4">
        <w:t xml:space="preserve">In their submission, the administrative courts </w:t>
      </w:r>
      <w:r w:rsidR="006A5C8D">
        <w:t xml:space="preserve">provided </w:t>
      </w:r>
      <w:r w:rsidR="002868E4">
        <w:t>an effective and easily accessible remedy for the applicant</w:t>
      </w:r>
      <w:r w:rsidR="00F50242">
        <w:t>’</w:t>
      </w:r>
      <w:r w:rsidR="002868E4">
        <w:t>s complaints</w:t>
      </w:r>
      <w:r w:rsidR="00145B9E">
        <w:t xml:space="preserve">, capable of rendering judgments forbidding </w:t>
      </w:r>
      <w:r w:rsidR="003C3745">
        <w:t xml:space="preserve">a </w:t>
      </w:r>
      <w:r w:rsidR="00145B9E">
        <w:t>public authority to carry out a particular action (</w:t>
      </w:r>
      <w:r w:rsidR="00145B9E">
        <w:rPr>
          <w:i/>
        </w:rPr>
        <w:t>faktisk</w:t>
      </w:r>
      <w:r w:rsidR="00145B9E">
        <w:rPr>
          <w:i/>
          <w:lang w:val="lv-LV"/>
        </w:rPr>
        <w:t>ā rīcība</w:t>
      </w:r>
      <w:r w:rsidR="00145B9E">
        <w:rPr>
          <w:lang w:val="lv-LV"/>
        </w:rPr>
        <w:t xml:space="preserve">) </w:t>
      </w:r>
      <w:r w:rsidR="00145B9E" w:rsidRPr="00145B9E">
        <w:t>and awarding compensation</w:t>
      </w:r>
      <w:r w:rsidR="00145B9E">
        <w:rPr>
          <w:lang w:val="lv-LV"/>
        </w:rPr>
        <w:t>.</w:t>
      </w:r>
      <w:r w:rsidR="002868E4">
        <w:t xml:space="preserve"> </w:t>
      </w:r>
      <w:r w:rsidR="00E44F71">
        <w:t>T</w:t>
      </w:r>
      <w:r w:rsidR="002868E4">
        <w:t xml:space="preserve">hey </w:t>
      </w:r>
      <w:r w:rsidR="009B6EDF">
        <w:t>submit</w:t>
      </w:r>
      <w:r w:rsidR="00E44F71">
        <w:t>ted</w:t>
      </w:r>
      <w:r w:rsidR="002868E4">
        <w:t xml:space="preserve"> </w:t>
      </w:r>
      <w:r w:rsidR="00E44F71">
        <w:t xml:space="preserve">two examples of domestic case-law whereby complaints concerning long-term visits had been examined </w:t>
      </w:r>
      <w:r w:rsidR="004C05B1">
        <w:t xml:space="preserve">on </w:t>
      </w:r>
      <w:r w:rsidR="003C3745">
        <w:t xml:space="preserve">the </w:t>
      </w:r>
      <w:r w:rsidR="004C05B1">
        <w:t xml:space="preserve">merits </w:t>
      </w:r>
      <w:r w:rsidR="00086F01">
        <w:t xml:space="preserve">but </w:t>
      </w:r>
      <w:r w:rsidR="004C05B1">
        <w:t xml:space="preserve">had been </w:t>
      </w:r>
      <w:r w:rsidR="00E44F71">
        <w:t>rejected (case no. </w:t>
      </w:r>
      <w:r w:rsidR="00E44F71" w:rsidRPr="00E44F71">
        <w:t>A420506911</w:t>
      </w:r>
      <w:r w:rsidR="00E44F71">
        <w:t>, 28 December 2011</w:t>
      </w:r>
      <w:r w:rsidR="0054498E">
        <w:t>;</w:t>
      </w:r>
      <w:r w:rsidR="00274998">
        <w:t xml:space="preserve"> case no. A42499106, 22 February 2008</w:t>
      </w:r>
      <w:r w:rsidR="00E44F71">
        <w:t>)</w:t>
      </w:r>
      <w:r w:rsidR="002868E4">
        <w:t xml:space="preserve">. </w:t>
      </w:r>
      <w:r w:rsidR="0088787E">
        <w:t xml:space="preserve">Secondly, the Government </w:t>
      </w:r>
      <w:r w:rsidR="006A5C8D">
        <w:t xml:space="preserve">considered </w:t>
      </w:r>
      <w:r w:rsidR="0088787E">
        <w:t>that the Court could only review the applicant</w:t>
      </w:r>
      <w:r w:rsidR="00F50242">
        <w:t>’</w:t>
      </w:r>
      <w:r w:rsidR="0088787E">
        <w:t xml:space="preserve">s allegations </w:t>
      </w:r>
      <w:r w:rsidR="002868E4">
        <w:t>which</w:t>
      </w:r>
      <w:r w:rsidR="0088787E">
        <w:t xml:space="preserve"> </w:t>
      </w:r>
      <w:r w:rsidR="007531BC">
        <w:t xml:space="preserve">had been </w:t>
      </w:r>
      <w:r w:rsidR="00510DAF">
        <w:t xml:space="preserve">reviewed </w:t>
      </w:r>
      <w:r w:rsidR="007531BC">
        <w:t xml:space="preserve">by the administrative courts in response to </w:t>
      </w:r>
      <w:r w:rsidR="00510DAF">
        <w:t xml:space="preserve">his </w:t>
      </w:r>
      <w:r w:rsidR="007531BC">
        <w:t>complaint</w:t>
      </w:r>
      <w:r w:rsidR="00B13DE1">
        <w:t xml:space="preserve"> about a particular visit</w:t>
      </w:r>
      <w:r w:rsidR="007531BC">
        <w:t xml:space="preserve">. </w:t>
      </w:r>
      <w:r w:rsidR="00510DAF">
        <w:t xml:space="preserve">They </w:t>
      </w:r>
      <w:r w:rsidR="006A5C8D">
        <w:t xml:space="preserve">highlighted </w:t>
      </w:r>
      <w:r w:rsidR="00510DAF">
        <w:t>that each request for a long-term visit was subject to</w:t>
      </w:r>
      <w:r w:rsidR="006A5C8D">
        <w:t xml:space="preserve"> obtaining</w:t>
      </w:r>
      <w:r w:rsidR="00510DAF">
        <w:t xml:space="preserve"> permission </w:t>
      </w:r>
      <w:r w:rsidR="006A5C8D">
        <w:t xml:space="preserve">from </w:t>
      </w:r>
      <w:r w:rsidR="00510DAF">
        <w:t>the administration of the relevant prison</w:t>
      </w:r>
      <w:r w:rsidR="006A5C8D">
        <w:t>.</w:t>
      </w:r>
      <w:r w:rsidR="00510DAF">
        <w:t xml:space="preserve"> </w:t>
      </w:r>
      <w:r w:rsidR="006A5C8D">
        <w:t xml:space="preserve">If that permission was not </w:t>
      </w:r>
      <w:r w:rsidR="000F0560">
        <w:t>granted</w:t>
      </w:r>
      <w:r w:rsidR="00510DAF">
        <w:t xml:space="preserve">, </w:t>
      </w:r>
      <w:r w:rsidR="006A5C8D">
        <w:t xml:space="preserve">the </w:t>
      </w:r>
      <w:r w:rsidR="00510DAF">
        <w:t>decision</w:t>
      </w:r>
      <w:r w:rsidR="006A5C8D">
        <w:t xml:space="preserve"> could be</w:t>
      </w:r>
      <w:r w:rsidR="00510DAF">
        <w:t xml:space="preserve"> </w:t>
      </w:r>
      <w:r w:rsidR="000F0560">
        <w:t xml:space="preserve">made </w:t>
      </w:r>
      <w:r w:rsidR="00510DAF">
        <w:t xml:space="preserve">by the Prisons Administration, </w:t>
      </w:r>
      <w:r w:rsidR="006A5C8D">
        <w:t>whose</w:t>
      </w:r>
      <w:r w:rsidR="00510DAF">
        <w:t xml:space="preserve"> decision </w:t>
      </w:r>
      <w:r w:rsidR="000A04B1">
        <w:t xml:space="preserve">could </w:t>
      </w:r>
      <w:r w:rsidR="006A5C8D">
        <w:t xml:space="preserve">itself be subject to </w:t>
      </w:r>
      <w:r w:rsidR="000A04B1">
        <w:t>review</w:t>
      </w:r>
      <w:r w:rsidR="006A5C8D">
        <w:t xml:space="preserve"> </w:t>
      </w:r>
      <w:r w:rsidR="000A04B1">
        <w:t xml:space="preserve">by </w:t>
      </w:r>
      <w:r w:rsidR="00510DAF">
        <w:t>the administrative courts.</w:t>
      </w:r>
    </w:p>
    <w:p w:rsidR="0088787E" w:rsidRDefault="0088787E" w:rsidP="001C34F4">
      <w:pPr>
        <w:pStyle w:val="JuPara"/>
      </w:pPr>
      <w:r>
        <w:fldChar w:fldCharType="begin"/>
      </w:r>
      <w:r>
        <w:instrText xml:space="preserve"> SEQ level0 \*arabic </w:instrText>
      </w:r>
      <w:r>
        <w:fldChar w:fldCharType="separate"/>
      </w:r>
      <w:r w:rsidR="00D814D9">
        <w:rPr>
          <w:noProof/>
        </w:rPr>
        <w:t>70</w:t>
      </w:r>
      <w:r>
        <w:fldChar w:fldCharType="end"/>
      </w:r>
      <w:r>
        <w:t>.  </w:t>
      </w:r>
      <w:r w:rsidR="007531BC">
        <w:t>The applicant offered no comment.</w:t>
      </w:r>
    </w:p>
    <w:p w:rsidR="000F6E91" w:rsidRDefault="007531BC" w:rsidP="001C34F4">
      <w:pPr>
        <w:pStyle w:val="JuPara"/>
      </w:pPr>
      <w:r>
        <w:fldChar w:fldCharType="begin"/>
      </w:r>
      <w:r>
        <w:instrText xml:space="preserve"> SEQ level0 \*arabic </w:instrText>
      </w:r>
      <w:r>
        <w:fldChar w:fldCharType="separate"/>
      </w:r>
      <w:r w:rsidR="00D814D9">
        <w:rPr>
          <w:noProof/>
        </w:rPr>
        <w:t>71</w:t>
      </w:r>
      <w:r>
        <w:fldChar w:fldCharType="end"/>
      </w:r>
      <w:r>
        <w:t>.  </w:t>
      </w:r>
      <w:r w:rsidR="00AE4503">
        <w:t>The Court</w:t>
      </w:r>
      <w:r w:rsidR="00EB3605">
        <w:t xml:space="preserve"> notes at the outset that it cannot subscribe to the Government</w:t>
      </w:r>
      <w:r w:rsidR="00F50242">
        <w:t>’</w:t>
      </w:r>
      <w:r w:rsidR="00EB3605">
        <w:t xml:space="preserve">s view that </w:t>
      </w:r>
      <w:r w:rsidR="00872602">
        <w:t xml:space="preserve">the present case relates to a series of </w:t>
      </w:r>
      <w:r w:rsidR="003C3745">
        <w:t xml:space="preserve">discrete </w:t>
      </w:r>
      <w:r w:rsidR="00872602">
        <w:t xml:space="preserve">acts by the administration of the prison that </w:t>
      </w:r>
      <w:r w:rsidR="005B540F">
        <w:t>ought to have been</w:t>
      </w:r>
      <w:r w:rsidR="00A9765D">
        <w:t xml:space="preserve"> </w:t>
      </w:r>
      <w:r w:rsidR="00872602">
        <w:t>review</w:t>
      </w:r>
      <w:r w:rsidR="00A9765D">
        <w:t>ed</w:t>
      </w:r>
      <w:r w:rsidR="00872602">
        <w:t xml:space="preserve"> by the administrative courts on </w:t>
      </w:r>
      <w:r w:rsidR="00366A98">
        <w:t>separate</w:t>
      </w:r>
      <w:r w:rsidR="00872602">
        <w:t xml:space="preserve"> occasion</w:t>
      </w:r>
      <w:r w:rsidR="00366A98">
        <w:t>s</w:t>
      </w:r>
      <w:r w:rsidR="00872602">
        <w:t xml:space="preserve">. The applicant </w:t>
      </w:r>
      <w:r w:rsidR="003C3745">
        <w:t xml:space="preserve">did </w:t>
      </w:r>
      <w:r w:rsidR="00872602">
        <w:t xml:space="preserve">not complain about one or several isolated </w:t>
      </w:r>
      <w:r w:rsidR="009E2B8D">
        <w:t>incidents</w:t>
      </w:r>
      <w:r w:rsidR="00872602">
        <w:t xml:space="preserve"> where his right to receive long-term visits, which </w:t>
      </w:r>
      <w:r w:rsidR="005B540F">
        <w:t>was established</w:t>
      </w:r>
      <w:r w:rsidR="00872602">
        <w:t xml:space="preserve"> by the applicable provision of the Sentence Enforcement Code (see </w:t>
      </w:r>
      <w:r w:rsidR="009E2B8D">
        <w:t xml:space="preserve">paragraph </w:t>
      </w:r>
      <w:r w:rsidR="009E2B8D">
        <w:fldChar w:fldCharType="begin"/>
      </w:r>
      <w:r w:rsidR="009E2B8D">
        <w:instrText xml:space="preserve"> REF domlaw_SIK \h </w:instrText>
      </w:r>
      <w:r w:rsidR="009E2B8D">
        <w:fldChar w:fldCharType="separate"/>
      </w:r>
      <w:r w:rsidR="00D814D9">
        <w:rPr>
          <w:noProof/>
        </w:rPr>
        <w:t>46</w:t>
      </w:r>
      <w:r w:rsidR="009E2B8D">
        <w:fldChar w:fldCharType="end"/>
      </w:r>
      <w:r w:rsidR="009E2B8D">
        <w:t xml:space="preserve"> above), had been </w:t>
      </w:r>
      <w:r w:rsidR="003C3745">
        <w:t>infringed</w:t>
      </w:r>
      <w:r w:rsidR="000F6E91">
        <w:t>.</w:t>
      </w:r>
      <w:r w:rsidR="005A187F">
        <w:t xml:space="preserve"> </w:t>
      </w:r>
      <w:r w:rsidR="00366A98">
        <w:t>It transpires from the applicant</w:t>
      </w:r>
      <w:r w:rsidR="00F50242">
        <w:t>’</w:t>
      </w:r>
      <w:r w:rsidR="00366A98">
        <w:t xml:space="preserve">s </w:t>
      </w:r>
      <w:r w:rsidR="003C3745">
        <w:t xml:space="preserve">submissions </w:t>
      </w:r>
      <w:r w:rsidR="000F6E91">
        <w:t xml:space="preserve">that he </w:t>
      </w:r>
      <w:r w:rsidR="003C3745">
        <w:t xml:space="preserve">was </w:t>
      </w:r>
      <w:r w:rsidR="000F6E91">
        <w:t xml:space="preserve">not </w:t>
      </w:r>
      <w:r w:rsidR="003C3745">
        <w:t xml:space="preserve">allowed to </w:t>
      </w:r>
      <w:r w:rsidR="000F6E91">
        <w:t>receive</w:t>
      </w:r>
      <w:r w:rsidR="003C3745">
        <w:t xml:space="preserve"> any</w:t>
      </w:r>
      <w:r w:rsidR="000F6E91">
        <w:t xml:space="preserve"> </w:t>
      </w:r>
      <w:r w:rsidR="00B13DE1">
        <w:t>long-term</w:t>
      </w:r>
      <w:r w:rsidR="005A187F">
        <w:t xml:space="preserve"> </w:t>
      </w:r>
      <w:r w:rsidR="000F6E91">
        <w:t>visits by his unmarried partner, M.B., and her daughter</w:t>
      </w:r>
      <w:r w:rsidR="005A187F">
        <w:t xml:space="preserve">, because of the mere fact </w:t>
      </w:r>
      <w:r w:rsidR="00280AB6">
        <w:t xml:space="preserve">that </w:t>
      </w:r>
      <w:r w:rsidR="005A187F">
        <w:t>their relationship had not been registered</w:t>
      </w:r>
      <w:r w:rsidR="00A9765D">
        <w:t xml:space="preserve"> and because of </w:t>
      </w:r>
      <w:r w:rsidR="003C3745">
        <w:t>what he submitted was a</w:t>
      </w:r>
      <w:r w:rsidR="00086F01">
        <w:t xml:space="preserve"> </w:t>
      </w:r>
      <w:r w:rsidR="00A9765D">
        <w:t>formalistic approach adopted by the domestic authorities</w:t>
      </w:r>
      <w:r w:rsidR="005A187F">
        <w:t>.</w:t>
      </w:r>
      <w:r w:rsidR="00B13DE1">
        <w:t xml:space="preserve"> Moreover, the Court notes that the applicant, in his application lodged with the administrative courts, clearly noted his dissatisfaction with the fact that he had never received long-term visits by his partner and her daughter. The Government</w:t>
      </w:r>
      <w:r w:rsidR="00F50242">
        <w:t>’</w:t>
      </w:r>
      <w:r w:rsidR="00B13DE1">
        <w:t xml:space="preserve">s submission that these </w:t>
      </w:r>
      <w:r w:rsidR="00DA1A91">
        <w:t xml:space="preserve">administrative </w:t>
      </w:r>
      <w:r w:rsidR="00B13DE1">
        <w:t xml:space="preserve">proceedings were solely related to one refused visit is </w:t>
      </w:r>
      <w:r w:rsidR="00057621">
        <w:t xml:space="preserve">therefore </w:t>
      </w:r>
      <w:r w:rsidR="00B13DE1">
        <w:t>misconceived.</w:t>
      </w:r>
      <w:r w:rsidR="00DA1A91">
        <w:t xml:space="preserve"> The Government</w:t>
      </w:r>
      <w:r w:rsidR="00F50242">
        <w:t>’</w:t>
      </w:r>
      <w:r w:rsidR="00DA1A91">
        <w:t>s preliminary objection in this regard is therefore rejected.</w:t>
      </w:r>
    </w:p>
    <w:p w:rsidR="000E2EA1" w:rsidRDefault="00C31D4B" w:rsidP="00C31D4B">
      <w:pPr>
        <w:pStyle w:val="JuPara"/>
        <w:rPr>
          <w:color w:val="000000"/>
          <w:szCs w:val="24"/>
          <w:lang w:eastAsia="en-GB"/>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72</w:t>
      </w:r>
      <w:r>
        <w:rPr>
          <w:rStyle w:val="sb8d990e2"/>
        </w:rPr>
        <w:fldChar w:fldCharType="end"/>
      </w:r>
      <w:r>
        <w:rPr>
          <w:rStyle w:val="sb8d990e2"/>
        </w:rPr>
        <w:t>.  As concerns recourse to the administrative courts, the Government did not deny that the applicant had indeed lodged a claim</w:t>
      </w:r>
      <w:r w:rsidR="007F28E3">
        <w:rPr>
          <w:rStyle w:val="sb8d990e2"/>
        </w:rPr>
        <w:t>,</w:t>
      </w:r>
      <w:r>
        <w:rPr>
          <w:rStyle w:val="sb8d990e2"/>
        </w:rPr>
        <w:t xml:space="preserve"> but contended that he should have </w:t>
      </w:r>
      <w:r w:rsidR="00D761C5">
        <w:rPr>
          <w:rStyle w:val="sb8d990e2"/>
        </w:rPr>
        <w:t xml:space="preserve">pursued it </w:t>
      </w:r>
      <w:r w:rsidR="00C66344">
        <w:rPr>
          <w:rStyle w:val="sb8d990e2"/>
        </w:rPr>
        <w:t xml:space="preserve">further </w:t>
      </w:r>
      <w:r>
        <w:rPr>
          <w:rStyle w:val="sb8d990e2"/>
        </w:rPr>
        <w:t xml:space="preserve">before the </w:t>
      </w:r>
      <w:smartTag w:uri="urn:schemas-microsoft-com:office:smarttags" w:element="Street">
        <w:smartTag w:uri="urn:schemas-microsoft-com:office:smarttags" w:element="address">
          <w:r>
            <w:rPr>
              <w:rStyle w:val="sb8d990e2"/>
            </w:rPr>
            <w:t>Administrative Regional Court</w:t>
          </w:r>
        </w:smartTag>
      </w:smartTag>
      <w:r>
        <w:rPr>
          <w:rStyle w:val="sb8d990e2"/>
        </w:rPr>
        <w:t>. The Court observes in this regard that it took nearly two years for the first-instance court, that is, for the Administrative District Court, to accept the applicant</w:t>
      </w:r>
      <w:r w:rsidR="00F50242">
        <w:rPr>
          <w:rStyle w:val="sb8d990e2"/>
        </w:rPr>
        <w:t>’</w:t>
      </w:r>
      <w:r>
        <w:rPr>
          <w:rStyle w:val="sb8d990e2"/>
        </w:rPr>
        <w:t xml:space="preserve">s claim and to examine it on </w:t>
      </w:r>
      <w:r w:rsidR="00DD28EA">
        <w:rPr>
          <w:rStyle w:val="sb8d990e2"/>
        </w:rPr>
        <w:t xml:space="preserve">the </w:t>
      </w:r>
      <w:r>
        <w:rPr>
          <w:rStyle w:val="sb8d990e2"/>
        </w:rPr>
        <w:t xml:space="preserve">merits. Furthermore, </w:t>
      </w:r>
      <w:r w:rsidR="00104B80">
        <w:rPr>
          <w:rStyle w:val="sb8d990e2"/>
        </w:rPr>
        <w:t xml:space="preserve">it took the district court </w:t>
      </w:r>
      <w:r w:rsidR="005B540F">
        <w:rPr>
          <w:rStyle w:val="sb8d990e2"/>
        </w:rPr>
        <w:t>a further</w:t>
      </w:r>
      <w:r w:rsidR="00104B80">
        <w:rPr>
          <w:rStyle w:val="sb8d990e2"/>
        </w:rPr>
        <w:t xml:space="preserve"> year to deal with a</w:t>
      </w:r>
      <w:r w:rsidR="00504F42">
        <w:rPr>
          <w:rStyle w:val="sb8d990e2"/>
        </w:rPr>
        <w:t xml:space="preserve"> procedural </w:t>
      </w:r>
      <w:r w:rsidR="00104B80">
        <w:rPr>
          <w:rStyle w:val="sb8d990e2"/>
        </w:rPr>
        <w:t xml:space="preserve">issue </w:t>
      </w:r>
      <w:r w:rsidR="004E28A7">
        <w:rPr>
          <w:rStyle w:val="sb8d990e2"/>
        </w:rPr>
        <w:t>(</w:t>
      </w:r>
      <w:r w:rsidR="00104B80">
        <w:rPr>
          <w:rStyle w:val="sb8d990e2"/>
        </w:rPr>
        <w:t xml:space="preserve">payment of </w:t>
      </w:r>
      <w:r w:rsidR="007F28E3">
        <w:rPr>
          <w:rStyle w:val="sb8d990e2"/>
        </w:rPr>
        <w:t>court fees</w:t>
      </w:r>
      <w:r w:rsidR="00104B80">
        <w:rPr>
          <w:rStyle w:val="sb8d990e2"/>
        </w:rPr>
        <w:t xml:space="preserve"> for </w:t>
      </w:r>
      <w:r w:rsidR="007F28E3">
        <w:rPr>
          <w:rStyle w:val="sb8d990e2"/>
        </w:rPr>
        <w:t xml:space="preserve">lodging an </w:t>
      </w:r>
      <w:r w:rsidR="00104B80">
        <w:rPr>
          <w:rStyle w:val="sb8d990e2"/>
        </w:rPr>
        <w:t>appeal</w:t>
      </w:r>
      <w:r w:rsidR="004E28A7">
        <w:rPr>
          <w:rStyle w:val="sb8d990e2"/>
        </w:rPr>
        <w:t>)</w:t>
      </w:r>
      <w:r w:rsidR="00104B80">
        <w:rPr>
          <w:rStyle w:val="sb8d990e2"/>
        </w:rPr>
        <w:t xml:space="preserve">. Eventually, on </w:t>
      </w:r>
      <w:r w:rsidR="00104B80">
        <w:rPr>
          <w:color w:val="000000"/>
          <w:szCs w:val="24"/>
          <w:lang w:eastAsia="en-GB"/>
        </w:rPr>
        <w:t xml:space="preserve">23 August 2011 it was decided to reduce the </w:t>
      </w:r>
      <w:r w:rsidR="007F28E3">
        <w:rPr>
          <w:color w:val="000000"/>
          <w:szCs w:val="24"/>
          <w:lang w:eastAsia="en-GB"/>
        </w:rPr>
        <w:t>court fees</w:t>
      </w:r>
      <w:r w:rsidR="00104B80">
        <w:rPr>
          <w:color w:val="000000"/>
          <w:szCs w:val="24"/>
          <w:lang w:eastAsia="en-GB"/>
        </w:rPr>
        <w:t xml:space="preserve"> to be paid by the applicant </w:t>
      </w:r>
      <w:r w:rsidR="007F28E3">
        <w:rPr>
          <w:color w:val="000000"/>
          <w:szCs w:val="24"/>
          <w:lang w:eastAsia="en-GB"/>
        </w:rPr>
        <w:t xml:space="preserve">in respect of his </w:t>
      </w:r>
      <w:r w:rsidR="00104B80">
        <w:rPr>
          <w:color w:val="000000"/>
          <w:szCs w:val="24"/>
          <w:lang w:eastAsia="en-GB"/>
        </w:rPr>
        <w:t xml:space="preserve">appeal, but in the meantime the applicant had been transferred to serve his prison sentence in </w:t>
      </w:r>
      <w:smartTag w:uri="urn:schemas-microsoft-com:office:smarttags" w:element="place">
        <w:smartTag w:uri="urn:schemas-microsoft-com:office:smarttags" w:element="country-region">
          <w:r w:rsidR="00104B80">
            <w:rPr>
              <w:color w:val="000000"/>
              <w:szCs w:val="24"/>
              <w:lang w:eastAsia="en-GB"/>
            </w:rPr>
            <w:t>Russia</w:t>
          </w:r>
        </w:smartTag>
      </w:smartTag>
      <w:r w:rsidR="00104B80">
        <w:rPr>
          <w:color w:val="000000"/>
          <w:szCs w:val="24"/>
          <w:lang w:eastAsia="en-GB"/>
        </w:rPr>
        <w:t>.</w:t>
      </w:r>
      <w:r w:rsidR="00492ADB">
        <w:rPr>
          <w:color w:val="000000"/>
          <w:szCs w:val="24"/>
          <w:lang w:eastAsia="en-GB"/>
        </w:rPr>
        <w:t xml:space="preserve"> As the applicant did not pay the aforementioned </w:t>
      </w:r>
      <w:r w:rsidR="007F28E3">
        <w:rPr>
          <w:color w:val="000000"/>
          <w:szCs w:val="24"/>
          <w:lang w:eastAsia="en-GB"/>
        </w:rPr>
        <w:t xml:space="preserve">fees </w:t>
      </w:r>
      <w:r w:rsidR="00492ADB">
        <w:rPr>
          <w:color w:val="000000"/>
          <w:szCs w:val="24"/>
          <w:lang w:eastAsia="en-GB"/>
        </w:rPr>
        <w:t xml:space="preserve">and did not inform the court about </w:t>
      </w:r>
      <w:r w:rsidR="007F28E3">
        <w:rPr>
          <w:color w:val="000000"/>
          <w:szCs w:val="24"/>
          <w:lang w:eastAsia="en-GB"/>
        </w:rPr>
        <w:t xml:space="preserve">his </w:t>
      </w:r>
      <w:r w:rsidR="00492ADB">
        <w:rPr>
          <w:color w:val="000000"/>
          <w:szCs w:val="24"/>
          <w:lang w:eastAsia="en-GB"/>
        </w:rPr>
        <w:t>change of address, on 29</w:t>
      </w:r>
      <w:r w:rsidR="00504F42">
        <w:rPr>
          <w:color w:val="000000"/>
          <w:szCs w:val="24"/>
          <w:lang w:eastAsia="en-GB"/>
        </w:rPr>
        <w:t> </w:t>
      </w:r>
      <w:r w:rsidR="00492ADB">
        <w:rPr>
          <w:color w:val="000000"/>
          <w:szCs w:val="24"/>
          <w:lang w:eastAsia="en-GB"/>
        </w:rPr>
        <w:t>September 2011</w:t>
      </w:r>
      <w:r w:rsidR="007F28E3">
        <w:rPr>
          <w:color w:val="000000"/>
          <w:szCs w:val="24"/>
          <w:lang w:eastAsia="en-GB"/>
        </w:rPr>
        <w:t xml:space="preserve"> the court determined that </w:t>
      </w:r>
      <w:r w:rsidR="00492ADB">
        <w:rPr>
          <w:color w:val="000000"/>
          <w:szCs w:val="24"/>
          <w:lang w:eastAsia="en-GB"/>
        </w:rPr>
        <w:t xml:space="preserve">his appeal </w:t>
      </w:r>
      <w:r w:rsidR="007F28E3">
        <w:rPr>
          <w:color w:val="000000"/>
          <w:szCs w:val="24"/>
          <w:lang w:eastAsia="en-GB"/>
        </w:rPr>
        <w:t xml:space="preserve">would be </w:t>
      </w:r>
      <w:r w:rsidR="00492ADB">
        <w:rPr>
          <w:color w:val="000000"/>
          <w:szCs w:val="24"/>
          <w:lang w:eastAsia="en-GB"/>
        </w:rPr>
        <w:t>considered as not submitted</w:t>
      </w:r>
      <w:r w:rsidR="006E20B1">
        <w:rPr>
          <w:color w:val="000000"/>
          <w:szCs w:val="24"/>
          <w:lang w:eastAsia="en-GB"/>
        </w:rPr>
        <w:t xml:space="preserve">. The applicant did not complain to the </w:t>
      </w:r>
      <w:smartTag w:uri="urn:schemas-microsoft-com:office:smarttags" w:element="Street">
        <w:smartTag w:uri="urn:schemas-microsoft-com:office:smarttags" w:element="address">
          <w:r w:rsidR="006E20B1">
            <w:rPr>
              <w:color w:val="000000"/>
              <w:szCs w:val="24"/>
              <w:lang w:eastAsia="en-GB"/>
            </w:rPr>
            <w:t>Administrative Regional Court</w:t>
          </w:r>
        </w:smartTag>
      </w:smartTag>
      <w:r w:rsidR="006E20B1">
        <w:rPr>
          <w:color w:val="000000"/>
          <w:szCs w:val="24"/>
          <w:lang w:eastAsia="en-GB"/>
        </w:rPr>
        <w:t xml:space="preserve"> about this decision.</w:t>
      </w:r>
    </w:p>
    <w:p w:rsidR="000E2EA1" w:rsidRDefault="00886185" w:rsidP="000D01C8">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73</w:t>
      </w:r>
      <w:r>
        <w:rPr>
          <w:rStyle w:val="sb8d990e2"/>
        </w:rPr>
        <w:fldChar w:fldCharType="end"/>
      </w:r>
      <w:r>
        <w:rPr>
          <w:rStyle w:val="sb8d990e2"/>
        </w:rPr>
        <w:t>.  </w:t>
      </w:r>
      <w:r w:rsidR="000D01C8">
        <w:rPr>
          <w:rStyle w:val="sb8d990e2"/>
        </w:rPr>
        <w:t xml:space="preserve">The Court refers to the established principles of the </w:t>
      </w:r>
      <w:r w:rsidR="001C12E0">
        <w:rPr>
          <w:rStyle w:val="sb8d990e2"/>
        </w:rPr>
        <w:t xml:space="preserve">distribution of the </w:t>
      </w:r>
      <w:r w:rsidR="000D01C8">
        <w:rPr>
          <w:rStyle w:val="sb8d990e2"/>
        </w:rPr>
        <w:t xml:space="preserve">burden of proof in the area of exhaustion of domestic remedies (see, among many others, </w:t>
      </w:r>
      <w:r w:rsidR="000D01C8" w:rsidRPr="000D01C8">
        <w:rPr>
          <w:i/>
          <w:szCs w:val="24"/>
          <w:lang w:eastAsia="en-US"/>
        </w:rPr>
        <w:t>Estrikh</w:t>
      </w:r>
      <w:r w:rsidR="00002455">
        <w:rPr>
          <w:szCs w:val="24"/>
          <w:lang w:eastAsia="en-US"/>
        </w:rPr>
        <w:t>, cited above</w:t>
      </w:r>
      <w:r w:rsidR="000D01C8" w:rsidRPr="000D01C8">
        <w:rPr>
          <w:szCs w:val="24"/>
          <w:lang w:eastAsia="en-US"/>
        </w:rPr>
        <w:t xml:space="preserve">, § </w:t>
      </w:r>
      <w:r w:rsidR="000D01C8">
        <w:rPr>
          <w:szCs w:val="24"/>
          <w:lang w:eastAsia="en-US"/>
        </w:rPr>
        <w:t xml:space="preserve">94; </w:t>
      </w:r>
      <w:r w:rsidR="000D01C8" w:rsidRPr="000D01C8">
        <w:rPr>
          <w:i/>
          <w:lang w:eastAsia="en-US"/>
        </w:rPr>
        <w:t xml:space="preserve">Bazjaks v. </w:t>
      </w:r>
      <w:smartTag w:uri="urn:schemas-microsoft-com:office:smarttags" w:element="country-region">
        <w:r w:rsidR="000D01C8" w:rsidRPr="000D01C8">
          <w:rPr>
            <w:i/>
            <w:lang w:eastAsia="en-US"/>
          </w:rPr>
          <w:t>Latvia</w:t>
        </w:r>
      </w:smartTag>
      <w:r w:rsidR="000D01C8" w:rsidRPr="000D01C8">
        <w:rPr>
          <w:lang w:eastAsia="en-US"/>
        </w:rPr>
        <w:t>, no.</w:t>
      </w:r>
      <w:r w:rsidR="00002455">
        <w:rPr>
          <w:lang w:eastAsia="en-US"/>
        </w:rPr>
        <w:t> </w:t>
      </w:r>
      <w:r w:rsidR="000D01C8" w:rsidRPr="000D01C8">
        <w:rPr>
          <w:lang w:eastAsia="en-US"/>
        </w:rPr>
        <w:t>71572/01</w:t>
      </w:r>
      <w:r w:rsidR="000D01C8" w:rsidRPr="000D01C8">
        <w:rPr>
          <w:snapToGrid w:val="0"/>
          <w:szCs w:val="24"/>
          <w:lang w:val="pt-BR" w:eastAsia="en-US"/>
        </w:rPr>
        <w:t xml:space="preserve">, § </w:t>
      </w:r>
      <w:r w:rsidR="000D01C8">
        <w:rPr>
          <w:snapToGrid w:val="0"/>
          <w:szCs w:val="24"/>
          <w:lang w:val="pt-BR" w:eastAsia="en-US"/>
        </w:rPr>
        <w:t>85</w:t>
      </w:r>
      <w:r w:rsidR="000D01C8" w:rsidRPr="000D01C8">
        <w:rPr>
          <w:snapToGrid w:val="0"/>
          <w:szCs w:val="24"/>
          <w:lang w:val="pt-BR" w:eastAsia="en-US"/>
        </w:rPr>
        <w:t>, 19 October 2010</w:t>
      </w:r>
      <w:r w:rsidR="000D01C8">
        <w:rPr>
          <w:snapToGrid w:val="0"/>
          <w:szCs w:val="24"/>
          <w:lang w:val="pt-BR" w:eastAsia="en-US"/>
        </w:rPr>
        <w:t xml:space="preserve">; </w:t>
      </w:r>
      <w:r w:rsidR="000D01C8" w:rsidRPr="000D01C8">
        <w:rPr>
          <w:i/>
          <w:szCs w:val="22"/>
          <w:lang w:eastAsia="en-US"/>
        </w:rPr>
        <w:t xml:space="preserve">Leja </w:t>
      </w:r>
      <w:r w:rsidR="000D01C8" w:rsidRPr="000D01C8">
        <w:rPr>
          <w:i/>
          <w:lang w:eastAsia="en-US"/>
        </w:rPr>
        <w:t xml:space="preserve">v. </w:t>
      </w:r>
      <w:smartTag w:uri="urn:schemas-microsoft-com:office:smarttags" w:element="country-region">
        <w:r w:rsidR="000D01C8" w:rsidRPr="000D01C8">
          <w:rPr>
            <w:i/>
            <w:lang w:eastAsia="en-US"/>
          </w:rPr>
          <w:t>Latvia</w:t>
        </w:r>
      </w:smartTag>
      <w:r w:rsidR="000D01C8" w:rsidRPr="000D01C8">
        <w:rPr>
          <w:lang w:eastAsia="en-US"/>
        </w:rPr>
        <w:t>, no.</w:t>
      </w:r>
      <w:r w:rsidR="001C12E0">
        <w:rPr>
          <w:lang w:eastAsia="en-US"/>
        </w:rPr>
        <w:t> </w:t>
      </w:r>
      <w:r w:rsidR="000D01C8" w:rsidRPr="000D01C8">
        <w:rPr>
          <w:lang w:eastAsia="en-US"/>
        </w:rPr>
        <w:t>71072/01</w:t>
      </w:r>
      <w:r w:rsidR="000D01C8" w:rsidRPr="000D01C8">
        <w:rPr>
          <w:snapToGrid w:val="0"/>
          <w:szCs w:val="24"/>
          <w:lang w:val="pt-BR" w:eastAsia="en-US"/>
        </w:rPr>
        <w:t xml:space="preserve">, § </w:t>
      </w:r>
      <w:r w:rsidR="000D01C8">
        <w:rPr>
          <w:snapToGrid w:val="0"/>
          <w:szCs w:val="24"/>
          <w:lang w:val="pt-BR" w:eastAsia="en-US"/>
        </w:rPr>
        <w:t>48</w:t>
      </w:r>
      <w:r w:rsidR="000D01C8" w:rsidRPr="000D01C8">
        <w:rPr>
          <w:snapToGrid w:val="0"/>
          <w:szCs w:val="24"/>
          <w:lang w:val="pt-BR" w:eastAsia="en-US"/>
        </w:rPr>
        <w:t>, 14</w:t>
      </w:r>
      <w:r w:rsidR="00CF1401">
        <w:rPr>
          <w:snapToGrid w:val="0"/>
          <w:szCs w:val="24"/>
          <w:lang w:val="pt-BR" w:eastAsia="en-US"/>
        </w:rPr>
        <w:t> </w:t>
      </w:r>
      <w:r w:rsidR="000D01C8" w:rsidRPr="000D01C8">
        <w:rPr>
          <w:snapToGrid w:val="0"/>
          <w:szCs w:val="24"/>
          <w:lang w:val="pt-BR" w:eastAsia="en-US"/>
        </w:rPr>
        <w:t>June 2011</w:t>
      </w:r>
      <w:r w:rsidR="000D01C8">
        <w:rPr>
          <w:snapToGrid w:val="0"/>
          <w:szCs w:val="24"/>
          <w:lang w:val="pt-BR" w:eastAsia="en-US"/>
        </w:rPr>
        <w:t>;</w:t>
      </w:r>
      <w:r w:rsidR="007F28E3">
        <w:rPr>
          <w:snapToGrid w:val="0"/>
          <w:szCs w:val="24"/>
          <w:lang w:val="pt-BR" w:eastAsia="en-US"/>
        </w:rPr>
        <w:t xml:space="preserve"> and</w:t>
      </w:r>
      <w:r w:rsidR="000D01C8">
        <w:rPr>
          <w:snapToGrid w:val="0"/>
          <w:szCs w:val="24"/>
          <w:lang w:val="pt-BR" w:eastAsia="en-US"/>
        </w:rPr>
        <w:t xml:space="preserve"> </w:t>
      </w:r>
      <w:r w:rsidR="000D01C8">
        <w:rPr>
          <w:rStyle w:val="sb8d990e2"/>
          <w:i/>
        </w:rPr>
        <w:t xml:space="preserve">Melnītis v. </w:t>
      </w:r>
      <w:smartTag w:uri="urn:schemas-microsoft-com:office:smarttags" w:element="place">
        <w:smartTag w:uri="urn:schemas-microsoft-com:office:smarttags" w:element="country-region">
          <w:r w:rsidR="000D01C8">
            <w:rPr>
              <w:rStyle w:val="sb8d990e2"/>
              <w:i/>
            </w:rPr>
            <w:t>Latvia</w:t>
          </w:r>
        </w:smartTag>
      </w:smartTag>
      <w:r w:rsidR="000D01C8">
        <w:rPr>
          <w:rStyle w:val="sb8d990e2"/>
        </w:rPr>
        <w:t>, no.</w:t>
      </w:r>
      <w:r w:rsidR="001C12E0">
        <w:rPr>
          <w:rStyle w:val="sb8d990e2"/>
        </w:rPr>
        <w:t> </w:t>
      </w:r>
      <w:r w:rsidR="000D01C8">
        <w:rPr>
          <w:rStyle w:val="sb8d990e2"/>
        </w:rPr>
        <w:t>30779/05, §</w:t>
      </w:r>
      <w:r w:rsidR="007D31CA">
        <w:rPr>
          <w:rStyle w:val="sb8d990e2"/>
        </w:rPr>
        <w:t> </w:t>
      </w:r>
      <w:r w:rsidR="000D01C8">
        <w:rPr>
          <w:rStyle w:val="sb8d990e2"/>
        </w:rPr>
        <w:t>46, 28</w:t>
      </w:r>
      <w:r w:rsidR="001C12E0">
        <w:rPr>
          <w:rStyle w:val="sb8d990e2"/>
        </w:rPr>
        <w:t> </w:t>
      </w:r>
      <w:r w:rsidR="000D01C8">
        <w:rPr>
          <w:rStyle w:val="sb8d990e2"/>
        </w:rPr>
        <w:t>February 2012</w:t>
      </w:r>
      <w:r w:rsidR="001C12E0">
        <w:rPr>
          <w:rStyle w:val="sb8d990e2"/>
        </w:rPr>
        <w:t>).</w:t>
      </w:r>
      <w:r w:rsidR="000D01C8">
        <w:rPr>
          <w:rStyle w:val="sb8d990e2"/>
        </w:rPr>
        <w:t xml:space="preserve"> </w:t>
      </w:r>
      <w:r w:rsidR="009B0837">
        <w:rPr>
          <w:rStyle w:val="sb8d990e2"/>
        </w:rPr>
        <w:t xml:space="preserve">In the </w:t>
      </w:r>
      <w:r w:rsidR="007F28E3">
        <w:rPr>
          <w:rStyle w:val="sb8d990e2"/>
        </w:rPr>
        <w:t xml:space="preserve">present </w:t>
      </w:r>
      <w:r w:rsidR="009B0837">
        <w:rPr>
          <w:rStyle w:val="sb8d990e2"/>
        </w:rPr>
        <w:t>case</w:t>
      </w:r>
      <w:r w:rsidR="007F28E3">
        <w:rPr>
          <w:rStyle w:val="sb8d990e2"/>
        </w:rPr>
        <w:t>,</w:t>
      </w:r>
      <w:r w:rsidR="009B0837">
        <w:rPr>
          <w:rStyle w:val="sb8d990e2"/>
        </w:rPr>
        <w:t xml:space="preserve"> the Government have </w:t>
      </w:r>
      <w:r w:rsidR="007F28E3">
        <w:rPr>
          <w:rStyle w:val="sb8d990e2"/>
        </w:rPr>
        <w:t>made</w:t>
      </w:r>
      <w:r w:rsidR="004A4BB0">
        <w:rPr>
          <w:rStyle w:val="sb8d990e2"/>
        </w:rPr>
        <w:t xml:space="preserve"> </w:t>
      </w:r>
      <w:r w:rsidR="009B0837">
        <w:rPr>
          <w:rStyle w:val="sb8d990e2"/>
        </w:rPr>
        <w:t xml:space="preserve">reference to the </w:t>
      </w:r>
      <w:r w:rsidR="007F28E3">
        <w:rPr>
          <w:rStyle w:val="sb8d990e2"/>
        </w:rPr>
        <w:t xml:space="preserve">relevant provisions of </w:t>
      </w:r>
      <w:r w:rsidR="009B0837">
        <w:rPr>
          <w:rStyle w:val="sb8d990e2"/>
        </w:rPr>
        <w:t xml:space="preserve">domestic law and, most importantly, </w:t>
      </w:r>
      <w:r w:rsidR="007F28E3">
        <w:rPr>
          <w:rStyle w:val="sb8d990e2"/>
        </w:rPr>
        <w:t xml:space="preserve">their </w:t>
      </w:r>
      <w:r w:rsidR="009B0837">
        <w:rPr>
          <w:rStyle w:val="sb8d990e2"/>
        </w:rPr>
        <w:t>application in practice by the administrative courts in comparable cases.</w:t>
      </w:r>
      <w:r w:rsidR="00E31B33">
        <w:rPr>
          <w:rStyle w:val="sb8d990e2"/>
        </w:rPr>
        <w:t xml:space="preserve"> It stems from the rulings provided by the Government that </w:t>
      </w:r>
      <w:r w:rsidR="007F28E3">
        <w:rPr>
          <w:rStyle w:val="sb8d990e2"/>
        </w:rPr>
        <w:t xml:space="preserve">the </w:t>
      </w:r>
      <w:r w:rsidR="00E31B33">
        <w:rPr>
          <w:rStyle w:val="sb8d990e2"/>
        </w:rPr>
        <w:t>domestic first-instance court</w:t>
      </w:r>
      <w:r w:rsidR="008943FB">
        <w:rPr>
          <w:rStyle w:val="sb8d990e2"/>
        </w:rPr>
        <w:t>s</w:t>
      </w:r>
      <w:r w:rsidR="00E31B33">
        <w:rPr>
          <w:rStyle w:val="sb8d990e2"/>
        </w:rPr>
        <w:t xml:space="preserve"> have accepted and examined complaint</w:t>
      </w:r>
      <w:r w:rsidR="008943FB">
        <w:rPr>
          <w:rStyle w:val="sb8d990e2"/>
        </w:rPr>
        <w:t>s</w:t>
      </w:r>
      <w:r w:rsidR="00E31B33">
        <w:rPr>
          <w:rStyle w:val="sb8d990e2"/>
        </w:rPr>
        <w:t xml:space="preserve"> about the refusal</w:t>
      </w:r>
      <w:r w:rsidR="008943FB">
        <w:rPr>
          <w:rStyle w:val="sb8d990e2"/>
        </w:rPr>
        <w:t>s</w:t>
      </w:r>
      <w:r w:rsidR="00E31B33">
        <w:rPr>
          <w:rStyle w:val="sb8d990e2"/>
        </w:rPr>
        <w:t xml:space="preserve"> of long-term visit</w:t>
      </w:r>
      <w:r w:rsidR="008943FB">
        <w:rPr>
          <w:rStyle w:val="sb8d990e2"/>
        </w:rPr>
        <w:t>s</w:t>
      </w:r>
      <w:r w:rsidR="00E31B33">
        <w:rPr>
          <w:rStyle w:val="sb8d990e2"/>
        </w:rPr>
        <w:t xml:space="preserve"> by </w:t>
      </w:r>
      <w:r w:rsidR="00092EBD">
        <w:rPr>
          <w:rStyle w:val="sb8d990e2"/>
        </w:rPr>
        <w:t xml:space="preserve">the </w:t>
      </w:r>
      <w:r w:rsidR="00E31B33">
        <w:rPr>
          <w:rStyle w:val="sb8d990e2"/>
        </w:rPr>
        <w:t>prisoner</w:t>
      </w:r>
      <w:r w:rsidR="00F50242">
        <w:rPr>
          <w:rStyle w:val="sb8d990e2"/>
        </w:rPr>
        <w:t>’</w:t>
      </w:r>
      <w:r w:rsidR="00E31B33">
        <w:rPr>
          <w:rStyle w:val="sb8d990e2"/>
        </w:rPr>
        <w:t>s wife</w:t>
      </w:r>
      <w:r w:rsidR="00F50242">
        <w:rPr>
          <w:rStyle w:val="sb8d990e2"/>
        </w:rPr>
        <w:t>’</w:t>
      </w:r>
      <w:r w:rsidR="007F28E3">
        <w:rPr>
          <w:rStyle w:val="sb8d990e2"/>
        </w:rPr>
        <w:t>s son</w:t>
      </w:r>
      <w:r w:rsidR="00E31B33">
        <w:rPr>
          <w:rStyle w:val="sb8d990e2"/>
        </w:rPr>
        <w:t xml:space="preserve"> in one case (case no. A420506911) and by </w:t>
      </w:r>
      <w:r w:rsidR="00092EBD">
        <w:rPr>
          <w:rStyle w:val="sb8d990e2"/>
        </w:rPr>
        <w:t>the p</w:t>
      </w:r>
      <w:r w:rsidR="00E31B33">
        <w:rPr>
          <w:rStyle w:val="sb8d990e2"/>
        </w:rPr>
        <w:t>risoner</w:t>
      </w:r>
      <w:r w:rsidR="00F50242">
        <w:rPr>
          <w:rStyle w:val="sb8d990e2"/>
        </w:rPr>
        <w:t>’</w:t>
      </w:r>
      <w:r w:rsidR="00E31B33">
        <w:rPr>
          <w:rStyle w:val="sb8d990e2"/>
        </w:rPr>
        <w:t xml:space="preserve">s brother and son in another case (case no. A42499106). These rulings </w:t>
      </w:r>
      <w:r w:rsidR="008943FB">
        <w:rPr>
          <w:rStyle w:val="sb8d990e2"/>
        </w:rPr>
        <w:t xml:space="preserve">have become final </w:t>
      </w:r>
      <w:r w:rsidR="001F3314">
        <w:rPr>
          <w:rStyle w:val="sb8d990e2"/>
        </w:rPr>
        <w:t>as</w:t>
      </w:r>
      <w:r w:rsidR="008943FB">
        <w:rPr>
          <w:rStyle w:val="sb8d990e2"/>
        </w:rPr>
        <w:t xml:space="preserve"> </w:t>
      </w:r>
      <w:r w:rsidR="001F3314">
        <w:rPr>
          <w:rStyle w:val="sb8d990e2"/>
        </w:rPr>
        <w:t>far</w:t>
      </w:r>
      <w:r w:rsidR="008943FB">
        <w:rPr>
          <w:rStyle w:val="sb8d990e2"/>
        </w:rPr>
        <w:t xml:space="preserve"> </w:t>
      </w:r>
      <w:r w:rsidR="001F3314">
        <w:rPr>
          <w:rStyle w:val="sb8d990e2"/>
        </w:rPr>
        <w:t>as</w:t>
      </w:r>
      <w:r w:rsidR="008943FB">
        <w:rPr>
          <w:rStyle w:val="sb8d990e2"/>
        </w:rPr>
        <w:t xml:space="preserve"> </w:t>
      </w:r>
      <w:r w:rsidR="001F3314">
        <w:rPr>
          <w:rStyle w:val="sb8d990e2"/>
        </w:rPr>
        <w:t xml:space="preserve">the refusals of </w:t>
      </w:r>
      <w:r w:rsidR="008943FB">
        <w:rPr>
          <w:rStyle w:val="sb8d990e2"/>
        </w:rPr>
        <w:t>long-term visits</w:t>
      </w:r>
      <w:r w:rsidR="001F3314">
        <w:rPr>
          <w:rStyle w:val="sb8d990e2"/>
        </w:rPr>
        <w:t xml:space="preserve"> are concerned</w:t>
      </w:r>
      <w:r w:rsidR="008943FB">
        <w:rPr>
          <w:rStyle w:val="sb8d990e2"/>
        </w:rPr>
        <w:t>.</w:t>
      </w:r>
      <w:r w:rsidR="00657281">
        <w:rPr>
          <w:rStyle w:val="sb8d990e2"/>
        </w:rPr>
        <w:t xml:space="preserve"> </w:t>
      </w:r>
      <w:r w:rsidR="00770FB9">
        <w:rPr>
          <w:rStyle w:val="sb8d990e2"/>
        </w:rPr>
        <w:t>Unlike in other cases, t</w:t>
      </w:r>
      <w:r w:rsidR="00657281">
        <w:rPr>
          <w:rStyle w:val="sb8d990e2"/>
        </w:rPr>
        <w:t>here is no suggestion that the notion</w:t>
      </w:r>
      <w:r w:rsidR="0072435A">
        <w:rPr>
          <w:rStyle w:val="sb8d990e2"/>
        </w:rPr>
        <w:t>s</w:t>
      </w:r>
      <w:r w:rsidR="00657281">
        <w:rPr>
          <w:rStyle w:val="sb8d990e2"/>
        </w:rPr>
        <w:t xml:space="preserve"> of “action of a public authority” or “significant interference</w:t>
      </w:r>
      <w:r w:rsidR="00B81077">
        <w:rPr>
          <w:rStyle w:val="sb8d990e2"/>
        </w:rPr>
        <w:t xml:space="preserve"> with human rights</w:t>
      </w:r>
      <w:r w:rsidR="00657281">
        <w:rPr>
          <w:rStyle w:val="sb8d990e2"/>
        </w:rPr>
        <w:t>”</w:t>
      </w:r>
      <w:r w:rsidR="00B81077">
        <w:rPr>
          <w:rStyle w:val="sb8d990e2"/>
        </w:rPr>
        <w:t xml:space="preserve"> </w:t>
      </w:r>
      <w:r w:rsidR="007F28E3">
        <w:rPr>
          <w:rStyle w:val="sb8d990e2"/>
        </w:rPr>
        <w:t xml:space="preserve">have </w:t>
      </w:r>
      <w:r w:rsidR="00657281">
        <w:rPr>
          <w:rStyle w:val="sb8d990e2"/>
        </w:rPr>
        <w:t xml:space="preserve">been applied by the domestic courts </w:t>
      </w:r>
      <w:r w:rsidR="0072435A">
        <w:rPr>
          <w:rStyle w:val="sb8d990e2"/>
        </w:rPr>
        <w:t xml:space="preserve">in a manner </w:t>
      </w:r>
      <w:r w:rsidR="007F28E3">
        <w:rPr>
          <w:rStyle w:val="sb8d990e2"/>
        </w:rPr>
        <w:t xml:space="preserve">that is </w:t>
      </w:r>
      <w:r w:rsidR="0072435A">
        <w:rPr>
          <w:rStyle w:val="sb8d990e2"/>
        </w:rPr>
        <w:t>non-compliant with Article 8 of the Convention</w:t>
      </w:r>
      <w:r w:rsidR="00F812AC">
        <w:rPr>
          <w:rStyle w:val="sb8d990e2"/>
        </w:rPr>
        <w:t xml:space="preserve"> in so far as they relate to complaints about long-term visits</w:t>
      </w:r>
      <w:r w:rsidR="0072435A">
        <w:rPr>
          <w:rStyle w:val="sb8d990e2"/>
        </w:rPr>
        <w:t xml:space="preserve"> </w:t>
      </w:r>
      <w:r w:rsidR="00657281">
        <w:rPr>
          <w:rStyle w:val="sb8d990e2"/>
        </w:rPr>
        <w:t xml:space="preserve">(compare and contrast </w:t>
      </w:r>
      <w:r w:rsidR="00657281">
        <w:rPr>
          <w:rStyle w:val="sb8d990e2"/>
          <w:i/>
        </w:rPr>
        <w:t>Melnītis</w:t>
      </w:r>
      <w:r w:rsidR="00657281">
        <w:rPr>
          <w:rStyle w:val="sb8d990e2"/>
        </w:rPr>
        <w:t>, cited above, § 51,</w:t>
      </w:r>
      <w:r w:rsidR="00657281">
        <w:rPr>
          <w:rStyle w:val="sb8d990e2"/>
          <w:i/>
        </w:rPr>
        <w:t xml:space="preserve"> </w:t>
      </w:r>
      <w:r w:rsidR="00657281">
        <w:rPr>
          <w:rStyle w:val="sb8d990e2"/>
        </w:rPr>
        <w:t xml:space="preserve">and </w:t>
      </w:r>
      <w:r w:rsidR="00657281">
        <w:rPr>
          <w:i/>
        </w:rPr>
        <w:t xml:space="preserve">Savičs v. </w:t>
      </w:r>
      <w:smartTag w:uri="urn:schemas-microsoft-com:office:smarttags" w:element="country-region">
        <w:smartTag w:uri="urn:schemas-microsoft-com:office:smarttags" w:element="place">
          <w:r w:rsidR="00657281">
            <w:rPr>
              <w:i/>
            </w:rPr>
            <w:t>Latvia</w:t>
          </w:r>
        </w:smartTag>
      </w:smartTag>
      <w:r w:rsidR="00657281">
        <w:t>, no. 17892/03, §</w:t>
      </w:r>
      <w:r w:rsidR="00092EBD">
        <w:t> </w:t>
      </w:r>
      <w:r w:rsidR="00657281">
        <w:t>106, 27</w:t>
      </w:r>
      <w:r w:rsidR="007D31CA">
        <w:t> </w:t>
      </w:r>
      <w:r w:rsidR="00657281">
        <w:t>November 2012</w:t>
      </w:r>
      <w:r w:rsidR="00657281">
        <w:rPr>
          <w:rStyle w:val="sb8d990e2"/>
        </w:rPr>
        <w:t>).</w:t>
      </w:r>
      <w:r w:rsidR="00BF2299">
        <w:rPr>
          <w:rStyle w:val="sb8d990e2"/>
        </w:rPr>
        <w:t xml:space="preserve"> </w:t>
      </w:r>
      <w:r w:rsidR="00283185">
        <w:rPr>
          <w:rStyle w:val="sb8d990e2"/>
        </w:rPr>
        <w:t>The Court also notes that one of these rulings (in case no.</w:t>
      </w:r>
      <w:r w:rsidR="00BF2299">
        <w:rPr>
          <w:rStyle w:val="sb8d990e2"/>
        </w:rPr>
        <w:t> </w:t>
      </w:r>
      <w:r w:rsidR="00283185">
        <w:rPr>
          <w:rStyle w:val="sb8d990e2"/>
        </w:rPr>
        <w:t xml:space="preserve">A42499106) related to </w:t>
      </w:r>
      <w:r w:rsidR="00953564">
        <w:rPr>
          <w:rStyle w:val="sb8d990e2"/>
        </w:rPr>
        <w:t>a</w:t>
      </w:r>
      <w:r w:rsidR="00283185">
        <w:rPr>
          <w:rStyle w:val="sb8d990e2"/>
        </w:rPr>
        <w:t xml:space="preserve"> situation that obtained </w:t>
      </w:r>
      <w:r w:rsidR="007F28E3">
        <w:rPr>
          <w:rStyle w:val="sb8d990e2"/>
        </w:rPr>
        <w:t xml:space="preserve">in and </w:t>
      </w:r>
      <w:r w:rsidR="00283185">
        <w:rPr>
          <w:rStyle w:val="sb8d990e2"/>
        </w:rPr>
        <w:t xml:space="preserve">around July </w:t>
      </w:r>
      <w:r w:rsidR="00953564">
        <w:rPr>
          <w:rStyle w:val="sb8d990e2"/>
        </w:rPr>
        <w:t>and</w:t>
      </w:r>
      <w:r w:rsidR="00283185">
        <w:rPr>
          <w:rStyle w:val="sb8d990e2"/>
        </w:rPr>
        <w:t xml:space="preserve"> August 2006; the first refusal </w:t>
      </w:r>
      <w:r w:rsidR="007F28E3">
        <w:rPr>
          <w:rStyle w:val="sb8d990e2"/>
        </w:rPr>
        <w:t xml:space="preserve">to allow </w:t>
      </w:r>
      <w:r w:rsidR="00283185">
        <w:rPr>
          <w:rStyle w:val="sb8d990e2"/>
        </w:rPr>
        <w:t>the present applicant</w:t>
      </w:r>
      <w:r w:rsidR="007F28E3" w:rsidRPr="007F28E3">
        <w:rPr>
          <w:rStyle w:val="sb8d990e2"/>
        </w:rPr>
        <w:t xml:space="preserve"> </w:t>
      </w:r>
      <w:r w:rsidR="007F28E3">
        <w:rPr>
          <w:rStyle w:val="sb8d990e2"/>
        </w:rPr>
        <w:t>to receive a long-term visit</w:t>
      </w:r>
      <w:r w:rsidR="00283185">
        <w:rPr>
          <w:rStyle w:val="sb8d990e2"/>
        </w:rPr>
        <w:t xml:space="preserve"> was </w:t>
      </w:r>
      <w:r w:rsidR="00DD28EA">
        <w:rPr>
          <w:rStyle w:val="sb8d990e2"/>
        </w:rPr>
        <w:t>made</w:t>
      </w:r>
      <w:r w:rsidR="00283185">
        <w:rPr>
          <w:rStyle w:val="sb8d990e2"/>
        </w:rPr>
        <w:t xml:space="preserve"> in the same period.</w:t>
      </w:r>
    </w:p>
    <w:p w:rsidR="000D01C8" w:rsidRPr="00ED7DA0" w:rsidRDefault="000628DB" w:rsidP="00C31D4B">
      <w:pPr>
        <w:pStyle w:val="JuPara"/>
        <w:rPr>
          <w:rStyle w:val="sb8d990e2"/>
          <w:i/>
          <w:lang w:eastAsia="en-US"/>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74</w:t>
      </w:r>
      <w:r>
        <w:rPr>
          <w:rStyle w:val="sb8d990e2"/>
        </w:rPr>
        <w:fldChar w:fldCharType="end"/>
      </w:r>
      <w:r>
        <w:rPr>
          <w:rStyle w:val="sb8d990e2"/>
        </w:rPr>
        <w:t xml:space="preserve">.  The Court therefore considers that the Government have </w:t>
      </w:r>
      <w:r w:rsidR="00072067">
        <w:rPr>
          <w:rStyle w:val="sb8d990e2"/>
        </w:rPr>
        <w:t xml:space="preserve">shown </w:t>
      </w:r>
      <w:r>
        <w:rPr>
          <w:rStyle w:val="sb8d990e2"/>
        </w:rPr>
        <w:t xml:space="preserve">that </w:t>
      </w:r>
      <w:r w:rsidR="007F28E3">
        <w:rPr>
          <w:rStyle w:val="sb8d990e2"/>
        </w:rPr>
        <w:t xml:space="preserve">recourse to </w:t>
      </w:r>
      <w:r>
        <w:rPr>
          <w:rStyle w:val="sb8d990e2"/>
        </w:rPr>
        <w:t xml:space="preserve">the administrative courts </w:t>
      </w:r>
      <w:r w:rsidR="00896ECC">
        <w:rPr>
          <w:rStyle w:val="sb8d990e2"/>
        </w:rPr>
        <w:t>could</w:t>
      </w:r>
      <w:r w:rsidR="00527F37">
        <w:rPr>
          <w:rStyle w:val="sb8d990e2"/>
        </w:rPr>
        <w:t>, in principle,</w:t>
      </w:r>
      <w:r>
        <w:rPr>
          <w:rStyle w:val="sb8d990e2"/>
        </w:rPr>
        <w:t xml:space="preserve"> be considered </w:t>
      </w:r>
      <w:r w:rsidR="00896ECC">
        <w:rPr>
          <w:rStyle w:val="sb8d990e2"/>
        </w:rPr>
        <w:t xml:space="preserve">an </w:t>
      </w:r>
      <w:r>
        <w:rPr>
          <w:rStyle w:val="sb8d990e2"/>
        </w:rPr>
        <w:t>effective remed</w:t>
      </w:r>
      <w:r w:rsidR="00896ECC">
        <w:rPr>
          <w:rStyle w:val="sb8d990e2"/>
        </w:rPr>
        <w:t>y</w:t>
      </w:r>
      <w:r>
        <w:rPr>
          <w:rStyle w:val="sb8d990e2"/>
        </w:rPr>
        <w:t xml:space="preserve"> for </w:t>
      </w:r>
      <w:r w:rsidR="00896ECC">
        <w:rPr>
          <w:rStyle w:val="sb8d990e2"/>
        </w:rPr>
        <w:t xml:space="preserve">a </w:t>
      </w:r>
      <w:r>
        <w:rPr>
          <w:rStyle w:val="sb8d990e2"/>
        </w:rPr>
        <w:t>complaint under Article 8 of the Convention</w:t>
      </w:r>
      <w:r w:rsidR="00896ECC">
        <w:rPr>
          <w:rStyle w:val="sb8d990e2"/>
        </w:rPr>
        <w:t xml:space="preserve"> such as in the present case</w:t>
      </w:r>
      <w:r w:rsidR="00ED7DA0">
        <w:rPr>
          <w:rStyle w:val="sb8d990e2"/>
        </w:rPr>
        <w:t xml:space="preserve"> (see also the Court</w:t>
      </w:r>
      <w:r w:rsidR="00F50242">
        <w:rPr>
          <w:rStyle w:val="sb8d990e2"/>
        </w:rPr>
        <w:t>’</w:t>
      </w:r>
      <w:r w:rsidR="00ED7DA0">
        <w:rPr>
          <w:rStyle w:val="sb8d990e2"/>
        </w:rPr>
        <w:t xml:space="preserve">s acceptance of the effectiveness of </w:t>
      </w:r>
      <w:r w:rsidR="007F28E3">
        <w:rPr>
          <w:rStyle w:val="sb8d990e2"/>
        </w:rPr>
        <w:t xml:space="preserve">recourse to </w:t>
      </w:r>
      <w:r w:rsidR="00ED7DA0">
        <w:rPr>
          <w:rStyle w:val="sb8d990e2"/>
        </w:rPr>
        <w:t xml:space="preserve">the administrative courts for a complaint related to the opening of correspondence in a prison, </w:t>
      </w:r>
      <w:r w:rsidR="00ED7DA0" w:rsidRPr="00ED7DA0">
        <w:rPr>
          <w:i/>
          <w:szCs w:val="22"/>
          <w:lang w:eastAsia="en-US"/>
        </w:rPr>
        <w:t xml:space="preserve">Čuprakovs v. </w:t>
      </w:r>
      <w:smartTag w:uri="urn:schemas-microsoft-com:office:smarttags" w:element="place">
        <w:smartTag w:uri="urn:schemas-microsoft-com:office:smarttags" w:element="country-region">
          <w:r w:rsidR="00ED7DA0" w:rsidRPr="00ED7DA0">
            <w:rPr>
              <w:i/>
              <w:szCs w:val="22"/>
              <w:lang w:eastAsia="en-US"/>
            </w:rPr>
            <w:t>Latvia</w:t>
          </w:r>
        </w:smartTag>
      </w:smartTag>
      <w:r w:rsidR="00ED7DA0" w:rsidRPr="00ED7DA0">
        <w:rPr>
          <w:szCs w:val="22"/>
          <w:lang w:eastAsia="en-US"/>
        </w:rPr>
        <w:t>, no. 8543/04</w:t>
      </w:r>
      <w:r w:rsidR="00ED7DA0" w:rsidRPr="00ED7DA0">
        <w:rPr>
          <w:snapToGrid w:val="0"/>
          <w:lang w:val="pt-BR" w:eastAsia="en-US"/>
        </w:rPr>
        <w:t>, §</w:t>
      </w:r>
      <w:r w:rsidR="00C91C3C">
        <w:rPr>
          <w:snapToGrid w:val="0"/>
          <w:lang w:val="pt-BR" w:eastAsia="en-US"/>
        </w:rPr>
        <w:t> </w:t>
      </w:r>
      <w:r w:rsidR="00ED7DA0">
        <w:rPr>
          <w:snapToGrid w:val="0"/>
          <w:lang w:val="pt-BR" w:eastAsia="en-US"/>
        </w:rPr>
        <w:t>67</w:t>
      </w:r>
      <w:r w:rsidR="00ED7DA0" w:rsidRPr="00ED7DA0">
        <w:rPr>
          <w:snapToGrid w:val="0"/>
          <w:lang w:val="pt-BR" w:eastAsia="en-US"/>
        </w:rPr>
        <w:t>, 18</w:t>
      </w:r>
      <w:r w:rsidR="00ED7DA0">
        <w:rPr>
          <w:snapToGrid w:val="0"/>
          <w:lang w:val="pt-BR" w:eastAsia="en-US"/>
        </w:rPr>
        <w:t> </w:t>
      </w:r>
      <w:r w:rsidR="00ED7DA0" w:rsidRPr="00ED7DA0">
        <w:rPr>
          <w:snapToGrid w:val="0"/>
          <w:lang w:val="pt-BR" w:eastAsia="en-US"/>
        </w:rPr>
        <w:t>December 2012</w:t>
      </w:r>
      <w:r w:rsidR="00ED7DA0">
        <w:rPr>
          <w:snapToGrid w:val="0"/>
          <w:lang w:val="pt-BR" w:eastAsia="en-US"/>
        </w:rPr>
        <w:t>)</w:t>
      </w:r>
      <w:r>
        <w:rPr>
          <w:rStyle w:val="sb8d990e2"/>
        </w:rPr>
        <w:t xml:space="preserve">. </w:t>
      </w:r>
      <w:r w:rsidR="00896ECC">
        <w:rPr>
          <w:rStyle w:val="sb8d990e2"/>
        </w:rPr>
        <w:t xml:space="preserve">The Court </w:t>
      </w:r>
      <w:r w:rsidR="007F28E3">
        <w:rPr>
          <w:rStyle w:val="sb8d990e2"/>
        </w:rPr>
        <w:t>reiterates</w:t>
      </w:r>
      <w:r>
        <w:rPr>
          <w:rStyle w:val="sb8d990e2"/>
        </w:rPr>
        <w:t xml:space="preserve"> that it falls to the applicant to establish that he exhausted the proposed remedy or that it was inadequate or ineffective in </w:t>
      </w:r>
      <w:r w:rsidR="007F28E3">
        <w:rPr>
          <w:rStyle w:val="sb8d990e2"/>
        </w:rPr>
        <w:t xml:space="preserve">the </w:t>
      </w:r>
      <w:r>
        <w:rPr>
          <w:rStyle w:val="sb8d990e2"/>
        </w:rPr>
        <w:t>particular circumstances of his case</w:t>
      </w:r>
      <w:r w:rsidR="00896ECC">
        <w:rPr>
          <w:rStyle w:val="sb8d990e2"/>
        </w:rPr>
        <w:t xml:space="preserve">, or that there existed special circumstances absolving him from the requirement (see </w:t>
      </w:r>
      <w:r w:rsidR="00896ECC">
        <w:rPr>
          <w:rStyle w:val="sb8d990e2"/>
          <w:i/>
        </w:rPr>
        <w:t>Melnītis</w:t>
      </w:r>
      <w:r w:rsidR="00896ECC" w:rsidRPr="00896ECC">
        <w:rPr>
          <w:rStyle w:val="sb8d990e2"/>
        </w:rPr>
        <w:t>,</w:t>
      </w:r>
      <w:r w:rsidR="00896ECC">
        <w:rPr>
          <w:rStyle w:val="sb8d990e2"/>
          <w:i/>
        </w:rPr>
        <w:t xml:space="preserve"> </w:t>
      </w:r>
      <w:r w:rsidR="00896ECC">
        <w:rPr>
          <w:rStyle w:val="sb8d990e2"/>
        </w:rPr>
        <w:t>cited above, § 46). The Court notes that the applicant has failed to advance any argument in this</w:t>
      </w:r>
      <w:r w:rsidR="00CD16E3">
        <w:rPr>
          <w:rStyle w:val="sb8d990e2"/>
        </w:rPr>
        <w:t xml:space="preserve"> connection, contrary to Mr Melnītis and Mr</w:t>
      </w:r>
      <w:r w:rsidR="00E64780">
        <w:rPr>
          <w:rStyle w:val="sb8d990e2"/>
        </w:rPr>
        <w:t> </w:t>
      </w:r>
      <w:r w:rsidR="00CD16E3">
        <w:rPr>
          <w:rStyle w:val="sb8d990e2"/>
        </w:rPr>
        <w:t>Savičs in the above-mentioned cases.</w:t>
      </w:r>
      <w:r w:rsidR="00257810">
        <w:rPr>
          <w:rStyle w:val="sb8d990e2"/>
        </w:rPr>
        <w:t xml:space="preserve"> He has therefore failed to convince the Court that he did not need to further pursue his complaint </w:t>
      </w:r>
      <w:r w:rsidR="007F28E3">
        <w:rPr>
          <w:rStyle w:val="sb8d990e2"/>
        </w:rPr>
        <w:t xml:space="preserve">before </w:t>
      </w:r>
      <w:r w:rsidR="00257810">
        <w:rPr>
          <w:rStyle w:val="sb8d990e2"/>
        </w:rPr>
        <w:t xml:space="preserve">the </w:t>
      </w:r>
      <w:smartTag w:uri="urn:schemas-microsoft-com:office:smarttags" w:element="Street">
        <w:smartTag w:uri="urn:schemas-microsoft-com:office:smarttags" w:element="address">
          <w:r w:rsidR="00257810">
            <w:rPr>
              <w:rStyle w:val="sb8d990e2"/>
            </w:rPr>
            <w:t>Administrative Regional Court</w:t>
          </w:r>
        </w:smartTag>
      </w:smartTag>
      <w:r w:rsidR="00257810">
        <w:rPr>
          <w:rStyle w:val="sb8d990e2"/>
        </w:rPr>
        <w:t>.</w:t>
      </w:r>
    </w:p>
    <w:p w:rsidR="00C31D4B" w:rsidRDefault="00257810" w:rsidP="00C31D4B">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75</w:t>
      </w:r>
      <w:r>
        <w:rPr>
          <w:rStyle w:val="sb8d990e2"/>
        </w:rPr>
        <w:fldChar w:fldCharType="end"/>
      </w:r>
      <w:r>
        <w:rPr>
          <w:rStyle w:val="sb8d990e2"/>
        </w:rPr>
        <w:t xml:space="preserve">.  The Court would also note at this point that the mere fact that the applicant has been transferred to </w:t>
      </w:r>
      <w:smartTag w:uri="urn:schemas-microsoft-com:office:smarttags" w:element="country-region">
        <w:r>
          <w:rPr>
            <w:rStyle w:val="sb8d990e2"/>
          </w:rPr>
          <w:t>Russia</w:t>
        </w:r>
      </w:smartTag>
      <w:r>
        <w:rPr>
          <w:rStyle w:val="sb8d990e2"/>
        </w:rPr>
        <w:t xml:space="preserve"> to continue serving his sentence is not sufficient for the Court to conclude that the applicant was exempted from the requirement to exhaust domestic remedies in </w:t>
      </w:r>
      <w:smartTag w:uri="urn:schemas-microsoft-com:office:smarttags" w:element="place">
        <w:smartTag w:uri="urn:schemas-microsoft-com:office:smarttags" w:element="country-region">
          <w:r>
            <w:rPr>
              <w:rStyle w:val="sb8d990e2"/>
            </w:rPr>
            <w:t>Latvia</w:t>
          </w:r>
        </w:smartTag>
      </w:smartTag>
      <w:r>
        <w:rPr>
          <w:rStyle w:val="sb8d990e2"/>
        </w:rPr>
        <w:t xml:space="preserve">. </w:t>
      </w:r>
      <w:r w:rsidR="0035678C">
        <w:rPr>
          <w:rStyle w:val="sb8d990e2"/>
        </w:rPr>
        <w:t>The Court has already found</w:t>
      </w:r>
      <w:r>
        <w:rPr>
          <w:rStyle w:val="sb8d990e2"/>
        </w:rPr>
        <w:t xml:space="preserve"> that </w:t>
      </w:r>
      <w:r w:rsidR="004E28A7" w:rsidRPr="004E28A7">
        <w:rPr>
          <w:rStyle w:val="sb8d990e2"/>
        </w:rPr>
        <w:t xml:space="preserve">borders, factual or legal, are not an obstacle </w:t>
      </w:r>
      <w:r w:rsidR="004E28A7" w:rsidRPr="004E28A7">
        <w:rPr>
          <w:rStyle w:val="sb8d990e2"/>
          <w:i/>
        </w:rPr>
        <w:t>per se</w:t>
      </w:r>
      <w:r w:rsidR="004E28A7" w:rsidRPr="004E28A7">
        <w:rPr>
          <w:rStyle w:val="sb8d990e2"/>
        </w:rPr>
        <w:t xml:space="preserve"> to the exhaustion of domestic remedies</w:t>
      </w:r>
      <w:r w:rsidR="004E28A7">
        <w:rPr>
          <w:rStyle w:val="sb8d990e2"/>
        </w:rPr>
        <w:t xml:space="preserve"> </w:t>
      </w:r>
      <w:r w:rsidR="00886185">
        <w:rPr>
          <w:rStyle w:val="sb8d990e2"/>
        </w:rPr>
        <w:t>and as a general rule applicants living outside the jurisdiction of a Contracting State are not exempted from exhausting domestic remedies within that State, practical inconveniences or understandable personal reluctance notwithstanding</w:t>
      </w:r>
      <w:r w:rsidR="0035678C">
        <w:rPr>
          <w:rStyle w:val="sb8d990e2"/>
        </w:rPr>
        <w:t xml:space="preserve"> (see </w:t>
      </w:r>
      <w:r w:rsidR="00492ADB" w:rsidRPr="00886185">
        <w:rPr>
          <w:i/>
          <w:snapToGrid w:val="0"/>
          <w:lang w:eastAsia="en-US"/>
        </w:rPr>
        <w:t xml:space="preserve">Demopoulos and Others v. </w:t>
      </w:r>
      <w:smartTag w:uri="urn:schemas-microsoft-com:office:smarttags" w:element="place">
        <w:smartTag w:uri="urn:schemas-microsoft-com:office:smarttags" w:element="country-region">
          <w:r w:rsidR="00492ADB" w:rsidRPr="00886185">
            <w:rPr>
              <w:i/>
              <w:snapToGrid w:val="0"/>
              <w:lang w:eastAsia="en-US"/>
            </w:rPr>
            <w:t>Turkey</w:t>
          </w:r>
        </w:smartTag>
      </w:smartTag>
      <w:r w:rsidR="00492ADB" w:rsidRPr="00886185">
        <w:rPr>
          <w:i/>
          <w:snapToGrid w:val="0"/>
          <w:lang w:eastAsia="en-US"/>
        </w:rPr>
        <w:t xml:space="preserve"> </w:t>
      </w:r>
      <w:r w:rsidR="00492ADB" w:rsidRPr="00886185">
        <w:rPr>
          <w:snapToGrid w:val="0"/>
          <w:lang w:eastAsia="en-US"/>
        </w:rPr>
        <w:t>(dec.) [GC], nos. 46113/99</w:t>
      </w:r>
      <w:r w:rsidR="00492ADB">
        <w:rPr>
          <w:snapToGrid w:val="0"/>
          <w:lang w:eastAsia="en-US"/>
        </w:rPr>
        <w:t xml:space="preserve"> and others</w:t>
      </w:r>
      <w:r w:rsidR="00492ADB" w:rsidRPr="00886185">
        <w:rPr>
          <w:lang w:eastAsia="en-US"/>
        </w:rPr>
        <w:t>,</w:t>
      </w:r>
      <w:r w:rsidR="00492ADB">
        <w:rPr>
          <w:lang w:eastAsia="en-US"/>
        </w:rPr>
        <w:t xml:space="preserve"> § 98, </w:t>
      </w:r>
      <w:r w:rsidR="00492ADB" w:rsidRPr="00886185">
        <w:rPr>
          <w:lang w:eastAsia="en-US"/>
        </w:rPr>
        <w:t>ECHR 2010</w:t>
      </w:r>
      <w:r w:rsidR="00492ADB">
        <w:rPr>
          <w:rStyle w:val="sb8d990e2"/>
        </w:rPr>
        <w:t>).</w:t>
      </w:r>
      <w:r w:rsidR="0035678C">
        <w:rPr>
          <w:rStyle w:val="sb8d990e2"/>
        </w:rPr>
        <w:t xml:space="preserve"> </w:t>
      </w:r>
      <w:r w:rsidR="00CC2517">
        <w:rPr>
          <w:rStyle w:val="sb8d990e2"/>
        </w:rPr>
        <w:t xml:space="preserve">The Court would require serious arguments from the applicant if it were to accept that the general rule could not be applied in his case. None were </w:t>
      </w:r>
      <w:r w:rsidR="00953564">
        <w:rPr>
          <w:rStyle w:val="sb8d990e2"/>
        </w:rPr>
        <w:t>provided by the</w:t>
      </w:r>
      <w:r w:rsidR="00E70804">
        <w:rPr>
          <w:rStyle w:val="sb8d990e2"/>
        </w:rPr>
        <w:t xml:space="preserve"> present</w:t>
      </w:r>
      <w:r w:rsidR="00953564">
        <w:rPr>
          <w:rStyle w:val="sb8d990e2"/>
        </w:rPr>
        <w:t xml:space="preserve"> applicant</w:t>
      </w:r>
      <w:r w:rsidR="00CC2517">
        <w:rPr>
          <w:rStyle w:val="sb8d990e2"/>
        </w:rPr>
        <w:t>.</w:t>
      </w:r>
    </w:p>
    <w:p w:rsidR="00CC2517" w:rsidRDefault="00CC2517" w:rsidP="00C31D4B">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76</w:t>
      </w:r>
      <w:r>
        <w:rPr>
          <w:rStyle w:val="sb8d990e2"/>
        </w:rPr>
        <w:fldChar w:fldCharType="end"/>
      </w:r>
      <w:r>
        <w:rPr>
          <w:rStyle w:val="sb8d990e2"/>
        </w:rPr>
        <w:t>.  In view of the above-mentioned considerations, the Court upholds the Government</w:t>
      </w:r>
      <w:r w:rsidR="00F50242">
        <w:rPr>
          <w:rStyle w:val="sb8d990e2"/>
        </w:rPr>
        <w:t>’</w:t>
      </w:r>
      <w:r>
        <w:rPr>
          <w:rStyle w:val="sb8d990e2"/>
        </w:rPr>
        <w:t xml:space="preserve">s preliminary objection as </w:t>
      </w:r>
      <w:r w:rsidR="007F28E3">
        <w:rPr>
          <w:rStyle w:val="sb8d990e2"/>
        </w:rPr>
        <w:t>regards</w:t>
      </w:r>
      <w:r>
        <w:rPr>
          <w:rStyle w:val="sb8d990e2"/>
        </w:rPr>
        <w:t xml:space="preserve"> recourse to the administrative courts. There is thus no further need to examine the other part of that objection as </w:t>
      </w:r>
      <w:r w:rsidR="007F28E3">
        <w:rPr>
          <w:rStyle w:val="sb8d990e2"/>
        </w:rPr>
        <w:t>regards</w:t>
      </w:r>
      <w:r>
        <w:rPr>
          <w:rStyle w:val="sb8d990e2"/>
        </w:rPr>
        <w:t xml:space="preserve"> recourse to the </w:t>
      </w:r>
      <w:smartTag w:uri="urn:schemas-microsoft-com:office:smarttags" w:element="Street">
        <w:smartTag w:uri="urn:schemas-microsoft-com:office:smarttags" w:element="address">
          <w:r>
            <w:rPr>
              <w:rStyle w:val="sb8d990e2"/>
            </w:rPr>
            <w:t>Constitutional Court</w:t>
          </w:r>
        </w:smartTag>
      </w:smartTag>
      <w:r>
        <w:rPr>
          <w:rStyle w:val="sb8d990e2"/>
        </w:rPr>
        <w:t>.</w:t>
      </w:r>
    </w:p>
    <w:p w:rsidR="00CC2517" w:rsidRPr="00886185" w:rsidRDefault="00CC2517" w:rsidP="00C31D4B">
      <w:pPr>
        <w:pStyle w:val="JuPara"/>
        <w:rPr>
          <w:rStyle w:val="sb8d990e2"/>
          <w:i/>
          <w:lang w:eastAsia="en-US"/>
        </w:rPr>
      </w:pPr>
      <w:r>
        <w:rPr>
          <w:rStyle w:val="sb8d990e2"/>
        </w:rPr>
        <w:fldChar w:fldCharType="begin"/>
      </w:r>
      <w:r>
        <w:rPr>
          <w:rStyle w:val="sb8d990e2"/>
        </w:rPr>
        <w:instrText xml:space="preserve"> SEQ level0 \*arabic </w:instrText>
      </w:r>
      <w:r>
        <w:rPr>
          <w:rStyle w:val="sb8d990e2"/>
        </w:rPr>
        <w:fldChar w:fldCharType="separate"/>
      </w:r>
      <w:r w:rsidR="00D814D9">
        <w:rPr>
          <w:rStyle w:val="sb8d990e2"/>
          <w:noProof/>
        </w:rPr>
        <w:t>77</w:t>
      </w:r>
      <w:r>
        <w:rPr>
          <w:rStyle w:val="sb8d990e2"/>
        </w:rPr>
        <w:fldChar w:fldCharType="end"/>
      </w:r>
      <w:r>
        <w:rPr>
          <w:rStyle w:val="sb8d990e2"/>
        </w:rPr>
        <w:t>.  </w:t>
      </w:r>
      <w:r w:rsidRPr="007C5450">
        <w:t>It follows that this complaint must be rejected under Article 35 §§ 1 and 4 of the Convention for non-exhaustion of domestic remedies.</w:t>
      </w:r>
    </w:p>
    <w:p w:rsidR="000563DA" w:rsidRPr="000563DA" w:rsidRDefault="000563DA" w:rsidP="006365BE">
      <w:pPr>
        <w:pStyle w:val="JuPara"/>
        <w:rPr>
          <w:sz w:val="20"/>
        </w:rPr>
      </w:pPr>
    </w:p>
    <w:p w:rsidR="0016278E" w:rsidRPr="00546EA4" w:rsidRDefault="00CE67CB" w:rsidP="004A6917">
      <w:pPr>
        <w:pStyle w:val="JuHIRoman"/>
        <w:outlineLvl w:val="0"/>
      </w:pPr>
      <w:r w:rsidRPr="00546EA4">
        <w:t>III</w:t>
      </w:r>
      <w:r w:rsidR="007D5646">
        <w:t>.</w:t>
      </w:r>
      <w:r w:rsidR="0016278E" w:rsidRPr="00546EA4">
        <w:t>  APPLICATION OF ARTICLE 41 OF THE CONVENTION</w:t>
      </w:r>
    </w:p>
    <w:p w:rsidR="0016278E" w:rsidRPr="00546EA4" w:rsidRDefault="00546EA4" w:rsidP="004A6917">
      <w:pPr>
        <w:pStyle w:val="JuPara"/>
        <w:keepNext/>
        <w:keepLines/>
      </w:pPr>
      <w:r w:rsidRPr="00546EA4">
        <w:fldChar w:fldCharType="begin"/>
      </w:r>
      <w:r w:rsidRPr="00546EA4">
        <w:instrText xml:space="preserve"> SEQ level0 \*arabic </w:instrText>
      </w:r>
      <w:r w:rsidRPr="00546EA4">
        <w:fldChar w:fldCharType="separate"/>
      </w:r>
      <w:r w:rsidR="00D814D9">
        <w:rPr>
          <w:noProof/>
        </w:rPr>
        <w:t>78</w:t>
      </w:r>
      <w:r w:rsidRPr="00546EA4">
        <w:fldChar w:fldCharType="end"/>
      </w:r>
      <w:r w:rsidR="0016278E" w:rsidRPr="00546EA4">
        <w:t>.  Article 41 of the Convention provides:</w:t>
      </w:r>
    </w:p>
    <w:p w:rsidR="0016278E" w:rsidRPr="00546EA4" w:rsidRDefault="0016278E" w:rsidP="004A6917">
      <w:pPr>
        <w:pStyle w:val="JuQuot"/>
        <w:keepNext/>
        <w:keepLines/>
      </w:pPr>
      <w:r w:rsidRPr="00546EA4">
        <w:t>“If the Court finds that there has been a violation of the Convention or the Protocols thereto, and if the internal law of the High Contracting Party concerned allows only partial rep</w:t>
      </w:r>
      <w:smartTag w:uri="urn:schemas-microsoft-com:office:smarttags" w:element="country-region">
        <w:r w:rsidRPr="00546EA4">
          <w:t>ara</w:t>
        </w:r>
      </w:smartTag>
      <w:r w:rsidRPr="00546EA4">
        <w:t>tion to be made, the Court shall, if necessary, afford just satisfaction to the injured party.”</w:t>
      </w:r>
    </w:p>
    <w:p w:rsidR="0016278E" w:rsidRPr="00546EA4" w:rsidRDefault="0038183E" w:rsidP="00943B61">
      <w:pPr>
        <w:pStyle w:val="JuPara"/>
      </w:pPr>
      <w:r>
        <w:fldChar w:fldCharType="begin"/>
      </w:r>
      <w:r>
        <w:instrText xml:space="preserve"> SEQ level0 \*arabic </w:instrText>
      </w:r>
      <w:r>
        <w:fldChar w:fldCharType="separate"/>
      </w:r>
      <w:r w:rsidR="00D814D9">
        <w:rPr>
          <w:noProof/>
        </w:rPr>
        <w:t>79</w:t>
      </w:r>
      <w:r>
        <w:fldChar w:fldCharType="end"/>
      </w:r>
      <w:r>
        <w:t>.  </w:t>
      </w:r>
      <w:r w:rsidR="0016278E" w:rsidRPr="00546EA4">
        <w:t xml:space="preserve">The </w:t>
      </w:r>
      <w:r w:rsidR="00B04F25" w:rsidRPr="00546EA4">
        <w:t>applicant</w:t>
      </w:r>
      <w:r w:rsidR="0016278E" w:rsidRPr="00546EA4">
        <w:t xml:space="preserve"> did not submit a claim for just satisfaction</w:t>
      </w:r>
      <w:r w:rsidR="00546EA4">
        <w:t xml:space="preserve"> in time</w:t>
      </w:r>
      <w:r w:rsidR="0016278E" w:rsidRPr="00546EA4">
        <w:t xml:space="preserve">. Accordingly, the Court considers that there is no call to award </w:t>
      </w:r>
      <w:r w:rsidR="00546EA4" w:rsidRPr="00546EA4">
        <w:t>him</w:t>
      </w:r>
      <w:r w:rsidR="00333BAA" w:rsidRPr="00546EA4">
        <w:t xml:space="preserve"> any sum on that account.</w:t>
      </w:r>
    </w:p>
    <w:p w:rsidR="0016278E" w:rsidRPr="00546EA4" w:rsidRDefault="0016278E" w:rsidP="009E3D54">
      <w:pPr>
        <w:pStyle w:val="JuHHead"/>
      </w:pPr>
      <w:r w:rsidRPr="00546EA4">
        <w:t xml:space="preserve">FOR THESE REASONS, THE COURT </w:t>
      </w:r>
      <w:r w:rsidR="00546EA4" w:rsidRPr="00546EA4">
        <w:t>UNANIMOUSLY</w:t>
      </w:r>
    </w:p>
    <w:p w:rsidR="00973A0D" w:rsidRPr="00546EA4" w:rsidRDefault="00546EA4" w:rsidP="00C0386C">
      <w:pPr>
        <w:pStyle w:val="JuList"/>
      </w:pPr>
      <w:r>
        <w:t>1</w:t>
      </w:r>
      <w:r w:rsidR="00973A0D" w:rsidRPr="00546EA4">
        <w:t>.  </w:t>
      </w:r>
      <w:r w:rsidR="0016278E" w:rsidRPr="00546EA4">
        <w:rPr>
          <w:i/>
        </w:rPr>
        <w:t>Declares</w:t>
      </w:r>
      <w:r w:rsidR="0016278E" w:rsidRPr="00546EA4">
        <w:t xml:space="preserve"> </w:t>
      </w:r>
      <w:r w:rsidR="00A5743D" w:rsidRPr="00546EA4">
        <w:t xml:space="preserve">the complaint concerning </w:t>
      </w:r>
      <w:r w:rsidR="0016278E" w:rsidRPr="00546EA4">
        <w:t xml:space="preserve">the </w:t>
      </w:r>
      <w:r w:rsidR="00501D1A" w:rsidRPr="00546EA4">
        <w:t xml:space="preserve">excessive </w:t>
      </w:r>
      <w:r w:rsidR="0016278E" w:rsidRPr="00546EA4">
        <w:t>length of the</w:t>
      </w:r>
      <w:r w:rsidR="00EC729E">
        <w:t xml:space="preserve"> applicant</w:t>
      </w:r>
      <w:r w:rsidR="00F50242">
        <w:t>’</w:t>
      </w:r>
      <w:r w:rsidR="00EC729E">
        <w:t>s</w:t>
      </w:r>
      <w:r w:rsidR="0016278E" w:rsidRPr="00546EA4">
        <w:t xml:space="preserve"> </w:t>
      </w:r>
      <w:r>
        <w:t xml:space="preserve">pre-trial detention </w:t>
      </w:r>
      <w:r w:rsidR="0016278E" w:rsidRPr="00546EA4">
        <w:t xml:space="preserve">admissible and the remainder of the </w:t>
      </w:r>
      <w:r w:rsidRPr="00546EA4">
        <w:t>application</w:t>
      </w:r>
      <w:r w:rsidR="0016278E" w:rsidRPr="00546EA4">
        <w:t xml:space="preserve"> inadmissible;</w:t>
      </w:r>
    </w:p>
    <w:p w:rsidR="0016278E" w:rsidRPr="00546EA4" w:rsidRDefault="0016278E" w:rsidP="00C0386C">
      <w:pPr>
        <w:pStyle w:val="JuList"/>
      </w:pPr>
    </w:p>
    <w:p w:rsidR="0016278E" w:rsidRDefault="00546EA4" w:rsidP="00C0386C">
      <w:pPr>
        <w:pStyle w:val="JuList"/>
      </w:pPr>
      <w:r>
        <w:t>2</w:t>
      </w:r>
      <w:r w:rsidR="00973A0D" w:rsidRPr="00546EA4">
        <w:t>.  </w:t>
      </w:r>
      <w:r w:rsidR="0016278E" w:rsidRPr="00546EA4">
        <w:rPr>
          <w:i/>
        </w:rPr>
        <w:t>Holds</w:t>
      </w:r>
      <w:r w:rsidR="0016278E" w:rsidRPr="00546EA4">
        <w:t xml:space="preserve"> that there has been a violation of Article </w:t>
      </w:r>
      <w:r>
        <w:t>5</w:t>
      </w:r>
      <w:r w:rsidR="0016278E" w:rsidRPr="00546EA4">
        <w:t xml:space="preserve"> § </w:t>
      </w:r>
      <w:r>
        <w:t>3</w:t>
      </w:r>
      <w:r w:rsidR="0016278E" w:rsidRPr="00546EA4">
        <w:t xml:space="preserve"> of the Convention</w:t>
      </w:r>
      <w:r w:rsidR="009B6DB4">
        <w:t>.</w:t>
      </w:r>
    </w:p>
    <w:p w:rsidR="0084582A" w:rsidRPr="0084582A" w:rsidRDefault="0016278E" w:rsidP="0084582A">
      <w:pPr>
        <w:pStyle w:val="JuParaLast"/>
      </w:pPr>
      <w:r w:rsidRPr="00546EA4">
        <w:t xml:space="preserve">Done in English, and notified in writing on </w:t>
      </w:r>
      <w:r w:rsidR="00813668">
        <w:t>11 June 2013</w:t>
      </w:r>
      <w:r w:rsidRPr="00546EA4">
        <w:t>, pursuant to Rule</w:t>
      </w:r>
      <w:r w:rsidR="00A5743D" w:rsidRPr="00546EA4">
        <w:t xml:space="preserve"> </w:t>
      </w:r>
      <w:r w:rsidRPr="00546EA4">
        <w:t>77</w:t>
      </w:r>
      <w:r w:rsidR="00A5743D" w:rsidRPr="00546EA4">
        <w:t xml:space="preserve"> </w:t>
      </w:r>
      <w:r w:rsidRPr="00546EA4">
        <w:t>§§</w:t>
      </w:r>
      <w:r w:rsidR="00A5743D" w:rsidRPr="00546EA4">
        <w:t xml:space="preserve"> </w:t>
      </w:r>
      <w:r w:rsidRPr="00546EA4">
        <w:t>2 and</w:t>
      </w:r>
      <w:r w:rsidR="00A5743D" w:rsidRPr="00546EA4">
        <w:t xml:space="preserve"> </w:t>
      </w:r>
      <w:r w:rsidRPr="00546EA4">
        <w:t>3 of the Rules of Court.</w:t>
      </w:r>
    </w:p>
    <w:p w:rsidR="009F714E" w:rsidRPr="00611073" w:rsidRDefault="00813668" w:rsidP="00813668">
      <w:pPr>
        <w:pStyle w:val="JuSigned"/>
        <w:tabs>
          <w:tab w:val="clear" w:pos="851"/>
          <w:tab w:val="center" w:pos="1134"/>
          <w:tab w:val="center" w:pos="7938"/>
        </w:tabs>
        <w:rPr>
          <w:lang w:val="en-US"/>
        </w:rPr>
      </w:pPr>
      <w:r w:rsidRPr="005A02C6">
        <w:rPr>
          <w:rStyle w:val="JuJudgesChar"/>
        </w:rPr>
        <w:tab/>
      </w:r>
      <w:r w:rsidRPr="00611073">
        <w:rPr>
          <w:lang w:val="en-US"/>
        </w:rPr>
        <w:t>Françoise Elens-Passos</w:t>
      </w:r>
      <w:r w:rsidRPr="00611073">
        <w:rPr>
          <w:lang w:val="en-US"/>
        </w:rPr>
        <w:tab/>
        <w:t>David Thór Björgvinsson</w:t>
      </w:r>
      <w:r w:rsidRPr="00611073">
        <w:rPr>
          <w:lang w:val="en-US"/>
        </w:rPr>
        <w:br/>
      </w:r>
      <w:r w:rsidRPr="00611073">
        <w:rPr>
          <w:lang w:val="en-US"/>
        </w:rPr>
        <w:tab/>
        <w:t>Registrar</w:t>
      </w:r>
      <w:r w:rsidRPr="00611073">
        <w:rPr>
          <w:lang w:val="en-US"/>
        </w:rPr>
        <w:tab/>
        <w:t>President</w:t>
      </w:r>
    </w:p>
    <w:p w:rsidR="00251EDA" w:rsidRDefault="00251EDA" w:rsidP="00251EDA">
      <w:pPr>
        <w:pStyle w:val="JuParaLast"/>
      </w:pPr>
      <w:r w:rsidRPr="0025646D">
        <w:t xml:space="preserve">In accordance with Article 45 § 2 of the Convention and Rule 74 </w:t>
      </w:r>
      <w:r w:rsidR="00876D4A">
        <w:t xml:space="preserve">§ 2 of the Rules of Court, the </w:t>
      </w:r>
      <w:r w:rsidR="005E2D38">
        <w:t>concurring</w:t>
      </w:r>
      <w:r w:rsidRPr="0025646D">
        <w:t xml:space="preserve"> opinion of Judge </w:t>
      </w:r>
      <w:r w:rsidRPr="0084582A">
        <w:t>Vincent A. De</w:t>
      </w:r>
      <w:r w:rsidR="008E3B57">
        <w:t> </w:t>
      </w:r>
      <w:r w:rsidRPr="0084582A">
        <w:t>Gaetano</w:t>
      </w:r>
      <w:r w:rsidR="00876D4A">
        <w:t xml:space="preserve">, </w:t>
      </w:r>
      <w:r w:rsidR="00876D4A" w:rsidRPr="00876D4A">
        <w:t>joined by Judge Ziemele</w:t>
      </w:r>
      <w:r w:rsidR="00876D4A">
        <w:t>,</w:t>
      </w:r>
      <w:r w:rsidRPr="0025646D">
        <w:t xml:space="preserve"> is annexed to this judgment.</w:t>
      </w:r>
    </w:p>
    <w:p w:rsidR="00585836" w:rsidRDefault="00251EDA" w:rsidP="00AC0F0A">
      <w:pPr>
        <w:pStyle w:val="JuInitialled"/>
        <w:rPr>
          <w:lang w:val="en-US"/>
        </w:rPr>
      </w:pPr>
      <w:r>
        <w:rPr>
          <w:lang w:val="en-US"/>
        </w:rPr>
        <w:t>D</w:t>
      </w:r>
      <w:r w:rsidR="00F650E3">
        <w:rPr>
          <w:lang w:val="en-US"/>
        </w:rPr>
        <w:t>.</w:t>
      </w:r>
      <w:r>
        <w:rPr>
          <w:lang w:val="en-US"/>
        </w:rPr>
        <w:t>T</w:t>
      </w:r>
      <w:r w:rsidR="00F650E3">
        <w:rPr>
          <w:lang w:val="en-US"/>
        </w:rPr>
        <w:t>.</w:t>
      </w:r>
      <w:r>
        <w:rPr>
          <w:lang w:val="en-US"/>
        </w:rPr>
        <w:t>B</w:t>
      </w:r>
      <w:r w:rsidR="00F650E3">
        <w:rPr>
          <w:lang w:val="en-US"/>
        </w:rPr>
        <w:t>.</w:t>
      </w:r>
      <w:r>
        <w:br/>
      </w:r>
      <w:r>
        <w:rPr>
          <w:lang w:val="en-US"/>
        </w:rPr>
        <w:t>F</w:t>
      </w:r>
      <w:r w:rsidR="00F650E3">
        <w:rPr>
          <w:lang w:val="en-US"/>
        </w:rPr>
        <w:t>.</w:t>
      </w:r>
      <w:r>
        <w:rPr>
          <w:lang w:val="en-US"/>
        </w:rPr>
        <w:t>E</w:t>
      </w:r>
      <w:r w:rsidR="00F650E3">
        <w:rPr>
          <w:lang w:val="en-US"/>
        </w:rPr>
        <w:t>.</w:t>
      </w:r>
      <w:r>
        <w:rPr>
          <w:lang w:val="en-US"/>
        </w:rPr>
        <w:t>P</w:t>
      </w:r>
      <w:r w:rsidR="00F650E3">
        <w:rPr>
          <w:lang w:val="en-US"/>
        </w:rPr>
        <w:t>.</w:t>
      </w:r>
    </w:p>
    <w:p w:rsidR="00B65142" w:rsidRDefault="00B65142" w:rsidP="00AC0F0A">
      <w:pPr>
        <w:pStyle w:val="JuInitialled"/>
        <w:sectPr w:rsidR="00B65142" w:rsidSect="00791293">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pPr>
    </w:p>
    <w:p w:rsidR="00B65142" w:rsidRDefault="00B65142" w:rsidP="00B65142">
      <w:pPr>
        <w:pStyle w:val="OpiHHead"/>
      </w:pPr>
      <w:r w:rsidRPr="00617A45">
        <w:t>CONCURRING</w:t>
      </w:r>
      <w:r w:rsidRPr="0025646D">
        <w:t xml:space="preserve"> OPINION OF JUDGE </w:t>
      </w:r>
      <w:r w:rsidRPr="0084582A">
        <w:t>DE</w:t>
      </w:r>
      <w:r w:rsidR="000367E5">
        <w:t> </w:t>
      </w:r>
      <w:r w:rsidRPr="0084582A">
        <w:t>GAETANO</w:t>
      </w:r>
      <w:r w:rsidR="00744F6B">
        <w:t xml:space="preserve">, </w:t>
      </w:r>
      <w:r w:rsidR="00744F6B" w:rsidRPr="00744F6B">
        <w:t>JOINED BY JUDGE ZIEMELE</w:t>
      </w:r>
    </w:p>
    <w:p w:rsidR="00C0386C" w:rsidRDefault="00FA657E" w:rsidP="00FA657E">
      <w:pPr>
        <w:pStyle w:val="OpiPara"/>
      </w:pPr>
      <w:r>
        <w:t xml:space="preserve">1.  The period of deprivation of liberty – pre-trial detention – in issue in this case is of one year, eleven months and eighteen days. How the respondent Government could, with a straight face, submit that the applicant was to be considered as having suffered no “significant disadvantage” according to </w:t>
      </w:r>
      <w:r w:rsidRPr="00FA657E">
        <w:t>Article 35 § 3 (b)</w:t>
      </w:r>
      <w:r>
        <w:t xml:space="preserve"> is beyond my powers of comprehension.</w:t>
      </w:r>
    </w:p>
    <w:p w:rsidR="00FA657E" w:rsidRDefault="00FA657E" w:rsidP="00FA657E">
      <w:pPr>
        <w:pStyle w:val="OpiPara"/>
      </w:pPr>
    </w:p>
    <w:p w:rsidR="00FA657E" w:rsidRDefault="00FA657E" w:rsidP="00FA657E">
      <w:pPr>
        <w:pStyle w:val="OpiPara"/>
      </w:pPr>
      <w:r>
        <w:t>2.  What I find even more strange is that in this case the Court thought fit to devote four substantial</w:t>
      </w:r>
      <w:r w:rsidR="00AF684D">
        <w:t xml:space="preserve"> paragraphs –</w:t>
      </w:r>
      <w:r w:rsidR="005E2D38">
        <w:t xml:space="preserve"> §§ 56</w:t>
      </w:r>
      <w:r w:rsidR="00AF684D">
        <w:t xml:space="preserve"> to </w:t>
      </w:r>
      <w:r>
        <w:t>59 – in order to dismiss the Government</w:t>
      </w:r>
      <w:r w:rsidR="00F50242">
        <w:t>’</w:t>
      </w:r>
      <w:r>
        <w:t xml:space="preserve">s third preliminary plea on inadmissibility, suggesting in the process (see the last sentence of § 58) that a pre-trial detention in breach of </w:t>
      </w:r>
      <w:r w:rsidRPr="00FA657E">
        <w:t>Article 5 § 3</w:t>
      </w:r>
      <w:r>
        <w:t xml:space="preserve"> may be caught by the </w:t>
      </w:r>
      <w:r w:rsidRPr="00AF684D">
        <w:rPr>
          <w:i/>
        </w:rPr>
        <w:t>de minimis</w:t>
      </w:r>
      <w:r>
        <w:t xml:space="preserve"> criterion. My concern is if this attitude were transposed generally to deprivations of liberty in breach of Article 5 § 1. It is difficult for me to conceive of a situation where a deprivation of liberty in breach of Article 5 § 1 can ever be regarded as a non-significant violation. At most a given situation may amount to a mere temporary restriction of one</w:t>
      </w:r>
      <w:r w:rsidR="00F50242">
        <w:t>’</w:t>
      </w:r>
      <w:r>
        <w:t xml:space="preserve">s liberty, as was implicit in </w:t>
      </w:r>
      <w:r w:rsidRPr="00AF684D">
        <w:rPr>
          <w:i/>
        </w:rPr>
        <w:t>Austin and Others v. the United Kingdom</w:t>
      </w:r>
      <w:r>
        <w:t xml:space="preserve"> ([GC] nos. 39692/09, 40713/09 and 41008/09, 15 March 2012). In </w:t>
      </w:r>
      <w:r w:rsidRPr="00AF684D">
        <w:rPr>
          <w:i/>
        </w:rPr>
        <w:t>Ostendorf v. Germany</w:t>
      </w:r>
      <w:r>
        <w:t xml:space="preserve"> (no. 15598/08, 7 March 2013) – where a person was detained for </w:t>
      </w:r>
      <w:r w:rsidRPr="00AF684D">
        <w:rPr>
          <w:i/>
        </w:rPr>
        <w:t>four hours</w:t>
      </w:r>
      <w:r>
        <w:t xml:space="preserve"> – it never crossed anyone</w:t>
      </w:r>
      <w:r w:rsidR="00F50242">
        <w:t>’</w:t>
      </w:r>
      <w:r>
        <w:t xml:space="preserve">s mind even to suggest that this was a </w:t>
      </w:r>
      <w:r w:rsidRPr="00AF684D">
        <w:rPr>
          <w:i/>
        </w:rPr>
        <w:t>de minimis</w:t>
      </w:r>
      <w:r>
        <w:t xml:space="preserve"> case (even though the “no significant disadvantage” admissibility criterion was applicable in virtue of the transitory provisions of Protocol No. 14). But then perhaps the Court</w:t>
      </w:r>
      <w:r w:rsidR="00F50242">
        <w:t>’</w:t>
      </w:r>
      <w:r>
        <w:t>s imagination in that case, like my imagination, is not fertile enough!</w:t>
      </w:r>
    </w:p>
    <w:p w:rsidR="00FA657E" w:rsidRDefault="00FA657E" w:rsidP="00FA657E">
      <w:pPr>
        <w:pStyle w:val="OpiPara"/>
      </w:pPr>
    </w:p>
    <w:p w:rsidR="00B65142" w:rsidRPr="00B65142" w:rsidRDefault="00FA657E" w:rsidP="00FA657E">
      <w:pPr>
        <w:pStyle w:val="OpiPara"/>
      </w:pPr>
      <w:r>
        <w:t xml:space="preserve">3.  It would be a sad day indeed for fundamental human rights if, in order to reduce its backlog, the Court were to begin applying </w:t>
      </w:r>
      <w:r w:rsidRPr="00FA657E">
        <w:t>Article 35 § 3 (b)</w:t>
      </w:r>
      <w:r>
        <w:t xml:space="preserve"> to Article 5 § 1 situations, instead of confining the said ground of inadmissibility to violations with a financial or patrimonial impact considered to be trivial (as, for example, in </w:t>
      </w:r>
      <w:r w:rsidRPr="00AF684D">
        <w:rPr>
          <w:i/>
        </w:rPr>
        <w:t>Korolev v. Russia</w:t>
      </w:r>
      <w:r>
        <w:t xml:space="preserve"> (dec.)</w:t>
      </w:r>
      <w:r w:rsidR="00AF684D">
        <w:t>,</w:t>
      </w:r>
      <w:r>
        <w:t xml:space="preserve"> no. 25551/05, 1 July 2010; and </w:t>
      </w:r>
      <w:r w:rsidRPr="00AF684D">
        <w:rPr>
          <w:i/>
        </w:rPr>
        <w:t>Cecchetti v. San Marino</w:t>
      </w:r>
      <w:r>
        <w:t xml:space="preserve"> (dec.)</w:t>
      </w:r>
      <w:r w:rsidR="00AF684D">
        <w:t>,</w:t>
      </w:r>
      <w:r>
        <w:t xml:space="preserve"> no. 40174/08, 9 April 2013). Were that to happen, cases like those of sexagenarian Mrs Sofiika Vasileva, who was illegally detained overnight in a police cell for failing to reveal her identity to a bus ticket inspector after she was caught riding the bus without a valid ticket (</w:t>
      </w:r>
      <w:r w:rsidRPr="00AF684D">
        <w:rPr>
          <w:i/>
        </w:rPr>
        <w:t>Vasileva v. Denmark</w:t>
      </w:r>
      <w:r w:rsidR="00AF684D">
        <w:t>,</w:t>
      </w:r>
      <w:r>
        <w:t xml:space="preserve"> no. 52792/99, 25 September 2003), would probably be declared </w:t>
      </w:r>
      <w:r w:rsidRPr="00AF684D">
        <w:rPr>
          <w:i/>
        </w:rPr>
        <w:t>de minimis</w:t>
      </w:r>
      <w:r>
        <w:t>.</w:t>
      </w:r>
    </w:p>
    <w:sectPr w:rsidR="00B65142" w:rsidRPr="00B65142" w:rsidSect="004A6917">
      <w:headerReference w:type="default" r:id="rId16"/>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BE" w:rsidRDefault="009B13BE">
      <w:r>
        <w:separator/>
      </w:r>
    </w:p>
  </w:endnote>
  <w:endnote w:type="continuationSeparator" w:id="0">
    <w:p w:rsidR="009B13BE" w:rsidRDefault="009B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8" w:rsidRPr="00150BFA" w:rsidRDefault="00D814D9" w:rsidP="00891C69">
    <w:pPr>
      <w:jc w:val="center"/>
      <w:rPr>
        <w:sz w:val="4"/>
        <w:szCs w:val="4"/>
      </w:rPr>
    </w:pPr>
    <w:r>
      <w:rPr>
        <w:noProof/>
        <w:sz w:val="4"/>
        <w:szCs w:val="4"/>
        <w:lang w:val="en-US" w:eastAsia="ja-JP"/>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813668" w:rsidRDefault="00813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BE" w:rsidRDefault="009B13BE">
      <w:r>
        <w:separator/>
      </w:r>
    </w:p>
  </w:footnote>
  <w:footnote w:type="continuationSeparator" w:id="0">
    <w:p w:rsidR="009B13BE" w:rsidRDefault="009B1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25" w:rsidRPr="00813668" w:rsidRDefault="00864B25" w:rsidP="008136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8" w:rsidRPr="00C00F0F" w:rsidRDefault="00D814D9">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864B25" w:rsidRDefault="00864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8" w:rsidRDefault="00813668">
    <w:pPr>
      <w:pStyle w:val="JuHeader"/>
    </w:pPr>
    <w:r>
      <w:rPr>
        <w:rStyle w:val="PageNumber"/>
      </w:rPr>
      <w:fldChar w:fldCharType="begin"/>
    </w:r>
    <w:r>
      <w:rPr>
        <w:rStyle w:val="PageNumber"/>
      </w:rPr>
      <w:instrText xml:space="preserve"> PAGE </w:instrText>
    </w:r>
    <w:r>
      <w:rPr>
        <w:rStyle w:val="PageNumber"/>
      </w:rPr>
      <w:fldChar w:fldCharType="separate"/>
    </w:r>
    <w:r w:rsidR="00D814D9">
      <w:rPr>
        <w:rStyle w:val="PageNumber"/>
        <w:noProof/>
      </w:rPr>
      <w:t>9</w:t>
    </w:r>
    <w:r>
      <w:rPr>
        <w:rStyle w:val="PageNumber"/>
      </w:rPr>
      <w:fldChar w:fldCharType="end"/>
    </w:r>
    <w:r>
      <w:tab/>
      <w:t>BANNIKOV v. LATVIA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8" w:rsidRDefault="00813668">
    <w:pPr>
      <w:pStyle w:val="JuHeader"/>
    </w:pPr>
    <w:r>
      <w:tab/>
      <w:t>BANNIKOV v. LATVIA JUDGMENT</w:t>
    </w:r>
    <w:r>
      <w:tab/>
    </w:r>
    <w:r>
      <w:rPr>
        <w:rStyle w:val="PageNumber"/>
      </w:rPr>
      <w:fldChar w:fldCharType="begin"/>
    </w:r>
    <w:r>
      <w:rPr>
        <w:rStyle w:val="PageNumber"/>
      </w:rPr>
      <w:instrText xml:space="preserve"> PAGE </w:instrText>
    </w:r>
    <w:r>
      <w:rPr>
        <w:rStyle w:val="PageNumber"/>
      </w:rPr>
      <w:fldChar w:fldCharType="separate"/>
    </w:r>
    <w:r w:rsidR="00D814D9">
      <w:rPr>
        <w:rStyle w:val="PageNumber"/>
        <w:noProof/>
      </w:rPr>
      <w:t>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142" w:rsidRDefault="00B65142">
    <w:pPr>
      <w:pStyle w:val="JuHeader"/>
    </w:pPr>
    <w:r>
      <w:tab/>
      <w:t xml:space="preserve">BANNIKOV v. LATVIA JUDGMENT - </w:t>
    </w:r>
    <w:r w:rsidR="00876D4A">
      <w:t>SEPARATE</w:t>
    </w:r>
    <w:r w:rsidRPr="0025646D">
      <w:t xml:space="preserve"> OPINION</w:t>
    </w:r>
    <w:r>
      <w:tab/>
    </w:r>
    <w:r>
      <w:rPr>
        <w:rStyle w:val="PageNumber"/>
      </w:rPr>
      <w:fldChar w:fldCharType="begin"/>
    </w:r>
    <w:r>
      <w:rPr>
        <w:rStyle w:val="PageNumber"/>
      </w:rPr>
      <w:instrText xml:space="preserve"> PAGE </w:instrText>
    </w:r>
    <w:r>
      <w:rPr>
        <w:rStyle w:val="PageNumber"/>
      </w:rPr>
      <w:fldChar w:fldCharType="separate"/>
    </w:r>
    <w:r w:rsidR="00D814D9">
      <w:rPr>
        <w:rStyle w:val="PageNumber"/>
        <w:noProof/>
      </w:rPr>
      <w:t>9</w:t>
    </w:r>
    <w:r>
      <w:rPr>
        <w:rStyle w:val="PageNumber"/>
      </w:rPr>
      <w:fldChar w:fldCharType="end"/>
    </w:r>
  </w:p>
  <w:p w:rsidR="00291EB6" w:rsidRDefault="00291E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1"/>
    <w:docVar w:name="DocVarPREMATURE" w:val="0"/>
    <w:docVar w:name="EMM" w:val="0"/>
    <w:docVar w:name="ETRANSMISSION" w:val="BY E-TRANSMISSION ONLY"/>
    <w:docVar w:name="L4_1Annex" w:val="0"/>
    <w:docVar w:name="L4_1Anonymity" w:val="0"/>
    <w:docVar w:name="L4_1AppNatList" w:val="Russian"/>
    <w:docVar w:name="NBEMMDOC" w:val="0"/>
    <w:docVar w:name="SignForeName" w:val="0"/>
  </w:docVars>
  <w:rsids>
    <w:rsidRoot w:val="00546EA4"/>
    <w:rsid w:val="000010C3"/>
    <w:rsid w:val="00002455"/>
    <w:rsid w:val="0000633C"/>
    <w:rsid w:val="00010A96"/>
    <w:rsid w:val="00012793"/>
    <w:rsid w:val="000138E4"/>
    <w:rsid w:val="00015B7F"/>
    <w:rsid w:val="00021413"/>
    <w:rsid w:val="000227BC"/>
    <w:rsid w:val="00027FAB"/>
    <w:rsid w:val="00031D35"/>
    <w:rsid w:val="00032A9C"/>
    <w:rsid w:val="000367DD"/>
    <w:rsid w:val="000367E5"/>
    <w:rsid w:val="0004158A"/>
    <w:rsid w:val="00046A4A"/>
    <w:rsid w:val="0005376F"/>
    <w:rsid w:val="000563DA"/>
    <w:rsid w:val="00057621"/>
    <w:rsid w:val="00057E69"/>
    <w:rsid w:val="00061096"/>
    <w:rsid w:val="000621E9"/>
    <w:rsid w:val="000628DB"/>
    <w:rsid w:val="00064B97"/>
    <w:rsid w:val="00072067"/>
    <w:rsid w:val="00072D28"/>
    <w:rsid w:val="00072E54"/>
    <w:rsid w:val="00083DA1"/>
    <w:rsid w:val="00085CDF"/>
    <w:rsid w:val="00086F01"/>
    <w:rsid w:val="0009043E"/>
    <w:rsid w:val="00092EBD"/>
    <w:rsid w:val="00096909"/>
    <w:rsid w:val="00096CC0"/>
    <w:rsid w:val="0009749C"/>
    <w:rsid w:val="000A04B1"/>
    <w:rsid w:val="000A1BAC"/>
    <w:rsid w:val="000A4179"/>
    <w:rsid w:val="000A50C1"/>
    <w:rsid w:val="000B00C8"/>
    <w:rsid w:val="000B129F"/>
    <w:rsid w:val="000B2145"/>
    <w:rsid w:val="000B3D20"/>
    <w:rsid w:val="000B4D2A"/>
    <w:rsid w:val="000B7BD7"/>
    <w:rsid w:val="000C09DC"/>
    <w:rsid w:val="000C17A2"/>
    <w:rsid w:val="000C333C"/>
    <w:rsid w:val="000C45BF"/>
    <w:rsid w:val="000C5E5D"/>
    <w:rsid w:val="000D01C8"/>
    <w:rsid w:val="000D76AB"/>
    <w:rsid w:val="000D7AFC"/>
    <w:rsid w:val="000E0A20"/>
    <w:rsid w:val="000E2EA1"/>
    <w:rsid w:val="000E3B9F"/>
    <w:rsid w:val="000E7BBE"/>
    <w:rsid w:val="000F03F5"/>
    <w:rsid w:val="000F0560"/>
    <w:rsid w:val="000F0A18"/>
    <w:rsid w:val="000F6E91"/>
    <w:rsid w:val="00103204"/>
    <w:rsid w:val="00104B80"/>
    <w:rsid w:val="00110884"/>
    <w:rsid w:val="00110F02"/>
    <w:rsid w:val="001162F9"/>
    <w:rsid w:val="001267D6"/>
    <w:rsid w:val="001346B0"/>
    <w:rsid w:val="00141DEB"/>
    <w:rsid w:val="0014299A"/>
    <w:rsid w:val="0014338E"/>
    <w:rsid w:val="00145B9E"/>
    <w:rsid w:val="0014680A"/>
    <w:rsid w:val="00151C49"/>
    <w:rsid w:val="00153F89"/>
    <w:rsid w:val="0016278E"/>
    <w:rsid w:val="00163DD3"/>
    <w:rsid w:val="00172644"/>
    <w:rsid w:val="00180EFF"/>
    <w:rsid w:val="00181206"/>
    <w:rsid w:val="00194C63"/>
    <w:rsid w:val="001A1053"/>
    <w:rsid w:val="001B00FC"/>
    <w:rsid w:val="001B24C4"/>
    <w:rsid w:val="001B54C0"/>
    <w:rsid w:val="001C12E0"/>
    <w:rsid w:val="001C34F4"/>
    <w:rsid w:val="001C3818"/>
    <w:rsid w:val="001D2996"/>
    <w:rsid w:val="001D2BAE"/>
    <w:rsid w:val="001D4928"/>
    <w:rsid w:val="001D5057"/>
    <w:rsid w:val="001E0809"/>
    <w:rsid w:val="001E354B"/>
    <w:rsid w:val="001E576A"/>
    <w:rsid w:val="001F3314"/>
    <w:rsid w:val="001F5EF5"/>
    <w:rsid w:val="002108F3"/>
    <w:rsid w:val="0021469D"/>
    <w:rsid w:val="0022035D"/>
    <w:rsid w:val="00226116"/>
    <w:rsid w:val="00230862"/>
    <w:rsid w:val="00232CEE"/>
    <w:rsid w:val="00233C3F"/>
    <w:rsid w:val="00246046"/>
    <w:rsid w:val="00251730"/>
    <w:rsid w:val="00251EDA"/>
    <w:rsid w:val="00257810"/>
    <w:rsid w:val="00257EB2"/>
    <w:rsid w:val="00262596"/>
    <w:rsid w:val="00263500"/>
    <w:rsid w:val="00265BEA"/>
    <w:rsid w:val="002667C2"/>
    <w:rsid w:val="00273032"/>
    <w:rsid w:val="00274998"/>
    <w:rsid w:val="00280AB6"/>
    <w:rsid w:val="00283019"/>
    <w:rsid w:val="00283185"/>
    <w:rsid w:val="002832A1"/>
    <w:rsid w:val="00283428"/>
    <w:rsid w:val="0028476C"/>
    <w:rsid w:val="00284A28"/>
    <w:rsid w:val="002856C6"/>
    <w:rsid w:val="002868E4"/>
    <w:rsid w:val="00287D33"/>
    <w:rsid w:val="002913E2"/>
    <w:rsid w:val="00291EB6"/>
    <w:rsid w:val="00293BD7"/>
    <w:rsid w:val="0029695E"/>
    <w:rsid w:val="00297141"/>
    <w:rsid w:val="002978BB"/>
    <w:rsid w:val="002A1CE6"/>
    <w:rsid w:val="002A1F9F"/>
    <w:rsid w:val="002A2AFC"/>
    <w:rsid w:val="002A3048"/>
    <w:rsid w:val="002A5EA3"/>
    <w:rsid w:val="002A7332"/>
    <w:rsid w:val="002B0F64"/>
    <w:rsid w:val="002B2DC6"/>
    <w:rsid w:val="002B3282"/>
    <w:rsid w:val="002C0AF2"/>
    <w:rsid w:val="002C437C"/>
    <w:rsid w:val="002C637F"/>
    <w:rsid w:val="002D6269"/>
    <w:rsid w:val="002E2C22"/>
    <w:rsid w:val="002E4EB9"/>
    <w:rsid w:val="002E6202"/>
    <w:rsid w:val="002F1BC6"/>
    <w:rsid w:val="002F3B14"/>
    <w:rsid w:val="002F44D0"/>
    <w:rsid w:val="002F5EE8"/>
    <w:rsid w:val="002F6C77"/>
    <w:rsid w:val="002F712A"/>
    <w:rsid w:val="002F7E54"/>
    <w:rsid w:val="00300753"/>
    <w:rsid w:val="00305949"/>
    <w:rsid w:val="0030686E"/>
    <w:rsid w:val="00306F2A"/>
    <w:rsid w:val="003124C1"/>
    <w:rsid w:val="003218C5"/>
    <w:rsid w:val="00325B01"/>
    <w:rsid w:val="00325F85"/>
    <w:rsid w:val="0032789F"/>
    <w:rsid w:val="00327AD6"/>
    <w:rsid w:val="00330332"/>
    <w:rsid w:val="00333723"/>
    <w:rsid w:val="00333BAA"/>
    <w:rsid w:val="00340D0F"/>
    <w:rsid w:val="00340ED2"/>
    <w:rsid w:val="003452DE"/>
    <w:rsid w:val="00347854"/>
    <w:rsid w:val="00354577"/>
    <w:rsid w:val="003547A2"/>
    <w:rsid w:val="003551AD"/>
    <w:rsid w:val="0035678C"/>
    <w:rsid w:val="0035735B"/>
    <w:rsid w:val="00360BB7"/>
    <w:rsid w:val="00361E4D"/>
    <w:rsid w:val="00366A98"/>
    <w:rsid w:val="00367623"/>
    <w:rsid w:val="00376B86"/>
    <w:rsid w:val="0038154E"/>
    <w:rsid w:val="0038183E"/>
    <w:rsid w:val="003901F7"/>
    <w:rsid w:val="003921CD"/>
    <w:rsid w:val="00392691"/>
    <w:rsid w:val="003A4140"/>
    <w:rsid w:val="003B49C3"/>
    <w:rsid w:val="003B50C9"/>
    <w:rsid w:val="003B5C85"/>
    <w:rsid w:val="003C04B7"/>
    <w:rsid w:val="003C2B14"/>
    <w:rsid w:val="003C3745"/>
    <w:rsid w:val="003C6FFD"/>
    <w:rsid w:val="003D223E"/>
    <w:rsid w:val="003D5452"/>
    <w:rsid w:val="003D65E7"/>
    <w:rsid w:val="003E028A"/>
    <w:rsid w:val="003E0678"/>
    <w:rsid w:val="003E1DFE"/>
    <w:rsid w:val="003E233B"/>
    <w:rsid w:val="003E7B05"/>
    <w:rsid w:val="00402274"/>
    <w:rsid w:val="004107F5"/>
    <w:rsid w:val="00412E07"/>
    <w:rsid w:val="00417A44"/>
    <w:rsid w:val="00422709"/>
    <w:rsid w:val="004273C0"/>
    <w:rsid w:val="00431DBC"/>
    <w:rsid w:val="004353A8"/>
    <w:rsid w:val="00437423"/>
    <w:rsid w:val="00441F44"/>
    <w:rsid w:val="00444B35"/>
    <w:rsid w:val="0044553B"/>
    <w:rsid w:val="004606E6"/>
    <w:rsid w:val="004630F3"/>
    <w:rsid w:val="00464B5F"/>
    <w:rsid w:val="00472F09"/>
    <w:rsid w:val="0047645B"/>
    <w:rsid w:val="00481ADF"/>
    <w:rsid w:val="00486430"/>
    <w:rsid w:val="00492ADB"/>
    <w:rsid w:val="00493B7F"/>
    <w:rsid w:val="0049562A"/>
    <w:rsid w:val="004A0B93"/>
    <w:rsid w:val="004A4BB0"/>
    <w:rsid w:val="004A6917"/>
    <w:rsid w:val="004B50C8"/>
    <w:rsid w:val="004C05B1"/>
    <w:rsid w:val="004C4341"/>
    <w:rsid w:val="004C748F"/>
    <w:rsid w:val="004D6EC7"/>
    <w:rsid w:val="004E28A7"/>
    <w:rsid w:val="004E439F"/>
    <w:rsid w:val="004E54E7"/>
    <w:rsid w:val="004F4C5F"/>
    <w:rsid w:val="00501D1A"/>
    <w:rsid w:val="0050345A"/>
    <w:rsid w:val="00504F42"/>
    <w:rsid w:val="0050576E"/>
    <w:rsid w:val="00510BF7"/>
    <w:rsid w:val="00510DAF"/>
    <w:rsid w:val="005114C1"/>
    <w:rsid w:val="0051305E"/>
    <w:rsid w:val="005130B8"/>
    <w:rsid w:val="00515486"/>
    <w:rsid w:val="00515766"/>
    <w:rsid w:val="00515E4F"/>
    <w:rsid w:val="0051733D"/>
    <w:rsid w:val="0051794D"/>
    <w:rsid w:val="00520D6E"/>
    <w:rsid w:val="005234CA"/>
    <w:rsid w:val="00527F37"/>
    <w:rsid w:val="0053027E"/>
    <w:rsid w:val="00536FC1"/>
    <w:rsid w:val="005370AC"/>
    <w:rsid w:val="0054007B"/>
    <w:rsid w:val="0054498E"/>
    <w:rsid w:val="00544BDD"/>
    <w:rsid w:val="00546EA4"/>
    <w:rsid w:val="00551452"/>
    <w:rsid w:val="005552A9"/>
    <w:rsid w:val="00561EA2"/>
    <w:rsid w:val="00570D34"/>
    <w:rsid w:val="005771EC"/>
    <w:rsid w:val="00577E6A"/>
    <w:rsid w:val="00577EA0"/>
    <w:rsid w:val="00585836"/>
    <w:rsid w:val="00591A4B"/>
    <w:rsid w:val="00591BFA"/>
    <w:rsid w:val="005924C4"/>
    <w:rsid w:val="0059507B"/>
    <w:rsid w:val="005959A8"/>
    <w:rsid w:val="005A0CD9"/>
    <w:rsid w:val="005A187F"/>
    <w:rsid w:val="005B45FD"/>
    <w:rsid w:val="005B540F"/>
    <w:rsid w:val="005B715A"/>
    <w:rsid w:val="005C2165"/>
    <w:rsid w:val="005C5DF2"/>
    <w:rsid w:val="005D23B3"/>
    <w:rsid w:val="005D524F"/>
    <w:rsid w:val="005E2D38"/>
    <w:rsid w:val="005E4847"/>
    <w:rsid w:val="005F3CCC"/>
    <w:rsid w:val="00602AEC"/>
    <w:rsid w:val="00611073"/>
    <w:rsid w:val="00613171"/>
    <w:rsid w:val="00614E64"/>
    <w:rsid w:val="00616404"/>
    <w:rsid w:val="00627C47"/>
    <w:rsid w:val="00634268"/>
    <w:rsid w:val="006365BE"/>
    <w:rsid w:val="00637650"/>
    <w:rsid w:val="00642777"/>
    <w:rsid w:val="00643B6E"/>
    <w:rsid w:val="0064497B"/>
    <w:rsid w:val="006457C5"/>
    <w:rsid w:val="0065251F"/>
    <w:rsid w:val="006536D2"/>
    <w:rsid w:val="00657281"/>
    <w:rsid w:val="0066108D"/>
    <w:rsid w:val="00667A87"/>
    <w:rsid w:val="006773C0"/>
    <w:rsid w:val="00691A49"/>
    <w:rsid w:val="006975AF"/>
    <w:rsid w:val="006A174A"/>
    <w:rsid w:val="006A4CD5"/>
    <w:rsid w:val="006A5C8D"/>
    <w:rsid w:val="006B570A"/>
    <w:rsid w:val="006B7709"/>
    <w:rsid w:val="006B7780"/>
    <w:rsid w:val="006C28D9"/>
    <w:rsid w:val="006C6436"/>
    <w:rsid w:val="006C67EB"/>
    <w:rsid w:val="006D38D6"/>
    <w:rsid w:val="006D7064"/>
    <w:rsid w:val="006D75A9"/>
    <w:rsid w:val="006E20B1"/>
    <w:rsid w:val="006E239E"/>
    <w:rsid w:val="006E3F8F"/>
    <w:rsid w:val="006F1620"/>
    <w:rsid w:val="006F5356"/>
    <w:rsid w:val="006F69CE"/>
    <w:rsid w:val="006F795B"/>
    <w:rsid w:val="007036AC"/>
    <w:rsid w:val="00706970"/>
    <w:rsid w:val="007076C4"/>
    <w:rsid w:val="00717E46"/>
    <w:rsid w:val="0072435A"/>
    <w:rsid w:val="00725C90"/>
    <w:rsid w:val="0073753A"/>
    <w:rsid w:val="007418FB"/>
    <w:rsid w:val="00744F6B"/>
    <w:rsid w:val="00746348"/>
    <w:rsid w:val="00752697"/>
    <w:rsid w:val="00752D46"/>
    <w:rsid w:val="007531BC"/>
    <w:rsid w:val="0075456D"/>
    <w:rsid w:val="007662D9"/>
    <w:rsid w:val="00770FB9"/>
    <w:rsid w:val="00773E6E"/>
    <w:rsid w:val="00774552"/>
    <w:rsid w:val="007745AE"/>
    <w:rsid w:val="00776877"/>
    <w:rsid w:val="00781E6B"/>
    <w:rsid w:val="007906A9"/>
    <w:rsid w:val="00790865"/>
    <w:rsid w:val="00791293"/>
    <w:rsid w:val="00792F7A"/>
    <w:rsid w:val="00793A47"/>
    <w:rsid w:val="007A3762"/>
    <w:rsid w:val="007A6E91"/>
    <w:rsid w:val="007A7C65"/>
    <w:rsid w:val="007B5F25"/>
    <w:rsid w:val="007C3349"/>
    <w:rsid w:val="007D222A"/>
    <w:rsid w:val="007D248F"/>
    <w:rsid w:val="007D31CA"/>
    <w:rsid w:val="007D37DD"/>
    <w:rsid w:val="007D4F1A"/>
    <w:rsid w:val="007D5646"/>
    <w:rsid w:val="007E13BF"/>
    <w:rsid w:val="007E6FDB"/>
    <w:rsid w:val="007F0150"/>
    <w:rsid w:val="007F0608"/>
    <w:rsid w:val="007F0676"/>
    <w:rsid w:val="007F15A7"/>
    <w:rsid w:val="007F28E3"/>
    <w:rsid w:val="007F520E"/>
    <w:rsid w:val="00804C30"/>
    <w:rsid w:val="00805D57"/>
    <w:rsid w:val="00806E5F"/>
    <w:rsid w:val="00810ED5"/>
    <w:rsid w:val="00813668"/>
    <w:rsid w:val="00813D53"/>
    <w:rsid w:val="0082548A"/>
    <w:rsid w:val="00826617"/>
    <w:rsid w:val="00833BCF"/>
    <w:rsid w:val="00834A8F"/>
    <w:rsid w:val="00836EA7"/>
    <w:rsid w:val="00841C48"/>
    <w:rsid w:val="00844099"/>
    <w:rsid w:val="0084510E"/>
    <w:rsid w:val="0084582A"/>
    <w:rsid w:val="00853D89"/>
    <w:rsid w:val="008544C8"/>
    <w:rsid w:val="00857A11"/>
    <w:rsid w:val="0086150E"/>
    <w:rsid w:val="00861F65"/>
    <w:rsid w:val="008648B9"/>
    <w:rsid w:val="00864B25"/>
    <w:rsid w:val="008706FE"/>
    <w:rsid w:val="00871C3E"/>
    <w:rsid w:val="00872602"/>
    <w:rsid w:val="008726A3"/>
    <w:rsid w:val="008739AD"/>
    <w:rsid w:val="00876D4A"/>
    <w:rsid w:val="00877B56"/>
    <w:rsid w:val="00883EC6"/>
    <w:rsid w:val="0088522B"/>
    <w:rsid w:val="00886185"/>
    <w:rsid w:val="008874F3"/>
    <w:rsid w:val="0088787E"/>
    <w:rsid w:val="00891475"/>
    <w:rsid w:val="00891751"/>
    <w:rsid w:val="00891C69"/>
    <w:rsid w:val="008943FB"/>
    <w:rsid w:val="00895D35"/>
    <w:rsid w:val="00896A9A"/>
    <w:rsid w:val="00896CC5"/>
    <w:rsid w:val="00896ECC"/>
    <w:rsid w:val="008B155D"/>
    <w:rsid w:val="008B24B3"/>
    <w:rsid w:val="008D0A4C"/>
    <w:rsid w:val="008D417A"/>
    <w:rsid w:val="008D4318"/>
    <w:rsid w:val="008D5D3F"/>
    <w:rsid w:val="008D7090"/>
    <w:rsid w:val="008E0939"/>
    <w:rsid w:val="008E16CF"/>
    <w:rsid w:val="008E18A4"/>
    <w:rsid w:val="008E3B03"/>
    <w:rsid w:val="008E3B57"/>
    <w:rsid w:val="008E5397"/>
    <w:rsid w:val="008E5DCF"/>
    <w:rsid w:val="00902DC1"/>
    <w:rsid w:val="0090641F"/>
    <w:rsid w:val="00910BED"/>
    <w:rsid w:val="00910F64"/>
    <w:rsid w:val="009132BA"/>
    <w:rsid w:val="00924DD0"/>
    <w:rsid w:val="009271A8"/>
    <w:rsid w:val="0093127A"/>
    <w:rsid w:val="009313BD"/>
    <w:rsid w:val="00942078"/>
    <w:rsid w:val="009428B2"/>
    <w:rsid w:val="00943B61"/>
    <w:rsid w:val="009441A9"/>
    <w:rsid w:val="00950570"/>
    <w:rsid w:val="00953564"/>
    <w:rsid w:val="009555CF"/>
    <w:rsid w:val="00956142"/>
    <w:rsid w:val="00973A0D"/>
    <w:rsid w:val="00981DF6"/>
    <w:rsid w:val="00982DBA"/>
    <w:rsid w:val="00985648"/>
    <w:rsid w:val="0099052E"/>
    <w:rsid w:val="009912C4"/>
    <w:rsid w:val="00992B2D"/>
    <w:rsid w:val="00994B01"/>
    <w:rsid w:val="00995AA0"/>
    <w:rsid w:val="009962E6"/>
    <w:rsid w:val="00996A2B"/>
    <w:rsid w:val="00996D33"/>
    <w:rsid w:val="0099709A"/>
    <w:rsid w:val="009A3B65"/>
    <w:rsid w:val="009A4945"/>
    <w:rsid w:val="009B0837"/>
    <w:rsid w:val="009B0886"/>
    <w:rsid w:val="009B13BE"/>
    <w:rsid w:val="009B19FB"/>
    <w:rsid w:val="009B2DEE"/>
    <w:rsid w:val="009B6DB4"/>
    <w:rsid w:val="009B6EDF"/>
    <w:rsid w:val="009C211E"/>
    <w:rsid w:val="009C77E7"/>
    <w:rsid w:val="009D092F"/>
    <w:rsid w:val="009D1F29"/>
    <w:rsid w:val="009D462E"/>
    <w:rsid w:val="009E2B8D"/>
    <w:rsid w:val="009E3D54"/>
    <w:rsid w:val="009E7AD6"/>
    <w:rsid w:val="009E7DEC"/>
    <w:rsid w:val="009F4F5C"/>
    <w:rsid w:val="009F714E"/>
    <w:rsid w:val="00A00017"/>
    <w:rsid w:val="00A02915"/>
    <w:rsid w:val="00A07A2A"/>
    <w:rsid w:val="00A23AD5"/>
    <w:rsid w:val="00A26B9E"/>
    <w:rsid w:val="00A32581"/>
    <w:rsid w:val="00A345DF"/>
    <w:rsid w:val="00A3785B"/>
    <w:rsid w:val="00A420F7"/>
    <w:rsid w:val="00A42B1A"/>
    <w:rsid w:val="00A50D89"/>
    <w:rsid w:val="00A52A3C"/>
    <w:rsid w:val="00A553A0"/>
    <w:rsid w:val="00A5743D"/>
    <w:rsid w:val="00A6215C"/>
    <w:rsid w:val="00A640DA"/>
    <w:rsid w:val="00A672D2"/>
    <w:rsid w:val="00A74467"/>
    <w:rsid w:val="00A750C4"/>
    <w:rsid w:val="00A75E60"/>
    <w:rsid w:val="00A92B83"/>
    <w:rsid w:val="00A9765D"/>
    <w:rsid w:val="00AA209C"/>
    <w:rsid w:val="00AA5D4A"/>
    <w:rsid w:val="00AA6799"/>
    <w:rsid w:val="00AA6FA8"/>
    <w:rsid w:val="00AB0844"/>
    <w:rsid w:val="00AB34EE"/>
    <w:rsid w:val="00AB48C8"/>
    <w:rsid w:val="00AC0F0A"/>
    <w:rsid w:val="00AC26E2"/>
    <w:rsid w:val="00AD1047"/>
    <w:rsid w:val="00AD3049"/>
    <w:rsid w:val="00AD76E1"/>
    <w:rsid w:val="00AD79B1"/>
    <w:rsid w:val="00AE1043"/>
    <w:rsid w:val="00AE428A"/>
    <w:rsid w:val="00AE4503"/>
    <w:rsid w:val="00AE714D"/>
    <w:rsid w:val="00AF561D"/>
    <w:rsid w:val="00AF684D"/>
    <w:rsid w:val="00B04F25"/>
    <w:rsid w:val="00B0506B"/>
    <w:rsid w:val="00B10F10"/>
    <w:rsid w:val="00B11D20"/>
    <w:rsid w:val="00B13AD1"/>
    <w:rsid w:val="00B13DE1"/>
    <w:rsid w:val="00B156FE"/>
    <w:rsid w:val="00B1740F"/>
    <w:rsid w:val="00B207C8"/>
    <w:rsid w:val="00B215A6"/>
    <w:rsid w:val="00B21A67"/>
    <w:rsid w:val="00B2581B"/>
    <w:rsid w:val="00B274FF"/>
    <w:rsid w:val="00B27E8E"/>
    <w:rsid w:val="00B35ABB"/>
    <w:rsid w:val="00B36B6D"/>
    <w:rsid w:val="00B407CA"/>
    <w:rsid w:val="00B41A8A"/>
    <w:rsid w:val="00B45BD0"/>
    <w:rsid w:val="00B51446"/>
    <w:rsid w:val="00B537AC"/>
    <w:rsid w:val="00B53E3B"/>
    <w:rsid w:val="00B545CD"/>
    <w:rsid w:val="00B65142"/>
    <w:rsid w:val="00B65D36"/>
    <w:rsid w:val="00B74432"/>
    <w:rsid w:val="00B76301"/>
    <w:rsid w:val="00B77F9B"/>
    <w:rsid w:val="00B81077"/>
    <w:rsid w:val="00B81ECC"/>
    <w:rsid w:val="00B85EF4"/>
    <w:rsid w:val="00B910E9"/>
    <w:rsid w:val="00B94A4E"/>
    <w:rsid w:val="00BA12B3"/>
    <w:rsid w:val="00BB0DB1"/>
    <w:rsid w:val="00BB5E62"/>
    <w:rsid w:val="00BC4D0D"/>
    <w:rsid w:val="00BD7416"/>
    <w:rsid w:val="00BE55FA"/>
    <w:rsid w:val="00BF2161"/>
    <w:rsid w:val="00BF2299"/>
    <w:rsid w:val="00BF4076"/>
    <w:rsid w:val="00BF4B54"/>
    <w:rsid w:val="00C0039F"/>
    <w:rsid w:val="00C02F97"/>
    <w:rsid w:val="00C0386C"/>
    <w:rsid w:val="00C06C44"/>
    <w:rsid w:val="00C11DDA"/>
    <w:rsid w:val="00C2322D"/>
    <w:rsid w:val="00C265CB"/>
    <w:rsid w:val="00C266E8"/>
    <w:rsid w:val="00C27710"/>
    <w:rsid w:val="00C31D4B"/>
    <w:rsid w:val="00C3677F"/>
    <w:rsid w:val="00C36A72"/>
    <w:rsid w:val="00C43E00"/>
    <w:rsid w:val="00C45C00"/>
    <w:rsid w:val="00C56EA0"/>
    <w:rsid w:val="00C61B2F"/>
    <w:rsid w:val="00C6419F"/>
    <w:rsid w:val="00C66344"/>
    <w:rsid w:val="00C72406"/>
    <w:rsid w:val="00C91C3C"/>
    <w:rsid w:val="00C93323"/>
    <w:rsid w:val="00C941A3"/>
    <w:rsid w:val="00CA296C"/>
    <w:rsid w:val="00CA2C30"/>
    <w:rsid w:val="00CA68B1"/>
    <w:rsid w:val="00CB2A17"/>
    <w:rsid w:val="00CB4C58"/>
    <w:rsid w:val="00CB54AD"/>
    <w:rsid w:val="00CC03C3"/>
    <w:rsid w:val="00CC0E87"/>
    <w:rsid w:val="00CC2517"/>
    <w:rsid w:val="00CC4F4D"/>
    <w:rsid w:val="00CD16E3"/>
    <w:rsid w:val="00CD5761"/>
    <w:rsid w:val="00CE2FE0"/>
    <w:rsid w:val="00CE3B2C"/>
    <w:rsid w:val="00CE67CB"/>
    <w:rsid w:val="00CE7FB6"/>
    <w:rsid w:val="00CF1401"/>
    <w:rsid w:val="00CF2894"/>
    <w:rsid w:val="00CF441E"/>
    <w:rsid w:val="00D0062A"/>
    <w:rsid w:val="00D03C1F"/>
    <w:rsid w:val="00D06DAD"/>
    <w:rsid w:val="00D111D8"/>
    <w:rsid w:val="00D13932"/>
    <w:rsid w:val="00D163DA"/>
    <w:rsid w:val="00D21AD5"/>
    <w:rsid w:val="00D35C6C"/>
    <w:rsid w:val="00D46687"/>
    <w:rsid w:val="00D64987"/>
    <w:rsid w:val="00D6564C"/>
    <w:rsid w:val="00D705A7"/>
    <w:rsid w:val="00D73751"/>
    <w:rsid w:val="00D761C5"/>
    <w:rsid w:val="00D771EC"/>
    <w:rsid w:val="00D77313"/>
    <w:rsid w:val="00D773E4"/>
    <w:rsid w:val="00D814D9"/>
    <w:rsid w:val="00D84495"/>
    <w:rsid w:val="00D8540C"/>
    <w:rsid w:val="00D921E9"/>
    <w:rsid w:val="00D92940"/>
    <w:rsid w:val="00DA1A91"/>
    <w:rsid w:val="00DB6A35"/>
    <w:rsid w:val="00DC0C6A"/>
    <w:rsid w:val="00DC1D8C"/>
    <w:rsid w:val="00DC5031"/>
    <w:rsid w:val="00DC6731"/>
    <w:rsid w:val="00DD2470"/>
    <w:rsid w:val="00DD28EA"/>
    <w:rsid w:val="00DD6EC4"/>
    <w:rsid w:val="00DD7D9C"/>
    <w:rsid w:val="00DE225C"/>
    <w:rsid w:val="00DE2B43"/>
    <w:rsid w:val="00DE58CC"/>
    <w:rsid w:val="00DF0E44"/>
    <w:rsid w:val="00DF1A38"/>
    <w:rsid w:val="00DF22F5"/>
    <w:rsid w:val="00DF6524"/>
    <w:rsid w:val="00E0162C"/>
    <w:rsid w:val="00E01FA7"/>
    <w:rsid w:val="00E02575"/>
    <w:rsid w:val="00E040C5"/>
    <w:rsid w:val="00E046A4"/>
    <w:rsid w:val="00E0577D"/>
    <w:rsid w:val="00E07630"/>
    <w:rsid w:val="00E07CE4"/>
    <w:rsid w:val="00E11A5C"/>
    <w:rsid w:val="00E11C49"/>
    <w:rsid w:val="00E14252"/>
    <w:rsid w:val="00E14AE4"/>
    <w:rsid w:val="00E1511B"/>
    <w:rsid w:val="00E22864"/>
    <w:rsid w:val="00E31B33"/>
    <w:rsid w:val="00E368C4"/>
    <w:rsid w:val="00E36D2F"/>
    <w:rsid w:val="00E41C07"/>
    <w:rsid w:val="00E444EE"/>
    <w:rsid w:val="00E44F71"/>
    <w:rsid w:val="00E45ACA"/>
    <w:rsid w:val="00E504DB"/>
    <w:rsid w:val="00E5080D"/>
    <w:rsid w:val="00E51DEE"/>
    <w:rsid w:val="00E533D7"/>
    <w:rsid w:val="00E54AC4"/>
    <w:rsid w:val="00E55825"/>
    <w:rsid w:val="00E62AD8"/>
    <w:rsid w:val="00E64780"/>
    <w:rsid w:val="00E66C0E"/>
    <w:rsid w:val="00E70804"/>
    <w:rsid w:val="00E72271"/>
    <w:rsid w:val="00E74079"/>
    <w:rsid w:val="00E76E80"/>
    <w:rsid w:val="00E95BFA"/>
    <w:rsid w:val="00E964CC"/>
    <w:rsid w:val="00EA1EBD"/>
    <w:rsid w:val="00EA253A"/>
    <w:rsid w:val="00EA47D8"/>
    <w:rsid w:val="00EA49AD"/>
    <w:rsid w:val="00EB087B"/>
    <w:rsid w:val="00EB3605"/>
    <w:rsid w:val="00EC0B40"/>
    <w:rsid w:val="00EC6837"/>
    <w:rsid w:val="00EC729E"/>
    <w:rsid w:val="00ED03C5"/>
    <w:rsid w:val="00ED1CE1"/>
    <w:rsid w:val="00ED1E2E"/>
    <w:rsid w:val="00ED5FD3"/>
    <w:rsid w:val="00ED7DA0"/>
    <w:rsid w:val="00EE73DC"/>
    <w:rsid w:val="00EF553A"/>
    <w:rsid w:val="00F01A80"/>
    <w:rsid w:val="00F03AF6"/>
    <w:rsid w:val="00F050DB"/>
    <w:rsid w:val="00F13198"/>
    <w:rsid w:val="00F147E9"/>
    <w:rsid w:val="00F163C3"/>
    <w:rsid w:val="00F203D1"/>
    <w:rsid w:val="00F23AB4"/>
    <w:rsid w:val="00F24E61"/>
    <w:rsid w:val="00F25840"/>
    <w:rsid w:val="00F31DA2"/>
    <w:rsid w:val="00F32B8E"/>
    <w:rsid w:val="00F344D6"/>
    <w:rsid w:val="00F378D4"/>
    <w:rsid w:val="00F434F2"/>
    <w:rsid w:val="00F44907"/>
    <w:rsid w:val="00F50242"/>
    <w:rsid w:val="00F64997"/>
    <w:rsid w:val="00F650E3"/>
    <w:rsid w:val="00F67B28"/>
    <w:rsid w:val="00F71A6A"/>
    <w:rsid w:val="00F76B25"/>
    <w:rsid w:val="00F812AC"/>
    <w:rsid w:val="00F83897"/>
    <w:rsid w:val="00F83C6D"/>
    <w:rsid w:val="00F84036"/>
    <w:rsid w:val="00F8727E"/>
    <w:rsid w:val="00F90F48"/>
    <w:rsid w:val="00F97031"/>
    <w:rsid w:val="00FA657E"/>
    <w:rsid w:val="00FB3F1A"/>
    <w:rsid w:val="00FB53C9"/>
    <w:rsid w:val="00FC6793"/>
    <w:rsid w:val="00FC6EDA"/>
    <w:rsid w:val="00FD0B05"/>
    <w:rsid w:val="00FD3DF7"/>
    <w:rsid w:val="00FD50AC"/>
    <w:rsid w:val="00FD731A"/>
    <w:rsid w:val="00FD7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D54"/>
    <w:pPr>
      <w:suppressAutoHyphens/>
    </w:pPr>
    <w:rPr>
      <w:sz w:val="24"/>
      <w:lang w:val="en-GB" w:eastAsia="fr-FR"/>
    </w:rPr>
  </w:style>
  <w:style w:type="paragraph" w:styleId="Heading1">
    <w:name w:val="heading 1"/>
    <w:basedOn w:val="Normal"/>
    <w:next w:val="Normal"/>
    <w:qFormat/>
    <w:rsid w:val="009E3D54"/>
    <w:pPr>
      <w:keepNext/>
      <w:spacing w:before="360" w:after="240"/>
      <w:jc w:val="center"/>
      <w:outlineLvl w:val="0"/>
    </w:pPr>
    <w:rPr>
      <w:b/>
      <w:sz w:val="28"/>
    </w:rPr>
  </w:style>
  <w:style w:type="paragraph" w:styleId="Heading2">
    <w:name w:val="heading 2"/>
    <w:basedOn w:val="Normal"/>
    <w:next w:val="Normal"/>
    <w:qFormat/>
    <w:rsid w:val="009E3D54"/>
    <w:pPr>
      <w:keepNext/>
      <w:spacing w:before="240" w:after="120"/>
      <w:ind w:left="284" w:hanging="284"/>
      <w:outlineLvl w:val="1"/>
    </w:pPr>
    <w:rPr>
      <w:b/>
    </w:rPr>
  </w:style>
  <w:style w:type="paragraph" w:styleId="Heading3">
    <w:name w:val="heading 3"/>
    <w:basedOn w:val="Normal"/>
    <w:next w:val="Normal"/>
    <w:qFormat/>
    <w:rsid w:val="009E3D5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9E3D54"/>
  </w:style>
  <w:style w:type="table" w:default="1" w:styleId="TableNormal">
    <w:name w:val="Normal Table"/>
    <w:semiHidden/>
    <w:rsid w:val="00B74432"/>
    <w:tblPr>
      <w:tblInd w:w="0" w:type="dxa"/>
      <w:tblCellMar>
        <w:top w:w="0" w:type="dxa"/>
        <w:left w:w="108" w:type="dxa"/>
        <w:bottom w:w="0" w:type="dxa"/>
        <w:right w:w="108" w:type="dxa"/>
      </w:tblCellMar>
    </w:tblPr>
  </w:style>
  <w:style w:type="numbering" w:default="1" w:styleId="NoList">
    <w:name w:val="No List"/>
    <w:semiHidden/>
    <w:rsid w:val="009E3D54"/>
  </w:style>
  <w:style w:type="paragraph" w:customStyle="1" w:styleId="OpiHA">
    <w:name w:val="Opi_H_A"/>
    <w:basedOn w:val="JuHIRoman"/>
    <w:next w:val="OpiPara"/>
    <w:rsid w:val="005E4847"/>
    <w:pPr>
      <w:tabs>
        <w:tab w:val="clear" w:pos="357"/>
      </w:tabs>
    </w:pPr>
    <w:rPr>
      <w:b/>
    </w:rPr>
  </w:style>
  <w:style w:type="paragraph" w:customStyle="1" w:styleId="JuHIRoman">
    <w:name w:val="Ju_H_I_Roman"/>
    <w:basedOn w:val="JuHHead"/>
    <w:next w:val="JuPara"/>
    <w:link w:val="JuHIRomanChar"/>
    <w:rsid w:val="0009043E"/>
    <w:pPr>
      <w:tabs>
        <w:tab w:val="left" w:pos="357"/>
      </w:tabs>
      <w:spacing w:before="360"/>
      <w:ind w:left="357" w:hanging="357"/>
      <w:outlineLvl w:val="1"/>
    </w:pPr>
    <w:rPr>
      <w:sz w:val="24"/>
    </w:rPr>
  </w:style>
  <w:style w:type="paragraph" w:customStyle="1" w:styleId="JuHHead">
    <w:name w:val="Ju_H_Head"/>
    <w:basedOn w:val="NormalTimesNewRoman"/>
    <w:next w:val="JuPara"/>
    <w:rsid w:val="0009043E"/>
    <w:pPr>
      <w:keepNext/>
      <w:keepLines/>
      <w:spacing w:before="720" w:after="240"/>
      <w:jc w:val="both"/>
      <w:outlineLvl w:val="0"/>
    </w:pPr>
    <w:rPr>
      <w:sz w:val="28"/>
    </w:rPr>
  </w:style>
  <w:style w:type="character" w:customStyle="1" w:styleId="DefaultTimesNewRoman">
    <w:name w:val="Default_TimesNewRoman"/>
    <w:rsid w:val="0009043E"/>
    <w:rPr>
      <w:rFonts w:ascii="Times New Roman" w:hAnsi="Times New Roman"/>
    </w:rPr>
  </w:style>
  <w:style w:type="paragraph" w:customStyle="1" w:styleId="JuPara">
    <w:name w:val="Ju_Para"/>
    <w:aliases w:val="Left,First line:  0 cm"/>
    <w:basedOn w:val="NormalTimesNewRoman"/>
    <w:link w:val="JuParaCar"/>
    <w:rsid w:val="0009043E"/>
    <w:pPr>
      <w:ind w:firstLine="284"/>
      <w:jc w:val="both"/>
    </w:pPr>
  </w:style>
  <w:style w:type="character" w:customStyle="1" w:styleId="JuParaCar">
    <w:name w:val="Ju_Para Car"/>
    <w:link w:val="JuPara"/>
    <w:rsid w:val="00943B61"/>
    <w:rPr>
      <w:sz w:val="24"/>
      <w:lang w:val="en-GB" w:eastAsia="fr-FR" w:bidi="ar-SA"/>
    </w:rPr>
  </w:style>
  <w:style w:type="character" w:customStyle="1" w:styleId="JuHIRomanChar">
    <w:name w:val="Ju_H_I_Roman Char"/>
    <w:link w:val="JuHIRoman"/>
    <w:rsid w:val="00CE67CB"/>
    <w:rPr>
      <w:sz w:val="24"/>
      <w:lang w:val="en-GB" w:eastAsia="fr-FR" w:bidi="ar-SA"/>
    </w:rPr>
  </w:style>
  <w:style w:type="paragraph" w:customStyle="1" w:styleId="OpiPara">
    <w:name w:val="Opi_Para"/>
    <w:basedOn w:val="JuPara"/>
    <w:rsid w:val="005E4847"/>
  </w:style>
  <w:style w:type="paragraph" w:customStyle="1" w:styleId="OpiH1">
    <w:name w:val="Opi_H_1."/>
    <w:basedOn w:val="OpiHA"/>
    <w:next w:val="OpiPara"/>
    <w:rsid w:val="005E4847"/>
    <w:pPr>
      <w:spacing w:before="240" w:after="120"/>
      <w:ind w:left="635"/>
      <w:outlineLvl w:val="2"/>
    </w:pPr>
    <w:rPr>
      <w:b w:val="0"/>
      <w:i/>
    </w:rPr>
  </w:style>
  <w:style w:type="paragraph" w:customStyle="1" w:styleId="OpiHa0">
    <w:name w:val="Opi_H_a"/>
    <w:basedOn w:val="OpiH1"/>
    <w:next w:val="OpiPara"/>
    <w:rsid w:val="005E4847"/>
    <w:pPr>
      <w:ind w:left="833"/>
      <w:outlineLvl w:val="3"/>
    </w:pPr>
    <w:rPr>
      <w:b/>
      <w:i w:val="0"/>
      <w:sz w:val="20"/>
    </w:rPr>
  </w:style>
  <w:style w:type="paragraph" w:customStyle="1" w:styleId="OpiHHead">
    <w:name w:val="Opi_H_Head"/>
    <w:basedOn w:val="JuHHead"/>
    <w:next w:val="OpiPara"/>
    <w:rsid w:val="005E4847"/>
    <w:pPr>
      <w:spacing w:before="0"/>
      <w:jc w:val="center"/>
    </w:pPr>
  </w:style>
  <w:style w:type="paragraph" w:customStyle="1" w:styleId="OpiHi">
    <w:name w:val="Opi_H_i"/>
    <w:basedOn w:val="OpiHa0"/>
    <w:next w:val="OpiPara"/>
    <w:rsid w:val="005E4847"/>
    <w:pPr>
      <w:ind w:left="1037"/>
      <w:outlineLvl w:val="4"/>
    </w:pPr>
    <w:rPr>
      <w:b w:val="0"/>
      <w:i/>
    </w:rPr>
  </w:style>
  <w:style w:type="paragraph" w:styleId="Footer">
    <w:name w:val="footer"/>
    <w:basedOn w:val="NormalTimesNewRoman"/>
    <w:rsid w:val="0009043E"/>
    <w:pPr>
      <w:tabs>
        <w:tab w:val="center" w:pos="3686"/>
        <w:tab w:val="right" w:pos="7371"/>
      </w:tabs>
    </w:pPr>
    <w:rPr>
      <w:sz w:val="18"/>
    </w:rPr>
  </w:style>
  <w:style w:type="paragraph" w:customStyle="1" w:styleId="JuJudges">
    <w:name w:val="Ju_Judges"/>
    <w:basedOn w:val="NormalTimesNewRoman"/>
    <w:link w:val="JuJudgesChar"/>
    <w:rsid w:val="0009043E"/>
    <w:pPr>
      <w:tabs>
        <w:tab w:val="left" w:pos="567"/>
        <w:tab w:val="left" w:pos="1134"/>
      </w:tabs>
    </w:pPr>
  </w:style>
  <w:style w:type="character" w:customStyle="1" w:styleId="JuJudgesChar">
    <w:name w:val="Ju_Judges Char"/>
    <w:link w:val="JuJudges"/>
    <w:locked/>
    <w:rsid w:val="00CE7FB6"/>
    <w:rPr>
      <w:sz w:val="24"/>
      <w:lang w:val="en-GB" w:eastAsia="fr-FR" w:bidi="ar-SA"/>
    </w:rPr>
  </w:style>
  <w:style w:type="character" w:styleId="Hyperlink">
    <w:name w:val="Hyperlink"/>
    <w:rsid w:val="0009043E"/>
    <w:rPr>
      <w:color w:val="0000FF"/>
      <w:u w:val="single"/>
    </w:rPr>
  </w:style>
  <w:style w:type="paragraph" w:customStyle="1" w:styleId="JuHA">
    <w:name w:val="Ju_H_A"/>
    <w:basedOn w:val="JuHIRoman"/>
    <w:next w:val="JuPara"/>
    <w:rsid w:val="0009043E"/>
    <w:pPr>
      <w:tabs>
        <w:tab w:val="clear" w:pos="357"/>
        <w:tab w:val="left" w:pos="584"/>
      </w:tabs>
      <w:ind w:left="584" w:hanging="352"/>
      <w:outlineLvl w:val="2"/>
    </w:pPr>
    <w:rPr>
      <w:b/>
    </w:rPr>
  </w:style>
  <w:style w:type="paragraph" w:customStyle="1" w:styleId="JuQuot">
    <w:name w:val="Ju_Quot"/>
    <w:basedOn w:val="JuPara"/>
    <w:link w:val="JuQuotChar"/>
    <w:rsid w:val="0009043E"/>
    <w:pPr>
      <w:spacing w:before="120" w:after="120"/>
      <w:ind w:left="425" w:firstLine="142"/>
    </w:pPr>
    <w:rPr>
      <w:sz w:val="20"/>
    </w:rPr>
  </w:style>
  <w:style w:type="paragraph" w:customStyle="1" w:styleId="JuSigned">
    <w:name w:val="Ju_Signed"/>
    <w:basedOn w:val="NormalTimesNewRoman"/>
    <w:next w:val="JuParaLast"/>
    <w:link w:val="JuSignedChar"/>
    <w:rsid w:val="0009043E"/>
    <w:pPr>
      <w:tabs>
        <w:tab w:val="center" w:pos="851"/>
        <w:tab w:val="center" w:pos="6407"/>
      </w:tabs>
      <w:spacing w:before="720"/>
    </w:pPr>
  </w:style>
  <w:style w:type="paragraph" w:customStyle="1" w:styleId="JuParaLast">
    <w:name w:val="Ju_Para_Last"/>
    <w:basedOn w:val="JuPara"/>
    <w:next w:val="JuPara"/>
    <w:rsid w:val="0009043E"/>
    <w:pPr>
      <w:keepNext/>
      <w:keepLines/>
      <w:spacing w:before="240"/>
    </w:pPr>
  </w:style>
  <w:style w:type="character" w:customStyle="1" w:styleId="JuSignedChar">
    <w:name w:val="Ju_Signed Char"/>
    <w:link w:val="JuSigned"/>
    <w:rsid w:val="00BE55FA"/>
    <w:rPr>
      <w:sz w:val="24"/>
      <w:lang w:val="en-GB" w:eastAsia="fr-FR" w:bidi="ar-SA"/>
    </w:rPr>
  </w:style>
  <w:style w:type="paragraph" w:customStyle="1" w:styleId="JuCase">
    <w:name w:val="Ju_Case"/>
    <w:basedOn w:val="JuPara"/>
    <w:next w:val="JuPara"/>
    <w:rsid w:val="0009043E"/>
    <w:rPr>
      <w:b/>
    </w:rPr>
  </w:style>
  <w:style w:type="paragraph" w:customStyle="1" w:styleId="JuList">
    <w:name w:val="Ju_List"/>
    <w:basedOn w:val="JuPara"/>
    <w:link w:val="JuListChar"/>
    <w:rsid w:val="0009043E"/>
    <w:pPr>
      <w:ind w:left="340" w:hanging="340"/>
    </w:pPr>
  </w:style>
  <w:style w:type="character" w:customStyle="1" w:styleId="JuListChar">
    <w:name w:val="Ju_List Char"/>
    <w:basedOn w:val="JuParaCar"/>
    <w:link w:val="JuList"/>
    <w:rsid w:val="00973A0D"/>
    <w:rPr>
      <w:sz w:val="24"/>
      <w:lang w:val="en-GB" w:eastAsia="fr-FR" w:bidi="ar-SA"/>
    </w:rPr>
  </w:style>
  <w:style w:type="paragraph" w:customStyle="1" w:styleId="JuHArticle">
    <w:name w:val="Ju_H_Article"/>
    <w:basedOn w:val="JuHa0"/>
    <w:next w:val="JuQuot"/>
    <w:rsid w:val="0009043E"/>
    <w:pPr>
      <w:ind w:left="0" w:firstLine="0"/>
      <w:jc w:val="center"/>
    </w:pPr>
  </w:style>
  <w:style w:type="paragraph" w:customStyle="1" w:styleId="JuHa0">
    <w:name w:val="Ju_H_a"/>
    <w:basedOn w:val="JuH1"/>
    <w:next w:val="JuPara"/>
    <w:rsid w:val="0009043E"/>
    <w:pPr>
      <w:tabs>
        <w:tab w:val="clear" w:pos="731"/>
        <w:tab w:val="left" w:pos="975"/>
      </w:tabs>
      <w:ind w:left="975" w:hanging="340"/>
      <w:outlineLvl w:val="4"/>
    </w:pPr>
    <w:rPr>
      <w:b/>
      <w:i w:val="0"/>
      <w:sz w:val="20"/>
    </w:rPr>
  </w:style>
  <w:style w:type="paragraph" w:customStyle="1" w:styleId="JuH1">
    <w:name w:val="Ju_H_1."/>
    <w:basedOn w:val="JuHA"/>
    <w:next w:val="JuPara"/>
    <w:rsid w:val="0009043E"/>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09043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5E4847"/>
  </w:style>
  <w:style w:type="paragraph" w:customStyle="1" w:styleId="OpiTranslation">
    <w:name w:val="Opi_Translation"/>
    <w:basedOn w:val="OpiHHead"/>
    <w:next w:val="OpiPara"/>
    <w:rsid w:val="005E4847"/>
    <w:rPr>
      <w:i/>
      <w:sz w:val="24"/>
    </w:rPr>
  </w:style>
  <w:style w:type="paragraph" w:styleId="FootnoteText">
    <w:name w:val="footnote text"/>
    <w:basedOn w:val="Normal"/>
    <w:semiHidden/>
    <w:rsid w:val="0009043E"/>
    <w:pPr>
      <w:jc w:val="both"/>
    </w:pPr>
    <w:rPr>
      <w:sz w:val="20"/>
    </w:rPr>
  </w:style>
  <w:style w:type="character" w:styleId="FootnoteReference">
    <w:name w:val="footnote reference"/>
    <w:semiHidden/>
    <w:rsid w:val="0009043E"/>
    <w:rPr>
      <w:vertAlign w:val="superscript"/>
    </w:rPr>
  </w:style>
  <w:style w:type="paragraph" w:customStyle="1" w:styleId="JuHi">
    <w:name w:val="Ju_H_i"/>
    <w:basedOn w:val="JuHa0"/>
    <w:next w:val="JuPara"/>
    <w:rsid w:val="0009043E"/>
    <w:pPr>
      <w:tabs>
        <w:tab w:val="clear" w:pos="975"/>
        <w:tab w:val="left" w:pos="1191"/>
      </w:tabs>
      <w:ind w:left="1190" w:hanging="357"/>
      <w:outlineLvl w:val="5"/>
    </w:pPr>
    <w:rPr>
      <w:b w:val="0"/>
      <w:i/>
    </w:rPr>
  </w:style>
  <w:style w:type="paragraph" w:styleId="Header">
    <w:name w:val="header"/>
    <w:basedOn w:val="NormalTimesNewRoman"/>
    <w:rsid w:val="0009043E"/>
    <w:pPr>
      <w:tabs>
        <w:tab w:val="center" w:pos="3686"/>
        <w:tab w:val="right" w:pos="7371"/>
      </w:tabs>
    </w:pPr>
    <w:rPr>
      <w:sz w:val="18"/>
    </w:rPr>
  </w:style>
  <w:style w:type="character" w:styleId="PageNumber">
    <w:name w:val="page number"/>
    <w:rsid w:val="0009043E"/>
    <w:rPr>
      <w:sz w:val="18"/>
    </w:rPr>
  </w:style>
  <w:style w:type="paragraph" w:customStyle="1" w:styleId="JuH">
    <w:name w:val="Ju_H_–"/>
    <w:basedOn w:val="JuHalpha"/>
    <w:next w:val="JuPara"/>
    <w:rsid w:val="0009043E"/>
    <w:pPr>
      <w:tabs>
        <w:tab w:val="clear" w:pos="1372"/>
      </w:tabs>
      <w:ind w:left="1236" w:firstLine="0"/>
    </w:pPr>
    <w:rPr>
      <w:i/>
    </w:rPr>
  </w:style>
  <w:style w:type="paragraph" w:customStyle="1" w:styleId="JuHalpha">
    <w:name w:val="Ju_H_alpha"/>
    <w:basedOn w:val="JuHi"/>
    <w:next w:val="JuPara"/>
    <w:rsid w:val="0009043E"/>
    <w:pPr>
      <w:tabs>
        <w:tab w:val="clear" w:pos="1191"/>
        <w:tab w:val="left" w:pos="1372"/>
      </w:tabs>
      <w:ind w:left="1373" w:hanging="335"/>
    </w:pPr>
    <w:rPr>
      <w:i w:val="0"/>
    </w:rPr>
  </w:style>
  <w:style w:type="paragraph" w:customStyle="1" w:styleId="JuLista">
    <w:name w:val="Ju_List_a"/>
    <w:basedOn w:val="JuList"/>
    <w:rsid w:val="0009043E"/>
    <w:pPr>
      <w:ind w:left="346" w:firstLine="0"/>
    </w:pPr>
  </w:style>
  <w:style w:type="paragraph" w:customStyle="1" w:styleId="JuListi">
    <w:name w:val="Ju_List_i"/>
    <w:basedOn w:val="JuLista"/>
    <w:rsid w:val="0009043E"/>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09043E"/>
    <w:pPr>
      <w:tabs>
        <w:tab w:val="clear" w:pos="851"/>
      </w:tabs>
      <w:jc w:val="right"/>
    </w:pPr>
  </w:style>
  <w:style w:type="paragraph" w:customStyle="1" w:styleId="JuHeader">
    <w:name w:val="Ju_Header"/>
    <w:basedOn w:val="Header"/>
    <w:rsid w:val="0009043E"/>
  </w:style>
  <w:style w:type="paragraph" w:customStyle="1" w:styleId="DecHTitle">
    <w:name w:val="Dec_H_Title"/>
    <w:basedOn w:val="Normal"/>
    <w:rsid w:val="00AE714D"/>
    <w:pPr>
      <w:spacing w:after="240"/>
      <w:jc w:val="center"/>
      <w:outlineLvl w:val="0"/>
    </w:pPr>
    <w:rPr>
      <w:sz w:val="28"/>
    </w:rPr>
  </w:style>
  <w:style w:type="paragraph" w:customStyle="1" w:styleId="DecHCase">
    <w:name w:val="Dec_H_Case"/>
    <w:basedOn w:val="DecHTitle"/>
    <w:next w:val="JuPara"/>
    <w:rsid w:val="005E4847"/>
    <w:rPr>
      <w:sz w:val="24"/>
    </w:rPr>
  </w:style>
  <w:style w:type="paragraph" w:customStyle="1" w:styleId="DecList">
    <w:name w:val="Dec_List"/>
    <w:basedOn w:val="Normal"/>
    <w:rsid w:val="00AE714D"/>
    <w:pPr>
      <w:spacing w:before="240"/>
      <w:ind w:left="284"/>
      <w:jc w:val="both"/>
    </w:pPr>
  </w:style>
  <w:style w:type="paragraph" w:customStyle="1" w:styleId="JuParaSub">
    <w:name w:val="Ju_Para_Sub"/>
    <w:basedOn w:val="JuPara"/>
    <w:rsid w:val="0009043E"/>
    <w:pPr>
      <w:ind w:left="284"/>
    </w:pPr>
    <w:rPr>
      <w:szCs w:val="24"/>
    </w:rPr>
  </w:style>
  <w:style w:type="paragraph" w:customStyle="1" w:styleId="JuQuotSub">
    <w:name w:val="Ju_Quot_Sub"/>
    <w:basedOn w:val="JuQuot"/>
    <w:rsid w:val="0009043E"/>
    <w:pPr>
      <w:ind w:left="567"/>
    </w:pPr>
  </w:style>
  <w:style w:type="paragraph" w:styleId="BalloonText">
    <w:name w:val="Balloon Text"/>
    <w:basedOn w:val="Normal"/>
    <w:semiHidden/>
    <w:rsid w:val="00246046"/>
    <w:rPr>
      <w:rFonts w:ascii="Tahoma" w:hAnsi="Tahoma" w:cs="Tahoma"/>
      <w:sz w:val="16"/>
      <w:szCs w:val="16"/>
    </w:rPr>
  </w:style>
  <w:style w:type="paragraph" w:styleId="CommentSubject">
    <w:name w:val="annotation subject"/>
    <w:basedOn w:val="CommentText"/>
    <w:next w:val="CommentText"/>
    <w:semiHidden/>
    <w:rsid w:val="00AF561D"/>
    <w:rPr>
      <w:b/>
      <w:bCs/>
    </w:rPr>
  </w:style>
  <w:style w:type="character" w:styleId="EndnoteReference">
    <w:name w:val="endnote reference"/>
    <w:semiHidden/>
    <w:rsid w:val="0009043E"/>
    <w:rPr>
      <w:vertAlign w:val="superscript"/>
    </w:rPr>
  </w:style>
  <w:style w:type="paragraph" w:styleId="EndnoteText">
    <w:name w:val="endnote text"/>
    <w:basedOn w:val="Normal"/>
    <w:semiHidden/>
    <w:rsid w:val="0009043E"/>
    <w:rPr>
      <w:sz w:val="20"/>
    </w:rPr>
  </w:style>
  <w:style w:type="character" w:styleId="FollowedHyperlink">
    <w:name w:val="FollowedHyperlink"/>
    <w:rsid w:val="0009043E"/>
    <w:rPr>
      <w:color w:val="800080"/>
      <w:u w:val="single"/>
    </w:rPr>
  </w:style>
  <w:style w:type="paragraph" w:customStyle="1" w:styleId="SuCoverTitle1">
    <w:name w:val="Su_Cover_Title1"/>
    <w:basedOn w:val="Normal"/>
    <w:next w:val="SuCoverTitle2"/>
    <w:rsid w:val="00AE714D"/>
    <w:pPr>
      <w:spacing w:before="2500"/>
      <w:jc w:val="center"/>
    </w:pPr>
    <w:rPr>
      <w:sz w:val="22"/>
    </w:rPr>
  </w:style>
  <w:style w:type="paragraph" w:customStyle="1" w:styleId="SuCoverTitle2">
    <w:name w:val="Su_Cover_Title2"/>
    <w:basedOn w:val="SuCoverTitle1"/>
    <w:next w:val="Normal"/>
    <w:rsid w:val="00431DBC"/>
    <w:pPr>
      <w:spacing w:before="240"/>
    </w:pPr>
    <w:rPr>
      <w:sz w:val="18"/>
    </w:rPr>
  </w:style>
  <w:style w:type="paragraph" w:customStyle="1" w:styleId="SuPara">
    <w:name w:val="Su_Para"/>
    <w:basedOn w:val="SuKeywords"/>
    <w:rsid w:val="00431DBC"/>
    <w:pPr>
      <w:spacing w:before="0" w:after="0"/>
    </w:pPr>
    <w:rPr>
      <w:i w:val="0"/>
    </w:rPr>
  </w:style>
  <w:style w:type="paragraph" w:customStyle="1" w:styleId="SuKeywords">
    <w:name w:val="Su_Keywords"/>
    <w:basedOn w:val="SuHHead"/>
    <w:rsid w:val="00431DBC"/>
    <w:pPr>
      <w:spacing w:before="120"/>
    </w:pPr>
    <w:rPr>
      <w:b w:val="0"/>
      <w:i/>
    </w:rPr>
  </w:style>
  <w:style w:type="paragraph" w:customStyle="1" w:styleId="SuHHead">
    <w:name w:val="Su_H_Head"/>
    <w:basedOn w:val="SuSubject"/>
    <w:rsid w:val="00431DBC"/>
    <w:pPr>
      <w:spacing w:after="120"/>
    </w:pPr>
  </w:style>
  <w:style w:type="paragraph" w:customStyle="1" w:styleId="SuSubject">
    <w:name w:val="Su_Subject"/>
    <w:basedOn w:val="SuSummary"/>
    <w:rsid w:val="00431DBC"/>
    <w:pPr>
      <w:suppressAutoHyphens w:val="0"/>
      <w:spacing w:before="360"/>
      <w:jc w:val="both"/>
    </w:pPr>
    <w:rPr>
      <w:b/>
      <w:sz w:val="22"/>
    </w:rPr>
  </w:style>
  <w:style w:type="paragraph" w:customStyle="1" w:styleId="SuSummary">
    <w:name w:val="Su_Summary"/>
    <w:basedOn w:val="Normal"/>
    <w:next w:val="SuSubject"/>
    <w:rsid w:val="00AE714D"/>
    <w:pPr>
      <w:spacing w:after="240"/>
      <w:jc w:val="center"/>
    </w:pPr>
  </w:style>
  <w:style w:type="paragraph" w:customStyle="1" w:styleId="OpiParaSub">
    <w:name w:val="Opi_Para_Sub"/>
    <w:basedOn w:val="JuParaSub"/>
    <w:rsid w:val="005E4847"/>
  </w:style>
  <w:style w:type="paragraph" w:customStyle="1" w:styleId="OpiQuotSub">
    <w:name w:val="Opi_Quot_Sub"/>
    <w:basedOn w:val="JuQuotSub"/>
    <w:rsid w:val="005E4847"/>
  </w:style>
  <w:style w:type="paragraph" w:styleId="DocumentMap">
    <w:name w:val="Document Map"/>
    <w:basedOn w:val="Normal"/>
    <w:semiHidden/>
    <w:rsid w:val="009E3D54"/>
    <w:pPr>
      <w:shd w:val="clear" w:color="auto" w:fill="000080"/>
    </w:pPr>
    <w:rPr>
      <w:rFonts w:ascii="Tahoma" w:hAnsi="Tahoma" w:cs="Tahoma"/>
      <w:sz w:val="20"/>
    </w:rPr>
  </w:style>
  <w:style w:type="character" w:customStyle="1" w:styleId="JuNames">
    <w:name w:val="Ju_Names"/>
    <w:rsid w:val="0009043E"/>
    <w:rPr>
      <w:smallCaps/>
    </w:rPr>
  </w:style>
  <w:style w:type="paragraph" w:customStyle="1" w:styleId="NormalJustified">
    <w:name w:val="Normal_Justified"/>
    <w:basedOn w:val="Normal"/>
    <w:rsid w:val="009E3D54"/>
    <w:pPr>
      <w:jc w:val="both"/>
    </w:pPr>
  </w:style>
  <w:style w:type="paragraph" w:customStyle="1" w:styleId="JuAppQuestion">
    <w:name w:val="Ju_App_Question"/>
    <w:basedOn w:val="ListBullet"/>
    <w:rsid w:val="0009043E"/>
    <w:pPr>
      <w:numPr>
        <w:numId w:val="6"/>
      </w:numPr>
      <w:suppressAutoHyphens w:val="0"/>
    </w:pPr>
    <w:rPr>
      <w:b/>
      <w:color w:val="333333"/>
    </w:rPr>
  </w:style>
  <w:style w:type="paragraph" w:styleId="ListBullet">
    <w:name w:val="List Bullet"/>
    <w:basedOn w:val="Normal"/>
    <w:rsid w:val="009E3D54"/>
    <w:pPr>
      <w:numPr>
        <w:numId w:val="2"/>
      </w:numPr>
    </w:pPr>
  </w:style>
  <w:style w:type="paragraph" w:customStyle="1" w:styleId="NormalTimesNewRoman">
    <w:name w:val="Normal_TimesNewRoman"/>
    <w:rsid w:val="0009043E"/>
    <w:rPr>
      <w:sz w:val="24"/>
      <w:lang w:val="en-GB" w:eastAsia="fr-FR"/>
    </w:rPr>
  </w:style>
  <w:style w:type="character" w:customStyle="1" w:styleId="JuITMark">
    <w:name w:val="Ju_ITMark"/>
    <w:rsid w:val="0009043E"/>
    <w:rPr>
      <w:rFonts w:ascii="Times New Roman" w:hAnsi="Times New Roman"/>
      <w:vanish/>
      <w:color w:val="339966"/>
      <w:sz w:val="16"/>
      <w:szCs w:val="16"/>
      <w:lang w:val="fi-FI"/>
    </w:rPr>
  </w:style>
  <w:style w:type="paragraph" w:customStyle="1" w:styleId="JuTitle">
    <w:name w:val="Ju_Title"/>
    <w:basedOn w:val="JuHHead"/>
    <w:next w:val="JuPara"/>
    <w:rsid w:val="0009043E"/>
    <w:pPr>
      <w:jc w:val="center"/>
    </w:pPr>
    <w:rPr>
      <w:b/>
      <w:caps/>
      <w:sz w:val="24"/>
      <w:szCs w:val="24"/>
      <w:u w:val="single"/>
    </w:rPr>
  </w:style>
  <w:style w:type="character" w:customStyle="1" w:styleId="JuQuotChar">
    <w:name w:val="Ju_Quot Char"/>
    <w:basedOn w:val="JuParaCar"/>
    <w:link w:val="JuQuot"/>
    <w:locked/>
    <w:rsid w:val="00032A9C"/>
    <w:rPr>
      <w:sz w:val="24"/>
      <w:lang w:val="en-GB" w:eastAsia="fr-FR" w:bidi="ar-SA"/>
    </w:rPr>
  </w:style>
  <w:style w:type="paragraph" w:customStyle="1" w:styleId="s30eec3f8">
    <w:name w:val="s30eec3f8"/>
    <w:basedOn w:val="Normal"/>
    <w:rsid w:val="00AB0844"/>
    <w:pPr>
      <w:suppressAutoHyphens w:val="0"/>
      <w:spacing w:before="100" w:beforeAutospacing="1" w:after="100" w:afterAutospacing="1"/>
    </w:pPr>
    <w:rPr>
      <w:szCs w:val="24"/>
      <w:lang w:eastAsia="en-GB"/>
    </w:rPr>
  </w:style>
  <w:style w:type="character" w:customStyle="1" w:styleId="sb8d990e2">
    <w:name w:val="sb8d990e2"/>
    <w:basedOn w:val="DefaultParagraphFont"/>
    <w:rsid w:val="00AB0844"/>
  </w:style>
  <w:style w:type="paragraph" w:customStyle="1" w:styleId="s9e9b0cd7">
    <w:name w:val="s9e9b0cd7"/>
    <w:basedOn w:val="Normal"/>
    <w:rsid w:val="00AB0844"/>
    <w:pPr>
      <w:suppressAutoHyphens w:val="0"/>
      <w:spacing w:before="100" w:beforeAutospacing="1" w:after="100" w:afterAutospacing="1"/>
    </w:pPr>
    <w:rPr>
      <w:szCs w:val="24"/>
      <w:lang w:eastAsia="en-GB"/>
    </w:rPr>
  </w:style>
  <w:style w:type="character" w:customStyle="1" w:styleId="sfbbfee58">
    <w:name w:val="sfbbfee58"/>
    <w:basedOn w:val="DefaultParagraphFont"/>
    <w:rsid w:val="00AB0844"/>
  </w:style>
  <w:style w:type="character" w:customStyle="1" w:styleId="s6b621b36">
    <w:name w:val="s6b621b36"/>
    <w:basedOn w:val="DefaultParagraphFont"/>
    <w:rsid w:val="00AB0844"/>
  </w:style>
  <w:style w:type="character" w:customStyle="1" w:styleId="s1a844bc0">
    <w:name w:val="s1a844bc0"/>
    <w:basedOn w:val="DefaultParagraphFont"/>
    <w:rsid w:val="00AB0844"/>
  </w:style>
  <w:style w:type="character" w:customStyle="1" w:styleId="wordhighlightedcurrentterm">
    <w:name w:val="wordhighlighted currentterm"/>
    <w:basedOn w:val="DefaultParagraphFont"/>
    <w:rsid w:val="00367623"/>
  </w:style>
  <w:style w:type="paragraph" w:customStyle="1" w:styleId="s70227c73">
    <w:name w:val="s70227c73"/>
    <w:basedOn w:val="Normal"/>
    <w:rsid w:val="00E07CE4"/>
    <w:pPr>
      <w:suppressAutoHyphens w:val="0"/>
      <w:spacing w:before="100" w:beforeAutospacing="1" w:after="100" w:afterAutospacing="1"/>
    </w:pPr>
    <w:rPr>
      <w:szCs w:val="24"/>
      <w:lang w:eastAsia="en-GB"/>
    </w:rPr>
  </w:style>
  <w:style w:type="paragraph" w:customStyle="1" w:styleId="se5d6d4c3">
    <w:name w:val="se5d6d4c3"/>
    <w:basedOn w:val="Normal"/>
    <w:rsid w:val="00E07CE4"/>
    <w:pPr>
      <w:suppressAutoHyphens w:val="0"/>
      <w:spacing w:before="100" w:beforeAutospacing="1" w:after="100" w:afterAutospacing="1"/>
    </w:pPr>
    <w:rPr>
      <w:szCs w:val="24"/>
      <w:lang w:eastAsia="en-GB"/>
    </w:rPr>
  </w:style>
  <w:style w:type="character" w:customStyle="1" w:styleId="sdfc50a6a">
    <w:name w:val="sdfc50a6a"/>
    <w:basedOn w:val="DefaultParagraphFont"/>
    <w:rsid w:val="00E07CE4"/>
  </w:style>
  <w:style w:type="paragraph" w:customStyle="1" w:styleId="sb9059d72">
    <w:name w:val="sb9059d72"/>
    <w:basedOn w:val="Normal"/>
    <w:rsid w:val="00E07CE4"/>
    <w:pPr>
      <w:suppressAutoHyphens w:val="0"/>
      <w:spacing w:before="100" w:beforeAutospacing="1" w:after="100" w:afterAutospacing="1"/>
    </w:pPr>
    <w:rPr>
      <w:szCs w:val="24"/>
      <w:lang w:eastAsia="en-GB"/>
    </w:rPr>
  </w:style>
  <w:style w:type="character" w:customStyle="1" w:styleId="wordhighlighted">
    <w:name w:val="wordhighlighted"/>
    <w:basedOn w:val="DefaultParagraphFont"/>
    <w:rsid w:val="00E07CE4"/>
  </w:style>
  <w:style w:type="character" w:customStyle="1" w:styleId="column01">
    <w:name w:val="column01"/>
    <w:basedOn w:val="DefaultParagraphFont"/>
    <w:rsid w:val="00E07CE4"/>
  </w:style>
  <w:style w:type="paragraph" w:customStyle="1" w:styleId="jupara0">
    <w:name w:val="jupara"/>
    <w:basedOn w:val="Normal"/>
    <w:rsid w:val="00F50242"/>
    <w:pPr>
      <w:suppressAutoHyphens w:val="0"/>
      <w:ind w:firstLine="284"/>
      <w:jc w:val="both"/>
    </w:pPr>
    <w:rPr>
      <w:szCs w:val="24"/>
      <w:lang w:eastAsia="en-GB"/>
    </w:rPr>
  </w:style>
  <w:style w:type="paragraph" w:customStyle="1" w:styleId="jucase0">
    <w:name w:val="jucase"/>
    <w:basedOn w:val="Normal"/>
    <w:rsid w:val="00F50242"/>
    <w:pPr>
      <w:suppressAutoHyphens w:val="0"/>
      <w:ind w:firstLine="284"/>
      <w:jc w:val="both"/>
    </w:pPr>
    <w:rPr>
      <w:b/>
      <w:b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D54"/>
    <w:pPr>
      <w:suppressAutoHyphens/>
    </w:pPr>
    <w:rPr>
      <w:sz w:val="24"/>
      <w:lang w:val="en-GB" w:eastAsia="fr-FR"/>
    </w:rPr>
  </w:style>
  <w:style w:type="paragraph" w:styleId="Heading1">
    <w:name w:val="heading 1"/>
    <w:basedOn w:val="Normal"/>
    <w:next w:val="Normal"/>
    <w:qFormat/>
    <w:rsid w:val="009E3D54"/>
    <w:pPr>
      <w:keepNext/>
      <w:spacing w:before="360" w:after="240"/>
      <w:jc w:val="center"/>
      <w:outlineLvl w:val="0"/>
    </w:pPr>
    <w:rPr>
      <w:b/>
      <w:sz w:val="28"/>
    </w:rPr>
  </w:style>
  <w:style w:type="paragraph" w:styleId="Heading2">
    <w:name w:val="heading 2"/>
    <w:basedOn w:val="Normal"/>
    <w:next w:val="Normal"/>
    <w:qFormat/>
    <w:rsid w:val="009E3D54"/>
    <w:pPr>
      <w:keepNext/>
      <w:spacing w:before="240" w:after="120"/>
      <w:ind w:left="284" w:hanging="284"/>
      <w:outlineLvl w:val="1"/>
    </w:pPr>
    <w:rPr>
      <w:b/>
    </w:rPr>
  </w:style>
  <w:style w:type="paragraph" w:styleId="Heading3">
    <w:name w:val="heading 3"/>
    <w:basedOn w:val="Normal"/>
    <w:next w:val="Normal"/>
    <w:qFormat/>
    <w:rsid w:val="009E3D5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9E3D54"/>
  </w:style>
  <w:style w:type="table" w:default="1" w:styleId="TableNormal">
    <w:name w:val="Normal Table"/>
    <w:semiHidden/>
    <w:rsid w:val="00B74432"/>
    <w:tblPr>
      <w:tblInd w:w="0" w:type="dxa"/>
      <w:tblCellMar>
        <w:top w:w="0" w:type="dxa"/>
        <w:left w:w="108" w:type="dxa"/>
        <w:bottom w:w="0" w:type="dxa"/>
        <w:right w:w="108" w:type="dxa"/>
      </w:tblCellMar>
    </w:tblPr>
  </w:style>
  <w:style w:type="numbering" w:default="1" w:styleId="NoList">
    <w:name w:val="No List"/>
    <w:semiHidden/>
    <w:rsid w:val="009E3D54"/>
  </w:style>
  <w:style w:type="paragraph" w:customStyle="1" w:styleId="OpiHA">
    <w:name w:val="Opi_H_A"/>
    <w:basedOn w:val="JuHIRoman"/>
    <w:next w:val="OpiPara"/>
    <w:rsid w:val="005E4847"/>
    <w:pPr>
      <w:tabs>
        <w:tab w:val="clear" w:pos="357"/>
      </w:tabs>
    </w:pPr>
    <w:rPr>
      <w:b/>
    </w:rPr>
  </w:style>
  <w:style w:type="paragraph" w:customStyle="1" w:styleId="JuHIRoman">
    <w:name w:val="Ju_H_I_Roman"/>
    <w:basedOn w:val="JuHHead"/>
    <w:next w:val="JuPara"/>
    <w:link w:val="JuHIRomanChar"/>
    <w:rsid w:val="0009043E"/>
    <w:pPr>
      <w:tabs>
        <w:tab w:val="left" w:pos="357"/>
      </w:tabs>
      <w:spacing w:before="360"/>
      <w:ind w:left="357" w:hanging="357"/>
      <w:outlineLvl w:val="1"/>
    </w:pPr>
    <w:rPr>
      <w:sz w:val="24"/>
    </w:rPr>
  </w:style>
  <w:style w:type="paragraph" w:customStyle="1" w:styleId="JuHHead">
    <w:name w:val="Ju_H_Head"/>
    <w:basedOn w:val="NormalTimesNewRoman"/>
    <w:next w:val="JuPara"/>
    <w:rsid w:val="0009043E"/>
    <w:pPr>
      <w:keepNext/>
      <w:keepLines/>
      <w:spacing w:before="720" w:after="240"/>
      <w:jc w:val="both"/>
      <w:outlineLvl w:val="0"/>
    </w:pPr>
    <w:rPr>
      <w:sz w:val="28"/>
    </w:rPr>
  </w:style>
  <w:style w:type="character" w:customStyle="1" w:styleId="DefaultTimesNewRoman">
    <w:name w:val="Default_TimesNewRoman"/>
    <w:rsid w:val="0009043E"/>
    <w:rPr>
      <w:rFonts w:ascii="Times New Roman" w:hAnsi="Times New Roman"/>
    </w:rPr>
  </w:style>
  <w:style w:type="paragraph" w:customStyle="1" w:styleId="JuPara">
    <w:name w:val="Ju_Para"/>
    <w:aliases w:val="Left,First line:  0 cm"/>
    <w:basedOn w:val="NormalTimesNewRoman"/>
    <w:link w:val="JuParaCar"/>
    <w:rsid w:val="0009043E"/>
    <w:pPr>
      <w:ind w:firstLine="284"/>
      <w:jc w:val="both"/>
    </w:pPr>
  </w:style>
  <w:style w:type="character" w:customStyle="1" w:styleId="JuParaCar">
    <w:name w:val="Ju_Para Car"/>
    <w:link w:val="JuPara"/>
    <w:rsid w:val="00943B61"/>
    <w:rPr>
      <w:sz w:val="24"/>
      <w:lang w:val="en-GB" w:eastAsia="fr-FR" w:bidi="ar-SA"/>
    </w:rPr>
  </w:style>
  <w:style w:type="character" w:customStyle="1" w:styleId="JuHIRomanChar">
    <w:name w:val="Ju_H_I_Roman Char"/>
    <w:link w:val="JuHIRoman"/>
    <w:rsid w:val="00CE67CB"/>
    <w:rPr>
      <w:sz w:val="24"/>
      <w:lang w:val="en-GB" w:eastAsia="fr-FR" w:bidi="ar-SA"/>
    </w:rPr>
  </w:style>
  <w:style w:type="paragraph" w:customStyle="1" w:styleId="OpiPara">
    <w:name w:val="Opi_Para"/>
    <w:basedOn w:val="JuPara"/>
    <w:rsid w:val="005E4847"/>
  </w:style>
  <w:style w:type="paragraph" w:customStyle="1" w:styleId="OpiH1">
    <w:name w:val="Opi_H_1."/>
    <w:basedOn w:val="OpiHA"/>
    <w:next w:val="OpiPara"/>
    <w:rsid w:val="005E4847"/>
    <w:pPr>
      <w:spacing w:before="240" w:after="120"/>
      <w:ind w:left="635"/>
      <w:outlineLvl w:val="2"/>
    </w:pPr>
    <w:rPr>
      <w:b w:val="0"/>
      <w:i/>
    </w:rPr>
  </w:style>
  <w:style w:type="paragraph" w:customStyle="1" w:styleId="OpiHa0">
    <w:name w:val="Opi_H_a"/>
    <w:basedOn w:val="OpiH1"/>
    <w:next w:val="OpiPara"/>
    <w:rsid w:val="005E4847"/>
    <w:pPr>
      <w:ind w:left="833"/>
      <w:outlineLvl w:val="3"/>
    </w:pPr>
    <w:rPr>
      <w:b/>
      <w:i w:val="0"/>
      <w:sz w:val="20"/>
    </w:rPr>
  </w:style>
  <w:style w:type="paragraph" w:customStyle="1" w:styleId="OpiHHead">
    <w:name w:val="Opi_H_Head"/>
    <w:basedOn w:val="JuHHead"/>
    <w:next w:val="OpiPara"/>
    <w:rsid w:val="005E4847"/>
    <w:pPr>
      <w:spacing w:before="0"/>
      <w:jc w:val="center"/>
    </w:pPr>
  </w:style>
  <w:style w:type="paragraph" w:customStyle="1" w:styleId="OpiHi">
    <w:name w:val="Opi_H_i"/>
    <w:basedOn w:val="OpiHa0"/>
    <w:next w:val="OpiPara"/>
    <w:rsid w:val="005E4847"/>
    <w:pPr>
      <w:ind w:left="1037"/>
      <w:outlineLvl w:val="4"/>
    </w:pPr>
    <w:rPr>
      <w:b w:val="0"/>
      <w:i/>
    </w:rPr>
  </w:style>
  <w:style w:type="paragraph" w:styleId="Footer">
    <w:name w:val="footer"/>
    <w:basedOn w:val="NormalTimesNewRoman"/>
    <w:rsid w:val="0009043E"/>
    <w:pPr>
      <w:tabs>
        <w:tab w:val="center" w:pos="3686"/>
        <w:tab w:val="right" w:pos="7371"/>
      </w:tabs>
    </w:pPr>
    <w:rPr>
      <w:sz w:val="18"/>
    </w:rPr>
  </w:style>
  <w:style w:type="paragraph" w:customStyle="1" w:styleId="JuJudges">
    <w:name w:val="Ju_Judges"/>
    <w:basedOn w:val="NormalTimesNewRoman"/>
    <w:link w:val="JuJudgesChar"/>
    <w:rsid w:val="0009043E"/>
    <w:pPr>
      <w:tabs>
        <w:tab w:val="left" w:pos="567"/>
        <w:tab w:val="left" w:pos="1134"/>
      </w:tabs>
    </w:pPr>
  </w:style>
  <w:style w:type="character" w:customStyle="1" w:styleId="JuJudgesChar">
    <w:name w:val="Ju_Judges Char"/>
    <w:link w:val="JuJudges"/>
    <w:locked/>
    <w:rsid w:val="00CE7FB6"/>
    <w:rPr>
      <w:sz w:val="24"/>
      <w:lang w:val="en-GB" w:eastAsia="fr-FR" w:bidi="ar-SA"/>
    </w:rPr>
  </w:style>
  <w:style w:type="character" w:styleId="Hyperlink">
    <w:name w:val="Hyperlink"/>
    <w:rsid w:val="0009043E"/>
    <w:rPr>
      <w:color w:val="0000FF"/>
      <w:u w:val="single"/>
    </w:rPr>
  </w:style>
  <w:style w:type="paragraph" w:customStyle="1" w:styleId="JuHA">
    <w:name w:val="Ju_H_A"/>
    <w:basedOn w:val="JuHIRoman"/>
    <w:next w:val="JuPara"/>
    <w:rsid w:val="0009043E"/>
    <w:pPr>
      <w:tabs>
        <w:tab w:val="clear" w:pos="357"/>
        <w:tab w:val="left" w:pos="584"/>
      </w:tabs>
      <w:ind w:left="584" w:hanging="352"/>
      <w:outlineLvl w:val="2"/>
    </w:pPr>
    <w:rPr>
      <w:b/>
    </w:rPr>
  </w:style>
  <w:style w:type="paragraph" w:customStyle="1" w:styleId="JuQuot">
    <w:name w:val="Ju_Quot"/>
    <w:basedOn w:val="JuPara"/>
    <w:link w:val="JuQuotChar"/>
    <w:rsid w:val="0009043E"/>
    <w:pPr>
      <w:spacing w:before="120" w:after="120"/>
      <w:ind w:left="425" w:firstLine="142"/>
    </w:pPr>
    <w:rPr>
      <w:sz w:val="20"/>
    </w:rPr>
  </w:style>
  <w:style w:type="paragraph" w:customStyle="1" w:styleId="JuSigned">
    <w:name w:val="Ju_Signed"/>
    <w:basedOn w:val="NormalTimesNewRoman"/>
    <w:next w:val="JuParaLast"/>
    <w:link w:val="JuSignedChar"/>
    <w:rsid w:val="0009043E"/>
    <w:pPr>
      <w:tabs>
        <w:tab w:val="center" w:pos="851"/>
        <w:tab w:val="center" w:pos="6407"/>
      </w:tabs>
      <w:spacing w:before="720"/>
    </w:pPr>
  </w:style>
  <w:style w:type="paragraph" w:customStyle="1" w:styleId="JuParaLast">
    <w:name w:val="Ju_Para_Last"/>
    <w:basedOn w:val="JuPara"/>
    <w:next w:val="JuPara"/>
    <w:rsid w:val="0009043E"/>
    <w:pPr>
      <w:keepNext/>
      <w:keepLines/>
      <w:spacing w:before="240"/>
    </w:pPr>
  </w:style>
  <w:style w:type="character" w:customStyle="1" w:styleId="JuSignedChar">
    <w:name w:val="Ju_Signed Char"/>
    <w:link w:val="JuSigned"/>
    <w:rsid w:val="00BE55FA"/>
    <w:rPr>
      <w:sz w:val="24"/>
      <w:lang w:val="en-GB" w:eastAsia="fr-FR" w:bidi="ar-SA"/>
    </w:rPr>
  </w:style>
  <w:style w:type="paragraph" w:customStyle="1" w:styleId="JuCase">
    <w:name w:val="Ju_Case"/>
    <w:basedOn w:val="JuPara"/>
    <w:next w:val="JuPara"/>
    <w:rsid w:val="0009043E"/>
    <w:rPr>
      <w:b/>
    </w:rPr>
  </w:style>
  <w:style w:type="paragraph" w:customStyle="1" w:styleId="JuList">
    <w:name w:val="Ju_List"/>
    <w:basedOn w:val="JuPara"/>
    <w:link w:val="JuListChar"/>
    <w:rsid w:val="0009043E"/>
    <w:pPr>
      <w:ind w:left="340" w:hanging="340"/>
    </w:pPr>
  </w:style>
  <w:style w:type="character" w:customStyle="1" w:styleId="JuListChar">
    <w:name w:val="Ju_List Char"/>
    <w:basedOn w:val="JuParaCar"/>
    <w:link w:val="JuList"/>
    <w:rsid w:val="00973A0D"/>
    <w:rPr>
      <w:sz w:val="24"/>
      <w:lang w:val="en-GB" w:eastAsia="fr-FR" w:bidi="ar-SA"/>
    </w:rPr>
  </w:style>
  <w:style w:type="paragraph" w:customStyle="1" w:styleId="JuHArticle">
    <w:name w:val="Ju_H_Article"/>
    <w:basedOn w:val="JuHa0"/>
    <w:next w:val="JuQuot"/>
    <w:rsid w:val="0009043E"/>
    <w:pPr>
      <w:ind w:left="0" w:firstLine="0"/>
      <w:jc w:val="center"/>
    </w:pPr>
  </w:style>
  <w:style w:type="paragraph" w:customStyle="1" w:styleId="JuHa0">
    <w:name w:val="Ju_H_a"/>
    <w:basedOn w:val="JuH1"/>
    <w:next w:val="JuPara"/>
    <w:rsid w:val="0009043E"/>
    <w:pPr>
      <w:tabs>
        <w:tab w:val="clear" w:pos="731"/>
        <w:tab w:val="left" w:pos="975"/>
      </w:tabs>
      <w:ind w:left="975" w:hanging="340"/>
      <w:outlineLvl w:val="4"/>
    </w:pPr>
    <w:rPr>
      <w:b/>
      <w:i w:val="0"/>
      <w:sz w:val="20"/>
    </w:rPr>
  </w:style>
  <w:style w:type="paragraph" w:customStyle="1" w:styleId="JuH1">
    <w:name w:val="Ju_H_1."/>
    <w:basedOn w:val="JuHA"/>
    <w:next w:val="JuPara"/>
    <w:rsid w:val="0009043E"/>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09043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5E4847"/>
  </w:style>
  <w:style w:type="paragraph" w:customStyle="1" w:styleId="OpiTranslation">
    <w:name w:val="Opi_Translation"/>
    <w:basedOn w:val="OpiHHead"/>
    <w:next w:val="OpiPara"/>
    <w:rsid w:val="005E4847"/>
    <w:rPr>
      <w:i/>
      <w:sz w:val="24"/>
    </w:rPr>
  </w:style>
  <w:style w:type="paragraph" w:styleId="FootnoteText">
    <w:name w:val="footnote text"/>
    <w:basedOn w:val="Normal"/>
    <w:semiHidden/>
    <w:rsid w:val="0009043E"/>
    <w:pPr>
      <w:jc w:val="both"/>
    </w:pPr>
    <w:rPr>
      <w:sz w:val="20"/>
    </w:rPr>
  </w:style>
  <w:style w:type="character" w:styleId="FootnoteReference">
    <w:name w:val="footnote reference"/>
    <w:semiHidden/>
    <w:rsid w:val="0009043E"/>
    <w:rPr>
      <w:vertAlign w:val="superscript"/>
    </w:rPr>
  </w:style>
  <w:style w:type="paragraph" w:customStyle="1" w:styleId="JuHi">
    <w:name w:val="Ju_H_i"/>
    <w:basedOn w:val="JuHa0"/>
    <w:next w:val="JuPara"/>
    <w:rsid w:val="0009043E"/>
    <w:pPr>
      <w:tabs>
        <w:tab w:val="clear" w:pos="975"/>
        <w:tab w:val="left" w:pos="1191"/>
      </w:tabs>
      <w:ind w:left="1190" w:hanging="357"/>
      <w:outlineLvl w:val="5"/>
    </w:pPr>
    <w:rPr>
      <w:b w:val="0"/>
      <w:i/>
    </w:rPr>
  </w:style>
  <w:style w:type="paragraph" w:styleId="Header">
    <w:name w:val="header"/>
    <w:basedOn w:val="NormalTimesNewRoman"/>
    <w:rsid w:val="0009043E"/>
    <w:pPr>
      <w:tabs>
        <w:tab w:val="center" w:pos="3686"/>
        <w:tab w:val="right" w:pos="7371"/>
      </w:tabs>
    </w:pPr>
    <w:rPr>
      <w:sz w:val="18"/>
    </w:rPr>
  </w:style>
  <w:style w:type="character" w:styleId="PageNumber">
    <w:name w:val="page number"/>
    <w:rsid w:val="0009043E"/>
    <w:rPr>
      <w:sz w:val="18"/>
    </w:rPr>
  </w:style>
  <w:style w:type="paragraph" w:customStyle="1" w:styleId="JuH">
    <w:name w:val="Ju_H_–"/>
    <w:basedOn w:val="JuHalpha"/>
    <w:next w:val="JuPara"/>
    <w:rsid w:val="0009043E"/>
    <w:pPr>
      <w:tabs>
        <w:tab w:val="clear" w:pos="1372"/>
      </w:tabs>
      <w:ind w:left="1236" w:firstLine="0"/>
    </w:pPr>
    <w:rPr>
      <w:i/>
    </w:rPr>
  </w:style>
  <w:style w:type="paragraph" w:customStyle="1" w:styleId="JuHalpha">
    <w:name w:val="Ju_H_alpha"/>
    <w:basedOn w:val="JuHi"/>
    <w:next w:val="JuPara"/>
    <w:rsid w:val="0009043E"/>
    <w:pPr>
      <w:tabs>
        <w:tab w:val="clear" w:pos="1191"/>
        <w:tab w:val="left" w:pos="1372"/>
      </w:tabs>
      <w:ind w:left="1373" w:hanging="335"/>
    </w:pPr>
    <w:rPr>
      <w:i w:val="0"/>
    </w:rPr>
  </w:style>
  <w:style w:type="paragraph" w:customStyle="1" w:styleId="JuLista">
    <w:name w:val="Ju_List_a"/>
    <w:basedOn w:val="JuList"/>
    <w:rsid w:val="0009043E"/>
    <w:pPr>
      <w:ind w:left="346" w:firstLine="0"/>
    </w:pPr>
  </w:style>
  <w:style w:type="paragraph" w:customStyle="1" w:styleId="JuListi">
    <w:name w:val="Ju_List_i"/>
    <w:basedOn w:val="JuLista"/>
    <w:rsid w:val="0009043E"/>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09043E"/>
    <w:pPr>
      <w:tabs>
        <w:tab w:val="clear" w:pos="851"/>
      </w:tabs>
      <w:jc w:val="right"/>
    </w:pPr>
  </w:style>
  <w:style w:type="paragraph" w:customStyle="1" w:styleId="JuHeader">
    <w:name w:val="Ju_Header"/>
    <w:basedOn w:val="Header"/>
    <w:rsid w:val="0009043E"/>
  </w:style>
  <w:style w:type="paragraph" w:customStyle="1" w:styleId="DecHTitle">
    <w:name w:val="Dec_H_Title"/>
    <w:basedOn w:val="Normal"/>
    <w:rsid w:val="00AE714D"/>
    <w:pPr>
      <w:spacing w:after="240"/>
      <w:jc w:val="center"/>
      <w:outlineLvl w:val="0"/>
    </w:pPr>
    <w:rPr>
      <w:sz w:val="28"/>
    </w:rPr>
  </w:style>
  <w:style w:type="paragraph" w:customStyle="1" w:styleId="DecHCase">
    <w:name w:val="Dec_H_Case"/>
    <w:basedOn w:val="DecHTitle"/>
    <w:next w:val="JuPara"/>
    <w:rsid w:val="005E4847"/>
    <w:rPr>
      <w:sz w:val="24"/>
    </w:rPr>
  </w:style>
  <w:style w:type="paragraph" w:customStyle="1" w:styleId="DecList">
    <w:name w:val="Dec_List"/>
    <w:basedOn w:val="Normal"/>
    <w:rsid w:val="00AE714D"/>
    <w:pPr>
      <w:spacing w:before="240"/>
      <w:ind w:left="284"/>
      <w:jc w:val="both"/>
    </w:pPr>
  </w:style>
  <w:style w:type="paragraph" w:customStyle="1" w:styleId="JuParaSub">
    <w:name w:val="Ju_Para_Sub"/>
    <w:basedOn w:val="JuPara"/>
    <w:rsid w:val="0009043E"/>
    <w:pPr>
      <w:ind w:left="284"/>
    </w:pPr>
    <w:rPr>
      <w:szCs w:val="24"/>
    </w:rPr>
  </w:style>
  <w:style w:type="paragraph" w:customStyle="1" w:styleId="JuQuotSub">
    <w:name w:val="Ju_Quot_Sub"/>
    <w:basedOn w:val="JuQuot"/>
    <w:rsid w:val="0009043E"/>
    <w:pPr>
      <w:ind w:left="567"/>
    </w:pPr>
  </w:style>
  <w:style w:type="paragraph" w:styleId="BalloonText">
    <w:name w:val="Balloon Text"/>
    <w:basedOn w:val="Normal"/>
    <w:semiHidden/>
    <w:rsid w:val="00246046"/>
    <w:rPr>
      <w:rFonts w:ascii="Tahoma" w:hAnsi="Tahoma" w:cs="Tahoma"/>
      <w:sz w:val="16"/>
      <w:szCs w:val="16"/>
    </w:rPr>
  </w:style>
  <w:style w:type="paragraph" w:styleId="CommentSubject">
    <w:name w:val="annotation subject"/>
    <w:basedOn w:val="CommentText"/>
    <w:next w:val="CommentText"/>
    <w:semiHidden/>
    <w:rsid w:val="00AF561D"/>
    <w:rPr>
      <w:b/>
      <w:bCs/>
    </w:rPr>
  </w:style>
  <w:style w:type="character" w:styleId="EndnoteReference">
    <w:name w:val="endnote reference"/>
    <w:semiHidden/>
    <w:rsid w:val="0009043E"/>
    <w:rPr>
      <w:vertAlign w:val="superscript"/>
    </w:rPr>
  </w:style>
  <w:style w:type="paragraph" w:styleId="EndnoteText">
    <w:name w:val="endnote text"/>
    <w:basedOn w:val="Normal"/>
    <w:semiHidden/>
    <w:rsid w:val="0009043E"/>
    <w:rPr>
      <w:sz w:val="20"/>
    </w:rPr>
  </w:style>
  <w:style w:type="character" w:styleId="FollowedHyperlink">
    <w:name w:val="FollowedHyperlink"/>
    <w:rsid w:val="0009043E"/>
    <w:rPr>
      <w:color w:val="800080"/>
      <w:u w:val="single"/>
    </w:rPr>
  </w:style>
  <w:style w:type="paragraph" w:customStyle="1" w:styleId="SuCoverTitle1">
    <w:name w:val="Su_Cover_Title1"/>
    <w:basedOn w:val="Normal"/>
    <w:next w:val="SuCoverTitle2"/>
    <w:rsid w:val="00AE714D"/>
    <w:pPr>
      <w:spacing w:before="2500"/>
      <w:jc w:val="center"/>
    </w:pPr>
    <w:rPr>
      <w:sz w:val="22"/>
    </w:rPr>
  </w:style>
  <w:style w:type="paragraph" w:customStyle="1" w:styleId="SuCoverTitle2">
    <w:name w:val="Su_Cover_Title2"/>
    <w:basedOn w:val="SuCoverTitle1"/>
    <w:next w:val="Normal"/>
    <w:rsid w:val="00431DBC"/>
    <w:pPr>
      <w:spacing w:before="240"/>
    </w:pPr>
    <w:rPr>
      <w:sz w:val="18"/>
    </w:rPr>
  </w:style>
  <w:style w:type="paragraph" w:customStyle="1" w:styleId="SuPara">
    <w:name w:val="Su_Para"/>
    <w:basedOn w:val="SuKeywords"/>
    <w:rsid w:val="00431DBC"/>
    <w:pPr>
      <w:spacing w:before="0" w:after="0"/>
    </w:pPr>
    <w:rPr>
      <w:i w:val="0"/>
    </w:rPr>
  </w:style>
  <w:style w:type="paragraph" w:customStyle="1" w:styleId="SuKeywords">
    <w:name w:val="Su_Keywords"/>
    <w:basedOn w:val="SuHHead"/>
    <w:rsid w:val="00431DBC"/>
    <w:pPr>
      <w:spacing w:before="120"/>
    </w:pPr>
    <w:rPr>
      <w:b w:val="0"/>
      <w:i/>
    </w:rPr>
  </w:style>
  <w:style w:type="paragraph" w:customStyle="1" w:styleId="SuHHead">
    <w:name w:val="Su_H_Head"/>
    <w:basedOn w:val="SuSubject"/>
    <w:rsid w:val="00431DBC"/>
    <w:pPr>
      <w:spacing w:after="120"/>
    </w:pPr>
  </w:style>
  <w:style w:type="paragraph" w:customStyle="1" w:styleId="SuSubject">
    <w:name w:val="Su_Subject"/>
    <w:basedOn w:val="SuSummary"/>
    <w:rsid w:val="00431DBC"/>
    <w:pPr>
      <w:suppressAutoHyphens w:val="0"/>
      <w:spacing w:before="360"/>
      <w:jc w:val="both"/>
    </w:pPr>
    <w:rPr>
      <w:b/>
      <w:sz w:val="22"/>
    </w:rPr>
  </w:style>
  <w:style w:type="paragraph" w:customStyle="1" w:styleId="SuSummary">
    <w:name w:val="Su_Summary"/>
    <w:basedOn w:val="Normal"/>
    <w:next w:val="SuSubject"/>
    <w:rsid w:val="00AE714D"/>
    <w:pPr>
      <w:spacing w:after="240"/>
      <w:jc w:val="center"/>
    </w:pPr>
  </w:style>
  <w:style w:type="paragraph" w:customStyle="1" w:styleId="OpiParaSub">
    <w:name w:val="Opi_Para_Sub"/>
    <w:basedOn w:val="JuParaSub"/>
    <w:rsid w:val="005E4847"/>
  </w:style>
  <w:style w:type="paragraph" w:customStyle="1" w:styleId="OpiQuotSub">
    <w:name w:val="Opi_Quot_Sub"/>
    <w:basedOn w:val="JuQuotSub"/>
    <w:rsid w:val="005E4847"/>
  </w:style>
  <w:style w:type="paragraph" w:styleId="DocumentMap">
    <w:name w:val="Document Map"/>
    <w:basedOn w:val="Normal"/>
    <w:semiHidden/>
    <w:rsid w:val="009E3D54"/>
    <w:pPr>
      <w:shd w:val="clear" w:color="auto" w:fill="000080"/>
    </w:pPr>
    <w:rPr>
      <w:rFonts w:ascii="Tahoma" w:hAnsi="Tahoma" w:cs="Tahoma"/>
      <w:sz w:val="20"/>
    </w:rPr>
  </w:style>
  <w:style w:type="character" w:customStyle="1" w:styleId="JuNames">
    <w:name w:val="Ju_Names"/>
    <w:rsid w:val="0009043E"/>
    <w:rPr>
      <w:smallCaps/>
    </w:rPr>
  </w:style>
  <w:style w:type="paragraph" w:customStyle="1" w:styleId="NormalJustified">
    <w:name w:val="Normal_Justified"/>
    <w:basedOn w:val="Normal"/>
    <w:rsid w:val="009E3D54"/>
    <w:pPr>
      <w:jc w:val="both"/>
    </w:pPr>
  </w:style>
  <w:style w:type="paragraph" w:customStyle="1" w:styleId="JuAppQuestion">
    <w:name w:val="Ju_App_Question"/>
    <w:basedOn w:val="ListBullet"/>
    <w:rsid w:val="0009043E"/>
    <w:pPr>
      <w:numPr>
        <w:numId w:val="6"/>
      </w:numPr>
      <w:suppressAutoHyphens w:val="0"/>
    </w:pPr>
    <w:rPr>
      <w:b/>
      <w:color w:val="333333"/>
    </w:rPr>
  </w:style>
  <w:style w:type="paragraph" w:styleId="ListBullet">
    <w:name w:val="List Bullet"/>
    <w:basedOn w:val="Normal"/>
    <w:rsid w:val="009E3D54"/>
    <w:pPr>
      <w:numPr>
        <w:numId w:val="2"/>
      </w:numPr>
    </w:pPr>
  </w:style>
  <w:style w:type="paragraph" w:customStyle="1" w:styleId="NormalTimesNewRoman">
    <w:name w:val="Normal_TimesNewRoman"/>
    <w:rsid w:val="0009043E"/>
    <w:rPr>
      <w:sz w:val="24"/>
      <w:lang w:val="en-GB" w:eastAsia="fr-FR"/>
    </w:rPr>
  </w:style>
  <w:style w:type="character" w:customStyle="1" w:styleId="JuITMark">
    <w:name w:val="Ju_ITMark"/>
    <w:rsid w:val="0009043E"/>
    <w:rPr>
      <w:rFonts w:ascii="Times New Roman" w:hAnsi="Times New Roman"/>
      <w:vanish/>
      <w:color w:val="339966"/>
      <w:sz w:val="16"/>
      <w:szCs w:val="16"/>
      <w:lang w:val="fi-FI"/>
    </w:rPr>
  </w:style>
  <w:style w:type="paragraph" w:customStyle="1" w:styleId="JuTitle">
    <w:name w:val="Ju_Title"/>
    <w:basedOn w:val="JuHHead"/>
    <w:next w:val="JuPara"/>
    <w:rsid w:val="0009043E"/>
    <w:pPr>
      <w:jc w:val="center"/>
    </w:pPr>
    <w:rPr>
      <w:b/>
      <w:caps/>
      <w:sz w:val="24"/>
      <w:szCs w:val="24"/>
      <w:u w:val="single"/>
    </w:rPr>
  </w:style>
  <w:style w:type="character" w:customStyle="1" w:styleId="JuQuotChar">
    <w:name w:val="Ju_Quot Char"/>
    <w:basedOn w:val="JuParaCar"/>
    <w:link w:val="JuQuot"/>
    <w:locked/>
    <w:rsid w:val="00032A9C"/>
    <w:rPr>
      <w:sz w:val="24"/>
      <w:lang w:val="en-GB" w:eastAsia="fr-FR" w:bidi="ar-SA"/>
    </w:rPr>
  </w:style>
  <w:style w:type="paragraph" w:customStyle="1" w:styleId="s30eec3f8">
    <w:name w:val="s30eec3f8"/>
    <w:basedOn w:val="Normal"/>
    <w:rsid w:val="00AB0844"/>
    <w:pPr>
      <w:suppressAutoHyphens w:val="0"/>
      <w:spacing w:before="100" w:beforeAutospacing="1" w:after="100" w:afterAutospacing="1"/>
    </w:pPr>
    <w:rPr>
      <w:szCs w:val="24"/>
      <w:lang w:eastAsia="en-GB"/>
    </w:rPr>
  </w:style>
  <w:style w:type="character" w:customStyle="1" w:styleId="sb8d990e2">
    <w:name w:val="sb8d990e2"/>
    <w:basedOn w:val="DefaultParagraphFont"/>
    <w:rsid w:val="00AB0844"/>
  </w:style>
  <w:style w:type="paragraph" w:customStyle="1" w:styleId="s9e9b0cd7">
    <w:name w:val="s9e9b0cd7"/>
    <w:basedOn w:val="Normal"/>
    <w:rsid w:val="00AB0844"/>
    <w:pPr>
      <w:suppressAutoHyphens w:val="0"/>
      <w:spacing w:before="100" w:beforeAutospacing="1" w:after="100" w:afterAutospacing="1"/>
    </w:pPr>
    <w:rPr>
      <w:szCs w:val="24"/>
      <w:lang w:eastAsia="en-GB"/>
    </w:rPr>
  </w:style>
  <w:style w:type="character" w:customStyle="1" w:styleId="sfbbfee58">
    <w:name w:val="sfbbfee58"/>
    <w:basedOn w:val="DefaultParagraphFont"/>
    <w:rsid w:val="00AB0844"/>
  </w:style>
  <w:style w:type="character" w:customStyle="1" w:styleId="s6b621b36">
    <w:name w:val="s6b621b36"/>
    <w:basedOn w:val="DefaultParagraphFont"/>
    <w:rsid w:val="00AB0844"/>
  </w:style>
  <w:style w:type="character" w:customStyle="1" w:styleId="s1a844bc0">
    <w:name w:val="s1a844bc0"/>
    <w:basedOn w:val="DefaultParagraphFont"/>
    <w:rsid w:val="00AB0844"/>
  </w:style>
  <w:style w:type="character" w:customStyle="1" w:styleId="wordhighlightedcurrentterm">
    <w:name w:val="wordhighlighted currentterm"/>
    <w:basedOn w:val="DefaultParagraphFont"/>
    <w:rsid w:val="00367623"/>
  </w:style>
  <w:style w:type="paragraph" w:customStyle="1" w:styleId="s70227c73">
    <w:name w:val="s70227c73"/>
    <w:basedOn w:val="Normal"/>
    <w:rsid w:val="00E07CE4"/>
    <w:pPr>
      <w:suppressAutoHyphens w:val="0"/>
      <w:spacing w:before="100" w:beforeAutospacing="1" w:after="100" w:afterAutospacing="1"/>
    </w:pPr>
    <w:rPr>
      <w:szCs w:val="24"/>
      <w:lang w:eastAsia="en-GB"/>
    </w:rPr>
  </w:style>
  <w:style w:type="paragraph" w:customStyle="1" w:styleId="se5d6d4c3">
    <w:name w:val="se5d6d4c3"/>
    <w:basedOn w:val="Normal"/>
    <w:rsid w:val="00E07CE4"/>
    <w:pPr>
      <w:suppressAutoHyphens w:val="0"/>
      <w:spacing w:before="100" w:beforeAutospacing="1" w:after="100" w:afterAutospacing="1"/>
    </w:pPr>
    <w:rPr>
      <w:szCs w:val="24"/>
      <w:lang w:eastAsia="en-GB"/>
    </w:rPr>
  </w:style>
  <w:style w:type="character" w:customStyle="1" w:styleId="sdfc50a6a">
    <w:name w:val="sdfc50a6a"/>
    <w:basedOn w:val="DefaultParagraphFont"/>
    <w:rsid w:val="00E07CE4"/>
  </w:style>
  <w:style w:type="paragraph" w:customStyle="1" w:styleId="sb9059d72">
    <w:name w:val="sb9059d72"/>
    <w:basedOn w:val="Normal"/>
    <w:rsid w:val="00E07CE4"/>
    <w:pPr>
      <w:suppressAutoHyphens w:val="0"/>
      <w:spacing w:before="100" w:beforeAutospacing="1" w:after="100" w:afterAutospacing="1"/>
    </w:pPr>
    <w:rPr>
      <w:szCs w:val="24"/>
      <w:lang w:eastAsia="en-GB"/>
    </w:rPr>
  </w:style>
  <w:style w:type="character" w:customStyle="1" w:styleId="wordhighlighted">
    <w:name w:val="wordhighlighted"/>
    <w:basedOn w:val="DefaultParagraphFont"/>
    <w:rsid w:val="00E07CE4"/>
  </w:style>
  <w:style w:type="character" w:customStyle="1" w:styleId="column01">
    <w:name w:val="column01"/>
    <w:basedOn w:val="DefaultParagraphFont"/>
    <w:rsid w:val="00E07CE4"/>
  </w:style>
  <w:style w:type="paragraph" w:customStyle="1" w:styleId="jupara0">
    <w:name w:val="jupara"/>
    <w:basedOn w:val="Normal"/>
    <w:rsid w:val="00F50242"/>
    <w:pPr>
      <w:suppressAutoHyphens w:val="0"/>
      <w:ind w:firstLine="284"/>
      <w:jc w:val="both"/>
    </w:pPr>
    <w:rPr>
      <w:szCs w:val="24"/>
      <w:lang w:eastAsia="en-GB"/>
    </w:rPr>
  </w:style>
  <w:style w:type="paragraph" w:customStyle="1" w:styleId="jucase0">
    <w:name w:val="jucase"/>
    <w:basedOn w:val="Normal"/>
    <w:rsid w:val="00F50242"/>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3785">
      <w:bodyDiv w:val="1"/>
      <w:marLeft w:val="0"/>
      <w:marRight w:val="0"/>
      <w:marTop w:val="0"/>
      <w:marBottom w:val="0"/>
      <w:divBdr>
        <w:top w:val="none" w:sz="0" w:space="0" w:color="auto"/>
        <w:left w:val="none" w:sz="0" w:space="0" w:color="auto"/>
        <w:bottom w:val="none" w:sz="0" w:space="0" w:color="auto"/>
        <w:right w:val="none" w:sz="0" w:space="0" w:color="auto"/>
      </w:divBdr>
      <w:divsChild>
        <w:div w:id="958993009">
          <w:marLeft w:val="0"/>
          <w:marRight w:val="0"/>
          <w:marTop w:val="0"/>
          <w:marBottom w:val="0"/>
          <w:divBdr>
            <w:top w:val="none" w:sz="0" w:space="0" w:color="auto"/>
            <w:left w:val="none" w:sz="0" w:space="0" w:color="auto"/>
            <w:bottom w:val="none" w:sz="0" w:space="0" w:color="auto"/>
            <w:right w:val="none" w:sz="0" w:space="0" w:color="auto"/>
          </w:divBdr>
          <w:divsChild>
            <w:div w:id="81684802">
              <w:marLeft w:val="0"/>
              <w:marRight w:val="0"/>
              <w:marTop w:val="0"/>
              <w:marBottom w:val="0"/>
              <w:divBdr>
                <w:top w:val="none" w:sz="0" w:space="0" w:color="auto"/>
                <w:left w:val="none" w:sz="0" w:space="0" w:color="auto"/>
                <w:bottom w:val="none" w:sz="0" w:space="0" w:color="auto"/>
                <w:right w:val="none" w:sz="0" w:space="0" w:color="auto"/>
              </w:divBdr>
              <w:divsChild>
                <w:div w:id="332532483">
                  <w:marLeft w:val="0"/>
                  <w:marRight w:val="0"/>
                  <w:marTop w:val="0"/>
                  <w:marBottom w:val="0"/>
                  <w:divBdr>
                    <w:top w:val="none" w:sz="0" w:space="0" w:color="auto"/>
                    <w:left w:val="none" w:sz="0" w:space="0" w:color="auto"/>
                    <w:bottom w:val="none" w:sz="0" w:space="0" w:color="auto"/>
                    <w:right w:val="none" w:sz="0" w:space="0" w:color="auto"/>
                  </w:divBdr>
                  <w:divsChild>
                    <w:div w:id="1010181003">
                      <w:marLeft w:val="0"/>
                      <w:marRight w:val="0"/>
                      <w:marTop w:val="0"/>
                      <w:marBottom w:val="0"/>
                      <w:divBdr>
                        <w:top w:val="none" w:sz="0" w:space="0" w:color="auto"/>
                        <w:left w:val="none" w:sz="0" w:space="0" w:color="auto"/>
                        <w:bottom w:val="none" w:sz="0" w:space="0" w:color="auto"/>
                        <w:right w:val="none" w:sz="0" w:space="0" w:color="auto"/>
                      </w:divBdr>
                      <w:divsChild>
                        <w:div w:id="244651638">
                          <w:marLeft w:val="0"/>
                          <w:marRight w:val="0"/>
                          <w:marTop w:val="0"/>
                          <w:marBottom w:val="0"/>
                          <w:divBdr>
                            <w:top w:val="none" w:sz="0" w:space="0" w:color="auto"/>
                            <w:left w:val="none" w:sz="0" w:space="0" w:color="auto"/>
                            <w:bottom w:val="none" w:sz="0" w:space="0" w:color="auto"/>
                            <w:right w:val="none" w:sz="0" w:space="0" w:color="auto"/>
                          </w:divBdr>
                          <w:divsChild>
                            <w:div w:id="13939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70441">
      <w:bodyDiv w:val="1"/>
      <w:marLeft w:val="0"/>
      <w:marRight w:val="0"/>
      <w:marTop w:val="0"/>
      <w:marBottom w:val="0"/>
      <w:divBdr>
        <w:top w:val="none" w:sz="0" w:space="0" w:color="auto"/>
        <w:left w:val="none" w:sz="0" w:space="0" w:color="auto"/>
        <w:bottom w:val="none" w:sz="0" w:space="0" w:color="auto"/>
        <w:right w:val="none" w:sz="0" w:space="0" w:color="auto"/>
      </w:divBdr>
      <w:divsChild>
        <w:div w:id="231891061">
          <w:marLeft w:val="0"/>
          <w:marRight w:val="0"/>
          <w:marTop w:val="0"/>
          <w:marBottom w:val="0"/>
          <w:divBdr>
            <w:top w:val="none" w:sz="0" w:space="0" w:color="auto"/>
            <w:left w:val="none" w:sz="0" w:space="0" w:color="auto"/>
            <w:bottom w:val="none" w:sz="0" w:space="0" w:color="auto"/>
            <w:right w:val="none" w:sz="0" w:space="0" w:color="auto"/>
          </w:divBdr>
          <w:divsChild>
            <w:div w:id="1270621487">
              <w:marLeft w:val="0"/>
              <w:marRight w:val="0"/>
              <w:marTop w:val="0"/>
              <w:marBottom w:val="0"/>
              <w:divBdr>
                <w:top w:val="none" w:sz="0" w:space="0" w:color="auto"/>
                <w:left w:val="none" w:sz="0" w:space="0" w:color="auto"/>
                <w:bottom w:val="none" w:sz="0" w:space="0" w:color="auto"/>
                <w:right w:val="none" w:sz="0" w:space="0" w:color="auto"/>
              </w:divBdr>
              <w:divsChild>
                <w:div w:id="544755676">
                  <w:marLeft w:val="0"/>
                  <w:marRight w:val="0"/>
                  <w:marTop w:val="0"/>
                  <w:marBottom w:val="0"/>
                  <w:divBdr>
                    <w:top w:val="none" w:sz="0" w:space="0" w:color="auto"/>
                    <w:left w:val="none" w:sz="0" w:space="0" w:color="auto"/>
                    <w:bottom w:val="none" w:sz="0" w:space="0" w:color="auto"/>
                    <w:right w:val="none" w:sz="0" w:space="0" w:color="auto"/>
                  </w:divBdr>
                  <w:divsChild>
                    <w:div w:id="816842910">
                      <w:marLeft w:val="0"/>
                      <w:marRight w:val="0"/>
                      <w:marTop w:val="0"/>
                      <w:marBottom w:val="0"/>
                      <w:divBdr>
                        <w:top w:val="none" w:sz="0" w:space="0" w:color="auto"/>
                        <w:left w:val="none" w:sz="0" w:space="0" w:color="auto"/>
                        <w:bottom w:val="none" w:sz="0" w:space="0" w:color="auto"/>
                        <w:right w:val="none" w:sz="0" w:space="0" w:color="auto"/>
                      </w:divBdr>
                      <w:divsChild>
                        <w:div w:id="1264730384">
                          <w:marLeft w:val="0"/>
                          <w:marRight w:val="0"/>
                          <w:marTop w:val="0"/>
                          <w:marBottom w:val="0"/>
                          <w:divBdr>
                            <w:top w:val="none" w:sz="0" w:space="0" w:color="auto"/>
                            <w:left w:val="none" w:sz="0" w:space="0" w:color="auto"/>
                            <w:bottom w:val="none" w:sz="0" w:space="0" w:color="auto"/>
                            <w:right w:val="none" w:sz="0" w:space="0" w:color="auto"/>
                          </w:divBdr>
                          <w:divsChild>
                            <w:div w:id="9986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0305">
      <w:bodyDiv w:val="1"/>
      <w:marLeft w:val="0"/>
      <w:marRight w:val="0"/>
      <w:marTop w:val="0"/>
      <w:marBottom w:val="0"/>
      <w:divBdr>
        <w:top w:val="none" w:sz="0" w:space="0" w:color="auto"/>
        <w:left w:val="none" w:sz="0" w:space="0" w:color="auto"/>
        <w:bottom w:val="none" w:sz="0" w:space="0" w:color="auto"/>
        <w:right w:val="none" w:sz="0" w:space="0" w:color="auto"/>
      </w:divBdr>
      <w:divsChild>
        <w:div w:id="305009683">
          <w:marLeft w:val="0"/>
          <w:marRight w:val="0"/>
          <w:marTop w:val="0"/>
          <w:marBottom w:val="0"/>
          <w:divBdr>
            <w:top w:val="none" w:sz="0" w:space="0" w:color="auto"/>
            <w:left w:val="none" w:sz="0" w:space="0" w:color="auto"/>
            <w:bottom w:val="none" w:sz="0" w:space="0" w:color="auto"/>
            <w:right w:val="none" w:sz="0" w:space="0" w:color="auto"/>
          </w:divBdr>
          <w:divsChild>
            <w:div w:id="959799453">
              <w:marLeft w:val="0"/>
              <w:marRight w:val="0"/>
              <w:marTop w:val="0"/>
              <w:marBottom w:val="0"/>
              <w:divBdr>
                <w:top w:val="none" w:sz="0" w:space="0" w:color="auto"/>
                <w:left w:val="none" w:sz="0" w:space="0" w:color="auto"/>
                <w:bottom w:val="none" w:sz="0" w:space="0" w:color="auto"/>
                <w:right w:val="none" w:sz="0" w:space="0" w:color="auto"/>
              </w:divBdr>
              <w:divsChild>
                <w:div w:id="863633803">
                  <w:marLeft w:val="0"/>
                  <w:marRight w:val="0"/>
                  <w:marTop w:val="0"/>
                  <w:marBottom w:val="0"/>
                  <w:divBdr>
                    <w:top w:val="none" w:sz="0" w:space="0" w:color="auto"/>
                    <w:left w:val="none" w:sz="0" w:space="0" w:color="auto"/>
                    <w:bottom w:val="none" w:sz="0" w:space="0" w:color="auto"/>
                    <w:right w:val="none" w:sz="0" w:space="0" w:color="auto"/>
                  </w:divBdr>
                  <w:divsChild>
                    <w:div w:id="668143425">
                      <w:marLeft w:val="0"/>
                      <w:marRight w:val="0"/>
                      <w:marTop w:val="0"/>
                      <w:marBottom w:val="0"/>
                      <w:divBdr>
                        <w:top w:val="none" w:sz="0" w:space="0" w:color="auto"/>
                        <w:left w:val="none" w:sz="0" w:space="0" w:color="auto"/>
                        <w:bottom w:val="none" w:sz="0" w:space="0" w:color="auto"/>
                        <w:right w:val="none" w:sz="0" w:space="0" w:color="auto"/>
                      </w:divBdr>
                      <w:divsChild>
                        <w:div w:id="1779761296">
                          <w:marLeft w:val="0"/>
                          <w:marRight w:val="0"/>
                          <w:marTop w:val="0"/>
                          <w:marBottom w:val="0"/>
                          <w:divBdr>
                            <w:top w:val="none" w:sz="0" w:space="0" w:color="auto"/>
                            <w:left w:val="none" w:sz="0" w:space="0" w:color="auto"/>
                            <w:bottom w:val="none" w:sz="0" w:space="0" w:color="auto"/>
                            <w:right w:val="none" w:sz="0" w:space="0" w:color="auto"/>
                          </w:divBdr>
                          <w:divsChild>
                            <w:div w:id="17909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8719">
      <w:bodyDiv w:val="1"/>
      <w:marLeft w:val="0"/>
      <w:marRight w:val="0"/>
      <w:marTop w:val="0"/>
      <w:marBottom w:val="0"/>
      <w:divBdr>
        <w:top w:val="none" w:sz="0" w:space="0" w:color="auto"/>
        <w:left w:val="none" w:sz="0" w:space="0" w:color="auto"/>
        <w:bottom w:val="none" w:sz="0" w:space="0" w:color="auto"/>
        <w:right w:val="none" w:sz="0" w:space="0" w:color="auto"/>
      </w:divBdr>
    </w:div>
    <w:div w:id="1596860066">
      <w:bodyDiv w:val="1"/>
      <w:marLeft w:val="0"/>
      <w:marRight w:val="0"/>
      <w:marTop w:val="0"/>
      <w:marBottom w:val="0"/>
      <w:divBdr>
        <w:top w:val="none" w:sz="0" w:space="0" w:color="auto"/>
        <w:left w:val="none" w:sz="0" w:space="0" w:color="auto"/>
        <w:bottom w:val="none" w:sz="0" w:space="0" w:color="auto"/>
        <w:right w:val="none" w:sz="0" w:space="0" w:color="auto"/>
      </w:divBdr>
    </w:div>
    <w:div w:id="1912734055">
      <w:bodyDiv w:val="1"/>
      <w:marLeft w:val="0"/>
      <w:marRight w:val="0"/>
      <w:marTop w:val="0"/>
      <w:marBottom w:val="0"/>
      <w:divBdr>
        <w:top w:val="none" w:sz="0" w:space="0" w:color="auto"/>
        <w:left w:val="none" w:sz="0" w:space="0" w:color="auto"/>
        <w:bottom w:val="none" w:sz="0" w:space="0" w:color="auto"/>
        <w:right w:val="none" w:sz="0" w:space="0" w:color="auto"/>
      </w:divBdr>
      <w:divsChild>
        <w:div w:id="540358860">
          <w:marLeft w:val="0"/>
          <w:marRight w:val="0"/>
          <w:marTop w:val="0"/>
          <w:marBottom w:val="0"/>
          <w:divBdr>
            <w:top w:val="none" w:sz="0" w:space="0" w:color="auto"/>
            <w:left w:val="none" w:sz="0" w:space="0" w:color="auto"/>
            <w:bottom w:val="none" w:sz="0" w:space="0" w:color="auto"/>
            <w:right w:val="none" w:sz="0" w:space="0" w:color="auto"/>
          </w:divBdr>
          <w:divsChild>
            <w:div w:id="1996254557">
              <w:marLeft w:val="0"/>
              <w:marRight w:val="0"/>
              <w:marTop w:val="0"/>
              <w:marBottom w:val="0"/>
              <w:divBdr>
                <w:top w:val="none" w:sz="0" w:space="0" w:color="auto"/>
                <w:left w:val="none" w:sz="0" w:space="0" w:color="auto"/>
                <w:bottom w:val="none" w:sz="0" w:space="0" w:color="auto"/>
                <w:right w:val="none" w:sz="0" w:space="0" w:color="auto"/>
              </w:divBdr>
              <w:divsChild>
                <w:div w:id="2093233369">
                  <w:marLeft w:val="0"/>
                  <w:marRight w:val="0"/>
                  <w:marTop w:val="0"/>
                  <w:marBottom w:val="0"/>
                  <w:divBdr>
                    <w:top w:val="none" w:sz="0" w:space="0" w:color="auto"/>
                    <w:left w:val="none" w:sz="0" w:space="0" w:color="auto"/>
                    <w:bottom w:val="none" w:sz="0" w:space="0" w:color="auto"/>
                    <w:right w:val="none" w:sz="0" w:space="0" w:color="auto"/>
                  </w:divBdr>
                  <w:divsChild>
                    <w:div w:id="799953859">
                      <w:marLeft w:val="0"/>
                      <w:marRight w:val="0"/>
                      <w:marTop w:val="0"/>
                      <w:marBottom w:val="0"/>
                      <w:divBdr>
                        <w:top w:val="none" w:sz="0" w:space="0" w:color="auto"/>
                        <w:left w:val="none" w:sz="0" w:space="0" w:color="auto"/>
                        <w:bottom w:val="none" w:sz="0" w:space="0" w:color="auto"/>
                        <w:right w:val="none" w:sz="0" w:space="0" w:color="auto"/>
                      </w:divBdr>
                      <w:divsChild>
                        <w:div w:id="1756394782">
                          <w:marLeft w:val="0"/>
                          <w:marRight w:val="0"/>
                          <w:marTop w:val="0"/>
                          <w:marBottom w:val="0"/>
                          <w:divBdr>
                            <w:top w:val="none" w:sz="0" w:space="0" w:color="auto"/>
                            <w:left w:val="none" w:sz="0" w:space="0" w:color="auto"/>
                            <w:bottom w:val="none" w:sz="0" w:space="0" w:color="auto"/>
                            <w:right w:val="none" w:sz="0" w:space="0" w:color="auto"/>
                          </w:divBdr>
                          <w:divsChild>
                            <w:div w:id="4033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6463-F026-4C70-982C-DB2E66FB8253}">
  <ds:schemaRefs>
    <ds:schemaRef ds:uri="http://schemas.microsoft.com/sharepoint/v3/contenttype/forms"/>
  </ds:schemaRefs>
</ds:datastoreItem>
</file>

<file path=customXml/itemProps2.xml><?xml version="1.0" encoding="utf-8"?>
<ds:datastoreItem xmlns:ds="http://schemas.openxmlformats.org/officeDocument/2006/customXml" ds:itemID="{71C66FA4-ECDE-4893-B01E-3D0690EA6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D34420-7867-4C6B-87B0-FF368EDC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2013-04-24T09:46:00Z</cp:lastPrinted>
  <dcterms:created xsi:type="dcterms:W3CDTF">2013-10-24T08:51:00Z</dcterms:created>
  <dcterms:modified xsi:type="dcterms:W3CDTF">2013-10-24T08:51:00Z</dcterms:modified>
  <cp:category>ECHR Template</cp:category>
</cp:coreProperties>
</file>