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A6" w:rsidRDefault="002804A6" w:rsidP="002804A6">
      <w:pPr>
        <w:pStyle w:val="DecHTitle"/>
      </w:pPr>
      <w:r w:rsidRPr="00D90C97">
        <w:t>THIRD SECTION</w:t>
      </w:r>
    </w:p>
    <w:p w:rsidR="002804A6" w:rsidRPr="00D90C97" w:rsidRDefault="002804A6" w:rsidP="002804A6">
      <w:pPr>
        <w:pStyle w:val="DecHTitle"/>
      </w:pPr>
      <w:r>
        <w:t>DECISION</w:t>
      </w:r>
    </w:p>
    <w:p w:rsidR="002804A6" w:rsidRDefault="002804A6" w:rsidP="002804A6">
      <w:pPr>
        <w:pStyle w:val="DecHCase"/>
      </w:pPr>
      <w:r w:rsidRPr="00D90C97">
        <w:t>Application no. 17458/10</w:t>
      </w:r>
      <w:r w:rsidRPr="00D90C97">
        <w:br/>
      </w:r>
      <w:r>
        <w:t>Nadež</w:t>
      </w:r>
      <w:r w:rsidRPr="00D90C97">
        <w:t>da DEMENTJEVA</w:t>
      </w:r>
      <w:r w:rsidRPr="00D90C97">
        <w:br/>
      </w:r>
      <w:bookmarkStart w:id="0" w:name="OLE_LINK1"/>
      <w:r w:rsidRPr="00D90C97">
        <w:t xml:space="preserve">against </w:t>
      </w:r>
      <w:bookmarkEnd w:id="0"/>
      <w:smartTag w:uri="urn:schemas-microsoft-com:office:smarttags" w:element="place">
        <w:smartTag w:uri="urn:schemas-microsoft-com:office:smarttags" w:element="country-region">
          <w:r w:rsidRPr="00D90C97">
            <w:t>Latvia</w:t>
          </w:r>
        </w:smartTag>
      </w:smartTag>
    </w:p>
    <w:p w:rsidR="002804A6" w:rsidRPr="00D90C97" w:rsidRDefault="002804A6" w:rsidP="002804A6">
      <w:pPr>
        <w:pStyle w:val="JuPara"/>
      </w:pPr>
      <w:r w:rsidRPr="00D90C97">
        <w:t xml:space="preserve">The European Court of Human Rights (Third Section), sitting on </w:t>
      </w:r>
      <w:r>
        <w:t>13 March</w:t>
      </w:r>
      <w:r w:rsidR="007C12A5">
        <w:t xml:space="preserve"> </w:t>
      </w:r>
      <w:r>
        <w:t>2012</w:t>
      </w:r>
      <w:r w:rsidRPr="00D90C97">
        <w:t xml:space="preserve"> as a Committee composed of:</w:t>
      </w:r>
    </w:p>
    <w:p w:rsidR="002804A6" w:rsidRPr="00D90C97" w:rsidRDefault="002804A6" w:rsidP="002804A6">
      <w:pPr>
        <w:pStyle w:val="JuPara"/>
        <w:jc w:val="left"/>
        <w:rPr>
          <w:rFonts w:ascii="Times New (W1)" w:hAnsi="Times New (W1)"/>
          <w:szCs w:val="24"/>
        </w:rPr>
      </w:pPr>
      <w:r w:rsidRPr="002804A6">
        <w:tab/>
      </w:r>
      <w:r w:rsidRPr="007C12A5">
        <w:rPr>
          <w:rStyle w:val="JuJudgesChar"/>
        </w:rPr>
        <w:t>Alvina Gyulumyan</w:t>
      </w:r>
      <w:r>
        <w:t>,</w:t>
      </w:r>
      <w:r w:rsidRPr="002804A6">
        <w:rPr>
          <w:i/>
        </w:rPr>
        <w:t xml:space="preserve"> President,</w:t>
      </w:r>
      <w:r>
        <w:rPr>
          <w:i/>
        </w:rPr>
        <w:br/>
      </w:r>
      <w:r w:rsidRPr="002804A6">
        <w:tab/>
      </w:r>
      <w:r w:rsidRPr="007C12A5">
        <w:rPr>
          <w:rStyle w:val="JuJudgesChar"/>
        </w:rPr>
        <w:t>Ineta Ziemele,</w:t>
      </w:r>
      <w:r w:rsidRPr="007C12A5">
        <w:rPr>
          <w:rStyle w:val="JuJudgesChar"/>
        </w:rPr>
        <w:br/>
      </w:r>
      <w:r w:rsidRPr="007C12A5">
        <w:rPr>
          <w:rStyle w:val="JuJudgesChar"/>
        </w:rPr>
        <w:tab/>
        <w:t xml:space="preserve">Mihai Poalelungi, </w:t>
      </w:r>
      <w:r w:rsidRPr="007C12A5">
        <w:rPr>
          <w:rStyle w:val="JuJudgesChar"/>
          <w:i/>
        </w:rPr>
        <w:t>judges</w:t>
      </w:r>
      <w:r w:rsidRPr="007C12A5">
        <w:rPr>
          <w:rStyle w:val="JuJudgesChar"/>
        </w:rPr>
        <w:t>,</w:t>
      </w:r>
      <w:r w:rsidRPr="007C12A5">
        <w:rPr>
          <w:rStyle w:val="JuJudgesChar"/>
        </w:rPr>
        <w:br/>
        <w:t xml:space="preserve">and Marialena Tsirli, </w:t>
      </w:r>
      <w:r w:rsidRPr="007C12A5">
        <w:rPr>
          <w:rStyle w:val="JuJudgesChar"/>
          <w:i/>
        </w:rPr>
        <w:t>Deputy Section Registrar</w:t>
      </w:r>
      <w:r w:rsidRPr="00D90C97">
        <w:rPr>
          <w:i/>
          <w:szCs w:val="24"/>
        </w:rPr>
        <w:t>,</w:t>
      </w:r>
    </w:p>
    <w:p w:rsidR="002804A6" w:rsidRPr="00D90C97" w:rsidRDefault="002804A6" w:rsidP="002804A6">
      <w:pPr>
        <w:pStyle w:val="JuPara"/>
      </w:pPr>
      <w:r w:rsidRPr="00D90C97">
        <w:t>Having regard to the above application lodged on 16 March 2010,</w:t>
      </w:r>
    </w:p>
    <w:p w:rsidR="002804A6" w:rsidRPr="00D90C97" w:rsidRDefault="002804A6" w:rsidP="002804A6">
      <w:pPr>
        <w:pStyle w:val="JuPara"/>
      </w:pPr>
      <w:r w:rsidRPr="00D90C97">
        <w:t xml:space="preserve">Having regard to the comments submitted by the </w:t>
      </w:r>
      <w:r>
        <w:t>Latvian</w:t>
      </w:r>
      <w:r w:rsidRPr="00D90C97">
        <w:t xml:space="preserve"> Government</w:t>
      </w:r>
      <w:r>
        <w:t>,</w:t>
      </w:r>
    </w:p>
    <w:p w:rsidR="002804A6" w:rsidRPr="00D90C97" w:rsidRDefault="002804A6" w:rsidP="002804A6">
      <w:pPr>
        <w:pStyle w:val="JuPara"/>
      </w:pPr>
      <w:r w:rsidRPr="00D90C97">
        <w:t>Having deliberated, decides as follows:</w:t>
      </w:r>
    </w:p>
    <w:p w:rsidR="002804A6" w:rsidRPr="00D90C97" w:rsidRDefault="002804A6" w:rsidP="002804A6">
      <w:pPr>
        <w:pStyle w:val="JuHHead"/>
      </w:pPr>
      <w:r w:rsidRPr="00D90C97">
        <w:t>THE FACTS</w:t>
      </w:r>
    </w:p>
    <w:p w:rsidR="002804A6" w:rsidRDefault="002804A6" w:rsidP="002804A6">
      <w:pPr>
        <w:pStyle w:val="JuPara"/>
      </w:pPr>
      <w:r>
        <w:fldChar w:fldCharType="begin"/>
      </w:r>
      <w:r>
        <w:instrText xml:space="preserve"> SEQ level0 \*arabic </w:instrText>
      </w:r>
      <w:r>
        <w:fldChar w:fldCharType="separate"/>
      </w:r>
      <w:r w:rsidR="00622731">
        <w:rPr>
          <w:noProof/>
        </w:rPr>
        <w:t>1</w:t>
      </w:r>
      <w:r>
        <w:fldChar w:fldCharType="end"/>
      </w:r>
      <w:r>
        <w:t>.  </w:t>
      </w:r>
      <w:r w:rsidRPr="00D90C97">
        <w:t>The applica</w:t>
      </w:r>
      <w:r>
        <w:t>nt, Ms Nadežda Dementjeva, is a</w:t>
      </w:r>
      <w:r w:rsidRPr="00D90C97">
        <w:t xml:space="preserve"> Latvian national who </w:t>
      </w:r>
      <w:r>
        <w:t xml:space="preserve">was born in 1952 and lives in </w:t>
      </w:r>
      <w:smartTag w:uri="urn:schemas-microsoft-com:office:smarttags" w:element="place">
        <w:smartTag w:uri="urn:schemas-microsoft-com:office:smarttags" w:element="City">
          <w:smartTag w:uri="urn:schemas-microsoft-com:office:smarttags" w:element="PlaceType">
            <w:r>
              <w:t>R</w:t>
            </w:r>
            <w:r>
              <w:rPr>
                <w:lang w:val="lv-LV"/>
              </w:rPr>
              <w:t>ī</w:t>
            </w:r>
            <w:r w:rsidRPr="00D90C97">
              <w:t>ga</w:t>
            </w:r>
          </w:smartTag>
        </w:smartTag>
      </w:smartTag>
      <w:r w:rsidRPr="00D90C97">
        <w:t xml:space="preserve">. The Latvian Government (“the Government”) are represented by their Agent, Mrs </w:t>
      </w:r>
      <w:r>
        <w:t>I.</w:t>
      </w:r>
      <w:r w:rsidR="007C12A5">
        <w:t xml:space="preserve"> </w:t>
      </w:r>
      <w:r>
        <w:t>Reine.</w:t>
      </w:r>
    </w:p>
    <w:p w:rsidR="002804A6" w:rsidRPr="00D90C97" w:rsidRDefault="002804A6" w:rsidP="002804A6">
      <w:pPr>
        <w:pStyle w:val="JuHA"/>
      </w:pPr>
      <w:r w:rsidRPr="00D90C97">
        <w:t>The circumstances of the case</w:t>
      </w:r>
    </w:p>
    <w:p w:rsidR="002804A6" w:rsidRDefault="002804A6" w:rsidP="002804A6">
      <w:pPr>
        <w:pStyle w:val="JuPara"/>
      </w:pPr>
      <w:r>
        <w:fldChar w:fldCharType="begin"/>
      </w:r>
      <w:r>
        <w:instrText xml:space="preserve"> SEQ level0 \*arabic </w:instrText>
      </w:r>
      <w:r>
        <w:fldChar w:fldCharType="separate"/>
      </w:r>
      <w:r w:rsidR="00622731">
        <w:rPr>
          <w:noProof/>
        </w:rPr>
        <w:t>2</w:t>
      </w:r>
      <w:r>
        <w:fldChar w:fldCharType="end"/>
      </w:r>
      <w:r>
        <w:t>.  </w:t>
      </w:r>
      <w:r w:rsidRPr="00D90C97">
        <w:t>The facts of the case, as submitted by the parties, may be summarised as follows.</w:t>
      </w:r>
    </w:p>
    <w:p w:rsidR="002804A6" w:rsidRDefault="002804A6" w:rsidP="002804A6">
      <w:pPr>
        <w:pStyle w:val="JuPara"/>
      </w:pPr>
      <w:r>
        <w:fldChar w:fldCharType="begin"/>
      </w:r>
      <w:r>
        <w:instrText xml:space="preserve"> SEQ level0 \*arabic </w:instrText>
      </w:r>
      <w:r>
        <w:fldChar w:fldCharType="separate"/>
      </w:r>
      <w:r w:rsidR="00622731">
        <w:rPr>
          <w:noProof/>
        </w:rPr>
        <w:t>3</w:t>
      </w:r>
      <w:r>
        <w:fldChar w:fldCharType="end"/>
      </w:r>
      <w:r>
        <w:t>.  On 10</w:t>
      </w:r>
      <w:r w:rsidR="007C12A5">
        <w:t xml:space="preserve"> </w:t>
      </w:r>
      <w:r>
        <w:t>September</w:t>
      </w:r>
      <w:r w:rsidR="007C12A5">
        <w:t xml:space="preserve"> </w:t>
      </w:r>
      <w:r w:rsidRPr="004A4D1F">
        <w:t xml:space="preserve">1997 criminal proceedings were </w:t>
      </w:r>
      <w:r>
        <w:t>initiated against the applicant as a suspect of having committed fraud. The applicant was questioned as a witness in this respect.</w:t>
      </w:r>
    </w:p>
    <w:p w:rsidR="002804A6" w:rsidRDefault="002804A6" w:rsidP="002804A6">
      <w:pPr>
        <w:pStyle w:val="JuPara"/>
      </w:pPr>
      <w:r>
        <w:fldChar w:fldCharType="begin"/>
      </w:r>
      <w:r>
        <w:instrText xml:space="preserve"> SEQ level0 \*arabic </w:instrText>
      </w:r>
      <w:r>
        <w:fldChar w:fldCharType="separate"/>
      </w:r>
      <w:r w:rsidR="00622731">
        <w:rPr>
          <w:noProof/>
        </w:rPr>
        <w:t>4</w:t>
      </w:r>
      <w:r>
        <w:fldChar w:fldCharType="end"/>
      </w:r>
      <w:r>
        <w:t>.  On 30</w:t>
      </w:r>
      <w:r w:rsidR="007C12A5">
        <w:t xml:space="preserve"> </w:t>
      </w:r>
      <w:r>
        <w:t>April</w:t>
      </w:r>
      <w:r w:rsidR="007C12A5">
        <w:t xml:space="preserve"> </w:t>
      </w:r>
      <w:r>
        <w:t xml:space="preserve">1998 the Office of the Prosecutor decided to bring charges against the applicant. After having obtained information that the applicant has fled to </w:t>
      </w:r>
      <w:smartTag w:uri="urn:schemas-microsoft-com:office:smarttags" w:element="place">
        <w:smartTag w:uri="urn:schemas-microsoft-com:office:smarttags" w:element="country-region">
          <w:r>
            <w:t>Australia</w:t>
          </w:r>
        </w:smartTag>
      </w:smartTag>
      <w:r>
        <w:t xml:space="preserve"> and applied for an asylum there, in June 1998 the Rīga Central District Court ordered the applicant</w:t>
      </w:r>
      <w:r w:rsidR="007C12A5">
        <w:t>’</w:t>
      </w:r>
      <w:r>
        <w:t>s detention. On the same day the applicant</w:t>
      </w:r>
      <w:r w:rsidR="007C12A5">
        <w:t>’</w:t>
      </w:r>
      <w:r>
        <w:t>s search was launched.</w:t>
      </w:r>
    </w:p>
    <w:p w:rsidR="002804A6" w:rsidRDefault="002804A6" w:rsidP="002804A6">
      <w:pPr>
        <w:pStyle w:val="JuPara"/>
      </w:pPr>
      <w:r>
        <w:fldChar w:fldCharType="begin"/>
      </w:r>
      <w:r>
        <w:instrText xml:space="preserve"> SEQ level0 \*arabic </w:instrText>
      </w:r>
      <w:r>
        <w:fldChar w:fldCharType="separate"/>
      </w:r>
      <w:r w:rsidR="00622731">
        <w:rPr>
          <w:noProof/>
        </w:rPr>
        <w:t>5</w:t>
      </w:r>
      <w:r>
        <w:fldChar w:fldCharType="end"/>
      </w:r>
      <w:r>
        <w:t xml:space="preserve">.  On 12 April 2001 the applicant was arrested at the </w:t>
      </w:r>
      <w:smartTag w:uri="urn:schemas-microsoft-com:office:smarttags" w:element="place">
        <w:smartTag w:uri="urn:schemas-microsoft-com:office:smarttags" w:element="City">
          <w:r>
            <w:t>Rīga</w:t>
          </w:r>
        </w:smartTag>
      </w:smartTag>
      <w:r>
        <w:t xml:space="preserve"> airport and got acquainted with the charges brought against her. She was detained on remand until </w:t>
      </w:r>
      <w:r w:rsidRPr="004A4D1F">
        <w:t xml:space="preserve">8 September 2003 </w:t>
      </w:r>
      <w:r>
        <w:t>when the preventive measure was changed to police surveillance.</w:t>
      </w:r>
    </w:p>
    <w:p w:rsidR="002804A6" w:rsidRPr="00EF436A" w:rsidRDefault="002804A6" w:rsidP="002804A6">
      <w:pPr>
        <w:pStyle w:val="JuPara"/>
      </w:pPr>
      <w:r>
        <w:fldChar w:fldCharType="begin"/>
      </w:r>
      <w:r>
        <w:instrText xml:space="preserve"> SEQ level0 \*arabic </w:instrText>
      </w:r>
      <w:r>
        <w:fldChar w:fldCharType="separate"/>
      </w:r>
      <w:r w:rsidR="00622731">
        <w:rPr>
          <w:noProof/>
        </w:rPr>
        <w:t>6</w:t>
      </w:r>
      <w:r>
        <w:fldChar w:fldCharType="end"/>
      </w:r>
      <w:r>
        <w:t xml:space="preserve">.  Meanwhile, in October and December 2001 the Office of the Prosecutor requested the authorities of </w:t>
      </w:r>
      <w:smartTag w:uri="urn:schemas-microsoft-com:office:smarttags" w:element="country-region">
        <w:r>
          <w:t>Ukraine</w:t>
        </w:r>
      </w:smartTag>
      <w:r>
        <w:t xml:space="preserve"> and </w:t>
      </w:r>
      <w:smartTag w:uri="urn:schemas-microsoft-com:office:smarttags" w:element="place">
        <w:smartTag w:uri="urn:schemas-microsoft-com:office:smarttags" w:element="country-region">
          <w:r>
            <w:t>Australia</w:t>
          </w:r>
        </w:smartTag>
      </w:smartTag>
      <w:r>
        <w:t xml:space="preserve"> to provide judicial assistance in the </w:t>
      </w:r>
      <w:r w:rsidRPr="00EF436A">
        <w:t>applicant</w:t>
      </w:r>
      <w:r w:rsidR="007C12A5">
        <w:t>’</w:t>
      </w:r>
      <w:r w:rsidRPr="00EF436A">
        <w:t>s criminal case.</w:t>
      </w:r>
    </w:p>
    <w:p w:rsidR="002804A6" w:rsidRDefault="002804A6" w:rsidP="002804A6">
      <w:pPr>
        <w:pStyle w:val="JuPara"/>
      </w:pPr>
      <w:r w:rsidRPr="00EF436A">
        <w:fldChar w:fldCharType="begin"/>
      </w:r>
      <w:r w:rsidRPr="00EF436A">
        <w:instrText xml:space="preserve"> SEQ level0 \*arabic </w:instrText>
      </w:r>
      <w:r w:rsidRPr="00EF436A">
        <w:fldChar w:fldCharType="separate"/>
      </w:r>
      <w:r w:rsidR="00622731">
        <w:rPr>
          <w:noProof/>
        </w:rPr>
        <w:t>7</w:t>
      </w:r>
      <w:r w:rsidRPr="00EF436A">
        <w:fldChar w:fldCharType="end"/>
      </w:r>
      <w:r w:rsidRPr="00EF436A">
        <w:t>.  On 1</w:t>
      </w:r>
      <w:r>
        <w:t>2</w:t>
      </w:r>
      <w:r w:rsidR="007C12A5">
        <w:t xml:space="preserve"> </w:t>
      </w:r>
      <w:r>
        <w:t>March</w:t>
      </w:r>
      <w:r w:rsidR="007C12A5">
        <w:t xml:space="preserve"> </w:t>
      </w:r>
      <w:r w:rsidRPr="00EF436A">
        <w:t xml:space="preserve">2002 the criminal case was referred to the </w:t>
      </w:r>
      <w:smartTag w:uri="urn:schemas-microsoft-com:office:smarttags" w:element="Street">
        <w:smartTag w:uri="urn:schemas-microsoft-com:office:smarttags" w:element="address">
          <w:r w:rsidRPr="00EF436A">
            <w:t>Rīga Regional Court</w:t>
          </w:r>
        </w:smartTag>
      </w:smartTag>
      <w:r w:rsidRPr="00EF436A">
        <w:t>.</w:t>
      </w:r>
      <w:r>
        <w:t xml:space="preserve"> The criminal proceedings involved twenty-one victims and ten witnesses.</w:t>
      </w:r>
      <w:r w:rsidRPr="00EF436A">
        <w:t xml:space="preserve"> In April 2003, aiming to reduce the case-load of the </w:t>
      </w:r>
      <w:smartTag w:uri="urn:schemas-microsoft-com:office:smarttags" w:element="Street">
        <w:smartTag w:uri="urn:schemas-microsoft-com:office:smarttags" w:element="address">
          <w:r w:rsidRPr="00EF436A">
            <w:t>Rīga Regional Court</w:t>
          </w:r>
        </w:smartTag>
      </w:smartTag>
      <w:r w:rsidRPr="00EF436A">
        <w:t xml:space="preserve"> the applicant</w:t>
      </w:r>
      <w:r w:rsidR="007C12A5">
        <w:t>’</w:t>
      </w:r>
      <w:r w:rsidRPr="00EF436A">
        <w:t>s criminal case was among those transferred to another court,</w:t>
      </w:r>
      <w:r>
        <w:t xml:space="preserve"> however it was later sent back and the </w:t>
      </w:r>
      <w:smartTag w:uri="urn:schemas-microsoft-com:office:smarttags" w:element="Street">
        <w:smartTag w:uri="urn:schemas-microsoft-com:office:smarttags" w:element="address">
          <w:r>
            <w:t>Rīga Regional Court</w:t>
          </w:r>
        </w:smartTag>
      </w:smartTag>
      <w:r>
        <w:t xml:space="preserve"> scheduled the first hearing for August 2003.</w:t>
      </w:r>
    </w:p>
    <w:p w:rsidR="002804A6" w:rsidRDefault="002804A6" w:rsidP="002804A6">
      <w:pPr>
        <w:pStyle w:val="JuPara"/>
      </w:pPr>
      <w:r>
        <w:fldChar w:fldCharType="begin"/>
      </w:r>
      <w:r>
        <w:instrText xml:space="preserve"> SEQ level0 \*arabic </w:instrText>
      </w:r>
      <w:r>
        <w:fldChar w:fldCharType="separate"/>
      </w:r>
      <w:r w:rsidR="00622731">
        <w:rPr>
          <w:noProof/>
        </w:rPr>
        <w:t>8</w:t>
      </w:r>
      <w:r>
        <w:fldChar w:fldCharType="end"/>
      </w:r>
      <w:r>
        <w:t>.  In August 2003 two hearings were postponed - one at the applicant</w:t>
      </w:r>
      <w:r w:rsidR="007C12A5">
        <w:t>’</w:t>
      </w:r>
      <w:r>
        <w:t>s request and the other due to the failure of the witnesses to appear at the hearing.</w:t>
      </w:r>
    </w:p>
    <w:p w:rsidR="002804A6" w:rsidRDefault="002804A6" w:rsidP="002804A6">
      <w:pPr>
        <w:pStyle w:val="JuPara"/>
      </w:pPr>
      <w:r>
        <w:fldChar w:fldCharType="begin"/>
      </w:r>
      <w:r>
        <w:instrText xml:space="preserve"> SEQ level0 \*arabic </w:instrText>
      </w:r>
      <w:r>
        <w:fldChar w:fldCharType="separate"/>
      </w:r>
      <w:r w:rsidR="00622731">
        <w:rPr>
          <w:noProof/>
        </w:rPr>
        <w:t>9</w:t>
      </w:r>
      <w:r>
        <w:fldChar w:fldCharType="end"/>
      </w:r>
      <w:r>
        <w:t>.  On 8</w:t>
      </w:r>
      <w:r w:rsidR="007C12A5">
        <w:t xml:space="preserve"> </w:t>
      </w:r>
      <w:r>
        <w:t>September</w:t>
      </w:r>
      <w:r w:rsidR="007C12A5">
        <w:t xml:space="preserve"> </w:t>
      </w:r>
      <w:r>
        <w:t>2003 prosecutor asked the court to refer the criminal case back to the Office of the Prosecutor in order to modify the criminal charges brought against the applicant to more severe ones.</w:t>
      </w:r>
    </w:p>
    <w:p w:rsidR="002804A6" w:rsidRDefault="002804A6" w:rsidP="002804A6">
      <w:pPr>
        <w:pStyle w:val="JuPara"/>
      </w:pPr>
      <w:r>
        <w:fldChar w:fldCharType="begin"/>
      </w:r>
      <w:r>
        <w:instrText xml:space="preserve"> SEQ level0 \*arabic </w:instrText>
      </w:r>
      <w:r>
        <w:fldChar w:fldCharType="separate"/>
      </w:r>
      <w:r w:rsidR="00622731">
        <w:rPr>
          <w:noProof/>
        </w:rPr>
        <w:t>10</w:t>
      </w:r>
      <w:r>
        <w:fldChar w:fldCharType="end"/>
      </w:r>
      <w:r>
        <w:t>.  On 26</w:t>
      </w:r>
      <w:r w:rsidR="007C12A5">
        <w:t xml:space="preserve"> </w:t>
      </w:r>
      <w:r>
        <w:t>February</w:t>
      </w:r>
      <w:r w:rsidR="007C12A5">
        <w:t xml:space="preserve"> </w:t>
      </w:r>
      <w:r>
        <w:t>2004 the additional charges were brought against the applicant and the criminal case was remitted to the trial.</w:t>
      </w:r>
    </w:p>
    <w:p w:rsidR="002804A6" w:rsidRDefault="002804A6" w:rsidP="002804A6">
      <w:pPr>
        <w:pStyle w:val="JuPara"/>
      </w:pPr>
      <w:r>
        <w:fldChar w:fldCharType="begin"/>
      </w:r>
      <w:r>
        <w:instrText xml:space="preserve"> SEQ level0 \*arabic </w:instrText>
      </w:r>
      <w:r>
        <w:fldChar w:fldCharType="separate"/>
      </w:r>
      <w:r w:rsidR="00622731">
        <w:rPr>
          <w:noProof/>
        </w:rPr>
        <w:t>11</w:t>
      </w:r>
      <w:r>
        <w:fldChar w:fldCharType="end"/>
      </w:r>
      <w:r>
        <w:t>.  From 16</w:t>
      </w:r>
      <w:r w:rsidR="007C12A5">
        <w:t xml:space="preserve"> </w:t>
      </w:r>
      <w:r>
        <w:t>March</w:t>
      </w:r>
      <w:r w:rsidR="007C12A5">
        <w:t xml:space="preserve"> </w:t>
      </w:r>
      <w:r>
        <w:t>2005 until 8</w:t>
      </w:r>
      <w:r w:rsidR="007C12A5">
        <w:t xml:space="preserve"> </w:t>
      </w:r>
      <w:r>
        <w:t>July</w:t>
      </w:r>
      <w:r w:rsidR="007C12A5">
        <w:t xml:space="preserve"> </w:t>
      </w:r>
      <w:r>
        <w:t>2009 fifteen hearings were scheduled before the lower and the appellate courts with an average interval of three months. Thirteen times the hearings were postponed on the request of the applicant or her defence counsel out of which on eight occasions the applicant requested to postpone the hearing due to her health condition and on further five occasions the delays were caused due to the illness or other reason of absence of the applicant</w:t>
      </w:r>
      <w:r w:rsidR="007C12A5">
        <w:t>’</w:t>
      </w:r>
      <w:r>
        <w:t>s defence counsel.</w:t>
      </w:r>
    </w:p>
    <w:p w:rsidR="002804A6" w:rsidRDefault="002804A6" w:rsidP="002804A6">
      <w:pPr>
        <w:pStyle w:val="JuPara"/>
      </w:pPr>
      <w:r>
        <w:fldChar w:fldCharType="begin"/>
      </w:r>
      <w:r>
        <w:instrText xml:space="preserve"> SEQ level0 \*arabic </w:instrText>
      </w:r>
      <w:r>
        <w:fldChar w:fldCharType="separate"/>
      </w:r>
      <w:r w:rsidR="00622731">
        <w:rPr>
          <w:noProof/>
        </w:rPr>
        <w:t>12</w:t>
      </w:r>
      <w:r>
        <w:fldChar w:fldCharType="end"/>
      </w:r>
      <w:r>
        <w:t>.  In August 2005, after having received the first request to postpone the hearing due to the applicant</w:t>
      </w:r>
      <w:r w:rsidR="007C12A5">
        <w:t>’</w:t>
      </w:r>
      <w:r>
        <w:t>s hospitalisation, the lower court obtained confirmation from the applicant</w:t>
      </w:r>
      <w:r w:rsidR="007C12A5">
        <w:t>’</w:t>
      </w:r>
      <w:r>
        <w:t>s physician that her in-patient medical treatment would not exceed ten days. In March</w:t>
      </w:r>
      <w:r w:rsidR="007C12A5">
        <w:t xml:space="preserve"> </w:t>
      </w:r>
      <w:r w:rsidRPr="004A4D1F">
        <w:t>2007</w:t>
      </w:r>
      <w:r>
        <w:t xml:space="preserve"> the lower court and in December</w:t>
      </w:r>
      <w:r w:rsidR="007C12A5">
        <w:t xml:space="preserve"> </w:t>
      </w:r>
      <w:r>
        <w:t>2008 the appellate court stayed</w:t>
      </w:r>
      <w:r w:rsidRPr="004A4D1F">
        <w:t xml:space="preserve"> </w:t>
      </w:r>
      <w:r>
        <w:t>the criminal proceedings for five and six months respectively in order to carry out a forensic medical examination with regard to the applicant</w:t>
      </w:r>
      <w:r w:rsidR="007C12A5">
        <w:t>’</w:t>
      </w:r>
      <w:r>
        <w:t>s health condition. According to the results of the examination the applicant was fit to participate at the hearing.</w:t>
      </w:r>
    </w:p>
    <w:p w:rsidR="002804A6" w:rsidRDefault="002804A6" w:rsidP="002804A6">
      <w:pPr>
        <w:pStyle w:val="JuPara"/>
      </w:pPr>
      <w:r>
        <w:fldChar w:fldCharType="begin"/>
      </w:r>
      <w:r>
        <w:instrText xml:space="preserve"> SEQ level0 \*arabic </w:instrText>
      </w:r>
      <w:r>
        <w:fldChar w:fldCharType="separate"/>
      </w:r>
      <w:r w:rsidR="00622731">
        <w:rPr>
          <w:noProof/>
        </w:rPr>
        <w:t>13</w:t>
      </w:r>
      <w:r>
        <w:fldChar w:fldCharType="end"/>
      </w:r>
      <w:r>
        <w:t>.  In October 2007, with respect to various requests to postpone the hearings due to the health condition of the applicant</w:t>
      </w:r>
      <w:r w:rsidR="007C12A5">
        <w:t>’</w:t>
      </w:r>
      <w:r>
        <w:t>s defence counsel, the appellate court asked the counsel to confirm whether she would be able to defend the applicant during the next hearing scheduled for November 2007. At the same time the appellate court ordered to grant the applicant</w:t>
      </w:r>
      <w:r w:rsidR="007C12A5">
        <w:t>’</w:t>
      </w:r>
      <w:r>
        <w:t>s appearance under constraint; however, this order was not executed in that the applicant</w:t>
      </w:r>
      <w:r w:rsidR="007C12A5">
        <w:t>’</w:t>
      </w:r>
      <w:r>
        <w:t>s whereabouts could not be located. During the hearing of November 2007 the defence counsel demanded further postponement due to the applicant</w:t>
      </w:r>
      <w:r w:rsidR="007C12A5">
        <w:t>’</w:t>
      </w:r>
      <w:r>
        <w:t>s health.</w:t>
      </w:r>
    </w:p>
    <w:p w:rsidR="002804A6" w:rsidRDefault="002804A6" w:rsidP="002804A6">
      <w:pPr>
        <w:pStyle w:val="JuPara"/>
      </w:pPr>
      <w:r>
        <w:fldChar w:fldCharType="begin"/>
      </w:r>
      <w:r>
        <w:instrText xml:space="preserve"> SEQ level0 \*arabic </w:instrText>
      </w:r>
      <w:r>
        <w:fldChar w:fldCharType="separate"/>
      </w:r>
      <w:r w:rsidR="00622731">
        <w:rPr>
          <w:noProof/>
        </w:rPr>
        <w:t>14</w:t>
      </w:r>
      <w:r>
        <w:fldChar w:fldCharType="end"/>
      </w:r>
      <w:r>
        <w:t>.  On 11</w:t>
      </w:r>
      <w:r w:rsidR="007C12A5">
        <w:t xml:space="preserve"> </w:t>
      </w:r>
      <w:r>
        <w:t>December</w:t>
      </w:r>
      <w:r w:rsidR="007C12A5">
        <w:t xml:space="preserve"> </w:t>
      </w:r>
      <w:r>
        <w:t xml:space="preserve">2007 the applicant was convicted by a decision of the </w:t>
      </w:r>
      <w:smartTag w:uri="urn:schemas-microsoft-com:office:smarttags" w:element="Street">
        <w:smartTag w:uri="urn:schemas-microsoft-com:office:smarttags" w:element="address">
          <w:r>
            <w:t>Rīga Regional Court</w:t>
          </w:r>
        </w:smartTag>
      </w:smartTag>
      <w:r>
        <w:t xml:space="preserve"> and sentenced to five years</w:t>
      </w:r>
      <w:r w:rsidR="007C12A5">
        <w:t>’</w:t>
      </w:r>
      <w:r>
        <w:t xml:space="preserve"> imprisonment. The applicant appealed and the first appellate hearing was scheduled for 28</w:t>
      </w:r>
      <w:r w:rsidR="007C12A5">
        <w:t xml:space="preserve"> </w:t>
      </w:r>
      <w:r>
        <w:t>May</w:t>
      </w:r>
      <w:r w:rsidR="007C12A5">
        <w:t xml:space="preserve"> </w:t>
      </w:r>
      <w:r>
        <w:t>2008.</w:t>
      </w:r>
    </w:p>
    <w:p w:rsidR="002804A6" w:rsidRDefault="002804A6" w:rsidP="002804A6">
      <w:pPr>
        <w:pStyle w:val="JuPara"/>
      </w:pPr>
      <w:r>
        <w:fldChar w:fldCharType="begin"/>
      </w:r>
      <w:r>
        <w:instrText xml:space="preserve"> SEQ level0 \*arabic </w:instrText>
      </w:r>
      <w:r>
        <w:fldChar w:fldCharType="separate"/>
      </w:r>
      <w:r w:rsidR="00622731">
        <w:rPr>
          <w:noProof/>
        </w:rPr>
        <w:t>15</w:t>
      </w:r>
      <w:r>
        <w:fldChar w:fldCharType="end"/>
      </w:r>
      <w:r>
        <w:t>.  In July</w:t>
      </w:r>
      <w:r w:rsidR="007C12A5">
        <w:t xml:space="preserve"> </w:t>
      </w:r>
      <w:r>
        <w:t>2009, after various postponements of the hearings (see </w:t>
      </w:r>
      <w:r w:rsidRPr="006A4AB5">
        <w:t>paragraph 11, above), the</w:t>
      </w:r>
      <w:r>
        <w:t xml:space="preserve"> </w:t>
      </w:r>
      <w:r w:rsidRPr="009D0B0C">
        <w:t>Criminal Chamber of the Supreme Court</w:t>
      </w:r>
      <w:r>
        <w:t xml:space="preserve"> stayed the appeal without examination due to the absence of the applicant and her counsel. The court concluded that the applicant had lost her interest to pursue the appeal.</w:t>
      </w:r>
    </w:p>
    <w:p w:rsidR="002804A6" w:rsidRPr="0080425A" w:rsidRDefault="002804A6" w:rsidP="002804A6">
      <w:pPr>
        <w:pStyle w:val="JuPara"/>
      </w:pPr>
      <w:r>
        <w:fldChar w:fldCharType="begin"/>
      </w:r>
      <w:r>
        <w:instrText xml:space="preserve"> SEQ level0 \*arabic </w:instrText>
      </w:r>
      <w:r>
        <w:fldChar w:fldCharType="separate"/>
      </w:r>
      <w:r w:rsidR="00622731">
        <w:rPr>
          <w:noProof/>
        </w:rPr>
        <w:t>16</w:t>
      </w:r>
      <w:r>
        <w:fldChar w:fldCharType="end"/>
      </w:r>
      <w:r>
        <w:t>.  In August</w:t>
      </w:r>
      <w:r w:rsidR="007C12A5">
        <w:t xml:space="preserve"> </w:t>
      </w:r>
      <w:r>
        <w:t xml:space="preserve">2009 </w:t>
      </w:r>
      <w:r w:rsidRPr="009D0B0C">
        <w:t>the Criminal Chamber of the Supreme Court refused</w:t>
      </w:r>
      <w:r>
        <w:t xml:space="preserve"> to accept the applicant</w:t>
      </w:r>
      <w:r w:rsidR="007C12A5">
        <w:t>’</w:t>
      </w:r>
      <w:r>
        <w:t>s and her counsel</w:t>
      </w:r>
      <w:r w:rsidR="007C12A5">
        <w:t>’</w:t>
      </w:r>
      <w:r>
        <w:t>s appeals on points of law as they had been submitted out of time. On 23</w:t>
      </w:r>
      <w:r w:rsidR="007C12A5">
        <w:t xml:space="preserve"> </w:t>
      </w:r>
      <w:r>
        <w:t>September</w:t>
      </w:r>
      <w:r w:rsidR="007C12A5">
        <w:t xml:space="preserve"> </w:t>
      </w:r>
      <w:r>
        <w:t>2009 the Senate of the Supreme Court upheld the decision.</w:t>
      </w:r>
    </w:p>
    <w:p w:rsidR="002804A6" w:rsidRPr="00D90C97" w:rsidRDefault="007C12A5" w:rsidP="002804A6">
      <w:pPr>
        <w:pStyle w:val="JuHHead"/>
        <w:tabs>
          <w:tab w:val="left" w:pos="4590"/>
        </w:tabs>
      </w:pPr>
      <w:r>
        <w:t>COMPLAINTS</w:t>
      </w:r>
    </w:p>
    <w:p w:rsidR="002804A6" w:rsidRDefault="002804A6" w:rsidP="002804A6">
      <w:pPr>
        <w:pStyle w:val="JuPara"/>
      </w:pPr>
      <w:r>
        <w:fldChar w:fldCharType="begin"/>
      </w:r>
      <w:r>
        <w:instrText xml:space="preserve"> SEQ level0 \*arabic </w:instrText>
      </w:r>
      <w:r>
        <w:fldChar w:fldCharType="separate"/>
      </w:r>
      <w:r w:rsidR="00622731">
        <w:rPr>
          <w:noProof/>
        </w:rPr>
        <w:t>17</w:t>
      </w:r>
      <w:r>
        <w:fldChar w:fldCharType="end"/>
      </w:r>
      <w:r>
        <w:t>.  </w:t>
      </w:r>
      <w:r w:rsidRPr="00136056">
        <w:t xml:space="preserve">The applicant complained under </w:t>
      </w:r>
      <w:r w:rsidRPr="00F27630">
        <w:t xml:space="preserve">Article </w:t>
      </w:r>
      <w:r>
        <w:t>6 § 1</w:t>
      </w:r>
      <w:r w:rsidRPr="00F27630">
        <w:t xml:space="preserve"> of the Convention</w:t>
      </w:r>
      <w:r>
        <w:t xml:space="preserve"> of the excessive length of criminal proceedings.</w:t>
      </w:r>
    </w:p>
    <w:p w:rsidR="002804A6" w:rsidRPr="00D90C97" w:rsidRDefault="002804A6" w:rsidP="002804A6">
      <w:pPr>
        <w:pStyle w:val="JuPara"/>
      </w:pPr>
      <w:r>
        <w:fldChar w:fldCharType="begin"/>
      </w:r>
      <w:r>
        <w:instrText xml:space="preserve"> SEQ level0 \*arabic </w:instrText>
      </w:r>
      <w:r>
        <w:fldChar w:fldCharType="separate"/>
      </w:r>
      <w:r w:rsidR="00622731">
        <w:rPr>
          <w:noProof/>
        </w:rPr>
        <w:t>18</w:t>
      </w:r>
      <w:r>
        <w:fldChar w:fldCharType="end"/>
      </w:r>
      <w:r>
        <w:t>.  She further brought complaints under Articles 3, 6, 8 and 14 of the Convention and Protocol No. 12 to the Convention concerning the criminal proceedings brought against her.</w:t>
      </w:r>
    </w:p>
    <w:p w:rsidR="002804A6" w:rsidRPr="00D90C97" w:rsidRDefault="002804A6" w:rsidP="002804A6">
      <w:pPr>
        <w:pStyle w:val="JuHHead"/>
      </w:pPr>
      <w:r w:rsidRPr="00D90C97">
        <w:t>THE LAW</w:t>
      </w:r>
    </w:p>
    <w:p w:rsidR="002804A6" w:rsidRPr="00FA6B73" w:rsidRDefault="002804A6" w:rsidP="007C12A5">
      <w:pPr>
        <w:pStyle w:val="JuHA"/>
      </w:pPr>
      <w:r w:rsidRPr="00FA6B73">
        <w:t>A.  </w:t>
      </w:r>
      <w:r>
        <w:t>Complaint concerning the l</w:t>
      </w:r>
      <w:r w:rsidRPr="00FA6B73">
        <w:t>ength of criminal proceedings</w:t>
      </w:r>
    </w:p>
    <w:p w:rsidR="002804A6" w:rsidRDefault="002804A6" w:rsidP="002804A6">
      <w:pPr>
        <w:pStyle w:val="JuPara"/>
      </w:pPr>
      <w:r>
        <w:fldChar w:fldCharType="begin"/>
      </w:r>
      <w:r>
        <w:instrText xml:space="preserve"> SEQ level0 \*arabic </w:instrText>
      </w:r>
      <w:r>
        <w:fldChar w:fldCharType="separate"/>
      </w:r>
      <w:r w:rsidR="00622731">
        <w:rPr>
          <w:noProof/>
        </w:rPr>
        <w:t>19</w:t>
      </w:r>
      <w:r>
        <w:fldChar w:fldCharType="end"/>
      </w:r>
      <w:r>
        <w:t>.  The</w:t>
      </w:r>
      <w:r w:rsidRPr="00283946">
        <w:t xml:space="preserve"> applicant </w:t>
      </w:r>
      <w:r>
        <w:t>complained</w:t>
      </w:r>
      <w:r w:rsidRPr="00283946">
        <w:t xml:space="preserve"> that the length of the</w:t>
      </w:r>
      <w:r>
        <w:t xml:space="preserve"> criminal </w:t>
      </w:r>
      <w:r w:rsidRPr="00283946">
        <w:t>proceedings had been incompatible with the “reasonable time” requirement, laid down in Article 6 § 1 of the Convention, which reads as follows</w:t>
      </w:r>
      <w:r>
        <w:t xml:space="preserve"> in its relevant parts</w:t>
      </w:r>
      <w:r w:rsidRPr="00283946">
        <w:t>:</w:t>
      </w:r>
    </w:p>
    <w:p w:rsidR="002804A6" w:rsidRPr="00283946" w:rsidRDefault="002804A6" w:rsidP="002804A6">
      <w:pPr>
        <w:pStyle w:val="JuQuot"/>
      </w:pPr>
      <w:r w:rsidRPr="00283946">
        <w:t>“In the determination of</w:t>
      </w:r>
      <w:r>
        <w:t xml:space="preserve"> ... </w:t>
      </w:r>
      <w:r w:rsidRPr="00283946">
        <w:t>any criminal charge against him</w:t>
      </w:r>
      <w:r>
        <w:t>,</w:t>
      </w:r>
      <w:r w:rsidRPr="00283946">
        <w:t xml:space="preserve"> everyone is entitled to a ... hearing within a reasonable time by [a] ... tribunal...”</w:t>
      </w:r>
    </w:p>
    <w:p w:rsidR="002804A6" w:rsidRDefault="002804A6" w:rsidP="002804A6">
      <w:pPr>
        <w:pStyle w:val="JuPara"/>
      </w:pPr>
      <w:r>
        <w:fldChar w:fldCharType="begin"/>
      </w:r>
      <w:r>
        <w:instrText xml:space="preserve"> SEQ level0 \*arabic </w:instrText>
      </w:r>
      <w:r>
        <w:fldChar w:fldCharType="separate"/>
      </w:r>
      <w:r w:rsidR="00622731">
        <w:rPr>
          <w:noProof/>
        </w:rPr>
        <w:t>20</w:t>
      </w:r>
      <w:r>
        <w:fldChar w:fldCharType="end"/>
      </w:r>
      <w:r>
        <w:t>.  </w:t>
      </w:r>
      <w:r w:rsidRPr="00283946">
        <w:t>The period to be taken into consideration</w:t>
      </w:r>
      <w:r>
        <w:t xml:space="preserve"> with respect to criminal </w:t>
      </w:r>
      <w:r w:rsidRPr="00460096">
        <w:t xml:space="preserve">proceedings began on </w:t>
      </w:r>
      <w:r>
        <w:t>12</w:t>
      </w:r>
      <w:r w:rsidR="007C12A5">
        <w:t xml:space="preserve"> </w:t>
      </w:r>
      <w:r>
        <w:t>April</w:t>
      </w:r>
      <w:r w:rsidR="007C12A5">
        <w:t xml:space="preserve"> </w:t>
      </w:r>
      <w:r>
        <w:t>2001</w:t>
      </w:r>
      <w:r w:rsidRPr="00460096">
        <w:t xml:space="preserve"> and ended</w:t>
      </w:r>
      <w:r>
        <w:t xml:space="preserve"> on 23</w:t>
      </w:r>
      <w:r w:rsidR="007C12A5">
        <w:t xml:space="preserve"> </w:t>
      </w:r>
      <w:r>
        <w:t>September</w:t>
      </w:r>
      <w:r w:rsidR="007C12A5">
        <w:t xml:space="preserve"> </w:t>
      </w:r>
      <w:r>
        <w:t xml:space="preserve">2009. It </w:t>
      </w:r>
      <w:r w:rsidRPr="006A4AB5">
        <w:t>thus lasted eight years and five months for three</w:t>
      </w:r>
      <w:r w:rsidRPr="00460096">
        <w:t xml:space="preserve"> levels of jurisdiction.</w:t>
      </w:r>
    </w:p>
    <w:p w:rsidR="002804A6" w:rsidRDefault="002804A6" w:rsidP="002804A6">
      <w:pPr>
        <w:pStyle w:val="JuPara"/>
      </w:pPr>
      <w:r>
        <w:fldChar w:fldCharType="begin"/>
      </w:r>
      <w:r>
        <w:instrText xml:space="preserve"> SEQ level0 \*arabic </w:instrText>
      </w:r>
      <w:r>
        <w:fldChar w:fldCharType="separate"/>
      </w:r>
      <w:r w:rsidR="00622731">
        <w:rPr>
          <w:noProof/>
        </w:rPr>
        <w:t>21</w:t>
      </w:r>
      <w:r>
        <w:fldChar w:fldCharType="end"/>
      </w:r>
      <w:r>
        <w:t>.  The Government considered that the criminal case was complex and the delays were mainly caused by the conduct of the applicant and her representative. The Government emphasized that according to the Court</w:t>
      </w:r>
      <w:r w:rsidR="007C12A5">
        <w:t>’</w:t>
      </w:r>
      <w:r>
        <w:t xml:space="preserve">s case-law, in particular </w:t>
      </w:r>
      <w:r w:rsidRPr="007517CC">
        <w:rPr>
          <w:i/>
          <w:lang w:eastAsia="en-US"/>
        </w:rPr>
        <w:t xml:space="preserve">Lavents v. </w:t>
      </w:r>
      <w:smartTag w:uri="urn:schemas-microsoft-com:office:smarttags" w:element="place">
        <w:smartTag w:uri="urn:schemas-microsoft-com:office:smarttags" w:element="country-region">
          <w:r w:rsidRPr="007517CC">
            <w:rPr>
              <w:i/>
              <w:lang w:eastAsia="en-US"/>
            </w:rPr>
            <w:t>Latvia</w:t>
          </w:r>
        </w:smartTag>
      </w:smartTag>
      <w:r w:rsidRPr="007517CC">
        <w:rPr>
          <w:lang w:eastAsia="en-US"/>
        </w:rPr>
        <w:t>, no. 58442/00</w:t>
      </w:r>
      <w:r>
        <w:rPr>
          <w:lang w:eastAsia="en-US"/>
        </w:rPr>
        <w:t>,</w:t>
      </w:r>
      <w:r>
        <w:t xml:space="preserve"> the delays caused by the medical treatment and hospitalisation of the applicants are to be considered as </w:t>
      </w:r>
      <w:r w:rsidRPr="0092452E">
        <w:rPr>
          <w:i/>
        </w:rPr>
        <w:t>force majeure</w:t>
      </w:r>
      <w:r>
        <w:t xml:space="preserve"> and as such could not be attributable to the authorities. Therefore the applicant</w:t>
      </w:r>
      <w:r w:rsidR="007C12A5">
        <w:t>’</w:t>
      </w:r>
      <w:r>
        <w:t>s complaint should be dismissed as manifestly ill-founded.</w:t>
      </w:r>
    </w:p>
    <w:p w:rsidR="002804A6" w:rsidRDefault="002804A6" w:rsidP="002804A6">
      <w:pPr>
        <w:pStyle w:val="JuPara"/>
      </w:pPr>
      <w:r>
        <w:fldChar w:fldCharType="begin"/>
      </w:r>
      <w:r>
        <w:instrText xml:space="preserve"> SEQ level0 \*arabic </w:instrText>
      </w:r>
      <w:r>
        <w:fldChar w:fldCharType="separate"/>
      </w:r>
      <w:r w:rsidR="00622731">
        <w:rPr>
          <w:noProof/>
        </w:rPr>
        <w:t>22</w:t>
      </w:r>
      <w:r>
        <w:fldChar w:fldCharType="end"/>
      </w:r>
      <w:r w:rsidRPr="00B26964">
        <w:t>.  The applicant</w:t>
      </w:r>
      <w:r>
        <w:t xml:space="preserve"> commented that since 2005 her health condition had deteriorated preventing her from attending the proceedings.</w:t>
      </w:r>
    </w:p>
    <w:p w:rsidR="002804A6" w:rsidRDefault="002804A6" w:rsidP="002804A6">
      <w:pPr>
        <w:pStyle w:val="JuPara"/>
      </w:pPr>
      <w:r>
        <w:fldChar w:fldCharType="begin"/>
      </w:r>
      <w:r>
        <w:instrText xml:space="preserve"> SEQ level0 \*arabic </w:instrText>
      </w:r>
      <w:r>
        <w:fldChar w:fldCharType="separate"/>
      </w:r>
      <w:r w:rsidR="00622731">
        <w:rPr>
          <w:noProof/>
        </w:rPr>
        <w:t>23</w:t>
      </w:r>
      <w:r>
        <w:fldChar w:fldCharType="end"/>
      </w:r>
      <w:r>
        <w:t xml:space="preserve">.  The Court </w:t>
      </w:r>
      <w:r w:rsidRPr="00283946">
        <w:t xml:space="preserve">reiterates that the reasonableness of the length of </w:t>
      </w:r>
      <w:r>
        <w:t xml:space="preserve">the </w:t>
      </w:r>
      <w:r w:rsidRPr="00283946">
        <w:t xml:space="preserve">proceedings must be assessed in the light of the circumstances of the case and with reference to the following criteria: the complexity of the case, the conduct of the applicant and the relevant authorities (see, among many other authorities, </w:t>
      </w:r>
      <w:r w:rsidRPr="00283946">
        <w:rPr>
          <w:i/>
        </w:rPr>
        <w:t>Pélissier and Sassi v. France</w:t>
      </w:r>
      <w:r>
        <w:t xml:space="preserve"> [GC], no. 25444/94, § 67, ECHR </w:t>
      </w:r>
      <w:r w:rsidRPr="00283946">
        <w:t>1999-II)</w:t>
      </w:r>
      <w:r>
        <w:t>.</w:t>
      </w:r>
    </w:p>
    <w:p w:rsidR="002804A6" w:rsidRDefault="002804A6" w:rsidP="002804A6">
      <w:pPr>
        <w:pStyle w:val="JuPara"/>
        <w:rPr>
          <w:lang w:eastAsia="en-US"/>
        </w:rPr>
      </w:pPr>
      <w:r>
        <w:fldChar w:fldCharType="begin"/>
      </w:r>
      <w:r>
        <w:instrText xml:space="preserve"> SEQ level0 \*arabic </w:instrText>
      </w:r>
      <w:r>
        <w:fldChar w:fldCharType="separate"/>
      </w:r>
      <w:r w:rsidR="00622731">
        <w:rPr>
          <w:noProof/>
        </w:rPr>
        <w:t>24</w:t>
      </w:r>
      <w:r>
        <w:fldChar w:fldCharType="end"/>
      </w:r>
      <w:r>
        <w:t>.  Even assuming that the criminal case was of some complexity in view of the number of victims and witnesses involved as well as the need for cooperation from the authorities of third State, the criminal case was referred to the court without excessive delays</w:t>
      </w:r>
      <w:r w:rsidRPr="002711C4">
        <w:t xml:space="preserve"> (see </w:t>
      </w:r>
      <w:r w:rsidRPr="00DD4A2E">
        <w:t xml:space="preserve">paragraphs 5 and 7, above). </w:t>
      </w:r>
      <w:r>
        <w:t>It is true that the lower court returned the criminal case back to the Office of the Prosecutor in order to carry out further investigation, therefore causing a delay of about eighteen months which was undisputedly attributable to the authorities (</w:t>
      </w:r>
      <w:r w:rsidRPr="00721D32">
        <w:rPr>
          <w:i/>
          <w:lang w:eastAsia="en-US"/>
        </w:rPr>
        <w:t xml:space="preserve">Bragadireanu v. </w:t>
      </w:r>
      <w:smartTag w:uri="urn:schemas-microsoft-com:office:smarttags" w:element="country-region">
        <w:smartTag w:uri="urn:schemas-microsoft-com:office:smarttags" w:element="place">
          <w:r w:rsidRPr="00721D32">
            <w:rPr>
              <w:i/>
              <w:lang w:eastAsia="en-US"/>
            </w:rPr>
            <w:t>Romania</w:t>
          </w:r>
        </w:smartTag>
      </w:smartTag>
      <w:r>
        <w:rPr>
          <w:lang w:eastAsia="en-US"/>
        </w:rPr>
        <w:t>, no. 22088/04, § 120</w:t>
      </w:r>
      <w:r w:rsidRPr="00721D32">
        <w:rPr>
          <w:lang w:eastAsia="en-US"/>
        </w:rPr>
        <w:t>, 6 December 2007</w:t>
      </w:r>
      <w:r>
        <w:rPr>
          <w:lang w:eastAsia="en-US"/>
        </w:rPr>
        <w:t>). The impact of this delay on the average length of the criminal proceedings must be assessed, however, in the light of the other circumstances of the case.</w:t>
      </w:r>
    </w:p>
    <w:p w:rsidR="002804A6" w:rsidRDefault="002804A6" w:rsidP="002804A6">
      <w:pPr>
        <w:pStyle w:val="JuPara"/>
        <w:rPr>
          <w:lang w:eastAsia="en-US"/>
        </w:rPr>
      </w:pPr>
      <w:r>
        <w:fldChar w:fldCharType="begin"/>
      </w:r>
      <w:r>
        <w:instrText xml:space="preserve"> SEQ level0 \*arabic </w:instrText>
      </w:r>
      <w:r>
        <w:fldChar w:fldCharType="separate"/>
      </w:r>
      <w:r w:rsidR="00622731">
        <w:rPr>
          <w:noProof/>
        </w:rPr>
        <w:t>25</w:t>
      </w:r>
      <w:r>
        <w:fldChar w:fldCharType="end"/>
      </w:r>
      <w:r>
        <w:t>.  The Court observes that there were fifteen hearings scheduled at average intervals of three months before the lower and the appellate courts (</w:t>
      </w:r>
      <w:r w:rsidRPr="00204DBA">
        <w:t xml:space="preserve">see </w:t>
      </w:r>
      <w:r w:rsidRPr="00473922">
        <w:t>paragraph 11, above</w:t>
      </w:r>
      <w:r w:rsidRPr="00204DBA">
        <w:t>).</w:t>
      </w:r>
      <w:r>
        <w:t xml:space="preserve"> The Court notes that on numerous occasions throughout the proceedings the applicant and her counsel requested postponements of hearings relying on their poor health condition. Even assuming that, disregarding the conclusions of the medical examinations ordered by the courts </w:t>
      </w:r>
      <w:r w:rsidRPr="00204DBA">
        <w:t xml:space="preserve">(see </w:t>
      </w:r>
      <w:r w:rsidRPr="00473922">
        <w:t>paragraph 12, above), the applicant</w:t>
      </w:r>
      <w:r>
        <w:t xml:space="preserve"> was at certain periods unfit to participate at the hearings, there is no evidence that during a period of over three years she had attempted to follow the proceedings at least with an assistance of her defence counsel (</w:t>
      </w:r>
      <w:r w:rsidRPr="00204DBA">
        <w:t>to the contrary see</w:t>
      </w:r>
      <w:r>
        <w:t xml:space="preserve"> </w:t>
      </w:r>
      <w:r w:rsidRPr="00017058">
        <w:rPr>
          <w:i/>
          <w:lang w:eastAsia="en-US"/>
        </w:rPr>
        <w:t xml:space="preserve">Zawadzki v. </w:t>
      </w:r>
      <w:smartTag w:uri="urn:schemas-microsoft-com:office:smarttags" w:element="country-region">
        <w:smartTag w:uri="urn:schemas-microsoft-com:office:smarttags" w:element="place">
          <w:r w:rsidRPr="00017058">
            <w:rPr>
              <w:i/>
              <w:lang w:eastAsia="en-US"/>
            </w:rPr>
            <w:t>Poland</w:t>
          </w:r>
        </w:smartTag>
      </w:smartTag>
      <w:r w:rsidRPr="00017058">
        <w:rPr>
          <w:lang w:eastAsia="en-US"/>
        </w:rPr>
        <w:t xml:space="preserve">, no. 34158/96, § </w:t>
      </w:r>
      <w:r>
        <w:rPr>
          <w:lang w:eastAsia="en-US"/>
        </w:rPr>
        <w:t xml:space="preserve">78, 20 December 2001 and </w:t>
      </w:r>
      <w:r w:rsidRPr="00204DBA">
        <w:rPr>
          <w:i/>
          <w:lang w:eastAsia="en-US"/>
        </w:rPr>
        <w:t>Lavents v. Latvia</w:t>
      </w:r>
      <w:r>
        <w:rPr>
          <w:lang w:eastAsia="en-US"/>
        </w:rPr>
        <w:t>, no. </w:t>
      </w:r>
      <w:r w:rsidRPr="00204DBA">
        <w:rPr>
          <w:lang w:eastAsia="en-US"/>
        </w:rPr>
        <w:t>58442/00, §</w:t>
      </w:r>
      <w:r>
        <w:rPr>
          <w:lang w:eastAsia="en-US"/>
        </w:rPr>
        <w:t xml:space="preserve"> 101</w:t>
      </w:r>
      <w:r w:rsidRPr="00204DBA">
        <w:rPr>
          <w:lang w:eastAsia="en-US"/>
        </w:rPr>
        <w:t>, 28 November 2002</w:t>
      </w:r>
      <w:r>
        <w:rPr>
          <w:lang w:eastAsia="en-US"/>
        </w:rPr>
        <w:t xml:space="preserve">). It is noteworthy that throughout the proceedings only one request to postpone the hearing concerned a procedural demand by which the applicant </w:t>
      </w:r>
      <w:r>
        <w:t>exercised her defence rights, for which she could not be blamed</w:t>
      </w:r>
      <w:r>
        <w:rPr>
          <w:lang w:eastAsia="en-US"/>
        </w:rPr>
        <w:t xml:space="preserve"> (see, amongst others</w:t>
      </w:r>
      <w:r w:rsidRPr="00372B65">
        <w:t xml:space="preserve"> </w:t>
      </w:r>
      <w:r>
        <w:t xml:space="preserve">see, </w:t>
      </w:r>
      <w:r>
        <w:rPr>
          <w:i/>
          <w:lang w:eastAsia="en-US"/>
        </w:rPr>
        <w:t>Svetlana Orlova v. </w:t>
      </w:r>
      <w:r w:rsidRPr="00ED5F44">
        <w:rPr>
          <w:i/>
          <w:lang w:eastAsia="en-US"/>
        </w:rPr>
        <w:t>Russia</w:t>
      </w:r>
      <w:r w:rsidRPr="00ED5F44">
        <w:rPr>
          <w:lang w:eastAsia="en-US"/>
        </w:rPr>
        <w:t>, no. 4487/04</w:t>
      </w:r>
      <w:r>
        <w:rPr>
          <w:snapToGrid w:val="0"/>
          <w:lang w:eastAsia="en-US"/>
        </w:rPr>
        <w:t>, §</w:t>
      </w:r>
      <w:r w:rsidR="007C12A5">
        <w:rPr>
          <w:snapToGrid w:val="0"/>
          <w:lang w:eastAsia="en-US"/>
        </w:rPr>
        <w:t xml:space="preserve"> </w:t>
      </w:r>
      <w:r>
        <w:rPr>
          <w:snapToGrid w:val="0"/>
          <w:lang w:eastAsia="en-US"/>
        </w:rPr>
        <w:t>46</w:t>
      </w:r>
      <w:r w:rsidRPr="00ED5F44">
        <w:rPr>
          <w:snapToGrid w:val="0"/>
          <w:lang w:eastAsia="en-US"/>
        </w:rPr>
        <w:t>, 30 July 2009</w:t>
      </w:r>
      <w:r>
        <w:rPr>
          <w:lang w:eastAsia="en-US"/>
        </w:rPr>
        <w:t>).</w:t>
      </w:r>
    </w:p>
    <w:p w:rsidR="002804A6" w:rsidRPr="00CB6EE7" w:rsidRDefault="002804A6" w:rsidP="002804A6">
      <w:pPr>
        <w:pStyle w:val="JuPara"/>
        <w:rPr>
          <w:i/>
          <w:szCs w:val="24"/>
          <w:lang w:eastAsia="en-US"/>
        </w:rPr>
      </w:pPr>
      <w:r>
        <w:rPr>
          <w:lang w:eastAsia="en-US"/>
        </w:rPr>
        <w:fldChar w:fldCharType="begin"/>
      </w:r>
      <w:r>
        <w:rPr>
          <w:lang w:eastAsia="en-US"/>
        </w:rPr>
        <w:instrText xml:space="preserve"> SEQ level0 \*arabic </w:instrText>
      </w:r>
      <w:r>
        <w:rPr>
          <w:lang w:eastAsia="en-US"/>
        </w:rPr>
        <w:fldChar w:fldCharType="separate"/>
      </w:r>
      <w:r w:rsidR="00622731">
        <w:rPr>
          <w:noProof/>
          <w:lang w:eastAsia="en-US"/>
        </w:rPr>
        <w:t>26</w:t>
      </w:r>
      <w:r>
        <w:rPr>
          <w:lang w:eastAsia="en-US"/>
        </w:rPr>
        <w:fldChar w:fldCharType="end"/>
      </w:r>
      <w:r>
        <w:rPr>
          <w:lang w:eastAsia="en-US"/>
        </w:rPr>
        <w:t xml:space="preserve">.  The Court further observes that the national courts can not be held responsible for failing to discipline the parties to attend the hearings (to the contrary see </w:t>
      </w:r>
      <w:r w:rsidRPr="00204DBA">
        <w:rPr>
          <w:i/>
          <w:lang w:eastAsia="en-US"/>
        </w:rPr>
        <w:t xml:space="preserve">Tugarinov </w:t>
      </w:r>
      <w:r w:rsidRPr="00204DBA">
        <w:rPr>
          <w:i/>
          <w:snapToGrid w:val="0"/>
          <w:lang w:eastAsia="en-US"/>
        </w:rPr>
        <w:t xml:space="preserve">v. </w:t>
      </w:r>
      <w:smartTag w:uri="urn:schemas-microsoft-com:office:smarttags" w:element="country-region">
        <w:smartTag w:uri="urn:schemas-microsoft-com:office:smarttags" w:element="place">
          <w:r w:rsidRPr="00204DBA">
            <w:rPr>
              <w:i/>
              <w:snapToGrid w:val="0"/>
              <w:lang w:eastAsia="en-US"/>
            </w:rPr>
            <w:t>Russia</w:t>
          </w:r>
        </w:smartTag>
      </w:smartTag>
      <w:r w:rsidRPr="00204DBA">
        <w:rPr>
          <w:snapToGrid w:val="0"/>
          <w:lang w:eastAsia="en-US"/>
        </w:rPr>
        <w:t>, no.</w:t>
      </w:r>
      <w:r w:rsidRPr="00204DBA">
        <w:rPr>
          <w:lang w:eastAsia="en-US"/>
        </w:rPr>
        <w:t xml:space="preserve"> 20455/04</w:t>
      </w:r>
      <w:r>
        <w:rPr>
          <w:snapToGrid w:val="0"/>
          <w:lang w:eastAsia="en-US"/>
        </w:rPr>
        <w:t>, § 43</w:t>
      </w:r>
      <w:r w:rsidRPr="00204DBA">
        <w:rPr>
          <w:snapToGrid w:val="0"/>
          <w:lang w:eastAsia="en-US"/>
        </w:rPr>
        <w:t>, 29 April 2010</w:t>
      </w:r>
      <w:r>
        <w:rPr>
          <w:lang w:eastAsia="en-US"/>
        </w:rPr>
        <w:t>). In addition to the aforementioned medical examinations ordered by the lower and the appellate courts, the latter had also ordered the applicant</w:t>
      </w:r>
      <w:r w:rsidR="007C12A5">
        <w:rPr>
          <w:lang w:eastAsia="en-US"/>
        </w:rPr>
        <w:t>’</w:t>
      </w:r>
      <w:r>
        <w:rPr>
          <w:lang w:eastAsia="en-US"/>
        </w:rPr>
        <w:t xml:space="preserve">s attendance under constraint (see </w:t>
      </w:r>
      <w:r w:rsidRPr="00473922">
        <w:rPr>
          <w:lang w:eastAsia="en-US"/>
        </w:rPr>
        <w:t>paragraph 13, above</w:t>
      </w:r>
      <w:r>
        <w:rPr>
          <w:lang w:eastAsia="en-US"/>
        </w:rPr>
        <w:t xml:space="preserve">) and had taken measures in order to secure the appearance of the </w:t>
      </w:r>
      <w:r w:rsidRPr="00CB6EE7">
        <w:rPr>
          <w:lang w:eastAsia="en-US"/>
        </w:rPr>
        <w:t>defence counsel</w:t>
      </w:r>
      <w:r>
        <w:rPr>
          <w:lang w:eastAsia="en-US"/>
        </w:rPr>
        <w:t xml:space="preserve"> (ibid</w:t>
      </w:r>
      <w:r w:rsidRPr="00CB6EE7">
        <w:rPr>
          <w:lang w:eastAsia="en-US"/>
        </w:rPr>
        <w:t>.</w:t>
      </w:r>
      <w:r>
        <w:rPr>
          <w:lang w:eastAsia="en-US"/>
        </w:rPr>
        <w:t>).</w:t>
      </w:r>
    </w:p>
    <w:p w:rsidR="002804A6" w:rsidRPr="00CB6EE7" w:rsidRDefault="002804A6" w:rsidP="002804A6">
      <w:pPr>
        <w:pStyle w:val="JuPara"/>
      </w:pPr>
      <w:r w:rsidRPr="00CB6EE7">
        <w:rPr>
          <w:lang w:eastAsia="en-US"/>
        </w:rPr>
        <w:fldChar w:fldCharType="begin"/>
      </w:r>
      <w:r w:rsidRPr="00CB6EE7">
        <w:rPr>
          <w:lang w:eastAsia="en-US"/>
        </w:rPr>
        <w:instrText xml:space="preserve"> SEQ level0 \*arabic </w:instrText>
      </w:r>
      <w:r w:rsidRPr="00CB6EE7">
        <w:rPr>
          <w:lang w:eastAsia="en-US"/>
        </w:rPr>
        <w:fldChar w:fldCharType="separate"/>
      </w:r>
      <w:r w:rsidR="00622731">
        <w:rPr>
          <w:noProof/>
          <w:lang w:eastAsia="en-US"/>
        </w:rPr>
        <w:t>27</w:t>
      </w:r>
      <w:r w:rsidRPr="00CB6EE7">
        <w:rPr>
          <w:lang w:eastAsia="en-US"/>
        </w:rPr>
        <w:fldChar w:fldCharType="end"/>
      </w:r>
      <w:r w:rsidRPr="00CB6EE7">
        <w:rPr>
          <w:lang w:eastAsia="en-US"/>
        </w:rPr>
        <w:t>.  </w:t>
      </w:r>
      <w:r w:rsidRPr="00CB6EE7">
        <w:t>Making an overall assessment of the complexity of the case, the conduct of all</w:t>
      </w:r>
      <w:r>
        <w:t xml:space="preserve"> the</w:t>
      </w:r>
      <w:r w:rsidRPr="00CB6EE7">
        <w:t xml:space="preserve"> concerned as well as the total length of the proceedings, the Court considers</w:t>
      </w:r>
      <w:r>
        <w:t xml:space="preserve"> that</w:t>
      </w:r>
      <w:r w:rsidRPr="00CB6EE7">
        <w:t xml:space="preserve"> </w:t>
      </w:r>
      <w:r>
        <w:t>in the particular circumstances of this case the proceedings could not be considered as excessively long.</w:t>
      </w:r>
    </w:p>
    <w:p w:rsidR="002804A6" w:rsidRPr="00CB6EE7" w:rsidRDefault="002804A6" w:rsidP="002804A6">
      <w:pPr>
        <w:pStyle w:val="JuPara"/>
        <w:rPr>
          <w:lang w:eastAsia="en-US"/>
        </w:rPr>
      </w:pPr>
      <w:r w:rsidRPr="00CB6EE7">
        <w:fldChar w:fldCharType="begin"/>
      </w:r>
      <w:r w:rsidRPr="00CB6EE7">
        <w:instrText xml:space="preserve"> SEQ level0 \*arabic </w:instrText>
      </w:r>
      <w:r w:rsidRPr="00CB6EE7">
        <w:fldChar w:fldCharType="separate"/>
      </w:r>
      <w:r w:rsidR="00622731">
        <w:rPr>
          <w:noProof/>
        </w:rPr>
        <w:t>28</w:t>
      </w:r>
      <w:r w:rsidRPr="00CB6EE7">
        <w:fldChar w:fldCharType="end"/>
      </w:r>
      <w:r w:rsidRPr="00CB6EE7">
        <w:t>.  It follows that this complaint is manifestly ill-founded and must be rejected in accordance with Article 35 §§ 3 and 4 of the Convention.</w:t>
      </w:r>
    </w:p>
    <w:p w:rsidR="002804A6" w:rsidRDefault="002804A6" w:rsidP="007C12A5">
      <w:pPr>
        <w:pStyle w:val="JuHA"/>
        <w:rPr>
          <w:lang w:eastAsia="en-GB"/>
        </w:rPr>
      </w:pPr>
      <w:r w:rsidRPr="00CB6EE7">
        <w:rPr>
          <w:lang w:eastAsia="en-GB"/>
        </w:rPr>
        <w:t>B.  Other complaints</w:t>
      </w:r>
    </w:p>
    <w:p w:rsidR="002804A6" w:rsidRDefault="002804A6" w:rsidP="002804A6">
      <w:pPr>
        <w:pStyle w:val="JuPara"/>
        <w:outlineLvl w:val="0"/>
      </w:pPr>
      <w:r>
        <w:fldChar w:fldCharType="begin"/>
      </w:r>
      <w:r>
        <w:instrText xml:space="preserve"> SEQ level0 \*arabic </w:instrText>
      </w:r>
      <w:r>
        <w:fldChar w:fldCharType="separate"/>
      </w:r>
      <w:r w:rsidR="00622731">
        <w:rPr>
          <w:noProof/>
        </w:rPr>
        <w:t>29</w:t>
      </w:r>
      <w:r>
        <w:fldChar w:fldCharType="end"/>
      </w:r>
      <w:r>
        <w:t>.  T</w:t>
      </w:r>
      <w:r w:rsidRPr="002328F0">
        <w:t xml:space="preserve">he applicant alleged violations under </w:t>
      </w:r>
      <w:r>
        <w:t>Articles 3, 6, 8 and 14 of the Convention and Protocol No. 12 to the Convention</w:t>
      </w:r>
      <w:r w:rsidRPr="002328F0">
        <w:t>.</w:t>
      </w:r>
    </w:p>
    <w:p w:rsidR="002804A6" w:rsidRPr="002328F0" w:rsidRDefault="002804A6" w:rsidP="002804A6">
      <w:pPr>
        <w:pStyle w:val="JuPara"/>
        <w:outlineLvl w:val="0"/>
      </w:pPr>
      <w:r>
        <w:fldChar w:fldCharType="begin"/>
      </w:r>
      <w:r>
        <w:instrText xml:space="preserve"> SEQ level0 \*arabic </w:instrText>
      </w:r>
      <w:r>
        <w:fldChar w:fldCharType="separate"/>
      </w:r>
      <w:r w:rsidR="00622731">
        <w:rPr>
          <w:noProof/>
        </w:rPr>
        <w:t>30</w:t>
      </w:r>
      <w:r>
        <w:fldChar w:fldCharType="end"/>
      </w:r>
      <w:r>
        <w:t>.  </w:t>
      </w:r>
      <w:r w:rsidRPr="002328F0">
        <w:t>In the light of all the material in its possession, and in so far as the matters complained of are within its competence, the Court considers that the remainder of the application does not disclose any appearance of a violation of any of the above Articles of the Convention. It follows that these complaints are inadmissible under Article</w:t>
      </w:r>
      <w:r w:rsidR="007C12A5">
        <w:t xml:space="preserve"> </w:t>
      </w:r>
      <w:r w:rsidRPr="002328F0">
        <w:t>35</w:t>
      </w:r>
      <w:r w:rsidR="007C12A5">
        <w:t xml:space="preserve"> </w:t>
      </w:r>
      <w:r w:rsidRPr="002328F0">
        <w:t>§ 3 as manifestly ill</w:t>
      </w:r>
      <w:r w:rsidR="007C12A5">
        <w:noBreakHyphen/>
      </w:r>
      <w:r w:rsidRPr="002328F0">
        <w:t>founded and must be rejected pursuant to Article</w:t>
      </w:r>
      <w:r w:rsidR="007C12A5">
        <w:t xml:space="preserve"> </w:t>
      </w:r>
      <w:r w:rsidRPr="002328F0">
        <w:t>35</w:t>
      </w:r>
      <w:r w:rsidR="007C12A5">
        <w:t xml:space="preserve"> </w:t>
      </w:r>
      <w:r w:rsidRPr="002328F0">
        <w:t>§</w:t>
      </w:r>
      <w:r w:rsidR="007C12A5">
        <w:t xml:space="preserve"> </w:t>
      </w:r>
      <w:r w:rsidRPr="002328F0">
        <w:t>4 of the Convention</w:t>
      </w:r>
    </w:p>
    <w:p w:rsidR="002804A6" w:rsidRPr="00D90C97" w:rsidRDefault="002804A6" w:rsidP="002804A6">
      <w:pPr>
        <w:pStyle w:val="JuParaLast"/>
      </w:pPr>
      <w:r w:rsidRPr="00B668D8">
        <w:t>For these reasons, the Court unanimously</w:t>
      </w:r>
    </w:p>
    <w:p w:rsidR="002804A6" w:rsidRPr="00D90C97" w:rsidRDefault="002804A6" w:rsidP="002804A6">
      <w:pPr>
        <w:pStyle w:val="DecList"/>
      </w:pPr>
      <w:r w:rsidRPr="00D90C97">
        <w:rPr>
          <w:i/>
        </w:rPr>
        <w:t>Declares</w:t>
      </w:r>
      <w:r w:rsidRPr="00D90C97">
        <w:t xml:space="preserve"> the application inadmissible.</w:t>
      </w:r>
    </w:p>
    <w:p w:rsidR="002804A6" w:rsidRPr="00D90C97" w:rsidRDefault="002804A6" w:rsidP="002804A6">
      <w:pPr>
        <w:pStyle w:val="JuSigned"/>
        <w:keepNext/>
        <w:keepLines/>
      </w:pPr>
      <w:r w:rsidRPr="00D90C97">
        <w:tab/>
        <w:t>Marialena Tsirli</w:t>
      </w:r>
      <w:r w:rsidRPr="00D90C97">
        <w:tab/>
      </w:r>
      <w:r w:rsidRPr="00EB333F">
        <w:t>Alvina Gyulumyan</w:t>
      </w:r>
      <w:r w:rsidRPr="00D90C97">
        <w:br/>
      </w:r>
      <w:r w:rsidRPr="00D90C97">
        <w:tab/>
        <w:t xml:space="preserve">Deputy </w:t>
      </w:r>
      <w:r w:rsidRPr="00D90C97">
        <w:rPr>
          <w:iCs/>
        </w:rPr>
        <w:t>Registrar</w:t>
      </w:r>
      <w:r w:rsidRPr="00D90C97">
        <w:tab/>
        <w:t>President</w:t>
      </w:r>
    </w:p>
    <w:sectPr w:rsidR="002804A6" w:rsidRPr="00D90C97">
      <w:headerReference w:type="even" r:id="rId9"/>
      <w:headerReference w:type="default" r:id="rId10"/>
      <w:headerReference w:type="first" r:id="rId11"/>
      <w:footerReference w:type="first" r:id="rId12"/>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D0" w:rsidRDefault="00735AD0">
      <w:r>
        <w:separator/>
      </w:r>
    </w:p>
  </w:endnote>
  <w:endnote w:type="continuationSeparator" w:id="0">
    <w:p w:rsidR="00735AD0" w:rsidRDefault="0073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W1)">
    <w:charset w:val="00"/>
    <w:family w:val="roman"/>
    <w:pitch w:val="variable"/>
    <w:sig w:usb0="20003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D0" w:rsidRPr="00150BFA" w:rsidRDefault="00735AD0" w:rsidP="002804A6">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32.9pt">
          <v:imagedata r:id="rId1" o:title="DocFooter-03"/>
        </v:shape>
      </w:pict>
    </w:r>
  </w:p>
  <w:p w:rsidR="00735AD0" w:rsidRDefault="00735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D0" w:rsidRDefault="00735AD0">
      <w:r>
        <w:separator/>
      </w:r>
    </w:p>
  </w:footnote>
  <w:footnote w:type="continuationSeparator" w:id="0">
    <w:p w:rsidR="00735AD0" w:rsidRDefault="00735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D0" w:rsidRDefault="00735AD0">
    <w:pPr>
      <w:pStyle w:val="JuHeader"/>
    </w:pPr>
    <w:r>
      <w:rPr>
        <w:rStyle w:val="PageNumber"/>
      </w:rPr>
      <w:fldChar w:fldCharType="begin"/>
    </w:r>
    <w:r>
      <w:rPr>
        <w:rStyle w:val="PageNumber"/>
      </w:rPr>
      <w:instrText xml:space="preserve"> PAGE </w:instrText>
    </w:r>
    <w:r>
      <w:rPr>
        <w:rStyle w:val="PageNumber"/>
      </w:rPr>
      <w:fldChar w:fldCharType="separate"/>
    </w:r>
    <w:r w:rsidR="00622731">
      <w:rPr>
        <w:rStyle w:val="PageNumber"/>
        <w:noProof/>
      </w:rPr>
      <w:t>2</w:t>
    </w:r>
    <w:r>
      <w:rPr>
        <w:rStyle w:val="PageNumber"/>
      </w:rPr>
      <w:fldChar w:fldCharType="end"/>
    </w:r>
    <w:r w:rsidRPr="00273D80">
      <w:tab/>
    </w:r>
    <w:r>
      <w:t xml:space="preserve">DEMENTJEVA v. </w:t>
    </w:r>
    <w:smartTag w:uri="urn:schemas-microsoft-com:office:smarttags" w:element="place">
      <w:smartTag w:uri="urn:schemas-microsoft-com:office:smarttags" w:element="country-region">
        <w:r>
          <w:t>LATVIA</w:t>
        </w:r>
      </w:smartTag>
    </w:smartTag>
    <w:r w:rsidRPr="00273D80">
      <w:t xml:space="preserve"> </w:t>
    </w:r>
    <w:r>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D0" w:rsidRDefault="00735AD0">
    <w:pPr>
      <w:pStyle w:val="JuHeader"/>
    </w:pPr>
    <w:r>
      <w:tab/>
      <w:t xml:space="preserve">DEMENTJEVA v. </w:t>
    </w:r>
    <w:smartTag w:uri="urn:schemas-microsoft-com:office:smarttags" w:element="place">
      <w:smartTag w:uri="urn:schemas-microsoft-com:office:smarttags" w:element="country-region">
        <w:r>
          <w:t>LATVIA</w:t>
        </w:r>
      </w:smartTag>
    </w:smartTag>
    <w:r w:rsidRPr="00273D80">
      <w:t xml:space="preserve"> </w:t>
    </w:r>
    <w:r>
      <w:t>DECISION</w:t>
    </w:r>
    <w:r>
      <w:tab/>
    </w:r>
    <w:r>
      <w:rPr>
        <w:rStyle w:val="PageNumber"/>
      </w:rPr>
      <w:fldChar w:fldCharType="begin"/>
    </w:r>
    <w:r>
      <w:rPr>
        <w:rStyle w:val="PageNumber"/>
      </w:rPr>
      <w:instrText xml:space="preserve"> PAGE </w:instrText>
    </w:r>
    <w:r>
      <w:rPr>
        <w:rStyle w:val="PageNumber"/>
      </w:rPr>
      <w:fldChar w:fldCharType="separate"/>
    </w:r>
    <w:r w:rsidR="00622731">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D0" w:rsidRPr="00C00F0F" w:rsidRDefault="00735AD0">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735AD0" w:rsidRDefault="00735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6F4445CA"/>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4"/>
  </w:num>
  <w:num w:numId="4">
    <w:abstractNumId w:val="11"/>
  </w:num>
  <w:num w:numId="5">
    <w:abstractNumId w:val="10"/>
  </w:num>
  <w:num w:numId="6">
    <w:abstractNumId w:val="13"/>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4A6"/>
    <w:rsid w:val="000448A0"/>
    <w:rsid w:val="000837DA"/>
    <w:rsid w:val="000B6AB9"/>
    <w:rsid w:val="000E16CC"/>
    <w:rsid w:val="00116B58"/>
    <w:rsid w:val="001330A0"/>
    <w:rsid w:val="00137512"/>
    <w:rsid w:val="00143EB1"/>
    <w:rsid w:val="00186B8E"/>
    <w:rsid w:val="001A2F86"/>
    <w:rsid w:val="001C242D"/>
    <w:rsid w:val="00207E36"/>
    <w:rsid w:val="002804A6"/>
    <w:rsid w:val="002809D2"/>
    <w:rsid w:val="00295333"/>
    <w:rsid w:val="002A54BE"/>
    <w:rsid w:val="00300EAF"/>
    <w:rsid w:val="00305C38"/>
    <w:rsid w:val="00315900"/>
    <w:rsid w:val="00323D3B"/>
    <w:rsid w:val="0032780D"/>
    <w:rsid w:val="003C2AE7"/>
    <w:rsid w:val="003F772B"/>
    <w:rsid w:val="004176C4"/>
    <w:rsid w:val="00436D6C"/>
    <w:rsid w:val="00457277"/>
    <w:rsid w:val="00463D40"/>
    <w:rsid w:val="00486197"/>
    <w:rsid w:val="004D43D3"/>
    <w:rsid w:val="004F6A7A"/>
    <w:rsid w:val="00507014"/>
    <w:rsid w:val="0052268D"/>
    <w:rsid w:val="00524FCD"/>
    <w:rsid w:val="00535F24"/>
    <w:rsid w:val="00616956"/>
    <w:rsid w:val="00622731"/>
    <w:rsid w:val="00664436"/>
    <w:rsid w:val="00675353"/>
    <w:rsid w:val="00696295"/>
    <w:rsid w:val="006A4020"/>
    <w:rsid w:val="00735AD0"/>
    <w:rsid w:val="0076415B"/>
    <w:rsid w:val="0077041C"/>
    <w:rsid w:val="007C12A5"/>
    <w:rsid w:val="007F37A3"/>
    <w:rsid w:val="0083607E"/>
    <w:rsid w:val="00854524"/>
    <w:rsid w:val="008670E0"/>
    <w:rsid w:val="00894325"/>
    <w:rsid w:val="0089499F"/>
    <w:rsid w:val="008A1DB8"/>
    <w:rsid w:val="008D17D9"/>
    <w:rsid w:val="008F2528"/>
    <w:rsid w:val="00947D3B"/>
    <w:rsid w:val="00952B2C"/>
    <w:rsid w:val="009678E4"/>
    <w:rsid w:val="009743AB"/>
    <w:rsid w:val="00A23700"/>
    <w:rsid w:val="00A37C4A"/>
    <w:rsid w:val="00A504E5"/>
    <w:rsid w:val="00A56ECF"/>
    <w:rsid w:val="00AB0E64"/>
    <w:rsid w:val="00AD003E"/>
    <w:rsid w:val="00B10386"/>
    <w:rsid w:val="00B35E9B"/>
    <w:rsid w:val="00B71472"/>
    <w:rsid w:val="00BA3717"/>
    <w:rsid w:val="00C31DE7"/>
    <w:rsid w:val="00C652B9"/>
    <w:rsid w:val="00D06D04"/>
    <w:rsid w:val="00D113EE"/>
    <w:rsid w:val="00D22107"/>
    <w:rsid w:val="00D323B5"/>
    <w:rsid w:val="00D600A7"/>
    <w:rsid w:val="00D678F8"/>
    <w:rsid w:val="00DD1337"/>
    <w:rsid w:val="00DF6195"/>
    <w:rsid w:val="00E14C8E"/>
    <w:rsid w:val="00E813A4"/>
    <w:rsid w:val="00EE6E1D"/>
    <w:rsid w:val="00EE73A4"/>
    <w:rsid w:val="00F24992"/>
    <w:rsid w:val="00FC3C5E"/>
    <w:rsid w:val="00FC3F76"/>
    <w:rsid w:val="00FE3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4A6"/>
    <w:pPr>
      <w:suppressAutoHyphens/>
    </w:pPr>
    <w:rPr>
      <w:sz w:val="24"/>
      <w:lang w:val="en-GB" w:eastAsia="fr-FR"/>
    </w:rPr>
  </w:style>
  <w:style w:type="paragraph" w:styleId="Heading1">
    <w:name w:val="heading 1"/>
    <w:basedOn w:val="Normal"/>
    <w:next w:val="Normal"/>
    <w:qFormat/>
    <w:rsid w:val="002804A6"/>
    <w:pPr>
      <w:keepNext/>
      <w:numPr>
        <w:numId w:val="6"/>
      </w:numPr>
      <w:spacing w:before="360" w:after="240"/>
      <w:jc w:val="center"/>
      <w:outlineLvl w:val="0"/>
    </w:pPr>
    <w:rPr>
      <w:b/>
      <w:sz w:val="28"/>
    </w:rPr>
  </w:style>
  <w:style w:type="paragraph" w:styleId="Heading2">
    <w:name w:val="heading 2"/>
    <w:basedOn w:val="Normal"/>
    <w:next w:val="Normal"/>
    <w:qFormat/>
    <w:rsid w:val="002804A6"/>
    <w:pPr>
      <w:keepNext/>
      <w:numPr>
        <w:ilvl w:val="1"/>
        <w:numId w:val="6"/>
      </w:numPr>
      <w:spacing w:before="240" w:after="120"/>
      <w:outlineLvl w:val="1"/>
    </w:pPr>
    <w:rPr>
      <w:b/>
    </w:rPr>
  </w:style>
  <w:style w:type="paragraph" w:styleId="Heading3">
    <w:name w:val="heading 3"/>
    <w:basedOn w:val="Normal"/>
    <w:next w:val="Normal"/>
    <w:qFormat/>
    <w:rsid w:val="002804A6"/>
    <w:pPr>
      <w:keepNext/>
      <w:numPr>
        <w:ilvl w:val="2"/>
        <w:numId w:val="6"/>
      </w:numPr>
      <w:spacing w:before="120" w:after="60"/>
      <w:outlineLvl w:val="2"/>
    </w:pPr>
    <w:rPr>
      <w:i/>
    </w:rPr>
  </w:style>
  <w:style w:type="paragraph" w:styleId="Heading4">
    <w:name w:val="heading 4"/>
    <w:basedOn w:val="Normal"/>
    <w:next w:val="Normal"/>
    <w:qFormat/>
    <w:rsid w:val="002804A6"/>
    <w:pPr>
      <w:keepNext/>
      <w:numPr>
        <w:ilvl w:val="3"/>
        <w:numId w:val="6"/>
      </w:numPr>
      <w:spacing w:before="240" w:after="60"/>
      <w:outlineLvl w:val="3"/>
    </w:pPr>
    <w:rPr>
      <w:b/>
      <w:bCs/>
      <w:sz w:val="28"/>
      <w:szCs w:val="28"/>
    </w:rPr>
  </w:style>
  <w:style w:type="paragraph" w:styleId="Heading5">
    <w:name w:val="heading 5"/>
    <w:basedOn w:val="Normal"/>
    <w:next w:val="Normal"/>
    <w:qFormat/>
    <w:rsid w:val="002804A6"/>
    <w:pPr>
      <w:numPr>
        <w:ilvl w:val="4"/>
        <w:numId w:val="6"/>
      </w:numPr>
      <w:spacing w:before="240" w:after="60"/>
      <w:outlineLvl w:val="4"/>
    </w:pPr>
    <w:rPr>
      <w:b/>
      <w:bCs/>
      <w:i/>
      <w:iCs/>
      <w:sz w:val="26"/>
      <w:szCs w:val="26"/>
    </w:rPr>
  </w:style>
  <w:style w:type="paragraph" w:styleId="Heading6">
    <w:name w:val="heading 6"/>
    <w:basedOn w:val="Normal"/>
    <w:next w:val="Normal"/>
    <w:qFormat/>
    <w:rsid w:val="002804A6"/>
    <w:pPr>
      <w:numPr>
        <w:ilvl w:val="5"/>
        <w:numId w:val="6"/>
      </w:numPr>
      <w:spacing w:before="240" w:after="60"/>
      <w:outlineLvl w:val="5"/>
    </w:pPr>
    <w:rPr>
      <w:b/>
      <w:bCs/>
      <w:sz w:val="22"/>
      <w:szCs w:val="22"/>
    </w:rPr>
  </w:style>
  <w:style w:type="paragraph" w:styleId="Heading7">
    <w:name w:val="heading 7"/>
    <w:basedOn w:val="Normal"/>
    <w:next w:val="Normal"/>
    <w:qFormat/>
    <w:rsid w:val="002804A6"/>
    <w:pPr>
      <w:numPr>
        <w:ilvl w:val="6"/>
        <w:numId w:val="6"/>
      </w:numPr>
      <w:spacing w:before="240" w:after="60"/>
      <w:outlineLvl w:val="6"/>
    </w:pPr>
    <w:rPr>
      <w:szCs w:val="24"/>
    </w:rPr>
  </w:style>
  <w:style w:type="paragraph" w:styleId="Heading8">
    <w:name w:val="heading 8"/>
    <w:basedOn w:val="Normal"/>
    <w:next w:val="Normal"/>
    <w:qFormat/>
    <w:rsid w:val="002804A6"/>
    <w:pPr>
      <w:numPr>
        <w:ilvl w:val="7"/>
        <w:numId w:val="6"/>
      </w:numPr>
      <w:spacing w:before="240" w:after="60"/>
      <w:outlineLvl w:val="7"/>
    </w:pPr>
    <w:rPr>
      <w:i/>
      <w:iCs/>
      <w:szCs w:val="24"/>
    </w:rPr>
  </w:style>
  <w:style w:type="paragraph" w:styleId="Heading9">
    <w:name w:val="heading 9"/>
    <w:basedOn w:val="Normal"/>
    <w:next w:val="Normal"/>
    <w:qFormat/>
    <w:rsid w:val="002804A6"/>
    <w:pPr>
      <w:numPr>
        <w:ilvl w:val="8"/>
        <w:numId w:val="6"/>
      </w:numPr>
      <w:spacing w:before="240" w:after="60"/>
      <w:outlineLvl w:val="8"/>
    </w:pPr>
    <w:rPr>
      <w:rFonts w:ascii="Arial" w:hAnsi="Arial" w:cs="Arial"/>
      <w:sz w:val="22"/>
      <w:szCs w:val="22"/>
    </w:rPr>
  </w:style>
  <w:style w:type="character" w:default="1" w:styleId="DefaultParagraphFont">
    <w:name w:val="Default Paragraph Font"/>
    <w:rsid w:val="002804A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804A6"/>
  </w:style>
  <w:style w:type="paragraph" w:customStyle="1" w:styleId="JuPara">
    <w:name w:val="Ju_Para"/>
    <w:aliases w:val="Left,First line:  0 cm"/>
    <w:basedOn w:val="NormalTimesNewRoman"/>
    <w:link w:val="JuParaCar"/>
    <w:rsid w:val="002804A6"/>
    <w:pPr>
      <w:ind w:firstLine="284"/>
      <w:jc w:val="both"/>
    </w:pPr>
  </w:style>
  <w:style w:type="paragraph" w:customStyle="1" w:styleId="JuCase">
    <w:name w:val="Ju_Case"/>
    <w:basedOn w:val="JuPara"/>
    <w:next w:val="JuPara"/>
    <w:rsid w:val="002804A6"/>
    <w:rPr>
      <w:b/>
    </w:rPr>
  </w:style>
  <w:style w:type="paragraph" w:customStyle="1" w:styleId="JuJudges">
    <w:name w:val="Ju_Judges"/>
    <w:basedOn w:val="NormalTimesNewRoman"/>
    <w:link w:val="JuJudgesChar"/>
    <w:rsid w:val="002804A6"/>
    <w:pPr>
      <w:tabs>
        <w:tab w:val="left" w:pos="567"/>
        <w:tab w:val="left" w:pos="1134"/>
      </w:tabs>
    </w:pPr>
  </w:style>
  <w:style w:type="paragraph" w:customStyle="1" w:styleId="JuCourt">
    <w:name w:val="Ju_Court"/>
    <w:basedOn w:val="JuJudges"/>
    <w:rsid w:val="002804A6"/>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rsid w:val="002804A6"/>
    <w:pPr>
      <w:keepNext/>
      <w:keepLines/>
      <w:spacing w:before="720" w:after="240"/>
      <w:jc w:val="both"/>
      <w:outlineLvl w:val="0"/>
    </w:pPr>
    <w:rPr>
      <w:sz w:val="28"/>
    </w:rPr>
  </w:style>
  <w:style w:type="paragraph" w:customStyle="1" w:styleId="JuHIRoman">
    <w:name w:val="Ju_H_I_Roman"/>
    <w:basedOn w:val="JuHHead"/>
    <w:next w:val="JuPara"/>
    <w:rsid w:val="002804A6"/>
    <w:pPr>
      <w:tabs>
        <w:tab w:val="left" w:pos="357"/>
      </w:tabs>
      <w:spacing w:before="360"/>
      <w:ind w:left="357" w:hanging="357"/>
      <w:outlineLvl w:val="1"/>
    </w:pPr>
    <w:rPr>
      <w:sz w:val="24"/>
    </w:rPr>
  </w:style>
  <w:style w:type="paragraph" w:customStyle="1" w:styleId="JuHA">
    <w:name w:val="Ju_H_A"/>
    <w:basedOn w:val="JuHIRoman"/>
    <w:next w:val="JuPara"/>
    <w:rsid w:val="002804A6"/>
    <w:pPr>
      <w:tabs>
        <w:tab w:val="clear" w:pos="357"/>
        <w:tab w:val="left" w:pos="584"/>
      </w:tabs>
      <w:ind w:left="584" w:hanging="352"/>
      <w:outlineLvl w:val="2"/>
    </w:pPr>
    <w:rPr>
      <w:b/>
    </w:rPr>
  </w:style>
  <w:style w:type="paragraph" w:customStyle="1" w:styleId="JuHa0">
    <w:name w:val="Ju_H_a"/>
    <w:basedOn w:val="JuH1"/>
    <w:next w:val="JuPara"/>
    <w:rsid w:val="002804A6"/>
    <w:pPr>
      <w:tabs>
        <w:tab w:val="clear" w:pos="731"/>
        <w:tab w:val="left" w:pos="975"/>
      </w:tabs>
      <w:ind w:left="975" w:hanging="340"/>
      <w:outlineLvl w:val="4"/>
    </w:pPr>
    <w:rPr>
      <w:b/>
      <w:i w:val="0"/>
      <w:sz w:val="20"/>
    </w:rPr>
  </w:style>
  <w:style w:type="paragraph" w:customStyle="1" w:styleId="JuH1">
    <w:name w:val="Ju_H_1."/>
    <w:basedOn w:val="JuHA"/>
    <w:next w:val="JuPara"/>
    <w:rsid w:val="002804A6"/>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2804A6"/>
    <w:pPr>
      <w:tabs>
        <w:tab w:val="clear" w:pos="975"/>
        <w:tab w:val="left" w:pos="1191"/>
      </w:tabs>
      <w:ind w:left="1190" w:hanging="357"/>
      <w:outlineLvl w:val="5"/>
    </w:pPr>
    <w:rPr>
      <w:b w:val="0"/>
      <w:i/>
    </w:rPr>
  </w:style>
  <w:style w:type="paragraph" w:customStyle="1" w:styleId="JuHalpha">
    <w:name w:val="Ju_H_alpha"/>
    <w:basedOn w:val="JuHi"/>
    <w:next w:val="JuPara"/>
    <w:rsid w:val="002804A6"/>
    <w:pPr>
      <w:tabs>
        <w:tab w:val="clear" w:pos="1191"/>
        <w:tab w:val="left" w:pos="1372"/>
      </w:tabs>
      <w:ind w:left="1373" w:hanging="335"/>
    </w:pPr>
    <w:rPr>
      <w:i w:val="0"/>
    </w:rPr>
  </w:style>
  <w:style w:type="paragraph" w:customStyle="1" w:styleId="JuH">
    <w:name w:val="Ju_H_–"/>
    <w:basedOn w:val="JuHalpha"/>
    <w:next w:val="JuPara"/>
    <w:rsid w:val="002804A6"/>
    <w:pPr>
      <w:tabs>
        <w:tab w:val="clear" w:pos="1372"/>
      </w:tabs>
      <w:ind w:left="1236" w:firstLine="0"/>
    </w:pPr>
    <w:rPr>
      <w:i/>
    </w:rPr>
  </w:style>
  <w:style w:type="paragraph" w:customStyle="1" w:styleId="JuHeader">
    <w:name w:val="Ju_Header"/>
    <w:basedOn w:val="Header"/>
    <w:rsid w:val="002804A6"/>
  </w:style>
  <w:style w:type="paragraph" w:styleId="Header">
    <w:name w:val="header"/>
    <w:basedOn w:val="NormalTimesNewRoman"/>
    <w:rsid w:val="002804A6"/>
    <w:pPr>
      <w:tabs>
        <w:tab w:val="center" w:pos="3686"/>
        <w:tab w:val="right" w:pos="7371"/>
      </w:tabs>
    </w:pPr>
    <w:rPr>
      <w:sz w:val="18"/>
    </w:rPr>
  </w:style>
  <w:style w:type="paragraph" w:customStyle="1" w:styleId="PubJuPara">
    <w:name w:val="Pub_Ju_Para"/>
    <w:basedOn w:val="NormalTimesNewRoman"/>
    <w:rsid w:val="002804A6"/>
    <w:pPr>
      <w:ind w:firstLine="284"/>
      <w:jc w:val="both"/>
    </w:pPr>
  </w:style>
  <w:style w:type="paragraph" w:customStyle="1" w:styleId="JuSigned">
    <w:name w:val="Ju_Signed"/>
    <w:basedOn w:val="NormalTimesNewRoman"/>
    <w:next w:val="JuParaLast"/>
    <w:link w:val="JuSignedChar"/>
    <w:rsid w:val="002804A6"/>
    <w:pPr>
      <w:tabs>
        <w:tab w:val="center" w:pos="851"/>
        <w:tab w:val="center" w:pos="6407"/>
      </w:tabs>
      <w:spacing w:before="720"/>
    </w:pPr>
  </w:style>
  <w:style w:type="paragraph" w:customStyle="1" w:styleId="JuParaLast">
    <w:name w:val="Ju_Para_Last"/>
    <w:basedOn w:val="JuPara"/>
    <w:next w:val="JuPara"/>
    <w:rsid w:val="002804A6"/>
    <w:pPr>
      <w:keepNext/>
      <w:keepLines/>
      <w:spacing w:before="240"/>
    </w:pPr>
  </w:style>
  <w:style w:type="paragraph" w:customStyle="1" w:styleId="JuInitialled">
    <w:name w:val="Ju_Initialled"/>
    <w:basedOn w:val="JuSigned"/>
    <w:rsid w:val="002804A6"/>
    <w:pPr>
      <w:tabs>
        <w:tab w:val="clear" w:pos="851"/>
      </w:tabs>
      <w:jc w:val="right"/>
    </w:pPr>
  </w:style>
  <w:style w:type="paragraph" w:customStyle="1" w:styleId="JuList">
    <w:name w:val="Ju_List"/>
    <w:basedOn w:val="JuPara"/>
    <w:rsid w:val="002804A6"/>
    <w:pPr>
      <w:ind w:left="340" w:hanging="340"/>
    </w:pPr>
  </w:style>
  <w:style w:type="paragraph" w:customStyle="1" w:styleId="JuLista">
    <w:name w:val="Ju_List_a"/>
    <w:basedOn w:val="JuList"/>
    <w:rsid w:val="002804A6"/>
    <w:pPr>
      <w:ind w:left="346" w:firstLine="0"/>
    </w:pPr>
  </w:style>
  <w:style w:type="paragraph" w:customStyle="1" w:styleId="JuListi">
    <w:name w:val="Ju_List_i"/>
    <w:basedOn w:val="JuLista"/>
    <w:rsid w:val="002804A6"/>
    <w:pPr>
      <w:ind w:left="794"/>
    </w:pPr>
  </w:style>
  <w:style w:type="character" w:styleId="FootnoteReference">
    <w:name w:val="footnote reference"/>
    <w:basedOn w:val="DefaultParagraphFont"/>
    <w:semiHidden/>
    <w:rsid w:val="002804A6"/>
    <w:rPr>
      <w:vertAlign w:val="superscript"/>
    </w:rPr>
  </w:style>
  <w:style w:type="paragraph" w:customStyle="1" w:styleId="JuQuot">
    <w:name w:val="Ju_Quot"/>
    <w:basedOn w:val="JuPara"/>
    <w:rsid w:val="002804A6"/>
    <w:pPr>
      <w:spacing w:before="120" w:after="120"/>
      <w:ind w:left="425" w:firstLine="142"/>
    </w:pPr>
    <w:rPr>
      <w:sz w:val="20"/>
    </w:rPr>
  </w:style>
  <w:style w:type="paragraph" w:customStyle="1" w:styleId="PubJuQuot">
    <w:name w:val="Pub_Ju_Quot"/>
    <w:basedOn w:val="NormalTimesNewRoman"/>
    <w:rsid w:val="002804A6"/>
    <w:pPr>
      <w:spacing w:before="120" w:after="120"/>
      <w:ind w:left="403" w:firstLine="176"/>
      <w:jc w:val="both"/>
    </w:pPr>
    <w:rPr>
      <w:sz w:val="20"/>
    </w:rPr>
  </w:style>
  <w:style w:type="paragraph" w:customStyle="1" w:styleId="OpiPara">
    <w:name w:val="Opi_Para"/>
    <w:basedOn w:val="JuPara"/>
    <w:rsid w:val="002804A6"/>
  </w:style>
  <w:style w:type="paragraph" w:customStyle="1" w:styleId="OpiHA">
    <w:name w:val="Opi_H_A"/>
    <w:basedOn w:val="JuHIRoman"/>
    <w:next w:val="OpiPara"/>
    <w:rsid w:val="002804A6"/>
    <w:pPr>
      <w:tabs>
        <w:tab w:val="clear" w:pos="357"/>
      </w:tabs>
    </w:pPr>
    <w:rPr>
      <w:b/>
    </w:rPr>
  </w:style>
  <w:style w:type="paragraph" w:customStyle="1" w:styleId="OpiH1">
    <w:name w:val="Opi_H_1."/>
    <w:basedOn w:val="OpiHA"/>
    <w:next w:val="OpiPara"/>
    <w:rsid w:val="002804A6"/>
    <w:pPr>
      <w:spacing w:before="240" w:after="120"/>
      <w:ind w:left="635"/>
      <w:outlineLvl w:val="2"/>
    </w:pPr>
    <w:rPr>
      <w:b w:val="0"/>
      <w:i/>
    </w:rPr>
  </w:style>
  <w:style w:type="paragraph" w:customStyle="1" w:styleId="OpiHa0">
    <w:name w:val="Opi_H_a"/>
    <w:basedOn w:val="OpiH1"/>
    <w:next w:val="OpiPara"/>
    <w:rsid w:val="002804A6"/>
    <w:pPr>
      <w:ind w:left="833"/>
      <w:outlineLvl w:val="3"/>
    </w:pPr>
    <w:rPr>
      <w:b/>
      <w:i w:val="0"/>
      <w:sz w:val="20"/>
    </w:rPr>
  </w:style>
  <w:style w:type="paragraph" w:customStyle="1" w:styleId="OpiHHead">
    <w:name w:val="Opi_H_Head"/>
    <w:basedOn w:val="JuHHead"/>
    <w:next w:val="OpiPara"/>
    <w:rsid w:val="002804A6"/>
    <w:pPr>
      <w:spacing w:before="0"/>
      <w:jc w:val="center"/>
    </w:pPr>
  </w:style>
  <w:style w:type="paragraph" w:customStyle="1" w:styleId="OpiTranslation">
    <w:name w:val="Opi_Translation"/>
    <w:basedOn w:val="OpiHHead"/>
    <w:next w:val="OpiPara"/>
    <w:rsid w:val="002804A6"/>
    <w:rPr>
      <w:i/>
      <w:sz w:val="24"/>
    </w:rPr>
  </w:style>
  <w:style w:type="paragraph" w:customStyle="1" w:styleId="OpiHi">
    <w:name w:val="Opi_H_i"/>
    <w:basedOn w:val="OpiHa0"/>
    <w:next w:val="OpiPara"/>
    <w:rsid w:val="002804A6"/>
    <w:pPr>
      <w:ind w:left="1037"/>
      <w:outlineLvl w:val="4"/>
    </w:pPr>
    <w:rPr>
      <w:b w:val="0"/>
      <w:i/>
    </w:rPr>
  </w:style>
  <w:style w:type="paragraph" w:customStyle="1" w:styleId="PubListArticleSubject">
    <w:name w:val="Pub_List_ArticleSubject"/>
    <w:basedOn w:val="NormalTimesNewRoman"/>
    <w:rsid w:val="002804A6"/>
    <w:pPr>
      <w:tabs>
        <w:tab w:val="left" w:pos="2977"/>
      </w:tabs>
      <w:ind w:left="2977" w:hanging="2977"/>
    </w:pPr>
  </w:style>
  <w:style w:type="paragraph" w:customStyle="1" w:styleId="OpiQuot">
    <w:name w:val="Opi_Quot"/>
    <w:basedOn w:val="JuQuot"/>
    <w:rsid w:val="002804A6"/>
  </w:style>
  <w:style w:type="character" w:styleId="PageNumber">
    <w:name w:val="page number"/>
    <w:basedOn w:val="DefaultParagraphFont"/>
    <w:rsid w:val="002804A6"/>
    <w:rPr>
      <w:sz w:val="18"/>
    </w:rPr>
  </w:style>
  <w:style w:type="paragraph" w:styleId="FootnoteText">
    <w:name w:val="footnote text"/>
    <w:basedOn w:val="Normal"/>
    <w:semiHidden/>
    <w:rsid w:val="002804A6"/>
    <w:pPr>
      <w:jc w:val="both"/>
    </w:pPr>
    <w:rPr>
      <w:sz w:val="20"/>
    </w:rPr>
  </w:style>
  <w:style w:type="paragraph" w:customStyle="1" w:styleId="SuCoverTitle1">
    <w:name w:val="Su_Cover_Title1"/>
    <w:basedOn w:val="NormalTimesNewRoman"/>
    <w:next w:val="SuCoverTitle2"/>
    <w:rsid w:val="002804A6"/>
    <w:pPr>
      <w:spacing w:before="2500"/>
      <w:jc w:val="center"/>
    </w:pPr>
    <w:rPr>
      <w:sz w:val="22"/>
    </w:rPr>
  </w:style>
  <w:style w:type="paragraph" w:customStyle="1" w:styleId="SuCoverTitle2">
    <w:name w:val="Su_Cover_Title2"/>
    <w:basedOn w:val="SuCoverTitle1"/>
    <w:next w:val="Normal"/>
    <w:rsid w:val="002804A6"/>
    <w:pPr>
      <w:spacing w:before="240"/>
    </w:pPr>
    <w:rPr>
      <w:sz w:val="18"/>
    </w:rPr>
  </w:style>
  <w:style w:type="paragraph" w:customStyle="1" w:styleId="JuQuotSub">
    <w:name w:val="Ju_Quot_Sub"/>
    <w:basedOn w:val="JuQuot"/>
    <w:rsid w:val="002804A6"/>
    <w:pPr>
      <w:ind w:left="567"/>
    </w:pPr>
  </w:style>
  <w:style w:type="paragraph" w:styleId="Footer">
    <w:name w:val="footer"/>
    <w:basedOn w:val="NormalTimesNewRoman"/>
    <w:rsid w:val="002804A6"/>
    <w:pPr>
      <w:tabs>
        <w:tab w:val="center" w:pos="3686"/>
        <w:tab w:val="right" w:pos="7371"/>
      </w:tabs>
    </w:pPr>
    <w:rPr>
      <w:sz w:val="18"/>
    </w:rPr>
  </w:style>
  <w:style w:type="paragraph" w:customStyle="1" w:styleId="SuPara">
    <w:name w:val="Su_Para"/>
    <w:basedOn w:val="SuKeywords"/>
    <w:rsid w:val="002804A6"/>
    <w:pPr>
      <w:spacing w:before="0" w:after="0"/>
    </w:pPr>
    <w:rPr>
      <w:i w:val="0"/>
    </w:rPr>
  </w:style>
  <w:style w:type="paragraph" w:customStyle="1" w:styleId="SuKeywords">
    <w:name w:val="Su_Keywords"/>
    <w:basedOn w:val="SuHHead"/>
    <w:rsid w:val="002804A6"/>
    <w:pPr>
      <w:spacing w:before="120"/>
    </w:pPr>
    <w:rPr>
      <w:b w:val="0"/>
      <w:i/>
    </w:rPr>
  </w:style>
  <w:style w:type="paragraph" w:customStyle="1" w:styleId="SuHHead">
    <w:name w:val="Su_H_Head"/>
    <w:basedOn w:val="SuSubject"/>
    <w:rsid w:val="002804A6"/>
    <w:pPr>
      <w:spacing w:after="120"/>
    </w:pPr>
  </w:style>
  <w:style w:type="paragraph" w:customStyle="1" w:styleId="SuSubject">
    <w:name w:val="Su_Subject"/>
    <w:basedOn w:val="SuSummary"/>
    <w:rsid w:val="002804A6"/>
    <w:pPr>
      <w:spacing w:before="360"/>
      <w:jc w:val="both"/>
    </w:pPr>
    <w:rPr>
      <w:b/>
      <w:sz w:val="22"/>
    </w:rPr>
  </w:style>
  <w:style w:type="paragraph" w:customStyle="1" w:styleId="SuSummary">
    <w:name w:val="Su_Summary"/>
    <w:basedOn w:val="NormalTimesNewRoman"/>
    <w:next w:val="SuSubject"/>
    <w:rsid w:val="002804A6"/>
    <w:pPr>
      <w:spacing w:after="240"/>
      <w:jc w:val="center"/>
    </w:pPr>
  </w:style>
  <w:style w:type="paragraph" w:customStyle="1" w:styleId="DecHTitle">
    <w:name w:val="Dec_H_Title"/>
    <w:basedOn w:val="NormalTimesNewRoman"/>
    <w:rsid w:val="002804A6"/>
    <w:pPr>
      <w:spacing w:after="240"/>
      <w:jc w:val="center"/>
      <w:outlineLvl w:val="0"/>
    </w:pPr>
    <w:rPr>
      <w:sz w:val="28"/>
    </w:rPr>
  </w:style>
  <w:style w:type="paragraph" w:customStyle="1" w:styleId="DecHCase">
    <w:name w:val="Dec_H_Case"/>
    <w:basedOn w:val="DecHTitle"/>
    <w:next w:val="JuPara"/>
    <w:rsid w:val="002804A6"/>
    <w:rPr>
      <w:sz w:val="24"/>
    </w:rPr>
  </w:style>
  <w:style w:type="paragraph" w:customStyle="1" w:styleId="DecList">
    <w:name w:val="Dec_List"/>
    <w:basedOn w:val="NormalTimesNewRoman"/>
    <w:rsid w:val="002804A6"/>
    <w:pPr>
      <w:spacing w:before="240"/>
      <w:ind w:left="284"/>
      <w:jc w:val="both"/>
    </w:pPr>
  </w:style>
  <w:style w:type="paragraph" w:customStyle="1" w:styleId="JuParaSub">
    <w:name w:val="Ju_Para_Sub"/>
    <w:basedOn w:val="JuPara"/>
    <w:rsid w:val="002804A6"/>
    <w:pPr>
      <w:ind w:left="284"/>
    </w:pPr>
    <w:rPr>
      <w:szCs w:val="24"/>
    </w:rPr>
  </w:style>
  <w:style w:type="character" w:customStyle="1" w:styleId="JuNames">
    <w:name w:val="Ju_Names"/>
    <w:basedOn w:val="DefaultParagraphFont"/>
    <w:rsid w:val="002804A6"/>
    <w:rPr>
      <w:smallCaps/>
    </w:rPr>
  </w:style>
  <w:style w:type="paragraph" w:customStyle="1" w:styleId="PubListCaseNo">
    <w:name w:val="Pub_List_CaseNo"/>
    <w:basedOn w:val="NormalTimesNewRoman"/>
    <w:rsid w:val="002804A6"/>
    <w:pPr>
      <w:tabs>
        <w:tab w:val="left" w:pos="1276"/>
      </w:tabs>
      <w:spacing w:line="288" w:lineRule="auto"/>
      <w:ind w:left="1276" w:hanging="1276"/>
    </w:pPr>
  </w:style>
  <w:style w:type="paragraph" w:customStyle="1" w:styleId="PubListCases">
    <w:name w:val="Pub_List_Cases"/>
    <w:basedOn w:val="NormalTimesNewRoman"/>
    <w:rsid w:val="002804A6"/>
    <w:pPr>
      <w:spacing w:line="288" w:lineRule="auto"/>
    </w:pPr>
  </w:style>
  <w:style w:type="paragraph" w:customStyle="1" w:styleId="PubTextIntro">
    <w:name w:val="Pub_Text_Intro"/>
    <w:basedOn w:val="NormalTimesNewRoman"/>
    <w:rsid w:val="002804A6"/>
    <w:pPr>
      <w:jc w:val="both"/>
    </w:pPr>
    <w:rPr>
      <w:i/>
      <w:sz w:val="20"/>
    </w:rPr>
  </w:style>
  <w:style w:type="paragraph" w:customStyle="1" w:styleId="PubTitleCover">
    <w:name w:val="Pub_Title_Cover"/>
    <w:basedOn w:val="NormalTimesNewRoman"/>
    <w:rsid w:val="002804A6"/>
    <w:pPr>
      <w:spacing w:before="2500"/>
      <w:jc w:val="center"/>
    </w:pPr>
    <w:rPr>
      <w:b/>
      <w:smallCaps/>
      <w:sz w:val="30"/>
    </w:rPr>
  </w:style>
  <w:style w:type="paragraph" w:customStyle="1" w:styleId="PubTitle1Alpha">
    <w:name w:val="Pub_Title1_Alpha"/>
    <w:basedOn w:val="NormalTimesNewRoman"/>
    <w:next w:val="Normal"/>
    <w:rsid w:val="002804A6"/>
    <w:pPr>
      <w:spacing w:after="120"/>
      <w:jc w:val="center"/>
    </w:pPr>
    <w:rPr>
      <w:b/>
      <w:smallCaps/>
      <w:sz w:val="30"/>
    </w:rPr>
  </w:style>
  <w:style w:type="paragraph" w:customStyle="1" w:styleId="PubTitle1IndexArticle">
    <w:name w:val="Pub_Title1_IndexArticle"/>
    <w:basedOn w:val="NormalTimesNewRoman"/>
    <w:rsid w:val="002804A6"/>
    <w:pPr>
      <w:spacing w:after="120"/>
      <w:jc w:val="center"/>
    </w:pPr>
    <w:rPr>
      <w:b/>
      <w:smallCaps/>
      <w:sz w:val="30"/>
    </w:rPr>
  </w:style>
  <w:style w:type="paragraph" w:customStyle="1" w:styleId="PubTitle1IndexKey">
    <w:name w:val="Pub_Title1_IndexKey"/>
    <w:basedOn w:val="NormalTimesNewRoman"/>
    <w:rsid w:val="002804A6"/>
    <w:pPr>
      <w:spacing w:after="600"/>
      <w:jc w:val="center"/>
    </w:pPr>
    <w:rPr>
      <w:b/>
      <w:smallCaps/>
      <w:sz w:val="30"/>
    </w:rPr>
  </w:style>
  <w:style w:type="paragraph" w:customStyle="1" w:styleId="PubTitle1Num">
    <w:name w:val="Pub_Title1_Num"/>
    <w:basedOn w:val="NormalTimesNewRoman"/>
    <w:next w:val="PubListCaseNo"/>
    <w:rsid w:val="002804A6"/>
    <w:pPr>
      <w:spacing w:after="720"/>
      <w:jc w:val="center"/>
    </w:pPr>
    <w:rPr>
      <w:b/>
      <w:smallCaps/>
      <w:sz w:val="30"/>
    </w:rPr>
  </w:style>
  <w:style w:type="paragraph" w:customStyle="1" w:styleId="PubTitle2Country">
    <w:name w:val="Pub_Title2_Country"/>
    <w:basedOn w:val="NormalTimesNewRoman"/>
    <w:next w:val="PubListCases"/>
    <w:rsid w:val="002804A6"/>
    <w:pPr>
      <w:keepNext/>
      <w:keepLines/>
      <w:spacing w:before="600" w:after="360"/>
    </w:pPr>
    <w:rPr>
      <w:b/>
    </w:rPr>
  </w:style>
  <w:style w:type="paragraph" w:customStyle="1" w:styleId="PubTitle2Letters">
    <w:name w:val="Pub_Title2_Letters"/>
    <w:basedOn w:val="NormalTimesNewRoman"/>
    <w:next w:val="PubListCases"/>
    <w:rsid w:val="002804A6"/>
    <w:pPr>
      <w:keepNext/>
      <w:keepLines/>
      <w:spacing w:before="600" w:after="360"/>
    </w:pPr>
    <w:rPr>
      <w:b/>
      <w:sz w:val="28"/>
    </w:rPr>
  </w:style>
  <w:style w:type="paragraph" w:customStyle="1" w:styleId="PubTitle2Part">
    <w:name w:val="Pub_Title2_Part"/>
    <w:basedOn w:val="NormalTimesNewRoman"/>
    <w:rsid w:val="002804A6"/>
    <w:pPr>
      <w:keepNext/>
      <w:keepLines/>
      <w:spacing w:before="600" w:after="240"/>
      <w:jc w:val="center"/>
    </w:pPr>
    <w:rPr>
      <w:b/>
      <w:caps/>
    </w:rPr>
  </w:style>
  <w:style w:type="paragraph" w:customStyle="1" w:styleId="PubTitle3Article">
    <w:name w:val="Pub_Title3_Article"/>
    <w:basedOn w:val="NormalTimesNewRoman"/>
    <w:rsid w:val="002804A6"/>
    <w:pPr>
      <w:keepNext/>
      <w:keepLines/>
      <w:spacing w:before="360" w:after="120"/>
      <w:jc w:val="center"/>
    </w:pPr>
    <w:rPr>
      <w:b/>
      <w:smallCaps/>
      <w:sz w:val="22"/>
    </w:rPr>
  </w:style>
  <w:style w:type="paragraph" w:customStyle="1" w:styleId="PubTitle4ArticleSub">
    <w:name w:val="Pub_Title4_Article_Sub"/>
    <w:basedOn w:val="PubTitle3Article"/>
    <w:rsid w:val="002804A6"/>
    <w:pPr>
      <w:spacing w:before="240"/>
    </w:pPr>
    <w:rPr>
      <w:smallCaps w:val="0"/>
      <w:sz w:val="20"/>
    </w:rPr>
  </w:style>
  <w:style w:type="paragraph" w:customStyle="1" w:styleId="PubTitle5Subject">
    <w:name w:val="Pub_Title5_Subject"/>
    <w:basedOn w:val="NormalTimesNewRoman"/>
    <w:rsid w:val="002804A6"/>
    <w:pPr>
      <w:keepNext/>
      <w:keepLines/>
      <w:spacing w:before="240" w:after="120"/>
      <w:jc w:val="both"/>
    </w:pPr>
    <w:rPr>
      <w:b/>
      <w:i/>
    </w:rPr>
  </w:style>
  <w:style w:type="paragraph" w:customStyle="1" w:styleId="PubTitle6SubjectSub">
    <w:name w:val="Pub_Title6_Subject_Sub"/>
    <w:basedOn w:val="NormalTimesNewRoman"/>
    <w:rsid w:val="002804A6"/>
    <w:pPr>
      <w:keepNext/>
      <w:keepLines/>
      <w:spacing w:before="240" w:after="120"/>
      <w:ind w:left="284"/>
      <w:jc w:val="both"/>
    </w:pPr>
    <w:rPr>
      <w:b/>
      <w:sz w:val="20"/>
    </w:rPr>
  </w:style>
  <w:style w:type="paragraph" w:customStyle="1" w:styleId="PubTitle7CaseName">
    <w:name w:val="Pub_Title7_CaseName"/>
    <w:basedOn w:val="NormalTimesNewRoman"/>
    <w:rsid w:val="002804A6"/>
    <w:pPr>
      <w:keepLines/>
      <w:spacing w:after="240"/>
      <w:jc w:val="right"/>
    </w:pPr>
    <w:rPr>
      <w:sz w:val="22"/>
    </w:rPr>
  </w:style>
  <w:style w:type="paragraph" w:customStyle="1" w:styleId="JuHArticle">
    <w:name w:val="Ju_H_Article"/>
    <w:basedOn w:val="JuHa0"/>
    <w:next w:val="JuQuot"/>
    <w:rsid w:val="002804A6"/>
    <w:pPr>
      <w:ind w:left="0" w:firstLine="0"/>
      <w:jc w:val="center"/>
    </w:pPr>
  </w:style>
  <w:style w:type="paragraph" w:customStyle="1" w:styleId="OpiParaSub">
    <w:name w:val="Opi_Para_Sub"/>
    <w:basedOn w:val="JuParaSub"/>
    <w:rsid w:val="002804A6"/>
  </w:style>
  <w:style w:type="paragraph" w:customStyle="1" w:styleId="OpiQuotSub">
    <w:name w:val="Opi_Quot_Sub"/>
    <w:basedOn w:val="JuQuotSub"/>
    <w:rsid w:val="002804A6"/>
  </w:style>
  <w:style w:type="paragraph" w:customStyle="1" w:styleId="NormalJustified">
    <w:name w:val="Normal_Justified"/>
    <w:basedOn w:val="NormalTimesNewRoman"/>
    <w:rsid w:val="002804A6"/>
    <w:pPr>
      <w:jc w:val="both"/>
    </w:pPr>
  </w:style>
  <w:style w:type="paragraph" w:customStyle="1" w:styleId="JuAppQuestion">
    <w:name w:val="Ju_App_Question"/>
    <w:basedOn w:val="ListBullet"/>
    <w:rsid w:val="002804A6"/>
    <w:pPr>
      <w:numPr>
        <w:numId w:val="3"/>
      </w:numPr>
    </w:pPr>
    <w:rPr>
      <w:b/>
      <w:color w:val="333333"/>
    </w:rPr>
  </w:style>
  <w:style w:type="paragraph" w:styleId="ListBullet">
    <w:name w:val="List Bullet"/>
    <w:basedOn w:val="NormalTimesNewRoman"/>
    <w:rsid w:val="002804A6"/>
    <w:pPr>
      <w:numPr>
        <w:numId w:val="2"/>
      </w:numPr>
    </w:pPr>
  </w:style>
  <w:style w:type="paragraph" w:styleId="DocumentMap">
    <w:name w:val="Document Map"/>
    <w:basedOn w:val="Normal"/>
    <w:semiHidden/>
    <w:rsid w:val="002804A6"/>
    <w:pPr>
      <w:shd w:val="clear" w:color="auto" w:fill="000080"/>
    </w:pPr>
    <w:rPr>
      <w:rFonts w:ascii="Tahoma" w:hAnsi="Tahoma" w:cs="Tahoma"/>
      <w:sz w:val="20"/>
    </w:rPr>
  </w:style>
  <w:style w:type="paragraph" w:customStyle="1" w:styleId="NormalTimesNewRoman">
    <w:name w:val="Normal_TimesNewRoman"/>
    <w:rsid w:val="002804A6"/>
    <w:rPr>
      <w:sz w:val="24"/>
      <w:lang w:val="en-GB" w:eastAsia="fr-FR"/>
    </w:rPr>
  </w:style>
  <w:style w:type="numbering" w:styleId="111111">
    <w:name w:val="Outline List 2"/>
    <w:basedOn w:val="NoList"/>
    <w:rsid w:val="002804A6"/>
    <w:pPr>
      <w:numPr>
        <w:numId w:val="4"/>
      </w:numPr>
    </w:pPr>
  </w:style>
  <w:style w:type="numbering" w:styleId="1ai">
    <w:name w:val="Outline List 1"/>
    <w:basedOn w:val="NoList"/>
    <w:rsid w:val="002804A6"/>
    <w:pPr>
      <w:numPr>
        <w:numId w:val="5"/>
      </w:numPr>
    </w:pPr>
  </w:style>
  <w:style w:type="numbering" w:styleId="ArticleSection">
    <w:name w:val="Outline List 3"/>
    <w:basedOn w:val="NoList"/>
    <w:rsid w:val="002804A6"/>
    <w:pPr>
      <w:numPr>
        <w:numId w:val="6"/>
      </w:numPr>
    </w:pPr>
  </w:style>
  <w:style w:type="paragraph" w:styleId="BalloonText">
    <w:name w:val="Balloon Text"/>
    <w:basedOn w:val="Normal"/>
    <w:semiHidden/>
    <w:rsid w:val="002804A6"/>
    <w:rPr>
      <w:rFonts w:ascii="Tahoma" w:hAnsi="Tahoma" w:cs="Tahoma"/>
      <w:sz w:val="16"/>
      <w:szCs w:val="16"/>
    </w:rPr>
  </w:style>
  <w:style w:type="paragraph" w:styleId="BlockText">
    <w:name w:val="Block Text"/>
    <w:basedOn w:val="Normal"/>
    <w:rsid w:val="002804A6"/>
    <w:pPr>
      <w:spacing w:after="120"/>
      <w:ind w:left="1440" w:right="1440"/>
    </w:pPr>
  </w:style>
  <w:style w:type="paragraph" w:styleId="BodyText">
    <w:name w:val="Body Text"/>
    <w:basedOn w:val="Normal"/>
    <w:rsid w:val="002804A6"/>
    <w:pPr>
      <w:spacing w:after="120"/>
    </w:pPr>
  </w:style>
  <w:style w:type="paragraph" w:styleId="BodyText2">
    <w:name w:val="Body Text 2"/>
    <w:basedOn w:val="Normal"/>
    <w:rsid w:val="002804A6"/>
    <w:pPr>
      <w:spacing w:after="120" w:line="480" w:lineRule="auto"/>
    </w:pPr>
  </w:style>
  <w:style w:type="paragraph" w:styleId="BodyText3">
    <w:name w:val="Body Text 3"/>
    <w:basedOn w:val="Normal"/>
    <w:rsid w:val="002804A6"/>
    <w:pPr>
      <w:spacing w:after="120"/>
    </w:pPr>
    <w:rPr>
      <w:sz w:val="16"/>
      <w:szCs w:val="16"/>
    </w:rPr>
  </w:style>
  <w:style w:type="paragraph" w:styleId="BodyTextFirstIndent">
    <w:name w:val="Body Text First Indent"/>
    <w:basedOn w:val="BodyText"/>
    <w:rsid w:val="002804A6"/>
    <w:pPr>
      <w:ind w:firstLine="210"/>
    </w:pPr>
  </w:style>
  <w:style w:type="paragraph" w:styleId="BodyTextIndent">
    <w:name w:val="Body Text Indent"/>
    <w:basedOn w:val="Normal"/>
    <w:rsid w:val="002804A6"/>
    <w:pPr>
      <w:spacing w:after="120"/>
      <w:ind w:left="283"/>
    </w:pPr>
  </w:style>
  <w:style w:type="paragraph" w:styleId="BodyTextFirstIndent2">
    <w:name w:val="Body Text First Indent 2"/>
    <w:basedOn w:val="BodyTextIndent"/>
    <w:rsid w:val="002804A6"/>
    <w:pPr>
      <w:ind w:firstLine="210"/>
    </w:pPr>
  </w:style>
  <w:style w:type="paragraph" w:styleId="BodyTextIndent2">
    <w:name w:val="Body Text Indent 2"/>
    <w:basedOn w:val="Normal"/>
    <w:rsid w:val="002804A6"/>
    <w:pPr>
      <w:spacing w:after="120" w:line="480" w:lineRule="auto"/>
      <w:ind w:left="283"/>
    </w:pPr>
  </w:style>
  <w:style w:type="paragraph" w:styleId="BodyTextIndent3">
    <w:name w:val="Body Text Indent 3"/>
    <w:basedOn w:val="Normal"/>
    <w:rsid w:val="002804A6"/>
    <w:pPr>
      <w:spacing w:after="120"/>
      <w:ind w:left="283"/>
    </w:pPr>
    <w:rPr>
      <w:sz w:val="16"/>
      <w:szCs w:val="16"/>
    </w:rPr>
  </w:style>
  <w:style w:type="paragraph" w:styleId="Caption">
    <w:name w:val="caption"/>
    <w:basedOn w:val="Normal"/>
    <w:next w:val="Normal"/>
    <w:qFormat/>
    <w:rsid w:val="002804A6"/>
    <w:rPr>
      <w:b/>
      <w:bCs/>
      <w:sz w:val="20"/>
    </w:rPr>
  </w:style>
  <w:style w:type="paragraph" w:styleId="Closing">
    <w:name w:val="Closing"/>
    <w:basedOn w:val="Normal"/>
    <w:rsid w:val="002804A6"/>
    <w:pPr>
      <w:ind w:left="4252"/>
    </w:pPr>
  </w:style>
  <w:style w:type="character" w:styleId="CommentReference">
    <w:name w:val="annotation reference"/>
    <w:basedOn w:val="DefaultParagraphFont"/>
    <w:semiHidden/>
    <w:rsid w:val="002804A6"/>
    <w:rPr>
      <w:sz w:val="16"/>
      <w:szCs w:val="16"/>
    </w:rPr>
  </w:style>
  <w:style w:type="paragraph" w:styleId="CommentText">
    <w:name w:val="annotation text"/>
    <w:basedOn w:val="Normal"/>
    <w:semiHidden/>
    <w:rsid w:val="002804A6"/>
    <w:rPr>
      <w:sz w:val="20"/>
    </w:rPr>
  </w:style>
  <w:style w:type="paragraph" w:styleId="CommentSubject">
    <w:name w:val="annotation subject"/>
    <w:basedOn w:val="CommentText"/>
    <w:next w:val="CommentText"/>
    <w:semiHidden/>
    <w:rsid w:val="002804A6"/>
    <w:rPr>
      <w:b/>
      <w:bCs/>
    </w:rPr>
  </w:style>
  <w:style w:type="paragraph" w:styleId="Date">
    <w:name w:val="Date"/>
    <w:basedOn w:val="Normal"/>
    <w:next w:val="Normal"/>
    <w:rsid w:val="002804A6"/>
  </w:style>
  <w:style w:type="paragraph" w:styleId="E-mailSignature">
    <w:name w:val="E-mail Signature"/>
    <w:basedOn w:val="Normal"/>
    <w:rsid w:val="002804A6"/>
  </w:style>
  <w:style w:type="character" w:styleId="Emphasis">
    <w:name w:val="Emphasis"/>
    <w:basedOn w:val="DefaultParagraphFont"/>
    <w:qFormat/>
    <w:rsid w:val="002804A6"/>
    <w:rPr>
      <w:i/>
      <w:iCs/>
    </w:rPr>
  </w:style>
  <w:style w:type="character" w:styleId="EndnoteReference">
    <w:name w:val="endnote reference"/>
    <w:basedOn w:val="DefaultParagraphFont"/>
    <w:semiHidden/>
    <w:rsid w:val="002804A6"/>
    <w:rPr>
      <w:vertAlign w:val="superscript"/>
    </w:rPr>
  </w:style>
  <w:style w:type="paragraph" w:styleId="EndnoteText">
    <w:name w:val="endnote text"/>
    <w:basedOn w:val="Normal"/>
    <w:semiHidden/>
    <w:rsid w:val="002804A6"/>
    <w:rPr>
      <w:sz w:val="20"/>
    </w:rPr>
  </w:style>
  <w:style w:type="paragraph" w:styleId="EnvelopeAddress">
    <w:name w:val="envelope address"/>
    <w:basedOn w:val="Normal"/>
    <w:rsid w:val="002804A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804A6"/>
    <w:rPr>
      <w:rFonts w:ascii="Arial" w:hAnsi="Arial" w:cs="Arial"/>
      <w:sz w:val="20"/>
    </w:rPr>
  </w:style>
  <w:style w:type="character" w:styleId="FollowedHyperlink">
    <w:name w:val="FollowedHyperlink"/>
    <w:basedOn w:val="DefaultParagraphFont"/>
    <w:rsid w:val="002804A6"/>
    <w:rPr>
      <w:color w:val="800080"/>
      <w:u w:val="single"/>
    </w:rPr>
  </w:style>
  <w:style w:type="character" w:styleId="HTMLAcronym">
    <w:name w:val="HTML Acronym"/>
    <w:basedOn w:val="DefaultParagraphFont"/>
    <w:rsid w:val="002804A6"/>
  </w:style>
  <w:style w:type="paragraph" w:styleId="HTMLAddress">
    <w:name w:val="HTML Address"/>
    <w:basedOn w:val="Normal"/>
    <w:rsid w:val="002804A6"/>
    <w:rPr>
      <w:i/>
      <w:iCs/>
    </w:rPr>
  </w:style>
  <w:style w:type="character" w:styleId="HTMLCite">
    <w:name w:val="HTML Cite"/>
    <w:basedOn w:val="DefaultParagraphFont"/>
    <w:rsid w:val="002804A6"/>
    <w:rPr>
      <w:i/>
      <w:iCs/>
    </w:rPr>
  </w:style>
  <w:style w:type="character" w:styleId="HTMLCode">
    <w:name w:val="HTML Code"/>
    <w:basedOn w:val="DefaultParagraphFont"/>
    <w:rsid w:val="002804A6"/>
    <w:rPr>
      <w:rFonts w:ascii="Courier New" w:hAnsi="Courier New" w:cs="Courier New"/>
      <w:sz w:val="20"/>
      <w:szCs w:val="20"/>
    </w:rPr>
  </w:style>
  <w:style w:type="character" w:styleId="HTMLDefinition">
    <w:name w:val="HTML Definition"/>
    <w:basedOn w:val="DefaultParagraphFont"/>
    <w:rsid w:val="002804A6"/>
    <w:rPr>
      <w:i/>
      <w:iCs/>
    </w:rPr>
  </w:style>
  <w:style w:type="character" w:styleId="HTMLKeyboard">
    <w:name w:val="HTML Keyboard"/>
    <w:basedOn w:val="DefaultParagraphFont"/>
    <w:rsid w:val="002804A6"/>
    <w:rPr>
      <w:rFonts w:ascii="Courier New" w:hAnsi="Courier New" w:cs="Courier New"/>
      <w:sz w:val="20"/>
      <w:szCs w:val="20"/>
    </w:rPr>
  </w:style>
  <w:style w:type="paragraph" w:styleId="HTMLPreformatted">
    <w:name w:val="HTML Preformatted"/>
    <w:basedOn w:val="Normal"/>
    <w:rsid w:val="002804A6"/>
    <w:rPr>
      <w:rFonts w:ascii="Courier New" w:hAnsi="Courier New" w:cs="Courier New"/>
      <w:sz w:val="20"/>
    </w:rPr>
  </w:style>
  <w:style w:type="character" w:styleId="HTMLSample">
    <w:name w:val="HTML Sample"/>
    <w:basedOn w:val="DefaultParagraphFont"/>
    <w:rsid w:val="002804A6"/>
    <w:rPr>
      <w:rFonts w:ascii="Courier New" w:hAnsi="Courier New" w:cs="Courier New"/>
    </w:rPr>
  </w:style>
  <w:style w:type="character" w:styleId="HTMLTypewriter">
    <w:name w:val="HTML Typewriter"/>
    <w:basedOn w:val="DefaultParagraphFont"/>
    <w:rsid w:val="002804A6"/>
    <w:rPr>
      <w:rFonts w:ascii="Courier New" w:hAnsi="Courier New" w:cs="Courier New"/>
      <w:sz w:val="20"/>
      <w:szCs w:val="20"/>
    </w:rPr>
  </w:style>
  <w:style w:type="character" w:styleId="HTMLVariable">
    <w:name w:val="HTML Variable"/>
    <w:basedOn w:val="DefaultParagraphFont"/>
    <w:rsid w:val="002804A6"/>
    <w:rPr>
      <w:i/>
      <w:iCs/>
    </w:rPr>
  </w:style>
  <w:style w:type="character" w:styleId="Hyperlink">
    <w:name w:val="Hyperlink"/>
    <w:basedOn w:val="DefaultParagraphFont"/>
    <w:rsid w:val="002804A6"/>
    <w:rPr>
      <w:color w:val="0000FF"/>
      <w:u w:val="single"/>
    </w:rPr>
  </w:style>
  <w:style w:type="paragraph" w:styleId="Index1">
    <w:name w:val="index 1"/>
    <w:basedOn w:val="Normal"/>
    <w:next w:val="Normal"/>
    <w:autoRedefine/>
    <w:semiHidden/>
    <w:rsid w:val="002804A6"/>
    <w:pPr>
      <w:ind w:left="240" w:hanging="240"/>
    </w:pPr>
  </w:style>
  <w:style w:type="paragraph" w:styleId="Index2">
    <w:name w:val="index 2"/>
    <w:basedOn w:val="Normal"/>
    <w:next w:val="Normal"/>
    <w:autoRedefine/>
    <w:semiHidden/>
    <w:rsid w:val="002804A6"/>
    <w:pPr>
      <w:ind w:left="480" w:hanging="240"/>
    </w:pPr>
  </w:style>
  <w:style w:type="paragraph" w:styleId="Index3">
    <w:name w:val="index 3"/>
    <w:basedOn w:val="Normal"/>
    <w:next w:val="Normal"/>
    <w:autoRedefine/>
    <w:semiHidden/>
    <w:rsid w:val="002804A6"/>
    <w:pPr>
      <w:ind w:left="720" w:hanging="240"/>
    </w:pPr>
  </w:style>
  <w:style w:type="paragraph" w:styleId="Index4">
    <w:name w:val="index 4"/>
    <w:basedOn w:val="Normal"/>
    <w:next w:val="Normal"/>
    <w:autoRedefine/>
    <w:semiHidden/>
    <w:rsid w:val="002804A6"/>
    <w:pPr>
      <w:ind w:left="960" w:hanging="240"/>
    </w:pPr>
  </w:style>
  <w:style w:type="paragraph" w:styleId="Index5">
    <w:name w:val="index 5"/>
    <w:basedOn w:val="Normal"/>
    <w:next w:val="Normal"/>
    <w:autoRedefine/>
    <w:semiHidden/>
    <w:rsid w:val="002804A6"/>
    <w:pPr>
      <w:ind w:left="1200" w:hanging="240"/>
    </w:pPr>
  </w:style>
  <w:style w:type="paragraph" w:styleId="Index6">
    <w:name w:val="index 6"/>
    <w:basedOn w:val="Normal"/>
    <w:next w:val="Normal"/>
    <w:autoRedefine/>
    <w:semiHidden/>
    <w:rsid w:val="002804A6"/>
    <w:pPr>
      <w:ind w:left="1440" w:hanging="240"/>
    </w:pPr>
  </w:style>
  <w:style w:type="paragraph" w:styleId="Index7">
    <w:name w:val="index 7"/>
    <w:basedOn w:val="Normal"/>
    <w:next w:val="Normal"/>
    <w:autoRedefine/>
    <w:semiHidden/>
    <w:rsid w:val="002804A6"/>
    <w:pPr>
      <w:ind w:left="1680" w:hanging="240"/>
    </w:pPr>
  </w:style>
  <w:style w:type="paragraph" w:styleId="Index8">
    <w:name w:val="index 8"/>
    <w:basedOn w:val="Normal"/>
    <w:next w:val="Normal"/>
    <w:autoRedefine/>
    <w:semiHidden/>
    <w:rsid w:val="002804A6"/>
    <w:pPr>
      <w:ind w:left="1920" w:hanging="240"/>
    </w:pPr>
  </w:style>
  <w:style w:type="paragraph" w:styleId="Index9">
    <w:name w:val="index 9"/>
    <w:basedOn w:val="Normal"/>
    <w:next w:val="Normal"/>
    <w:autoRedefine/>
    <w:semiHidden/>
    <w:rsid w:val="002804A6"/>
    <w:pPr>
      <w:ind w:left="2160" w:hanging="240"/>
    </w:pPr>
  </w:style>
  <w:style w:type="paragraph" w:styleId="IndexHeading">
    <w:name w:val="index heading"/>
    <w:basedOn w:val="Normal"/>
    <w:next w:val="Index1"/>
    <w:semiHidden/>
    <w:rsid w:val="002804A6"/>
    <w:rPr>
      <w:rFonts w:ascii="Arial" w:hAnsi="Arial" w:cs="Arial"/>
      <w:b/>
      <w:bCs/>
    </w:rPr>
  </w:style>
  <w:style w:type="character" w:styleId="LineNumber">
    <w:name w:val="line number"/>
    <w:basedOn w:val="DefaultParagraphFont"/>
    <w:rsid w:val="002804A6"/>
  </w:style>
  <w:style w:type="paragraph" w:styleId="List">
    <w:name w:val="List"/>
    <w:basedOn w:val="Normal"/>
    <w:rsid w:val="002804A6"/>
    <w:pPr>
      <w:ind w:left="283" w:hanging="283"/>
    </w:pPr>
  </w:style>
  <w:style w:type="paragraph" w:styleId="List2">
    <w:name w:val="List 2"/>
    <w:basedOn w:val="Normal"/>
    <w:rsid w:val="002804A6"/>
    <w:pPr>
      <w:ind w:left="566" w:hanging="283"/>
    </w:pPr>
  </w:style>
  <w:style w:type="paragraph" w:styleId="List3">
    <w:name w:val="List 3"/>
    <w:basedOn w:val="Normal"/>
    <w:rsid w:val="002804A6"/>
    <w:pPr>
      <w:ind w:left="849" w:hanging="283"/>
    </w:pPr>
  </w:style>
  <w:style w:type="paragraph" w:styleId="List4">
    <w:name w:val="List 4"/>
    <w:basedOn w:val="Normal"/>
    <w:rsid w:val="002804A6"/>
    <w:pPr>
      <w:ind w:left="1132" w:hanging="283"/>
    </w:pPr>
  </w:style>
  <w:style w:type="paragraph" w:styleId="List5">
    <w:name w:val="List 5"/>
    <w:basedOn w:val="Normal"/>
    <w:rsid w:val="002804A6"/>
    <w:pPr>
      <w:ind w:left="1415" w:hanging="283"/>
    </w:pPr>
  </w:style>
  <w:style w:type="paragraph" w:styleId="ListBullet2">
    <w:name w:val="List Bullet 2"/>
    <w:basedOn w:val="Normal"/>
    <w:rsid w:val="002804A6"/>
    <w:pPr>
      <w:numPr>
        <w:numId w:val="7"/>
      </w:numPr>
    </w:pPr>
  </w:style>
  <w:style w:type="paragraph" w:styleId="ListBullet3">
    <w:name w:val="List Bullet 3"/>
    <w:basedOn w:val="Normal"/>
    <w:rsid w:val="002804A6"/>
    <w:pPr>
      <w:numPr>
        <w:numId w:val="8"/>
      </w:numPr>
    </w:pPr>
  </w:style>
  <w:style w:type="paragraph" w:styleId="ListBullet4">
    <w:name w:val="List Bullet 4"/>
    <w:basedOn w:val="Normal"/>
    <w:rsid w:val="002804A6"/>
    <w:pPr>
      <w:numPr>
        <w:numId w:val="9"/>
      </w:numPr>
    </w:pPr>
  </w:style>
  <w:style w:type="paragraph" w:styleId="ListBullet5">
    <w:name w:val="List Bullet 5"/>
    <w:basedOn w:val="Normal"/>
    <w:rsid w:val="002804A6"/>
    <w:pPr>
      <w:numPr>
        <w:numId w:val="10"/>
      </w:numPr>
    </w:pPr>
  </w:style>
  <w:style w:type="paragraph" w:styleId="ListContinue">
    <w:name w:val="List Continue"/>
    <w:basedOn w:val="Normal"/>
    <w:rsid w:val="002804A6"/>
    <w:pPr>
      <w:spacing w:after="120"/>
      <w:ind w:left="283"/>
    </w:pPr>
  </w:style>
  <w:style w:type="paragraph" w:styleId="ListContinue2">
    <w:name w:val="List Continue 2"/>
    <w:basedOn w:val="Normal"/>
    <w:rsid w:val="002804A6"/>
    <w:pPr>
      <w:spacing w:after="120"/>
      <w:ind w:left="566"/>
    </w:pPr>
  </w:style>
  <w:style w:type="paragraph" w:styleId="ListContinue3">
    <w:name w:val="List Continue 3"/>
    <w:basedOn w:val="Normal"/>
    <w:rsid w:val="002804A6"/>
    <w:pPr>
      <w:spacing w:after="120"/>
      <w:ind w:left="849"/>
    </w:pPr>
  </w:style>
  <w:style w:type="paragraph" w:styleId="ListContinue4">
    <w:name w:val="List Continue 4"/>
    <w:basedOn w:val="Normal"/>
    <w:rsid w:val="002804A6"/>
    <w:pPr>
      <w:spacing w:after="120"/>
      <w:ind w:left="1132"/>
    </w:pPr>
  </w:style>
  <w:style w:type="paragraph" w:styleId="ListContinue5">
    <w:name w:val="List Continue 5"/>
    <w:basedOn w:val="Normal"/>
    <w:rsid w:val="002804A6"/>
    <w:pPr>
      <w:spacing w:after="120"/>
      <w:ind w:left="1415"/>
    </w:pPr>
  </w:style>
  <w:style w:type="paragraph" w:styleId="ListNumber">
    <w:name w:val="List Number"/>
    <w:basedOn w:val="Normal"/>
    <w:rsid w:val="002804A6"/>
    <w:pPr>
      <w:numPr>
        <w:numId w:val="11"/>
      </w:numPr>
    </w:pPr>
  </w:style>
  <w:style w:type="paragraph" w:styleId="ListNumber2">
    <w:name w:val="List Number 2"/>
    <w:basedOn w:val="Normal"/>
    <w:rsid w:val="002804A6"/>
    <w:pPr>
      <w:numPr>
        <w:numId w:val="12"/>
      </w:numPr>
    </w:pPr>
  </w:style>
  <w:style w:type="paragraph" w:styleId="ListNumber3">
    <w:name w:val="List Number 3"/>
    <w:basedOn w:val="Normal"/>
    <w:rsid w:val="002804A6"/>
    <w:pPr>
      <w:numPr>
        <w:numId w:val="13"/>
      </w:numPr>
    </w:pPr>
  </w:style>
  <w:style w:type="paragraph" w:styleId="ListNumber4">
    <w:name w:val="List Number 4"/>
    <w:basedOn w:val="Normal"/>
    <w:rsid w:val="002804A6"/>
    <w:pPr>
      <w:numPr>
        <w:numId w:val="14"/>
      </w:numPr>
    </w:pPr>
  </w:style>
  <w:style w:type="paragraph" w:styleId="ListNumber5">
    <w:name w:val="List Number 5"/>
    <w:basedOn w:val="Normal"/>
    <w:rsid w:val="002804A6"/>
    <w:pPr>
      <w:numPr>
        <w:numId w:val="15"/>
      </w:numPr>
    </w:pPr>
  </w:style>
  <w:style w:type="paragraph" w:styleId="MacroText">
    <w:name w:val="macro"/>
    <w:semiHidden/>
    <w:rsid w:val="002804A6"/>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2804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2804A6"/>
    <w:rPr>
      <w:szCs w:val="24"/>
    </w:rPr>
  </w:style>
  <w:style w:type="paragraph" w:styleId="NormalIndent">
    <w:name w:val="Normal Indent"/>
    <w:basedOn w:val="Normal"/>
    <w:rsid w:val="002804A6"/>
    <w:pPr>
      <w:ind w:left="720"/>
    </w:pPr>
  </w:style>
  <w:style w:type="paragraph" w:styleId="NoteHeading">
    <w:name w:val="Note Heading"/>
    <w:basedOn w:val="Normal"/>
    <w:next w:val="Normal"/>
    <w:rsid w:val="002804A6"/>
  </w:style>
  <w:style w:type="paragraph" w:styleId="PlainText">
    <w:name w:val="Plain Text"/>
    <w:basedOn w:val="Normal"/>
    <w:rsid w:val="002804A6"/>
    <w:rPr>
      <w:rFonts w:ascii="Courier New" w:hAnsi="Courier New" w:cs="Courier New"/>
      <w:sz w:val="20"/>
    </w:rPr>
  </w:style>
  <w:style w:type="paragraph" w:styleId="Salutation">
    <w:name w:val="Salutation"/>
    <w:basedOn w:val="Normal"/>
    <w:next w:val="Normal"/>
    <w:rsid w:val="002804A6"/>
  </w:style>
  <w:style w:type="paragraph" w:styleId="Signature">
    <w:name w:val="Signature"/>
    <w:basedOn w:val="Normal"/>
    <w:rsid w:val="002804A6"/>
    <w:pPr>
      <w:ind w:left="4252"/>
    </w:pPr>
  </w:style>
  <w:style w:type="character" w:styleId="Strong">
    <w:name w:val="Strong"/>
    <w:basedOn w:val="DefaultParagraphFont"/>
    <w:qFormat/>
    <w:rsid w:val="002804A6"/>
    <w:rPr>
      <w:b/>
      <w:bCs/>
    </w:rPr>
  </w:style>
  <w:style w:type="paragraph" w:styleId="Subtitle">
    <w:name w:val="Subtitle"/>
    <w:basedOn w:val="Normal"/>
    <w:qFormat/>
    <w:rsid w:val="002804A6"/>
    <w:pPr>
      <w:spacing w:after="60"/>
      <w:jc w:val="center"/>
      <w:outlineLvl w:val="1"/>
    </w:pPr>
    <w:rPr>
      <w:rFonts w:ascii="Arial" w:hAnsi="Arial" w:cs="Arial"/>
      <w:szCs w:val="24"/>
    </w:rPr>
  </w:style>
  <w:style w:type="table" w:styleId="Table3Deffects1">
    <w:name w:val="Table 3D effects 1"/>
    <w:basedOn w:val="TableNormal"/>
    <w:rsid w:val="002804A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804A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804A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804A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804A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804A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804A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804A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804A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804A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804A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804A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804A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804A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804A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804A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804A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804A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804A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804A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804A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804A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804A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804A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804A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804A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804A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804A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804A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804A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804A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804A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804A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804A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804A6"/>
    <w:pPr>
      <w:ind w:left="240" w:hanging="240"/>
    </w:pPr>
  </w:style>
  <w:style w:type="paragraph" w:styleId="TableofFigures">
    <w:name w:val="table of figures"/>
    <w:basedOn w:val="Normal"/>
    <w:next w:val="Normal"/>
    <w:semiHidden/>
    <w:rsid w:val="002804A6"/>
  </w:style>
  <w:style w:type="table" w:styleId="TableProfessional">
    <w:name w:val="Table Professional"/>
    <w:basedOn w:val="TableNormal"/>
    <w:rsid w:val="002804A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804A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804A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804A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804A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804A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804A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804A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804A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804A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804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804A6"/>
    <w:pPr>
      <w:spacing w:before="120"/>
    </w:pPr>
    <w:rPr>
      <w:rFonts w:ascii="Arial" w:hAnsi="Arial" w:cs="Arial"/>
      <w:b/>
      <w:bCs/>
      <w:szCs w:val="24"/>
    </w:rPr>
  </w:style>
  <w:style w:type="paragraph" w:styleId="TOC1">
    <w:name w:val="toc 1"/>
    <w:basedOn w:val="Normal"/>
    <w:next w:val="Normal"/>
    <w:autoRedefine/>
    <w:semiHidden/>
    <w:rsid w:val="002804A6"/>
  </w:style>
  <w:style w:type="paragraph" w:styleId="TOC2">
    <w:name w:val="toc 2"/>
    <w:basedOn w:val="Normal"/>
    <w:next w:val="Normal"/>
    <w:autoRedefine/>
    <w:semiHidden/>
    <w:rsid w:val="002804A6"/>
    <w:pPr>
      <w:ind w:left="240"/>
    </w:pPr>
  </w:style>
  <w:style w:type="paragraph" w:styleId="TOC3">
    <w:name w:val="toc 3"/>
    <w:basedOn w:val="Normal"/>
    <w:next w:val="Normal"/>
    <w:autoRedefine/>
    <w:semiHidden/>
    <w:rsid w:val="002804A6"/>
    <w:pPr>
      <w:ind w:left="480"/>
    </w:pPr>
  </w:style>
  <w:style w:type="paragraph" w:styleId="TOC4">
    <w:name w:val="toc 4"/>
    <w:basedOn w:val="Normal"/>
    <w:next w:val="Normal"/>
    <w:autoRedefine/>
    <w:semiHidden/>
    <w:rsid w:val="002804A6"/>
    <w:pPr>
      <w:ind w:left="720"/>
    </w:pPr>
  </w:style>
  <w:style w:type="paragraph" w:styleId="TOC5">
    <w:name w:val="toc 5"/>
    <w:basedOn w:val="Normal"/>
    <w:next w:val="Normal"/>
    <w:autoRedefine/>
    <w:semiHidden/>
    <w:rsid w:val="002804A6"/>
    <w:pPr>
      <w:ind w:left="960"/>
    </w:pPr>
  </w:style>
  <w:style w:type="paragraph" w:styleId="TOC6">
    <w:name w:val="toc 6"/>
    <w:basedOn w:val="Normal"/>
    <w:next w:val="Normal"/>
    <w:autoRedefine/>
    <w:semiHidden/>
    <w:rsid w:val="002804A6"/>
    <w:pPr>
      <w:ind w:left="1200"/>
    </w:pPr>
  </w:style>
  <w:style w:type="paragraph" w:styleId="TOC7">
    <w:name w:val="toc 7"/>
    <w:basedOn w:val="Normal"/>
    <w:next w:val="Normal"/>
    <w:autoRedefine/>
    <w:semiHidden/>
    <w:rsid w:val="002804A6"/>
    <w:pPr>
      <w:ind w:left="1440"/>
    </w:pPr>
  </w:style>
  <w:style w:type="paragraph" w:styleId="TOC8">
    <w:name w:val="toc 8"/>
    <w:basedOn w:val="Normal"/>
    <w:next w:val="Normal"/>
    <w:autoRedefine/>
    <w:semiHidden/>
    <w:rsid w:val="002804A6"/>
    <w:pPr>
      <w:ind w:left="1680"/>
    </w:pPr>
  </w:style>
  <w:style w:type="paragraph" w:styleId="TOC9">
    <w:name w:val="toc 9"/>
    <w:basedOn w:val="Normal"/>
    <w:next w:val="Normal"/>
    <w:autoRedefine/>
    <w:semiHidden/>
    <w:rsid w:val="002804A6"/>
    <w:pPr>
      <w:ind w:left="1920"/>
    </w:pPr>
  </w:style>
  <w:style w:type="character" w:customStyle="1" w:styleId="JuITMark">
    <w:name w:val="Ju_ITMark"/>
    <w:basedOn w:val="DefaultTimesNewRoman"/>
    <w:rsid w:val="002804A6"/>
    <w:rPr>
      <w:rFonts w:ascii="Times New Roman" w:hAnsi="Times New Roman"/>
      <w:vanish/>
      <w:color w:val="339966"/>
      <w:sz w:val="16"/>
      <w:szCs w:val="16"/>
      <w:lang w:val="en-GB"/>
    </w:rPr>
  </w:style>
  <w:style w:type="character" w:customStyle="1" w:styleId="DefaultTimesNewRoman">
    <w:name w:val="Default_TimesNewRoman"/>
    <w:basedOn w:val="DefaultParagraphFont"/>
    <w:rsid w:val="002804A6"/>
    <w:rPr>
      <w:rFonts w:ascii="Times New Roman" w:hAnsi="Times New Roman"/>
    </w:rPr>
  </w:style>
  <w:style w:type="table" w:customStyle="1" w:styleId="ECHRHeaderTable">
    <w:name w:val="ECHR_Header_Table"/>
    <w:basedOn w:val="TableGrid"/>
    <w:rsid w:val="002804A6"/>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character" w:customStyle="1" w:styleId="JuParaCar">
    <w:name w:val="Ju_Para Car"/>
    <w:basedOn w:val="DefaultParagraphFont"/>
    <w:link w:val="JuPara"/>
    <w:rsid w:val="002804A6"/>
    <w:rPr>
      <w:sz w:val="24"/>
      <w:lang w:val="en-GB" w:eastAsia="fr-FR" w:bidi="ar-SA"/>
    </w:rPr>
  </w:style>
  <w:style w:type="character" w:customStyle="1" w:styleId="JuJudgesChar">
    <w:name w:val="Ju_Judges Char"/>
    <w:basedOn w:val="DefaultParagraphFont"/>
    <w:link w:val="JuJudges"/>
    <w:rsid w:val="002804A6"/>
    <w:rPr>
      <w:sz w:val="24"/>
      <w:lang w:val="en-GB" w:eastAsia="fr-FR" w:bidi="ar-SA"/>
    </w:rPr>
  </w:style>
  <w:style w:type="character" w:customStyle="1" w:styleId="JuSignedChar">
    <w:name w:val="Ju_Signed Char"/>
    <w:basedOn w:val="DefaultParagraphFont"/>
    <w:link w:val="JuSigned"/>
    <w:rsid w:val="002804A6"/>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CA93F-960F-496D-87CA-D9AF6965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FE6D53-A789-4BD2-8DC3-7CFF75C1A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3</cp:revision>
  <cp:lastPrinted>2012-03-26T15:03:00Z</cp:lastPrinted>
  <dcterms:created xsi:type="dcterms:W3CDTF">2012-06-10T20:26:00Z</dcterms:created>
  <dcterms:modified xsi:type="dcterms:W3CDTF">2012-06-10T20:26:00Z</dcterms:modified>
</cp:coreProperties>
</file>