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08E" w:rsidRPr="00E45AA2" w:rsidRDefault="0013508E" w:rsidP="0013508E">
      <w:pPr>
        <w:jc w:val="center"/>
        <w:rPr>
          <w:rFonts w:ascii="Times New Roman" w:hAnsi="Times New Roman" w:cs="Times New Roman"/>
          <w:szCs w:val="24"/>
          <w:lang w:val="lv-LV"/>
        </w:rPr>
      </w:pPr>
      <w:bookmarkStart w:id="0" w:name="_GoBack"/>
      <w:bookmarkEnd w:id="0"/>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r w:rsidRPr="00E45AA2">
        <w:rPr>
          <w:rFonts w:ascii="Times New Roman" w:hAnsi="Times New Roman" w:cs="Times New Roman"/>
          <w:szCs w:val="24"/>
          <w:lang w:val="lv-LV"/>
        </w:rPr>
        <w:t>LIELĀ PALĀTA</w:t>
      </w: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b/>
          <w:szCs w:val="24"/>
          <w:lang w:val="lv-LV"/>
        </w:rPr>
      </w:pPr>
      <w:r w:rsidRPr="00E45AA2">
        <w:rPr>
          <w:rFonts w:ascii="Times New Roman" w:hAnsi="Times New Roman" w:cs="Times New Roman"/>
          <w:b/>
          <w:szCs w:val="24"/>
          <w:lang w:val="lv-LV"/>
        </w:rPr>
        <w:t>LIETA AVOTIŅŠ pret LATVIJU</w:t>
      </w: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i/>
          <w:szCs w:val="24"/>
          <w:lang w:val="lv-LV"/>
        </w:rPr>
      </w:pPr>
      <w:r w:rsidRPr="00E45AA2">
        <w:rPr>
          <w:rFonts w:ascii="Times New Roman" w:hAnsi="Times New Roman" w:cs="Times New Roman"/>
          <w:i/>
          <w:szCs w:val="24"/>
          <w:lang w:val="lv-LV"/>
        </w:rPr>
        <w:t>(Iesniegums Nr. 17502/07)</w:t>
      </w: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r w:rsidRPr="00E45AA2">
        <w:rPr>
          <w:rFonts w:ascii="Times New Roman" w:hAnsi="Times New Roman" w:cs="Times New Roman"/>
          <w:szCs w:val="24"/>
          <w:lang w:val="lv-LV"/>
        </w:rPr>
        <w:t>SPRIEDUMS</w:t>
      </w:r>
    </w:p>
    <w:p w:rsidR="0013508E" w:rsidRPr="00E45AA2" w:rsidRDefault="0013508E" w:rsidP="0013508E">
      <w:pPr>
        <w:pStyle w:val="ECHRPara"/>
        <w:ind w:firstLine="0"/>
        <w:jc w:val="center"/>
        <w:rPr>
          <w:rFonts w:ascii="Times New Roman" w:hAnsi="Times New Roman" w:cs="Times New Roman"/>
          <w:szCs w:val="24"/>
          <w:lang w:val="lv-LV"/>
        </w:rPr>
      </w:pPr>
    </w:p>
    <w:p w:rsidR="0013508E" w:rsidRPr="00E45AA2" w:rsidRDefault="0013508E" w:rsidP="0013508E">
      <w:pPr>
        <w:pStyle w:val="ECHRPara"/>
        <w:ind w:firstLine="0"/>
        <w:jc w:val="center"/>
        <w:rPr>
          <w:rFonts w:ascii="Times New Roman" w:hAnsi="Times New Roman" w:cs="Times New Roman"/>
          <w:szCs w:val="24"/>
          <w:lang w:val="lv-LV"/>
        </w:rPr>
      </w:pPr>
    </w:p>
    <w:p w:rsidR="0013508E" w:rsidRPr="00E45AA2" w:rsidRDefault="0013508E" w:rsidP="0013508E">
      <w:pPr>
        <w:pStyle w:val="ECHRPara"/>
        <w:ind w:firstLine="0"/>
        <w:jc w:val="center"/>
        <w:rPr>
          <w:rFonts w:ascii="Times New Roman" w:hAnsi="Times New Roman" w:cs="Times New Roman"/>
          <w:szCs w:val="24"/>
          <w:lang w:val="lv-LV"/>
        </w:rPr>
      </w:pPr>
      <w:r w:rsidRPr="00E45AA2">
        <w:rPr>
          <w:rFonts w:ascii="Times New Roman" w:hAnsi="Times New Roman" w:cs="Times New Roman"/>
          <w:szCs w:val="24"/>
          <w:lang w:val="lv-LV"/>
        </w:rPr>
        <w:t>STRASBŪRA</w:t>
      </w:r>
    </w:p>
    <w:p w:rsidR="0013508E" w:rsidRPr="00E45AA2" w:rsidRDefault="0013508E" w:rsidP="0013508E">
      <w:pPr>
        <w:pStyle w:val="ECHRPara"/>
        <w:ind w:firstLine="0"/>
        <w:jc w:val="center"/>
        <w:rPr>
          <w:rFonts w:ascii="Times New Roman" w:hAnsi="Times New Roman" w:cs="Times New Roman"/>
          <w:szCs w:val="24"/>
          <w:lang w:val="lv-LV"/>
        </w:rPr>
      </w:pPr>
    </w:p>
    <w:p w:rsidR="0013508E" w:rsidRPr="00E45AA2" w:rsidRDefault="0013508E" w:rsidP="0013508E">
      <w:pPr>
        <w:pStyle w:val="ECHRPara"/>
        <w:ind w:firstLine="0"/>
        <w:jc w:val="center"/>
        <w:rPr>
          <w:rFonts w:ascii="Times New Roman" w:hAnsi="Times New Roman" w:cs="Times New Roman"/>
          <w:szCs w:val="24"/>
          <w:lang w:val="lv-LV"/>
        </w:rPr>
      </w:pPr>
      <w:r w:rsidRPr="00E45AA2">
        <w:rPr>
          <w:rFonts w:ascii="Times New Roman" w:hAnsi="Times New Roman" w:cs="Times New Roman"/>
          <w:szCs w:val="24"/>
          <w:lang w:val="lv-LV"/>
        </w:rPr>
        <w:t>2016. gada 23. maijs</w:t>
      </w:r>
    </w:p>
    <w:p w:rsidR="0013508E" w:rsidRPr="00E45AA2" w:rsidRDefault="0013508E" w:rsidP="0013508E">
      <w:pPr>
        <w:pStyle w:val="ECHRPara"/>
        <w:ind w:firstLine="0"/>
        <w:jc w:val="center"/>
        <w:rPr>
          <w:rFonts w:ascii="Times New Roman" w:hAnsi="Times New Roman" w:cs="Times New Roman"/>
          <w:szCs w:val="24"/>
          <w:lang w:val="lv-LV"/>
        </w:rPr>
      </w:pPr>
    </w:p>
    <w:p w:rsidR="0013508E" w:rsidRPr="00E45AA2" w:rsidRDefault="0013508E" w:rsidP="0013508E">
      <w:pPr>
        <w:pStyle w:val="ECHRPara"/>
        <w:ind w:firstLine="0"/>
        <w:jc w:val="center"/>
        <w:rPr>
          <w:rFonts w:ascii="Times New Roman" w:hAnsi="Times New Roman" w:cs="Times New Roman"/>
          <w:szCs w:val="24"/>
          <w:lang w:val="lv-LV"/>
        </w:rPr>
      </w:pPr>
    </w:p>
    <w:p w:rsidR="0013508E" w:rsidRPr="00E45AA2" w:rsidRDefault="0013508E" w:rsidP="0013508E">
      <w:pPr>
        <w:pStyle w:val="ECHRPara"/>
        <w:ind w:firstLine="0"/>
        <w:jc w:val="center"/>
        <w:rPr>
          <w:rFonts w:ascii="Times New Roman" w:hAnsi="Times New Roman" w:cs="Times New Roman"/>
          <w:szCs w:val="24"/>
          <w:lang w:val="lv-LV"/>
        </w:rPr>
      </w:pPr>
    </w:p>
    <w:p w:rsidR="0013508E" w:rsidRPr="00E45AA2" w:rsidRDefault="0013508E" w:rsidP="0013508E">
      <w:pPr>
        <w:pStyle w:val="ECHRPara"/>
        <w:ind w:firstLine="0"/>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szCs w:val="24"/>
          <w:lang w:val="lv-LV"/>
        </w:rPr>
      </w:pPr>
    </w:p>
    <w:p w:rsidR="0013508E" w:rsidRPr="00E45AA2" w:rsidRDefault="0013508E" w:rsidP="0013508E">
      <w:pPr>
        <w:jc w:val="center"/>
        <w:rPr>
          <w:rFonts w:ascii="Times New Roman" w:hAnsi="Times New Roman" w:cs="Times New Roman"/>
          <w:i/>
          <w:szCs w:val="24"/>
        </w:rPr>
      </w:pPr>
      <w:r w:rsidRPr="00E45AA2">
        <w:rPr>
          <w:rFonts w:ascii="Times New Roman" w:hAnsi="Times New Roman" w:cs="Times New Roman"/>
          <w:i/>
          <w:szCs w:val="24"/>
          <w:lang w:val="lv-LV"/>
        </w:rPr>
        <w:t>Šis spriedums ir stājies spēkā.</w:t>
      </w:r>
    </w:p>
    <w:p w:rsidR="0013508E" w:rsidRPr="00E45AA2" w:rsidRDefault="0013508E" w:rsidP="0013508E">
      <w:pPr>
        <w:jc w:val="center"/>
        <w:rPr>
          <w:rFonts w:ascii="Times New Roman" w:hAnsi="Times New Roman" w:cs="Times New Roman"/>
          <w:i/>
          <w:iCs/>
          <w:szCs w:val="24"/>
        </w:rPr>
      </w:pPr>
      <w:r w:rsidRPr="00E45AA2">
        <w:rPr>
          <w:rFonts w:ascii="Times New Roman" w:hAnsi="Times New Roman" w:cs="Times New Roman"/>
          <w:i/>
          <w:szCs w:val="24"/>
        </w:rPr>
        <w:t>Tajā var tikt izdarītas redakcionālas izmaiņas.</w:t>
      </w:r>
    </w:p>
    <w:p w:rsidR="0013508E" w:rsidRPr="00E45AA2" w:rsidRDefault="0013508E" w:rsidP="0013508E">
      <w:pPr>
        <w:rPr>
          <w:rFonts w:ascii="Times New Roman" w:hAnsi="Times New Roman" w:cs="Times New Roman"/>
          <w:szCs w:val="24"/>
          <w:lang w:val="lv-LV"/>
        </w:rPr>
        <w:sectPr w:rsidR="0013508E" w:rsidRPr="00E45AA2" w:rsidSect="00844D24">
          <w:headerReference w:type="default" r:id="rId7"/>
          <w:headerReference w:type="first" r:id="rId8"/>
          <w:footerReference w:type="first" r:id="rId9"/>
          <w:pgSz w:w="11906" w:h="16838" w:code="9"/>
          <w:pgMar w:top="2274" w:right="2274" w:bottom="2274" w:left="2274" w:header="1701" w:footer="720" w:gutter="0"/>
          <w:pgNumType w:start="1"/>
          <w:cols w:space="720"/>
          <w:titlePg/>
          <w:docGrid w:linePitch="326"/>
        </w:sectPr>
      </w:pPr>
    </w:p>
    <w:p w:rsidR="0013508E" w:rsidRPr="00E45AA2" w:rsidRDefault="0013508E" w:rsidP="0013508E">
      <w:pPr>
        <w:pStyle w:val="JuCase"/>
        <w:ind w:firstLine="0"/>
        <w:jc w:val="left"/>
        <w:rPr>
          <w:rFonts w:ascii="Times New Roman" w:hAnsi="Times New Roman" w:cs="Times New Roman"/>
          <w:bCs/>
          <w:szCs w:val="24"/>
          <w:lang w:val="lv-LV"/>
        </w:rPr>
      </w:pPr>
      <w:r w:rsidRPr="00E45AA2">
        <w:rPr>
          <w:rFonts w:ascii="Times New Roman" w:hAnsi="Times New Roman" w:cs="Times New Roman"/>
          <w:szCs w:val="24"/>
          <w:lang w:val="lv-LV"/>
        </w:rPr>
        <w:lastRenderedPageBreak/>
        <w:t>Lietā Avotiņš pret Latviju</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t xml:space="preserve">Eiropas Cilvēktiesību tiesas Lielā palāta, sanākusi šādā sastāvā: </w:t>
      </w:r>
    </w:p>
    <w:p w:rsidR="0013508E" w:rsidRPr="00E45AA2" w:rsidRDefault="0013508E" w:rsidP="0013508E">
      <w:pPr>
        <w:pStyle w:val="ECHRDecisionBody"/>
        <w:rPr>
          <w:rFonts w:ascii="Times New Roman" w:hAnsi="Times New Roman" w:cs="Times New Roman"/>
          <w:i/>
          <w:szCs w:val="24"/>
          <w:lang w:val="lv-LV"/>
        </w:rPr>
      </w:pPr>
      <w:r w:rsidRPr="00E45AA2">
        <w:rPr>
          <w:rFonts w:ascii="Times New Roman" w:hAnsi="Times New Roman" w:cs="Times New Roman"/>
          <w:szCs w:val="24"/>
          <w:lang w:val="lv-LV"/>
        </w:rPr>
        <w:tab/>
      </w:r>
      <w:r w:rsidRPr="00E45AA2">
        <w:rPr>
          <w:rFonts w:ascii="Times New Roman" w:hAnsi="Times New Roman" w:cs="Times New Roman"/>
          <w:i/>
          <w:szCs w:val="24"/>
          <w:lang w:val="lv-LV"/>
        </w:rPr>
        <w:t>András Sajó</w:t>
      </w:r>
      <w:r w:rsidRPr="00E45AA2">
        <w:rPr>
          <w:rFonts w:ascii="Times New Roman" w:hAnsi="Times New Roman" w:cs="Times New Roman"/>
          <w:szCs w:val="24"/>
          <w:lang w:val="lv-LV"/>
        </w:rPr>
        <w:t>,</w:t>
      </w:r>
      <w:r w:rsidRPr="00E45AA2">
        <w:rPr>
          <w:rFonts w:ascii="Times New Roman" w:hAnsi="Times New Roman" w:cs="Times New Roman"/>
          <w:i/>
          <w:szCs w:val="24"/>
          <w:lang w:val="lv-LV"/>
        </w:rPr>
        <w:t xml:space="preserve"> priekšsēdētājs,</w:t>
      </w:r>
      <w:r w:rsidRPr="00E45AA2">
        <w:rPr>
          <w:rFonts w:ascii="Times New Roman" w:hAnsi="Times New Roman" w:cs="Times New Roman"/>
          <w:i/>
          <w:szCs w:val="24"/>
          <w:lang w:val="lv-LV"/>
        </w:rPr>
        <w:br/>
      </w:r>
      <w:r w:rsidRPr="00E45AA2">
        <w:rPr>
          <w:rFonts w:ascii="Times New Roman" w:hAnsi="Times New Roman" w:cs="Times New Roman"/>
          <w:szCs w:val="24"/>
          <w:lang w:val="lv-LV"/>
        </w:rPr>
        <w:tab/>
      </w:r>
      <w:r w:rsidRPr="00E45AA2">
        <w:rPr>
          <w:rFonts w:ascii="Times New Roman" w:hAnsi="Times New Roman" w:cs="Times New Roman"/>
          <w:i/>
          <w:szCs w:val="24"/>
          <w:lang w:val="lv-LV"/>
        </w:rPr>
        <w:t>Işıl Karakaş,</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Josep Casadevall,</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Elisabeth Steiner,</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Ján Šikuta,</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Nona Tsotsoria,</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Ganna Yudkivska,</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André Potocki,</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Paul Lemmens,</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Aleš Pejchal,</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Faris Vehabović,</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Ksenija Turković,</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Egidijus Kūris,</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Robert Spano,</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Iulia Antoanella Motoc,</w:t>
      </w:r>
      <w:r w:rsidRPr="00E45AA2">
        <w:rPr>
          <w:rFonts w:ascii="Times New Roman" w:hAnsi="Times New Roman" w:cs="Times New Roman"/>
          <w:i/>
          <w:szCs w:val="24"/>
          <w:lang w:val="lv-LV"/>
        </w:rPr>
        <w:br/>
      </w:r>
      <w:r w:rsidRPr="00E45AA2">
        <w:rPr>
          <w:rFonts w:ascii="Times New Roman" w:hAnsi="Times New Roman" w:cs="Times New Roman"/>
          <w:i/>
          <w:szCs w:val="24"/>
          <w:lang w:val="lv-LV"/>
        </w:rPr>
        <w:tab/>
        <w:t>Jon Fridrik Kjølbro</w:t>
      </w:r>
      <w:r w:rsidRPr="00E45AA2">
        <w:rPr>
          <w:rFonts w:ascii="Times New Roman" w:hAnsi="Times New Roman" w:cs="Times New Roman"/>
          <w:szCs w:val="24"/>
          <w:lang w:val="lv-LV"/>
        </w:rPr>
        <w:t xml:space="preserve">, </w:t>
      </w:r>
      <w:r w:rsidRPr="00E45AA2">
        <w:rPr>
          <w:rFonts w:ascii="Times New Roman" w:hAnsi="Times New Roman" w:cs="Times New Roman"/>
          <w:i/>
          <w:szCs w:val="24"/>
          <w:lang w:val="lv-LV"/>
        </w:rPr>
        <w:t>tiesneši,</w:t>
      </w:r>
    </w:p>
    <w:p w:rsidR="0013508E" w:rsidRPr="00E45AA2" w:rsidRDefault="0013508E" w:rsidP="0013508E">
      <w:pPr>
        <w:pStyle w:val="ECHRDecisionBody"/>
        <w:rPr>
          <w:rFonts w:ascii="Times New Roman" w:hAnsi="Times New Roman" w:cs="Times New Roman"/>
          <w:szCs w:val="24"/>
          <w:lang w:val="lv-LV"/>
        </w:rPr>
      </w:pPr>
      <w:r w:rsidRPr="00E45AA2">
        <w:rPr>
          <w:rFonts w:ascii="Times New Roman" w:hAnsi="Times New Roman" w:cs="Times New Roman"/>
          <w:i/>
          <w:szCs w:val="24"/>
          <w:lang w:val="lv-LV"/>
        </w:rPr>
        <w:tab/>
      </w:r>
      <w:r w:rsidRPr="00E45AA2">
        <w:rPr>
          <w:rFonts w:ascii="Times New Roman" w:hAnsi="Times New Roman" w:cs="Times New Roman"/>
          <w:szCs w:val="24"/>
          <w:lang w:val="lv-LV"/>
        </w:rPr>
        <w:t xml:space="preserve">Jautrīte  Briede, ad hoc </w:t>
      </w:r>
      <w:r w:rsidRPr="00E45AA2">
        <w:rPr>
          <w:rFonts w:ascii="Times New Roman" w:hAnsi="Times New Roman" w:cs="Times New Roman"/>
          <w:i/>
          <w:iCs/>
          <w:szCs w:val="24"/>
          <w:lang w:val="lv-LV"/>
        </w:rPr>
        <w:t>tiesnese,</w:t>
      </w:r>
      <w:r w:rsidRPr="00E45AA2">
        <w:rPr>
          <w:rFonts w:ascii="Times New Roman" w:hAnsi="Times New Roman" w:cs="Times New Roman"/>
          <w:i/>
          <w:szCs w:val="24"/>
          <w:lang w:val="lv-LV"/>
        </w:rPr>
        <w:br/>
      </w:r>
      <w:r w:rsidRPr="00E45AA2">
        <w:rPr>
          <w:rFonts w:ascii="Times New Roman" w:hAnsi="Times New Roman" w:cs="Times New Roman"/>
          <w:szCs w:val="24"/>
          <w:lang w:val="lv-LV"/>
        </w:rPr>
        <w:t xml:space="preserve">un </w:t>
      </w:r>
      <w:r w:rsidRPr="00E45AA2">
        <w:rPr>
          <w:rFonts w:ascii="Times New Roman" w:hAnsi="Times New Roman" w:cs="Times New Roman"/>
          <w:i/>
          <w:szCs w:val="24"/>
          <w:lang w:val="lv-LV"/>
        </w:rPr>
        <w:t>Johan Callewaert</w:t>
      </w:r>
      <w:r w:rsidRPr="00E45AA2">
        <w:rPr>
          <w:rFonts w:ascii="Times New Roman" w:hAnsi="Times New Roman" w:cs="Times New Roman"/>
          <w:szCs w:val="24"/>
          <w:lang w:val="lv-LV"/>
        </w:rPr>
        <w:t xml:space="preserve">, </w:t>
      </w:r>
      <w:r w:rsidRPr="00E45AA2">
        <w:rPr>
          <w:rFonts w:ascii="Times New Roman" w:hAnsi="Times New Roman" w:cs="Times New Roman"/>
          <w:i/>
          <w:szCs w:val="24"/>
          <w:lang w:val="lv-LV"/>
        </w:rPr>
        <w:t xml:space="preserve">Lielās palātas sekretāra palīgs,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t xml:space="preserve">pēc apspriešanās slēgtā sēdē 2015. gada 8. aprīlī un 2016. gada 23. martā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t xml:space="preserve">pasludina šo spriedumu, kas pieņemts pēdējā no minētajiem datumiem. </w:t>
      </w:r>
    </w:p>
    <w:p w:rsidR="0013508E" w:rsidRPr="002A4F3E" w:rsidRDefault="0013508E" w:rsidP="0013508E">
      <w:pPr>
        <w:pStyle w:val="ECHRTitle1"/>
        <w:rPr>
          <w:rFonts w:ascii="Times New Roman" w:hAnsi="Times New Roman" w:cs="Times New Roman"/>
          <w:szCs w:val="24"/>
          <w:lang w:val="lv-LV"/>
        </w:rPr>
      </w:pPr>
      <w:r w:rsidRPr="002A4F3E">
        <w:rPr>
          <w:rFonts w:ascii="Times New Roman" w:hAnsi="Times New Roman" w:cs="Times New Roman"/>
          <w:szCs w:val="24"/>
          <w:lang w:val="lv-LV"/>
        </w:rPr>
        <w:t>TIESVEDĪBA</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Lietas pamatā ir iesniegums (Nr. 17502/07), kuru pret Kipras Republiku un Latvijas Republiku saskaņā ar Eiropas Cilvēktiesību un pamatbrīvību aizsardzības konvencijas („Konvencija”) 34. pantu 2007. gada 20. februārī iesniedza Tiesā Latvijas vals</w:t>
      </w:r>
      <w:r w:rsidR="00335016">
        <w:rPr>
          <w:rFonts w:ascii="Times New Roman" w:hAnsi="Times New Roman" w:cs="Times New Roman"/>
          <w:szCs w:val="24"/>
          <w:lang w:val="lv-LV"/>
        </w:rPr>
        <w:t>tspiederīgais Pēteris Avotiņš (</w:t>
      </w:r>
      <w:r w:rsidRPr="00E45AA2">
        <w:rPr>
          <w:rFonts w:ascii="Times New Roman" w:hAnsi="Times New Roman" w:cs="Times New Roman"/>
          <w:szCs w:val="24"/>
          <w:lang w:val="lv-LV"/>
        </w:rPr>
        <w:t>„iesniedzējs”).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2</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Sākotnēji iesniedzēju pārstāvēja Rīgā praktizējošais advokāts J. Eglītis. Lielās palātas tiesas sēdē viņu pārstāvēja L. Liepa – advokāts, kas arī praktizē Rīgā. Latvijas valdību („valdība-atbildētāja”) pārstāvēja tās iepriekšējā pārstāve I. Reine, bet pēc tam – pašreizējā pārstāve K. Līce.</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3</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Sākotnēji iesniegums bija iesniegts pret Kipru un Latviju. Tajā iesniedzējs apgalvoja, ka Kipras tiesa pieņēma lēmumu piedzīt aizdevuma parādu, pienācīgi viņu neuzaicino</w:t>
      </w:r>
      <w:r w:rsidR="00335016">
        <w:rPr>
          <w:rFonts w:ascii="Times New Roman" w:hAnsi="Times New Roman" w:cs="Times New Roman"/>
          <w:szCs w:val="24"/>
          <w:lang w:val="lv-LV"/>
        </w:rPr>
        <w:t xml:space="preserve">t ierasties uz tiesas sēdi vai </w:t>
      </w:r>
      <w:r w:rsidRPr="00E45AA2">
        <w:rPr>
          <w:rFonts w:ascii="Times New Roman" w:hAnsi="Times New Roman" w:cs="Times New Roman"/>
          <w:szCs w:val="24"/>
          <w:lang w:val="lv-LV"/>
        </w:rPr>
        <w:t xml:space="preserve">nenodrošinot viņa tiesības uz aizstāvību ievērošanu. Viņš turklāt sūdzējās par faktu, ka Latvijas tiesas pieņēmušas lēmumu par Kipras tiesas nolēmuma izpildi Latvijā. </w:t>
      </w:r>
      <w:r w:rsidRPr="00E45AA2">
        <w:rPr>
          <w:rFonts w:ascii="Times New Roman" w:hAnsi="Times New Roman" w:cs="Times New Roman"/>
          <w:szCs w:val="24"/>
          <w:lang w:val="lv-LV" w:eastAsia="fr-FR"/>
        </w:rPr>
        <w:t xml:space="preserve">Viņš uzskatīja, ka tikušas pārkāptas viņa tiesības uz lietas taisnīgu izskatīšanu, ko nosaka Konvencijas 6. panta 1. punkts.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4</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Iesniegums sākotnēji tika nosūtīts uz Tiesas Trešo nodaļu (Tiesas reglamenta 52. punkta pirmā daļa). Šīs nodaļas Palāta 2010. gada 30. marta </w:t>
      </w:r>
      <w:r w:rsidRPr="00E45AA2">
        <w:rPr>
          <w:rFonts w:ascii="Times New Roman" w:hAnsi="Times New Roman" w:cs="Times New Roman"/>
          <w:szCs w:val="24"/>
          <w:lang w:val="lv-LV"/>
        </w:rPr>
        <w:lastRenderedPageBreak/>
        <w:t>pieņēma lēmumu par daļēju lietas nepieņemamību izskatīšanai, ciktāl tas attiecas uz Kipru</w:t>
      </w:r>
      <w:r w:rsidR="00EB7834" w:rsidRPr="00E45AA2">
        <w:rPr>
          <w:rFonts w:ascii="Times New Roman" w:hAnsi="Times New Roman" w:cs="Times New Roman"/>
          <w:szCs w:val="24"/>
          <w:lang w:val="lv-LV"/>
        </w:rPr>
        <w:t xml:space="preserve">, </w:t>
      </w:r>
      <w:r w:rsidRPr="00E45AA2">
        <w:rPr>
          <w:rFonts w:ascii="Times New Roman" w:hAnsi="Times New Roman" w:cs="Times New Roman"/>
          <w:szCs w:val="24"/>
          <w:lang w:val="lv-LV"/>
        </w:rPr>
        <w:t xml:space="preserve">jo sūdzība ir iesniegta novēloti (neatbilstība sešu mēnešu termiņam, kas noteikts Konvencijas 35. panta 1. punktā). Kas attiecas uz sūdzībām pret Latviju, Palāta nolēma informēt par to Latvijas valdību saskaņā ar Konvencijas 6. panta 1. punktu un paziņot, ka atlikusī iesnieguma daļa nav pieņemama izskatīšanai.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5</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2011. gada 1. februārī tika mainītas Tiesas nodaļas un iesniegums tika nosūtīts uz Ceturto nodaļu (Tiesas reglamenta 25.punkta pirm</w:t>
      </w:r>
      <w:r w:rsidR="00335016">
        <w:rPr>
          <w:rFonts w:ascii="Times New Roman" w:hAnsi="Times New Roman" w:cs="Times New Roman"/>
          <w:szCs w:val="24"/>
          <w:lang w:val="lv-LV"/>
        </w:rPr>
        <w:t>ā daļa un 52. punkta pirmā daļa</w:t>
      </w:r>
      <w:r w:rsidRPr="00E45AA2">
        <w:rPr>
          <w:rFonts w:ascii="Times New Roman" w:hAnsi="Times New Roman" w:cs="Times New Roman"/>
          <w:szCs w:val="24"/>
          <w:lang w:val="lv-LV"/>
        </w:rPr>
        <w:t xml:space="preserve">).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napToGrid w:val="0"/>
          <w:szCs w:val="24"/>
          <w:lang w:val="lv-LV"/>
        </w:rPr>
        <w:fldChar w:fldCharType="begin"/>
      </w:r>
      <w:r w:rsidRPr="00E45AA2">
        <w:rPr>
          <w:rFonts w:ascii="Times New Roman" w:hAnsi="Times New Roman" w:cs="Times New Roman"/>
          <w:snapToGrid w:val="0"/>
          <w:szCs w:val="24"/>
          <w:lang w:val="lv-LV"/>
        </w:rPr>
        <w:instrText xml:space="preserve"> SEQ level0 \*arabic </w:instrText>
      </w:r>
      <w:r w:rsidRPr="00E45AA2">
        <w:rPr>
          <w:rFonts w:ascii="Times New Roman" w:hAnsi="Times New Roman" w:cs="Times New Roman"/>
          <w:snapToGrid w:val="0"/>
          <w:szCs w:val="24"/>
          <w:lang w:val="lv-LV"/>
        </w:rPr>
        <w:fldChar w:fldCharType="separate"/>
      </w:r>
      <w:r w:rsidRPr="00E45AA2">
        <w:rPr>
          <w:rFonts w:ascii="Times New Roman" w:hAnsi="Times New Roman" w:cs="Times New Roman"/>
          <w:noProof/>
          <w:snapToGrid w:val="0"/>
          <w:szCs w:val="24"/>
          <w:lang w:val="lv-LV"/>
        </w:rPr>
        <w:t>6</w:t>
      </w:r>
      <w:r w:rsidRPr="00E45AA2">
        <w:rPr>
          <w:rFonts w:ascii="Times New Roman" w:hAnsi="Times New Roman" w:cs="Times New Roman"/>
          <w:snapToGrid w:val="0"/>
          <w:szCs w:val="24"/>
          <w:lang w:val="lv-LV"/>
        </w:rPr>
        <w:fldChar w:fldCharType="end"/>
      </w:r>
      <w:r w:rsidRPr="00E45AA2">
        <w:rPr>
          <w:rFonts w:ascii="Times New Roman" w:hAnsi="Times New Roman" w:cs="Times New Roman"/>
          <w:snapToGrid w:val="0"/>
          <w:szCs w:val="24"/>
          <w:lang w:val="lv-LV"/>
        </w:rPr>
        <w:t xml:space="preserve">.  2014. gada 25. februārī šīs Nodaļas palāta šādā sastāvā: </w:t>
      </w:r>
      <w:r w:rsidRPr="00E45AA2">
        <w:rPr>
          <w:rFonts w:ascii="Times New Roman" w:hAnsi="Times New Roman" w:cs="Times New Roman"/>
          <w:szCs w:val="24"/>
          <w:lang w:val="lv-LV"/>
        </w:rPr>
        <w:t xml:space="preserve">priekšsēdētājs </w:t>
      </w:r>
      <w:r w:rsidRPr="00E45AA2">
        <w:rPr>
          <w:rFonts w:ascii="Times New Roman" w:hAnsi="Times New Roman" w:cs="Times New Roman"/>
          <w:i/>
          <w:szCs w:val="24"/>
          <w:lang w:val="lv-LV"/>
        </w:rPr>
        <w:t>Päivi Hirvelä</w:t>
      </w:r>
      <w:r w:rsidRPr="00E45AA2">
        <w:rPr>
          <w:rFonts w:ascii="Times New Roman" w:hAnsi="Times New Roman" w:cs="Times New Roman"/>
          <w:szCs w:val="24"/>
          <w:lang w:val="lv-LV"/>
        </w:rPr>
        <w:t xml:space="preserve">, tiesneši Ineta Ziemele, </w:t>
      </w:r>
      <w:r w:rsidRPr="00E45AA2">
        <w:rPr>
          <w:rFonts w:ascii="Times New Roman" w:hAnsi="Times New Roman" w:cs="Times New Roman"/>
          <w:i/>
          <w:szCs w:val="24"/>
          <w:lang w:val="lv-LV"/>
        </w:rPr>
        <w:t>George Nicolaou</w:t>
      </w:r>
      <w:r w:rsidRPr="00E45AA2">
        <w:rPr>
          <w:rFonts w:ascii="Times New Roman" w:hAnsi="Times New Roman" w:cs="Times New Roman"/>
          <w:szCs w:val="24"/>
          <w:lang w:val="lv-LV"/>
        </w:rPr>
        <w:t xml:space="preserve">, </w:t>
      </w:r>
      <w:r w:rsidRPr="00E45AA2">
        <w:rPr>
          <w:rFonts w:ascii="Times New Roman" w:hAnsi="Times New Roman" w:cs="Times New Roman"/>
          <w:i/>
          <w:szCs w:val="24"/>
          <w:lang w:val="lv-LV"/>
        </w:rPr>
        <w:t>Ledi Bianku</w:t>
      </w:r>
      <w:r w:rsidRPr="00E45AA2">
        <w:rPr>
          <w:rFonts w:ascii="Times New Roman" w:hAnsi="Times New Roman" w:cs="Times New Roman"/>
          <w:szCs w:val="24"/>
          <w:lang w:val="lv-LV"/>
        </w:rPr>
        <w:t xml:space="preserve">, </w:t>
      </w:r>
      <w:r w:rsidRPr="00E45AA2">
        <w:rPr>
          <w:rFonts w:ascii="Times New Roman" w:hAnsi="Times New Roman" w:cs="Times New Roman"/>
          <w:i/>
          <w:szCs w:val="24"/>
          <w:lang w:val="lv-LV"/>
        </w:rPr>
        <w:t>Zdravka Kalaydjieva</w:t>
      </w:r>
      <w:r w:rsidRPr="00E45AA2">
        <w:rPr>
          <w:rFonts w:ascii="Times New Roman" w:hAnsi="Times New Roman" w:cs="Times New Roman"/>
          <w:szCs w:val="24"/>
          <w:lang w:val="lv-LV"/>
        </w:rPr>
        <w:t xml:space="preserve">, </w:t>
      </w:r>
      <w:r w:rsidRPr="00E45AA2">
        <w:rPr>
          <w:rFonts w:ascii="Times New Roman" w:hAnsi="Times New Roman" w:cs="Times New Roman"/>
          <w:i/>
          <w:szCs w:val="24"/>
          <w:lang w:val="lv-LV"/>
        </w:rPr>
        <w:t>Vincent A. De Gaetano</w:t>
      </w:r>
      <w:r w:rsidRPr="00E45AA2">
        <w:rPr>
          <w:rFonts w:ascii="Times New Roman" w:hAnsi="Times New Roman" w:cs="Times New Roman"/>
          <w:szCs w:val="24"/>
          <w:lang w:val="lv-LV"/>
        </w:rPr>
        <w:t xml:space="preserve"> un </w:t>
      </w:r>
      <w:r w:rsidRPr="00E45AA2">
        <w:rPr>
          <w:rFonts w:ascii="Times New Roman" w:hAnsi="Times New Roman" w:cs="Times New Roman"/>
          <w:i/>
          <w:szCs w:val="24"/>
          <w:lang w:val="lv-LV"/>
        </w:rPr>
        <w:t>Krzysztof Wojtyczek</w:t>
      </w:r>
      <w:r w:rsidRPr="00E45AA2">
        <w:rPr>
          <w:rFonts w:ascii="Times New Roman" w:hAnsi="Times New Roman" w:cs="Times New Roman"/>
          <w:szCs w:val="24"/>
          <w:lang w:val="lv-LV"/>
        </w:rPr>
        <w:t xml:space="preserve">, kā arī nodaļas sekretāre </w:t>
      </w:r>
      <w:r w:rsidRPr="00E45AA2">
        <w:rPr>
          <w:rFonts w:ascii="Times New Roman" w:hAnsi="Times New Roman" w:cs="Times New Roman"/>
          <w:i/>
          <w:szCs w:val="24"/>
          <w:lang w:val="lv-LV"/>
        </w:rPr>
        <w:t>Françoise Elens-Passos</w:t>
      </w:r>
      <w:r w:rsidRPr="00E45AA2">
        <w:rPr>
          <w:rFonts w:ascii="Times New Roman" w:hAnsi="Times New Roman" w:cs="Times New Roman"/>
          <w:szCs w:val="24"/>
          <w:lang w:val="lv-LV"/>
        </w:rPr>
        <w:t xml:space="preserve">, pasludināja spriedumu, kurā vairākums noteica, ka nav noticis Konvencijas 6. panta 1. punkta pārkāpums. Spriedumam tika pievienots tiesnešu Ziemeles, </w:t>
      </w:r>
      <w:r w:rsidRPr="00E45AA2">
        <w:rPr>
          <w:rFonts w:ascii="Times New Roman" w:hAnsi="Times New Roman" w:cs="Times New Roman"/>
          <w:i/>
          <w:szCs w:val="24"/>
          <w:lang w:val="lv-LV"/>
        </w:rPr>
        <w:t>Bianku</w:t>
      </w:r>
      <w:r w:rsidRPr="00E45AA2">
        <w:rPr>
          <w:rFonts w:ascii="Times New Roman" w:hAnsi="Times New Roman" w:cs="Times New Roman"/>
          <w:szCs w:val="24"/>
          <w:lang w:val="lv-LV"/>
        </w:rPr>
        <w:t xml:space="preserve"> un </w:t>
      </w:r>
      <w:r w:rsidRPr="00E45AA2">
        <w:rPr>
          <w:rFonts w:ascii="Times New Roman" w:hAnsi="Times New Roman" w:cs="Times New Roman"/>
          <w:i/>
          <w:szCs w:val="24"/>
          <w:lang w:val="lv-LV"/>
        </w:rPr>
        <w:t>De Gaetano</w:t>
      </w:r>
      <w:r w:rsidRPr="00E45AA2" w:rsidDel="005C2903">
        <w:rPr>
          <w:rFonts w:ascii="Times New Roman" w:hAnsi="Times New Roman" w:cs="Times New Roman"/>
          <w:szCs w:val="24"/>
          <w:lang w:val="lv-LV"/>
        </w:rPr>
        <w:t xml:space="preserve"> </w:t>
      </w:r>
      <w:r w:rsidR="00335016">
        <w:rPr>
          <w:rFonts w:ascii="Times New Roman" w:hAnsi="Times New Roman" w:cs="Times New Roman"/>
          <w:szCs w:val="24"/>
          <w:lang w:val="lv-LV"/>
        </w:rPr>
        <w:t xml:space="preserve">kopīgais atšķirīgais </w:t>
      </w:r>
      <w:r w:rsidRPr="00E45AA2">
        <w:rPr>
          <w:rFonts w:ascii="Times New Roman" w:hAnsi="Times New Roman" w:cs="Times New Roman"/>
          <w:szCs w:val="24"/>
          <w:lang w:val="lv-LV"/>
        </w:rPr>
        <w:t xml:space="preserve">viedoklis. </w:t>
      </w:r>
    </w:p>
    <w:p w:rsidR="00EB3F6B"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7</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2014. gada 23. maijā iesniedzējs lūdz</w:t>
      </w:r>
      <w:r w:rsidR="00335016">
        <w:rPr>
          <w:rFonts w:ascii="Times New Roman" w:hAnsi="Times New Roman" w:cs="Times New Roman"/>
          <w:szCs w:val="24"/>
          <w:lang w:val="lv-LV"/>
        </w:rPr>
        <w:t xml:space="preserve">a lietas nodošanu izskatīšanai </w:t>
      </w:r>
      <w:r w:rsidRPr="00E45AA2">
        <w:rPr>
          <w:rFonts w:ascii="Times New Roman" w:hAnsi="Times New Roman" w:cs="Times New Roman"/>
          <w:szCs w:val="24"/>
          <w:lang w:val="lv-LV"/>
        </w:rPr>
        <w:t>Lielajai palātai saskaņā ar Konvencijas 43. pantu un Tiesas reglamenta 73.punktu. 2014. gada 8. septembrī Lielās palātas kolēģija šo lūgumu apmierināja</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8</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Pēc tam Lielās palātas sastāvs tika noteikts saskaņā ar Konvencijas 26. panta </w:t>
      </w:r>
      <w:r w:rsidR="00C82CE3">
        <w:rPr>
          <w:rFonts w:ascii="Times New Roman" w:hAnsi="Times New Roman" w:cs="Times New Roman"/>
          <w:szCs w:val="24"/>
          <w:lang w:val="lv-LV"/>
        </w:rPr>
        <w:t xml:space="preserve"> </w:t>
      </w:r>
      <w:r w:rsidRPr="00E45AA2">
        <w:rPr>
          <w:rFonts w:ascii="Times New Roman" w:hAnsi="Times New Roman" w:cs="Times New Roman"/>
          <w:szCs w:val="24"/>
          <w:lang w:val="lv-LV"/>
        </w:rPr>
        <w:t xml:space="preserve">4. un 5. punktu un Tiesas reglamenta 24. punktu. Tā kā tiesneses Inetas Ziemeles prombūtnes dēļ bija atbrīvojusies no Latvijas ievēlētā tiesneša vieta, Tiesas priekšsēdētājs par </w:t>
      </w:r>
      <w:r w:rsidRPr="00E45AA2">
        <w:rPr>
          <w:rFonts w:ascii="Times New Roman" w:hAnsi="Times New Roman" w:cs="Times New Roman"/>
          <w:i/>
          <w:szCs w:val="24"/>
          <w:lang w:val="lv-LV"/>
        </w:rPr>
        <w:t>ad hoc</w:t>
      </w:r>
      <w:r w:rsidRPr="00E45AA2">
        <w:rPr>
          <w:rFonts w:ascii="Times New Roman" w:hAnsi="Times New Roman" w:cs="Times New Roman"/>
          <w:szCs w:val="24"/>
          <w:lang w:val="lv-LV"/>
        </w:rPr>
        <w:t xml:space="preserve"> tiesnesi iecēla Jautrīti Briedi (Konvencijas 26. panta 4. punkts un Tiesas reglamenta 29. punkta pirmā daļa).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9</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Valdība-atbildētāja</w:t>
      </w:r>
      <w:r w:rsidR="00EB7834" w:rsidRPr="00E45AA2">
        <w:rPr>
          <w:rFonts w:ascii="Times New Roman" w:hAnsi="Times New Roman" w:cs="Times New Roman"/>
          <w:szCs w:val="24"/>
          <w:lang w:val="lv-LV"/>
        </w:rPr>
        <w:t xml:space="preserve"> </w:t>
      </w:r>
      <w:r w:rsidRPr="00E45AA2">
        <w:rPr>
          <w:rFonts w:ascii="Times New Roman" w:hAnsi="Times New Roman" w:cs="Times New Roman"/>
          <w:szCs w:val="24"/>
          <w:lang w:val="lv-LV"/>
        </w:rPr>
        <w:t xml:space="preserve">iesniedza rakstiskus apsvērumus pēc būtības, savukārt iesniedzējs atsaucās uz argumentiem, kas ietverti viņa iesniegtajā lūgumā par lietas nodošanu </w:t>
      </w:r>
      <w:r w:rsidR="00906F5F">
        <w:rPr>
          <w:rFonts w:ascii="Times New Roman" w:hAnsi="Times New Roman" w:cs="Times New Roman"/>
          <w:szCs w:val="24"/>
          <w:lang w:val="lv-LV"/>
        </w:rPr>
        <w:t xml:space="preserve">izskatīšana Lielajai palātai. </w:t>
      </w:r>
      <w:r w:rsidRPr="00E45AA2">
        <w:rPr>
          <w:rFonts w:ascii="Times New Roman" w:hAnsi="Times New Roman" w:cs="Times New Roman"/>
          <w:szCs w:val="24"/>
          <w:lang w:val="lv-LV"/>
        </w:rPr>
        <w:t>Apsvērumi tika saņemti arī no Igaunijas valdības, Eiropas Komisijas un Eiropas Konsultēšanas centra individuālo tiesību jautājumos (</w:t>
      </w:r>
      <w:r w:rsidRPr="00E45AA2">
        <w:rPr>
          <w:rFonts w:ascii="Times New Roman" w:hAnsi="Times New Roman" w:cs="Times New Roman"/>
          <w:i/>
          <w:szCs w:val="24"/>
          <w:lang w:val="lv-LV"/>
        </w:rPr>
        <w:t xml:space="preserve">AIRE </w:t>
      </w:r>
      <w:r w:rsidRPr="00E45AA2">
        <w:rPr>
          <w:rFonts w:ascii="Times New Roman" w:hAnsi="Times New Roman" w:cs="Times New Roman"/>
          <w:szCs w:val="24"/>
          <w:lang w:val="lv-LV"/>
        </w:rPr>
        <w:t>centra), un priekšsēdētājs ļāva tiem iesaistīties rakstiskajā procedūrā (Konvencijas 36. panta 2. punkts un Tiesas reglamenta 44. punkta trešā</w:t>
      </w:r>
      <w:r w:rsidR="005E2332">
        <w:rPr>
          <w:rFonts w:ascii="Times New Roman" w:hAnsi="Times New Roman" w:cs="Times New Roman"/>
          <w:szCs w:val="24"/>
          <w:lang w:val="lv-LV"/>
        </w:rPr>
        <w:t xml:space="preserve"> daļa). Arī Eiropas Komisijai </w:t>
      </w:r>
      <w:r w:rsidRPr="00E45AA2">
        <w:rPr>
          <w:rFonts w:ascii="Times New Roman" w:hAnsi="Times New Roman" w:cs="Times New Roman"/>
          <w:szCs w:val="24"/>
          <w:lang w:val="lv-LV"/>
        </w:rPr>
        <w:t xml:space="preserve">tika atļauts piedalīties lietas izskatīšanas sēdē.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10</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Turklāt, lai nodrošinātu pareizu tiesvedības pārvaldību, Tiesas priekšsēdētājs nolēma uzaicināt Kipras valdību iesaistīties lietā un iesniegt paskaidrojumus un apsvērumus par Kipras tiesību aktiem, ciktāl tas attiecas uz konkrēto lietu (Konvencijas 36. panta 2. punkts un Tiesas reglamenta 44. punkta trešā daļa). Kipras valdība pieņēma uzaicinājumu un 2015. gada 4. februārī iesniedza savus apsvērumus.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11</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Noklausīšanās notika atklātā tiesas sēdē 2015. gada 8. aprīlī Cilvēktiesību ēkā Strasbūrā (Tiesas reglamenta 59. punkta trešā daļa).  </w:t>
      </w:r>
    </w:p>
    <w:p w:rsidR="0013508E" w:rsidRPr="00E45AA2" w:rsidRDefault="0013508E" w:rsidP="0013508E">
      <w:pPr>
        <w:pStyle w:val="ECHRPara"/>
        <w:rPr>
          <w:rFonts w:ascii="Times New Roman" w:hAnsi="Times New Roman" w:cs="Times New Roman"/>
          <w:szCs w:val="24"/>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t>Tiesas sēdē piedalījās:</w:t>
      </w:r>
    </w:p>
    <w:p w:rsidR="0013508E" w:rsidRPr="00E45AA2" w:rsidRDefault="0013508E" w:rsidP="0013508E">
      <w:pPr>
        <w:pStyle w:val="JuCourt"/>
        <w:rPr>
          <w:rFonts w:ascii="Times New Roman" w:hAnsi="Times New Roman" w:cs="Times New Roman"/>
          <w:szCs w:val="24"/>
          <w:lang w:val="lv-LV"/>
        </w:rPr>
      </w:pPr>
      <w:r w:rsidRPr="00E45AA2">
        <w:rPr>
          <w:rFonts w:ascii="Times New Roman" w:hAnsi="Times New Roman" w:cs="Times New Roman"/>
          <w:szCs w:val="24"/>
          <w:lang w:val="lv-LV"/>
        </w:rPr>
        <w:lastRenderedPageBreak/>
        <w:t>(a)</w:t>
      </w:r>
      <w:r w:rsidRPr="00E45AA2">
        <w:rPr>
          <w:rFonts w:ascii="Times New Roman" w:hAnsi="Times New Roman" w:cs="Times New Roman"/>
          <w:i/>
          <w:szCs w:val="24"/>
          <w:lang w:val="lv-LV"/>
        </w:rPr>
        <w:t>   iesniedzēja vārdā</w:t>
      </w:r>
      <w:r w:rsidRPr="00E45AA2">
        <w:rPr>
          <w:rFonts w:ascii="Times New Roman" w:hAnsi="Times New Roman" w:cs="Times New Roman"/>
          <w:szCs w:val="24"/>
          <w:lang w:val="lv-LV"/>
        </w:rPr>
        <w:br/>
        <w:t>L. </w:t>
      </w:r>
      <w:r w:rsidRPr="00E45AA2">
        <w:rPr>
          <w:rFonts w:ascii="Times New Roman" w:hAnsi="Times New Roman" w:cs="Times New Roman"/>
          <w:smallCaps/>
          <w:szCs w:val="24"/>
          <w:lang w:val="lv-LV"/>
        </w:rPr>
        <w:t>Liepa</w:t>
      </w:r>
      <w:r w:rsidRPr="00E45AA2">
        <w:rPr>
          <w:rFonts w:ascii="Times New Roman" w:hAnsi="Times New Roman" w:cs="Times New Roman"/>
          <w:szCs w:val="24"/>
          <w:lang w:val="lv-LV"/>
        </w:rPr>
        <w:t>,</w:t>
      </w:r>
      <w:r w:rsidRPr="00E45AA2">
        <w:rPr>
          <w:rFonts w:ascii="Times New Roman" w:hAnsi="Times New Roman" w:cs="Times New Roman"/>
          <w:szCs w:val="24"/>
          <w:lang w:val="lv-LV"/>
        </w:rPr>
        <w:tab/>
        <w:t xml:space="preserve">                                                                              </w:t>
      </w:r>
      <w:r w:rsidRPr="00E45AA2">
        <w:rPr>
          <w:rFonts w:ascii="Times New Roman" w:hAnsi="Times New Roman" w:cs="Times New Roman"/>
          <w:i/>
          <w:szCs w:val="24"/>
          <w:lang w:val="lv-LV"/>
        </w:rPr>
        <w:t>advokāts,</w:t>
      </w:r>
      <w:r w:rsidRPr="00E45AA2">
        <w:rPr>
          <w:rFonts w:ascii="Times New Roman" w:hAnsi="Times New Roman" w:cs="Times New Roman"/>
          <w:szCs w:val="24"/>
          <w:lang w:val="lv-LV"/>
        </w:rPr>
        <w:br/>
        <w:t>M. </w:t>
      </w:r>
      <w:r w:rsidRPr="00E45AA2">
        <w:rPr>
          <w:rFonts w:ascii="Times New Roman" w:hAnsi="Times New Roman" w:cs="Times New Roman"/>
          <w:smallCaps/>
          <w:szCs w:val="24"/>
          <w:lang w:val="lv-LV"/>
        </w:rPr>
        <w:t>Šķiņķis</w:t>
      </w:r>
      <w:r w:rsidRPr="00E45AA2">
        <w:rPr>
          <w:rFonts w:ascii="Times New Roman" w:hAnsi="Times New Roman" w:cs="Times New Roman"/>
          <w:szCs w:val="24"/>
          <w:lang w:val="lv-LV"/>
        </w:rPr>
        <w:t>,</w:t>
      </w:r>
      <w:r w:rsidRPr="00E45AA2">
        <w:rPr>
          <w:rFonts w:ascii="Times New Roman" w:hAnsi="Times New Roman" w:cs="Times New Roman"/>
          <w:szCs w:val="24"/>
          <w:lang w:val="lv-LV"/>
        </w:rPr>
        <w:br/>
        <w:t>M. </w:t>
      </w:r>
      <w:r w:rsidRPr="00E45AA2">
        <w:rPr>
          <w:rFonts w:ascii="Times New Roman" w:hAnsi="Times New Roman" w:cs="Times New Roman"/>
          <w:smallCaps/>
          <w:szCs w:val="24"/>
          <w:lang w:val="lv-LV"/>
        </w:rPr>
        <w:t>Pētersons</w:t>
      </w:r>
      <w:r w:rsidRPr="00E45AA2">
        <w:rPr>
          <w:rFonts w:ascii="Times New Roman" w:hAnsi="Times New Roman" w:cs="Times New Roman"/>
          <w:szCs w:val="24"/>
          <w:lang w:val="lv-LV"/>
        </w:rPr>
        <w:t>,</w:t>
      </w:r>
      <w:r w:rsidRPr="00E45AA2">
        <w:rPr>
          <w:rFonts w:ascii="Times New Roman" w:hAnsi="Times New Roman" w:cs="Times New Roman"/>
          <w:szCs w:val="24"/>
          <w:lang w:val="lv-LV"/>
        </w:rPr>
        <w:tab/>
      </w:r>
      <w:r w:rsidRPr="00E45AA2">
        <w:rPr>
          <w:rFonts w:ascii="Times New Roman" w:hAnsi="Times New Roman" w:cs="Times New Roman"/>
          <w:i/>
          <w:szCs w:val="24"/>
          <w:lang w:val="lv-LV"/>
        </w:rPr>
        <w:t>konsultanti,</w:t>
      </w:r>
      <w:r w:rsidRPr="00E45AA2">
        <w:rPr>
          <w:rFonts w:ascii="Times New Roman" w:hAnsi="Times New Roman" w:cs="Times New Roman"/>
          <w:szCs w:val="24"/>
          <w:lang w:val="lv-LV"/>
        </w:rPr>
        <w:br/>
        <w:t xml:space="preserve">P. </w:t>
      </w:r>
      <w:r w:rsidRPr="00E45AA2">
        <w:rPr>
          <w:rFonts w:ascii="Times New Roman" w:hAnsi="Times New Roman" w:cs="Times New Roman"/>
          <w:smallCaps/>
          <w:szCs w:val="24"/>
          <w:lang w:val="lv-LV"/>
        </w:rPr>
        <w:t>Avotiņš</w:t>
      </w:r>
      <w:r w:rsidRPr="00E45AA2">
        <w:rPr>
          <w:rFonts w:ascii="Times New Roman" w:hAnsi="Times New Roman" w:cs="Times New Roman"/>
          <w:szCs w:val="24"/>
          <w:lang w:val="lv-LV"/>
        </w:rPr>
        <w:t>,</w:t>
      </w:r>
      <w:r w:rsidRPr="00E45AA2">
        <w:rPr>
          <w:rFonts w:ascii="Times New Roman" w:hAnsi="Times New Roman" w:cs="Times New Roman"/>
          <w:szCs w:val="24"/>
          <w:lang w:val="lv-LV"/>
        </w:rPr>
        <w:tab/>
        <w:t xml:space="preserve">                                                                           </w:t>
      </w:r>
      <w:r w:rsidRPr="00E45AA2">
        <w:rPr>
          <w:rFonts w:ascii="Times New Roman" w:hAnsi="Times New Roman" w:cs="Times New Roman"/>
          <w:i/>
          <w:szCs w:val="24"/>
          <w:lang w:val="lv-LV"/>
        </w:rPr>
        <w:t>iesniedzējs;</w:t>
      </w:r>
    </w:p>
    <w:p w:rsidR="0013508E" w:rsidRPr="00E45AA2" w:rsidRDefault="0013508E" w:rsidP="0013508E">
      <w:pPr>
        <w:pStyle w:val="JuCourt"/>
        <w:rPr>
          <w:rFonts w:ascii="Times New Roman" w:hAnsi="Times New Roman" w:cs="Times New Roman"/>
          <w:szCs w:val="24"/>
          <w:lang w:val="lv-LV"/>
        </w:rPr>
      </w:pPr>
      <w:r w:rsidRPr="00E45AA2">
        <w:rPr>
          <w:rFonts w:ascii="Times New Roman" w:hAnsi="Times New Roman" w:cs="Times New Roman"/>
          <w:szCs w:val="24"/>
          <w:lang w:val="lv-LV"/>
        </w:rPr>
        <w:t>(b)  </w:t>
      </w:r>
      <w:r w:rsidRPr="00E45AA2">
        <w:rPr>
          <w:rFonts w:ascii="Times New Roman" w:hAnsi="Times New Roman" w:cs="Times New Roman"/>
          <w:i/>
          <w:szCs w:val="24"/>
          <w:lang w:val="lv-LV"/>
        </w:rPr>
        <w:t xml:space="preserve"> valdības-atbildētājas vārdā</w:t>
      </w:r>
      <w:r w:rsidRPr="00E45AA2">
        <w:rPr>
          <w:rFonts w:ascii="Times New Roman" w:hAnsi="Times New Roman" w:cs="Times New Roman"/>
          <w:szCs w:val="24"/>
          <w:lang w:val="lv-LV"/>
        </w:rPr>
        <w:br/>
        <w:t>K. </w:t>
      </w:r>
      <w:r w:rsidRPr="00E45AA2">
        <w:rPr>
          <w:rFonts w:ascii="Times New Roman" w:hAnsi="Times New Roman" w:cs="Times New Roman"/>
          <w:smallCaps/>
          <w:szCs w:val="24"/>
          <w:lang w:val="lv-LV"/>
        </w:rPr>
        <w:t>Līce</w:t>
      </w:r>
      <w:r w:rsidRPr="00E45AA2">
        <w:rPr>
          <w:rFonts w:ascii="Times New Roman" w:hAnsi="Times New Roman" w:cs="Times New Roman"/>
          <w:szCs w:val="24"/>
          <w:lang w:val="lv-LV"/>
        </w:rPr>
        <w:t>,</w:t>
      </w:r>
      <w:r w:rsidRPr="00E45AA2">
        <w:rPr>
          <w:rFonts w:ascii="Times New Roman" w:hAnsi="Times New Roman" w:cs="Times New Roman"/>
          <w:szCs w:val="24"/>
          <w:lang w:val="lv-LV"/>
        </w:rPr>
        <w:tab/>
        <w:t xml:space="preserve">                                                                              </w:t>
      </w:r>
      <w:r w:rsidRPr="00E45AA2">
        <w:rPr>
          <w:rFonts w:ascii="Times New Roman" w:hAnsi="Times New Roman" w:cs="Times New Roman"/>
          <w:i/>
          <w:szCs w:val="24"/>
          <w:lang w:val="lv-LV"/>
        </w:rPr>
        <w:t>pārstāve,</w:t>
      </w:r>
      <w:r w:rsidRPr="00E45AA2">
        <w:rPr>
          <w:rFonts w:ascii="Times New Roman" w:hAnsi="Times New Roman" w:cs="Times New Roman"/>
          <w:szCs w:val="24"/>
          <w:lang w:val="lv-LV"/>
        </w:rPr>
        <w:br/>
        <w:t>S. </w:t>
      </w:r>
      <w:r w:rsidRPr="00E45AA2">
        <w:rPr>
          <w:rFonts w:ascii="Times New Roman" w:hAnsi="Times New Roman" w:cs="Times New Roman"/>
          <w:smallCaps/>
          <w:szCs w:val="24"/>
          <w:lang w:val="lv-LV"/>
        </w:rPr>
        <w:t>Kauliņa</w:t>
      </w:r>
      <w:r w:rsidRPr="00E45AA2">
        <w:rPr>
          <w:rFonts w:ascii="Times New Roman" w:hAnsi="Times New Roman" w:cs="Times New Roman"/>
          <w:szCs w:val="24"/>
          <w:lang w:val="lv-LV"/>
        </w:rPr>
        <w:t>,</w:t>
      </w:r>
      <w:r w:rsidRPr="00E45AA2">
        <w:rPr>
          <w:rFonts w:ascii="Times New Roman" w:hAnsi="Times New Roman" w:cs="Times New Roman"/>
          <w:szCs w:val="24"/>
          <w:lang w:val="lv-LV"/>
        </w:rPr>
        <w:tab/>
        <w:t xml:space="preserve">                                                                        </w:t>
      </w:r>
      <w:r w:rsidRPr="00E45AA2">
        <w:rPr>
          <w:rFonts w:ascii="Times New Roman" w:hAnsi="Times New Roman" w:cs="Times New Roman"/>
          <w:i/>
          <w:szCs w:val="24"/>
          <w:lang w:val="lv-LV"/>
        </w:rPr>
        <w:t>juriskonsulte,</w:t>
      </w:r>
      <w:r w:rsidRPr="00E45AA2">
        <w:rPr>
          <w:rFonts w:ascii="Times New Roman" w:hAnsi="Times New Roman" w:cs="Times New Roman"/>
          <w:szCs w:val="24"/>
          <w:lang w:val="lv-LV"/>
        </w:rPr>
        <w:br/>
        <w:t>A. </w:t>
      </w:r>
      <w:r w:rsidRPr="00E45AA2">
        <w:rPr>
          <w:rFonts w:ascii="Times New Roman" w:hAnsi="Times New Roman" w:cs="Times New Roman"/>
          <w:smallCaps/>
          <w:szCs w:val="24"/>
          <w:lang w:val="lv-LV"/>
        </w:rPr>
        <w:t>Zikmane,</w:t>
      </w:r>
      <w:r w:rsidRPr="00E45AA2">
        <w:rPr>
          <w:rFonts w:ascii="Times New Roman" w:hAnsi="Times New Roman" w:cs="Times New Roman"/>
          <w:szCs w:val="24"/>
          <w:lang w:val="lv-LV"/>
        </w:rPr>
        <w:br/>
        <w:t>D. </w:t>
      </w:r>
      <w:r w:rsidRPr="00E45AA2">
        <w:rPr>
          <w:rFonts w:ascii="Times New Roman" w:hAnsi="Times New Roman" w:cs="Times New Roman"/>
          <w:smallCaps/>
          <w:szCs w:val="24"/>
          <w:lang w:val="lv-LV"/>
        </w:rPr>
        <w:t>Palčevska</w:t>
      </w:r>
      <w:r w:rsidRPr="00E45AA2">
        <w:rPr>
          <w:rFonts w:ascii="Times New Roman" w:hAnsi="Times New Roman" w:cs="Times New Roman"/>
          <w:szCs w:val="24"/>
          <w:lang w:val="lv-LV"/>
        </w:rPr>
        <w:t>,</w:t>
      </w:r>
      <w:r w:rsidRPr="00E45AA2">
        <w:rPr>
          <w:rFonts w:ascii="Times New Roman" w:hAnsi="Times New Roman" w:cs="Times New Roman"/>
          <w:szCs w:val="24"/>
          <w:lang w:val="lv-LV"/>
        </w:rPr>
        <w:tab/>
      </w:r>
      <w:r w:rsidRPr="00E45AA2">
        <w:rPr>
          <w:rFonts w:ascii="Times New Roman" w:hAnsi="Times New Roman" w:cs="Times New Roman"/>
          <w:i/>
          <w:szCs w:val="24"/>
          <w:lang w:val="lv-LV"/>
        </w:rPr>
        <w:t>konsultanti;</w:t>
      </w:r>
    </w:p>
    <w:p w:rsidR="0013508E" w:rsidRPr="00E45AA2" w:rsidRDefault="0013508E" w:rsidP="0013508E">
      <w:pPr>
        <w:pStyle w:val="JuCourt"/>
        <w:rPr>
          <w:rFonts w:ascii="Times New Roman" w:hAnsi="Times New Roman" w:cs="Times New Roman"/>
          <w:szCs w:val="24"/>
          <w:lang w:val="lv-LV"/>
        </w:rPr>
      </w:pPr>
      <w:r w:rsidRPr="00E45AA2">
        <w:rPr>
          <w:rFonts w:ascii="Times New Roman" w:hAnsi="Times New Roman" w:cs="Times New Roman"/>
          <w:szCs w:val="24"/>
          <w:lang w:val="lv-LV"/>
        </w:rPr>
        <w:t>(c)  </w:t>
      </w:r>
      <w:r w:rsidRPr="00E45AA2">
        <w:rPr>
          <w:rFonts w:ascii="Times New Roman" w:hAnsi="Times New Roman" w:cs="Times New Roman"/>
          <w:i/>
          <w:szCs w:val="24"/>
          <w:lang w:val="lv-LV"/>
        </w:rPr>
        <w:t xml:space="preserve"> Eiropas Komisijas vārdā</w:t>
      </w:r>
      <w:r w:rsidRPr="00E45AA2">
        <w:rPr>
          <w:rFonts w:ascii="Times New Roman" w:hAnsi="Times New Roman" w:cs="Times New Roman"/>
          <w:szCs w:val="24"/>
          <w:lang w:val="lv-LV"/>
        </w:rPr>
        <w:br/>
        <w:t>H. </w:t>
      </w:r>
      <w:r w:rsidRPr="00E45AA2">
        <w:rPr>
          <w:rFonts w:ascii="Times New Roman" w:hAnsi="Times New Roman" w:cs="Times New Roman"/>
          <w:smallCaps/>
          <w:szCs w:val="24"/>
          <w:lang w:val="lv-LV"/>
        </w:rPr>
        <w:t>Krämer,</w:t>
      </w:r>
      <w:r w:rsidRPr="00E45AA2">
        <w:rPr>
          <w:rFonts w:ascii="Times New Roman" w:hAnsi="Times New Roman" w:cs="Times New Roman"/>
          <w:smallCaps/>
          <w:szCs w:val="24"/>
          <w:lang w:val="lv-LV"/>
        </w:rPr>
        <w:tab/>
        <w:t xml:space="preserve">                                                                                           </w:t>
      </w:r>
      <w:r w:rsidR="00E67D19">
        <w:rPr>
          <w:rFonts w:ascii="Times New Roman" w:hAnsi="Times New Roman" w:cs="Times New Roman"/>
          <w:smallCaps/>
          <w:szCs w:val="24"/>
          <w:lang w:val="lv-LV"/>
        </w:rPr>
        <w:t xml:space="preserve"> </w:t>
      </w:r>
      <w:r w:rsidRPr="00E45AA2">
        <w:rPr>
          <w:rFonts w:ascii="Times New Roman" w:hAnsi="Times New Roman" w:cs="Times New Roman"/>
          <w:i/>
          <w:szCs w:val="24"/>
          <w:lang w:val="lv-LV"/>
        </w:rPr>
        <w:t>juriskonsults.</w:t>
      </w:r>
    </w:p>
    <w:p w:rsidR="0013508E" w:rsidRPr="00E45AA2" w:rsidRDefault="0013508E" w:rsidP="0013508E">
      <w:pPr>
        <w:pStyle w:val="ECHRPara"/>
        <w:rPr>
          <w:rFonts w:ascii="Times New Roman" w:hAnsi="Times New Roman" w:cs="Times New Roman"/>
          <w:szCs w:val="24"/>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t xml:space="preserve">Tiesa uzklausīja L. Liepas, K. Līces un </w:t>
      </w:r>
      <w:r w:rsidR="00C82CE3" w:rsidRPr="00C82CE3">
        <w:rPr>
          <w:rFonts w:ascii="Times New Roman" w:hAnsi="Times New Roman" w:cs="Times New Roman"/>
          <w:i/>
          <w:szCs w:val="24"/>
          <w:lang w:val="lv-LV"/>
        </w:rPr>
        <w:t>H.</w:t>
      </w:r>
      <w:r w:rsidRPr="00E45AA2">
        <w:rPr>
          <w:rFonts w:ascii="Times New Roman" w:hAnsi="Times New Roman" w:cs="Times New Roman"/>
          <w:i/>
          <w:szCs w:val="24"/>
          <w:lang w:val="lv-LV"/>
        </w:rPr>
        <w:t>Krämer</w:t>
      </w:r>
      <w:r w:rsidRPr="00E45AA2">
        <w:rPr>
          <w:rFonts w:ascii="Times New Roman" w:hAnsi="Times New Roman" w:cs="Times New Roman"/>
          <w:szCs w:val="24"/>
          <w:lang w:val="lv-LV"/>
        </w:rPr>
        <w:t xml:space="preserve"> uzrunas un viņu sniegtās atbildes uz tiesnešu jautājumiem.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12</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Tiesneša aizvietotāji tiesneši </w:t>
      </w:r>
      <w:r w:rsidRPr="00E45AA2">
        <w:rPr>
          <w:rFonts w:ascii="Times New Roman" w:hAnsi="Times New Roman" w:cs="Times New Roman"/>
          <w:i/>
          <w:szCs w:val="24"/>
          <w:lang w:val="lv-LV"/>
        </w:rPr>
        <w:t>Elisabeth Steiner</w:t>
      </w:r>
      <w:r w:rsidRPr="00E45AA2">
        <w:rPr>
          <w:rFonts w:ascii="Times New Roman" w:hAnsi="Times New Roman" w:cs="Times New Roman"/>
          <w:szCs w:val="24"/>
          <w:lang w:val="lv-LV"/>
        </w:rPr>
        <w:t xml:space="preserve">, </w:t>
      </w:r>
      <w:r w:rsidRPr="00E45AA2">
        <w:rPr>
          <w:rFonts w:ascii="Times New Roman" w:hAnsi="Times New Roman" w:cs="Times New Roman"/>
          <w:i/>
          <w:szCs w:val="24"/>
          <w:lang w:val="lv-LV"/>
        </w:rPr>
        <w:t>Nona Tsotsoria</w:t>
      </w:r>
      <w:r w:rsidRPr="00E45AA2">
        <w:rPr>
          <w:rFonts w:ascii="Times New Roman" w:hAnsi="Times New Roman" w:cs="Times New Roman"/>
          <w:szCs w:val="24"/>
          <w:lang w:val="lv-LV"/>
        </w:rPr>
        <w:t xml:space="preserve"> un </w:t>
      </w:r>
      <w:r w:rsidRPr="00E45AA2">
        <w:rPr>
          <w:rFonts w:ascii="Times New Roman" w:hAnsi="Times New Roman" w:cs="Times New Roman"/>
          <w:i/>
          <w:szCs w:val="24"/>
          <w:lang w:val="lv-LV"/>
        </w:rPr>
        <w:t>Paul Lemmen</w:t>
      </w:r>
      <w:r w:rsidR="002D05EF">
        <w:rPr>
          <w:rFonts w:ascii="Times New Roman" w:hAnsi="Times New Roman" w:cs="Times New Roman"/>
          <w:i/>
          <w:szCs w:val="24"/>
          <w:lang w:val="lv-LV"/>
        </w:rPr>
        <w:t xml:space="preserve"> </w:t>
      </w:r>
      <w:r w:rsidRPr="00E45AA2">
        <w:rPr>
          <w:rFonts w:ascii="Times New Roman" w:hAnsi="Times New Roman" w:cs="Times New Roman"/>
          <w:szCs w:val="24"/>
          <w:lang w:val="lv-LV"/>
        </w:rPr>
        <w:t xml:space="preserve">aizvietoja priekšsēdētāju </w:t>
      </w:r>
      <w:r w:rsidRPr="00E45AA2">
        <w:rPr>
          <w:rFonts w:ascii="Times New Roman" w:hAnsi="Times New Roman" w:cs="Times New Roman"/>
          <w:i/>
          <w:szCs w:val="24"/>
          <w:lang w:val="lv-LV"/>
        </w:rPr>
        <w:t>Dean Spielmann</w:t>
      </w:r>
      <w:r w:rsidRPr="00E45AA2">
        <w:rPr>
          <w:rFonts w:ascii="Times New Roman" w:hAnsi="Times New Roman" w:cs="Times New Roman"/>
          <w:szCs w:val="24"/>
          <w:lang w:val="lv-LV"/>
        </w:rPr>
        <w:t xml:space="preserve"> un tiesnešus </w:t>
      </w:r>
      <w:r w:rsidRPr="00E45AA2">
        <w:rPr>
          <w:rFonts w:ascii="Times New Roman" w:hAnsi="Times New Roman" w:cs="Times New Roman"/>
          <w:i/>
          <w:szCs w:val="24"/>
          <w:lang w:val="lv-LV"/>
        </w:rPr>
        <w:t>Mark Villiger</w:t>
      </w:r>
      <w:r w:rsidR="0024534B">
        <w:rPr>
          <w:rFonts w:ascii="Times New Roman" w:hAnsi="Times New Roman" w:cs="Times New Roman"/>
          <w:i/>
          <w:szCs w:val="24"/>
          <w:lang w:val="lv-LV"/>
        </w:rPr>
        <w:t xml:space="preserve"> </w:t>
      </w:r>
      <w:r w:rsidRPr="00E45AA2">
        <w:rPr>
          <w:rFonts w:ascii="Times New Roman" w:hAnsi="Times New Roman" w:cs="Times New Roman"/>
          <w:szCs w:val="24"/>
          <w:lang w:val="lv-LV"/>
        </w:rPr>
        <w:t xml:space="preserve">un </w:t>
      </w:r>
      <w:r w:rsidRPr="00E45AA2">
        <w:rPr>
          <w:rFonts w:ascii="Times New Roman" w:hAnsi="Times New Roman" w:cs="Times New Roman"/>
          <w:i/>
          <w:szCs w:val="24"/>
          <w:lang w:val="lv-LV"/>
        </w:rPr>
        <w:t>Isabelle Berro</w:t>
      </w:r>
      <w:r w:rsidRPr="00E45AA2">
        <w:rPr>
          <w:rFonts w:ascii="Times New Roman" w:hAnsi="Times New Roman" w:cs="Times New Roman"/>
          <w:szCs w:val="24"/>
          <w:lang w:val="lv-LV"/>
        </w:rPr>
        <w:t xml:space="preserve">, kuri pēc amata pilnvaru termiņa beigām vairs nevarēja piedalīties tiesas procesā un tālākā lietas izskatīšanā (Tiesas reglamenta 24. punkta trešā un ceturtā daļa). Līdz ar to Lielās palātas priekšsēdētāja pienākumus attiecīgajā lietā pārņēma tiesnesis un Tiesas priekšsēdētāja vietnieks </w:t>
      </w:r>
      <w:r w:rsidRPr="00E45AA2">
        <w:rPr>
          <w:rFonts w:ascii="Times New Roman" w:hAnsi="Times New Roman" w:cs="Times New Roman"/>
          <w:i/>
          <w:szCs w:val="24"/>
          <w:lang w:val="lv-LV"/>
        </w:rPr>
        <w:t>András Sajó</w:t>
      </w:r>
      <w:r w:rsidRPr="00E45AA2">
        <w:rPr>
          <w:rFonts w:ascii="Times New Roman" w:hAnsi="Times New Roman" w:cs="Times New Roman"/>
          <w:szCs w:val="24"/>
          <w:lang w:val="lv-LV"/>
        </w:rPr>
        <w:t xml:space="preserve"> (Tiesas reglamenta 10.punkts).</w:t>
      </w:r>
    </w:p>
    <w:p w:rsidR="0013508E" w:rsidRPr="002A4F3E" w:rsidRDefault="0013508E" w:rsidP="0013508E">
      <w:pPr>
        <w:pStyle w:val="ECHRTitle1"/>
        <w:rPr>
          <w:rFonts w:ascii="Times New Roman" w:hAnsi="Times New Roman" w:cs="Times New Roman"/>
          <w:szCs w:val="28"/>
          <w:lang w:val="lv-LV"/>
        </w:rPr>
      </w:pPr>
      <w:r w:rsidRPr="002A4F3E">
        <w:rPr>
          <w:rFonts w:ascii="Times New Roman" w:hAnsi="Times New Roman" w:cs="Times New Roman"/>
          <w:szCs w:val="28"/>
          <w:lang w:val="lv-LV"/>
        </w:rPr>
        <w:t>FAKTI</w:t>
      </w:r>
    </w:p>
    <w:p w:rsidR="0013508E" w:rsidRPr="002A4F3E" w:rsidRDefault="0013508E" w:rsidP="00EB7834">
      <w:pPr>
        <w:pStyle w:val="ECHRHeading1"/>
        <w:numPr>
          <w:ilvl w:val="0"/>
          <w:numId w:val="0"/>
        </w:numPr>
        <w:rPr>
          <w:rFonts w:ascii="Times New Roman" w:hAnsi="Times New Roman" w:cs="Times New Roman"/>
          <w:b w:val="0"/>
          <w:color w:val="auto"/>
          <w:sz w:val="24"/>
          <w:szCs w:val="24"/>
          <w:lang w:val="lv-LV"/>
        </w:rPr>
      </w:pPr>
      <w:r w:rsidRPr="002A4F3E">
        <w:rPr>
          <w:rFonts w:ascii="Times New Roman" w:hAnsi="Times New Roman" w:cs="Times New Roman"/>
          <w:b w:val="0"/>
          <w:color w:val="auto"/>
          <w:sz w:val="24"/>
          <w:szCs w:val="24"/>
          <w:lang w:val="lv-LV"/>
        </w:rPr>
        <w:t xml:space="preserve">I.  LIETAS APSTĀKĻI </w:t>
      </w:r>
    </w:p>
    <w:p w:rsidR="00EB7834" w:rsidRPr="00E45AA2" w:rsidRDefault="00EB7834" w:rsidP="00EB7834">
      <w:pPr>
        <w:pStyle w:val="ECHRPara"/>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13</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Iesniedzējs ir dzimis 1954. gadā un dzīvo Garkalnē (Rīgas rajonā). Laikā, kad risinājās attiecīgā iesnieguma notikumi, viņš bija investīciju konsultants. </w:t>
      </w:r>
    </w:p>
    <w:p w:rsidR="0013508E" w:rsidRPr="00E45AA2" w:rsidRDefault="0013508E" w:rsidP="005E3370">
      <w:pPr>
        <w:pStyle w:val="ECHRHeading2"/>
        <w:numPr>
          <w:ilvl w:val="0"/>
          <w:numId w:val="16"/>
        </w:numPr>
        <w:rPr>
          <w:rFonts w:ascii="Times New Roman" w:hAnsi="Times New Roman" w:cs="Times New Roman"/>
          <w:color w:val="auto"/>
          <w:sz w:val="24"/>
          <w:szCs w:val="24"/>
          <w:lang w:val="lv-LV"/>
        </w:rPr>
      </w:pPr>
      <w:r w:rsidRPr="00E45AA2">
        <w:rPr>
          <w:rFonts w:ascii="Times New Roman" w:hAnsi="Times New Roman" w:cs="Times New Roman"/>
          <w:color w:val="auto"/>
          <w:sz w:val="24"/>
          <w:szCs w:val="24"/>
          <w:lang w:val="lv-LV"/>
        </w:rPr>
        <w:t>Tiesvedība Limasolas (</w:t>
      </w:r>
      <w:r w:rsidRPr="00E45AA2">
        <w:rPr>
          <w:rFonts w:ascii="Times New Roman" w:hAnsi="Times New Roman" w:cs="Times New Roman"/>
          <w:i/>
          <w:color w:val="auto"/>
          <w:sz w:val="24"/>
          <w:szCs w:val="24"/>
          <w:lang w:val="lv-LV"/>
        </w:rPr>
        <w:t>Limassol</w:t>
      </w:r>
      <w:r w:rsidRPr="00E45AA2">
        <w:rPr>
          <w:rFonts w:ascii="Times New Roman" w:hAnsi="Times New Roman" w:cs="Times New Roman"/>
          <w:color w:val="auto"/>
          <w:sz w:val="24"/>
          <w:szCs w:val="24"/>
          <w:lang w:val="lv-LV"/>
        </w:rPr>
        <w:t>) apgabaltiesā</w:t>
      </w:r>
    </w:p>
    <w:p w:rsidR="00EB7834" w:rsidRPr="00E45AA2" w:rsidRDefault="00EB7834" w:rsidP="00EB7834">
      <w:pPr>
        <w:pStyle w:val="ECHRPara"/>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14</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1999. gada 4. maijā iesniedzējs un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Ltd</w:t>
      </w:r>
      <w:r w:rsidRPr="00E45AA2">
        <w:rPr>
          <w:rFonts w:ascii="Times New Roman" w:hAnsi="Times New Roman" w:cs="Times New Roman"/>
          <w:szCs w:val="24"/>
          <w:lang w:val="lv-LV"/>
        </w:rPr>
        <w:t xml:space="preserve">., komercsabiedrība, kas izveidota saskaņā Kipras tiesību aktiem, notāra klātbūtnē parakstīja </w:t>
      </w:r>
      <w:r w:rsidR="0005405E">
        <w:rPr>
          <w:rFonts w:ascii="Times New Roman" w:hAnsi="Times New Roman" w:cs="Times New Roman"/>
          <w:szCs w:val="24"/>
          <w:lang w:val="lv-LV"/>
        </w:rPr>
        <w:t>parāda apliecinājuma</w:t>
      </w:r>
      <w:r w:rsidRPr="00E45AA2">
        <w:rPr>
          <w:rFonts w:ascii="Times New Roman" w:hAnsi="Times New Roman" w:cs="Times New Roman"/>
          <w:szCs w:val="24"/>
          <w:lang w:val="lv-LV"/>
        </w:rPr>
        <w:t xml:space="preserve"> </w:t>
      </w:r>
      <w:r w:rsidR="0005405E">
        <w:rPr>
          <w:rFonts w:ascii="Times New Roman" w:hAnsi="Times New Roman" w:cs="Times New Roman"/>
          <w:szCs w:val="24"/>
          <w:lang w:val="lv-LV"/>
        </w:rPr>
        <w:t>aktu</w:t>
      </w:r>
      <w:r w:rsidRPr="00E45AA2">
        <w:rPr>
          <w:rFonts w:ascii="Times New Roman" w:hAnsi="Times New Roman" w:cs="Times New Roman"/>
          <w:szCs w:val="24"/>
          <w:lang w:val="lv-LV"/>
        </w:rPr>
        <w:t xml:space="preserve">. Saskaņā ar šo </w:t>
      </w:r>
      <w:r w:rsidR="0005405E">
        <w:rPr>
          <w:rFonts w:ascii="Times New Roman" w:hAnsi="Times New Roman" w:cs="Times New Roman"/>
          <w:szCs w:val="24"/>
          <w:lang w:val="lv-LV"/>
        </w:rPr>
        <w:t>aktu</w:t>
      </w:r>
      <w:r w:rsidRPr="00E45AA2">
        <w:rPr>
          <w:rFonts w:ascii="Times New Roman" w:hAnsi="Times New Roman" w:cs="Times New Roman"/>
          <w:szCs w:val="24"/>
          <w:lang w:val="lv-LV"/>
        </w:rPr>
        <w:t xml:space="preserve"> iesniedzējs paziņoja, ka viņš ir aizņēmies 100 000 ASV dolāru (</w:t>
      </w:r>
      <w:r w:rsidRPr="00E45AA2">
        <w:rPr>
          <w:rFonts w:ascii="Times New Roman" w:hAnsi="Times New Roman" w:cs="Times New Roman"/>
          <w:i/>
          <w:szCs w:val="24"/>
          <w:lang w:val="lv-LV"/>
        </w:rPr>
        <w:t>USD</w:t>
      </w:r>
      <w:r w:rsidRPr="00E45AA2">
        <w:rPr>
          <w:rFonts w:ascii="Times New Roman" w:hAnsi="Times New Roman" w:cs="Times New Roman"/>
          <w:szCs w:val="24"/>
          <w:lang w:val="lv-LV"/>
        </w:rPr>
        <w:t xml:space="preserve">) no uzņēmuma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 xml:space="preserve">Ltd. </w:t>
      </w:r>
      <w:r w:rsidRPr="00E45AA2">
        <w:rPr>
          <w:rFonts w:ascii="Times New Roman" w:hAnsi="Times New Roman" w:cs="Times New Roman"/>
          <w:szCs w:val="24"/>
          <w:lang w:val="lv-LV"/>
        </w:rPr>
        <w:t xml:space="preserve">un apņemas šo summu un attiecīgos procentus atmaksāt līdz 1999. gada 30. jūnijam. Parakstītajā </w:t>
      </w:r>
      <w:r w:rsidR="0005405E">
        <w:rPr>
          <w:rFonts w:ascii="Times New Roman" w:hAnsi="Times New Roman" w:cs="Times New Roman"/>
          <w:szCs w:val="24"/>
          <w:lang w:val="lv-LV"/>
        </w:rPr>
        <w:t>aktā</w:t>
      </w:r>
      <w:r w:rsidRPr="00E45AA2">
        <w:rPr>
          <w:rFonts w:ascii="Times New Roman" w:hAnsi="Times New Roman" w:cs="Times New Roman"/>
          <w:szCs w:val="24"/>
          <w:lang w:val="lv-LV"/>
        </w:rPr>
        <w:t xml:space="preserve"> bija ietverti punkti par izvēlēto normatīvo regulējumu un jurisdikciju, saskaņā ar kuru tas „attiecībā uz visiem aspektiem” tika </w:t>
      </w:r>
      <w:r w:rsidRPr="00E45AA2">
        <w:rPr>
          <w:rFonts w:ascii="Times New Roman" w:hAnsi="Times New Roman" w:cs="Times New Roman"/>
          <w:szCs w:val="24"/>
          <w:lang w:val="lv-LV"/>
        </w:rPr>
        <w:lastRenderedPageBreak/>
        <w:t xml:space="preserve">pakļauts Kipras normatīvajam regulējumam un Kipras tiesām bija piešķirta neekskluzīvā kompetence un tiesības izskatīt visus izrietošos strīdus. Iesniedzēja adrese tika minēta kā G. iela Rīgā, un tika norādīta šādi: </w:t>
      </w:r>
    </w:p>
    <w:p w:rsidR="0013508E" w:rsidRPr="00F25F30" w:rsidRDefault="0013508E" w:rsidP="0013508E">
      <w:pPr>
        <w:pStyle w:val="JuQuotSub"/>
        <w:rPr>
          <w:rFonts w:ascii="Times New Roman" w:hAnsi="Times New Roman" w:cs="Times New Roman"/>
          <w:szCs w:val="24"/>
          <w:lang w:val="lv-LV"/>
        </w:rPr>
      </w:pPr>
      <w:r w:rsidRPr="00F25F30">
        <w:rPr>
          <w:rFonts w:ascii="Times New Roman" w:hAnsi="Times New Roman" w:cs="Times New Roman"/>
          <w:szCs w:val="24"/>
          <w:lang w:val="lv-LV"/>
        </w:rPr>
        <w:t>“ES, PĒTERIS AVOTIŅŠ, [Nr.], G. [iela], 3. stāvs, Rīga, Latvija, [pasta indekss] LV-</w:t>
      </w:r>
      <w:r w:rsidR="00F25F30" w:rsidRPr="00F25F30">
        <w:rPr>
          <w:rFonts w:ascii="Times New Roman" w:hAnsi="Times New Roman" w:cs="Times New Roman"/>
          <w:szCs w:val="24"/>
          <w:lang w:val="lv-LV"/>
        </w:rPr>
        <w:t>(</w:t>
      </w:r>
      <w:r w:rsidRPr="00F25F30">
        <w:rPr>
          <w:rFonts w:ascii="Times New Roman" w:hAnsi="Times New Roman" w:cs="Times New Roman"/>
          <w:szCs w:val="24"/>
          <w:lang w:val="lv-LV"/>
        </w:rPr>
        <w:t>...</w:t>
      </w:r>
      <w:r w:rsidR="00F25F30" w:rsidRPr="00F25F30">
        <w:rPr>
          <w:rFonts w:ascii="Times New Roman" w:hAnsi="Times New Roman" w:cs="Times New Roman"/>
          <w:szCs w:val="24"/>
          <w:lang w:val="lv-LV"/>
        </w:rPr>
        <w:t>)</w:t>
      </w:r>
      <w:r w:rsidRPr="00F25F30">
        <w:rPr>
          <w:rFonts w:ascii="Times New Roman" w:hAnsi="Times New Roman" w:cs="Times New Roman"/>
          <w:szCs w:val="24"/>
          <w:lang w:val="lv-LV"/>
        </w:rPr>
        <w:t xml:space="preserve">, (‘Aizņēmējs) </w:t>
      </w:r>
      <w:r w:rsidR="00F25F30" w:rsidRPr="00F25F30">
        <w:rPr>
          <w:rFonts w:ascii="Times New Roman" w:hAnsi="Times New Roman" w:cs="Times New Roman"/>
          <w:szCs w:val="24"/>
          <w:lang w:val="lv-LV"/>
        </w:rPr>
        <w:t>(</w:t>
      </w:r>
      <w:r w:rsidRPr="00F25F30">
        <w:rPr>
          <w:rFonts w:ascii="Times New Roman" w:hAnsi="Times New Roman" w:cs="Times New Roman"/>
          <w:szCs w:val="24"/>
          <w:lang w:val="lv-LV"/>
        </w:rPr>
        <w:t>...</w:t>
      </w:r>
      <w:r w:rsidR="00F25F30" w:rsidRPr="00F25F30">
        <w:rPr>
          <w:rFonts w:ascii="Times New Roman" w:hAnsi="Times New Roman" w:cs="Times New Roman"/>
          <w:szCs w:val="24"/>
          <w:lang w:val="lv-LV"/>
        </w:rPr>
        <w:t>)</w:t>
      </w:r>
      <w:r w:rsidRPr="00F25F30">
        <w:rPr>
          <w:rFonts w:ascii="Times New Roman" w:hAnsi="Times New Roman" w:cs="Times New Roman"/>
          <w:szCs w:val="24"/>
          <w:lang w:val="lv-LV"/>
        </w:rPr>
        <w:t>”</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15</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2003. gadā uzņēmums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 xml:space="preserve">Ltd. </w:t>
      </w:r>
      <w:r w:rsidRPr="00E45AA2">
        <w:rPr>
          <w:rFonts w:ascii="Times New Roman" w:hAnsi="Times New Roman" w:cs="Times New Roman"/>
          <w:szCs w:val="24"/>
          <w:lang w:val="lv-LV"/>
        </w:rPr>
        <w:t>vērsās Limasolas apgabaltiesā (</w:t>
      </w:r>
      <w:r w:rsidRPr="00E45AA2">
        <w:rPr>
          <w:rFonts w:ascii="Times New Roman" w:hAnsi="Times New Roman" w:cs="Times New Roman"/>
          <w:bCs/>
          <w:i/>
          <w:iCs/>
          <w:szCs w:val="24"/>
          <w:lang w:val="lv-LV"/>
        </w:rPr>
        <w:t xml:space="preserve">Επαρχιακό Δικαστήριο Λεμεσού, </w:t>
      </w:r>
      <w:r w:rsidRPr="00E45AA2">
        <w:rPr>
          <w:rFonts w:ascii="Times New Roman" w:hAnsi="Times New Roman" w:cs="Times New Roman"/>
          <w:szCs w:val="24"/>
          <w:lang w:val="lv-LV"/>
        </w:rPr>
        <w:t>Kipra) pret iesniedzēju ar sūdzību,</w:t>
      </w:r>
      <w:r w:rsidR="00FE70B0">
        <w:rPr>
          <w:rFonts w:ascii="Times New Roman" w:hAnsi="Times New Roman" w:cs="Times New Roman"/>
          <w:szCs w:val="24"/>
          <w:lang w:val="lv-LV"/>
        </w:rPr>
        <w:t xml:space="preserve"> ka viņš nav atmaksājis augstāk</w:t>
      </w:r>
      <w:r w:rsidRPr="00E45AA2">
        <w:rPr>
          <w:rFonts w:ascii="Times New Roman" w:hAnsi="Times New Roman" w:cs="Times New Roman"/>
          <w:szCs w:val="24"/>
          <w:lang w:val="lv-LV"/>
        </w:rPr>
        <w:t xml:space="preserve">minēto </w:t>
      </w:r>
      <w:r w:rsidR="0005405E">
        <w:rPr>
          <w:rFonts w:ascii="Times New Roman" w:hAnsi="Times New Roman" w:cs="Times New Roman"/>
          <w:szCs w:val="24"/>
          <w:lang w:val="lv-LV"/>
        </w:rPr>
        <w:t>parādu</w:t>
      </w:r>
      <w:r w:rsidRPr="00E45AA2">
        <w:rPr>
          <w:rFonts w:ascii="Times New Roman" w:hAnsi="Times New Roman" w:cs="Times New Roman"/>
          <w:szCs w:val="24"/>
          <w:lang w:val="lv-LV"/>
        </w:rPr>
        <w:t xml:space="preserve">, pieprasot uzlikt viņam par pienākumu atmaksāt </w:t>
      </w:r>
      <w:r w:rsidR="0005405E">
        <w:rPr>
          <w:rFonts w:ascii="Times New Roman" w:hAnsi="Times New Roman" w:cs="Times New Roman"/>
          <w:szCs w:val="24"/>
          <w:lang w:val="lv-LV"/>
        </w:rPr>
        <w:t>tā</w:t>
      </w:r>
      <w:r w:rsidRPr="00E45AA2">
        <w:rPr>
          <w:rFonts w:ascii="Times New Roman" w:hAnsi="Times New Roman" w:cs="Times New Roman"/>
          <w:szCs w:val="24"/>
          <w:lang w:val="lv-LV"/>
        </w:rPr>
        <w:t xml:space="preserve"> pamatsummu un procentus. Tiesvedības laikā Strasbūras </w:t>
      </w:r>
      <w:r w:rsidR="00F13D42">
        <w:rPr>
          <w:rFonts w:ascii="Times New Roman" w:hAnsi="Times New Roman" w:cs="Times New Roman"/>
          <w:szCs w:val="24"/>
          <w:lang w:val="lv-LV"/>
        </w:rPr>
        <w:t>t</w:t>
      </w:r>
      <w:r w:rsidRPr="00E45AA2">
        <w:rPr>
          <w:rFonts w:ascii="Times New Roman" w:hAnsi="Times New Roman" w:cs="Times New Roman"/>
          <w:szCs w:val="24"/>
          <w:lang w:val="lv-LV"/>
        </w:rPr>
        <w:t xml:space="preserve">iesā iesniedzējs informēja, ka viņš patiesībā bija atmaksājis parādu pirms Kipras tiesā uzsāktās tiesvedības, nesamaksājot uzņēmumam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Ltd</w:t>
      </w:r>
      <w:r w:rsidRPr="00E45AA2">
        <w:rPr>
          <w:rFonts w:ascii="Times New Roman" w:hAnsi="Times New Roman" w:cs="Times New Roman"/>
          <w:szCs w:val="24"/>
          <w:lang w:val="lv-LV"/>
        </w:rPr>
        <w:t xml:space="preserve">. attiecīgo naudas summu, bet gan izmantojot citus līdzekļus, kas saistīti uz uzņēmuma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 xml:space="preserve">Ltd. </w:t>
      </w:r>
      <w:r w:rsidRPr="00E45AA2">
        <w:rPr>
          <w:rFonts w:ascii="Times New Roman" w:hAnsi="Times New Roman" w:cs="Times New Roman"/>
          <w:szCs w:val="24"/>
          <w:lang w:val="lv-LV"/>
        </w:rPr>
        <w:t>mātes uzņēmuma kapitālu. Taču viņš atzina, ka tam nav dokumentālu pierādījumu. Valdība-atbildētāja apstrīdēja iesniedzēja apgalvojumu.</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16</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2003. gada 27. jūnija lēmumā Limasolas apgabaltiesa </w:t>
      </w:r>
      <w:r w:rsidR="00221218">
        <w:rPr>
          <w:rFonts w:ascii="Times New Roman" w:hAnsi="Times New Roman" w:cs="Times New Roman"/>
          <w:szCs w:val="24"/>
          <w:lang w:val="lv-LV"/>
        </w:rPr>
        <w:t>izsniedza rīkojumu</w:t>
      </w:r>
      <w:r w:rsidR="003E27F4">
        <w:rPr>
          <w:rFonts w:ascii="Times New Roman" w:hAnsi="Times New Roman" w:cs="Times New Roman"/>
          <w:szCs w:val="24"/>
          <w:lang w:val="lv-LV"/>
        </w:rPr>
        <w:t xml:space="preserve"> par</w:t>
      </w:r>
      <w:r w:rsidRPr="00E45AA2">
        <w:rPr>
          <w:rFonts w:ascii="Times New Roman" w:hAnsi="Times New Roman" w:cs="Times New Roman"/>
          <w:szCs w:val="24"/>
          <w:lang w:val="lv-LV"/>
        </w:rPr>
        <w:t xml:space="preserve"> „tiesas pavēstes apzīmogošanu un reģistrēšanu”.  2003. gada 24. jūlijā tika uzrakstīta „</w:t>
      </w:r>
      <w:r w:rsidR="000A1B8E">
        <w:rPr>
          <w:rFonts w:ascii="Times New Roman" w:hAnsi="Times New Roman" w:cs="Times New Roman"/>
          <w:szCs w:val="24"/>
          <w:lang w:val="lv-LV"/>
        </w:rPr>
        <w:t>speciāli</w:t>
      </w:r>
      <w:r w:rsidRPr="00E45AA2">
        <w:rPr>
          <w:rFonts w:ascii="Times New Roman" w:hAnsi="Times New Roman" w:cs="Times New Roman"/>
          <w:szCs w:val="24"/>
          <w:lang w:val="lv-LV"/>
        </w:rPr>
        <w:t xml:space="preserve"> apstiprināta pavēste”, kurā detalizēti aprakstīti attiecīgās lietas fakti. Tajā norādītā iesniedzēja adrese ir G. iela Rīgā, proti, adrese, kas ir norādīta </w:t>
      </w:r>
      <w:r w:rsidR="004959DC">
        <w:rPr>
          <w:rFonts w:ascii="Times New Roman" w:hAnsi="Times New Roman" w:cs="Times New Roman"/>
          <w:szCs w:val="24"/>
          <w:lang w:val="lv-LV"/>
        </w:rPr>
        <w:t>parāda apliecinājuma aktā</w:t>
      </w:r>
      <w:r w:rsidRPr="00E45AA2">
        <w:rPr>
          <w:rFonts w:ascii="Times New Roman" w:hAnsi="Times New Roman" w:cs="Times New Roman"/>
          <w:szCs w:val="24"/>
          <w:lang w:val="lv-LV"/>
        </w:rPr>
        <w:t xml:space="preserve">.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17</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Tā kā iesniedzējs nedzīvoja Kiprā, uzņēmums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 xml:space="preserve">Ltd. </w:t>
      </w:r>
      <w:r w:rsidRPr="00E45AA2">
        <w:rPr>
          <w:rFonts w:ascii="Times New Roman" w:hAnsi="Times New Roman" w:cs="Times New Roman"/>
          <w:szCs w:val="24"/>
          <w:lang w:val="lv-LV"/>
        </w:rPr>
        <w:t xml:space="preserve">2003. gada 11. septembrī iesniedza Limasolas apgabaltiesā </w:t>
      </w:r>
      <w:r w:rsidRPr="00E45AA2">
        <w:rPr>
          <w:rFonts w:ascii="Times New Roman" w:hAnsi="Times New Roman" w:cs="Times New Roman"/>
          <w:i/>
          <w:szCs w:val="24"/>
          <w:lang w:val="lv-LV"/>
        </w:rPr>
        <w:t xml:space="preserve">ex parte </w:t>
      </w:r>
      <w:r w:rsidRPr="00E45AA2">
        <w:rPr>
          <w:rFonts w:ascii="Times New Roman" w:hAnsi="Times New Roman" w:cs="Times New Roman"/>
          <w:szCs w:val="24"/>
          <w:lang w:val="lv-LV"/>
        </w:rPr>
        <w:t xml:space="preserve">iesniegumu, lūdzot </w:t>
      </w:r>
      <w:r w:rsidR="00221218">
        <w:rPr>
          <w:rFonts w:ascii="Times New Roman" w:hAnsi="Times New Roman" w:cs="Times New Roman"/>
          <w:szCs w:val="24"/>
          <w:lang w:val="lv-LV"/>
        </w:rPr>
        <w:t>izsniegt jaunu rīkojumu</w:t>
      </w:r>
      <w:r w:rsidRPr="00E45AA2">
        <w:rPr>
          <w:rFonts w:ascii="Times New Roman" w:hAnsi="Times New Roman" w:cs="Times New Roman"/>
          <w:szCs w:val="24"/>
          <w:lang w:val="lv-LV"/>
        </w:rPr>
        <w:t xml:space="preserve">, kas </w:t>
      </w:r>
      <w:r w:rsidR="003F531A">
        <w:rPr>
          <w:rFonts w:ascii="Times New Roman" w:hAnsi="Times New Roman" w:cs="Times New Roman"/>
          <w:szCs w:val="24"/>
          <w:lang w:val="lv-LV"/>
        </w:rPr>
        <w:t>pieprasītu</w:t>
      </w:r>
      <w:r w:rsidRPr="00E45AA2">
        <w:rPr>
          <w:rFonts w:ascii="Times New Roman" w:hAnsi="Times New Roman" w:cs="Times New Roman"/>
          <w:szCs w:val="24"/>
          <w:lang w:val="lv-LV"/>
        </w:rPr>
        <w:t xml:space="preserve"> nosūtīt ārpus valsts esošajam iesniedzējam pavēsti un </w:t>
      </w:r>
      <w:r w:rsidR="009D298B">
        <w:rPr>
          <w:rFonts w:ascii="Times New Roman" w:hAnsi="Times New Roman" w:cs="Times New Roman"/>
          <w:szCs w:val="24"/>
          <w:lang w:val="lv-LV"/>
        </w:rPr>
        <w:t>lūdzot</w:t>
      </w:r>
      <w:r w:rsidRPr="00E45AA2">
        <w:rPr>
          <w:rFonts w:ascii="Times New Roman" w:hAnsi="Times New Roman" w:cs="Times New Roman"/>
          <w:szCs w:val="24"/>
          <w:lang w:val="lv-LV"/>
        </w:rPr>
        <w:t xml:space="preserve"> viņam ierasties trīsdesmit dienu laikā pēc šīs pavēstes izsniegšanas. Prasītāja uzņēmuma jurists izsniedza apstiprinājumu, kurā paziņots, ka atbildētājs dzīvoja G. ielā Rīgā un varēja šajā adresē </w:t>
      </w:r>
      <w:r w:rsidR="00770F5C">
        <w:rPr>
          <w:rFonts w:ascii="Times New Roman" w:hAnsi="Times New Roman" w:cs="Times New Roman"/>
          <w:szCs w:val="24"/>
          <w:lang w:val="lv-LV"/>
        </w:rPr>
        <w:t xml:space="preserve">saņemt </w:t>
      </w:r>
      <w:r w:rsidR="00221218">
        <w:rPr>
          <w:rFonts w:ascii="Times New Roman" w:hAnsi="Times New Roman" w:cs="Times New Roman"/>
          <w:szCs w:val="24"/>
          <w:lang w:val="lv-LV"/>
        </w:rPr>
        <w:t>tiesas</w:t>
      </w:r>
      <w:r w:rsidR="00770F5C">
        <w:rPr>
          <w:rFonts w:ascii="Times New Roman" w:hAnsi="Times New Roman" w:cs="Times New Roman"/>
          <w:szCs w:val="24"/>
          <w:lang w:val="lv-LV"/>
        </w:rPr>
        <w:t xml:space="preserve"> dokumentus. </w:t>
      </w:r>
      <w:r w:rsidRPr="00E45AA2">
        <w:rPr>
          <w:rFonts w:ascii="Times New Roman" w:hAnsi="Times New Roman" w:cs="Times New Roman"/>
          <w:szCs w:val="24"/>
          <w:lang w:val="lv-LV"/>
        </w:rPr>
        <w:t xml:space="preserve">Savukārt iesniedzējs uzstāja, ka viņam bija fiziski neiespējami saņemt pavēsti attiecīgajā adresē, jo tā bija tikai adrese, kurā viņš 1999. gadā parakstīja aizdevuma līgumu un parāda </w:t>
      </w:r>
      <w:r w:rsidR="00C00E4D">
        <w:rPr>
          <w:rFonts w:ascii="Times New Roman" w:hAnsi="Times New Roman" w:cs="Times New Roman"/>
          <w:szCs w:val="24"/>
          <w:lang w:val="lv-LV"/>
        </w:rPr>
        <w:t>apliecinājuma aktu</w:t>
      </w:r>
      <w:r w:rsidRPr="00E45AA2">
        <w:rPr>
          <w:rFonts w:ascii="Times New Roman" w:hAnsi="Times New Roman" w:cs="Times New Roman"/>
          <w:szCs w:val="24"/>
          <w:lang w:val="lv-LV"/>
        </w:rPr>
        <w:t xml:space="preserve"> un ka tā nebija viņa māj</w:t>
      </w:r>
      <w:r w:rsidR="00C00E4D">
        <w:rPr>
          <w:rFonts w:ascii="Times New Roman" w:hAnsi="Times New Roman" w:cs="Times New Roman"/>
          <w:szCs w:val="24"/>
          <w:lang w:val="lv-LV"/>
        </w:rPr>
        <w:t>as</w:t>
      </w:r>
      <w:r w:rsidRPr="00E45AA2">
        <w:rPr>
          <w:rFonts w:ascii="Times New Roman" w:hAnsi="Times New Roman" w:cs="Times New Roman"/>
          <w:szCs w:val="24"/>
          <w:lang w:val="lv-LV"/>
        </w:rPr>
        <w:t xml:space="preserve"> vai </w:t>
      </w:r>
      <w:r w:rsidR="00420338">
        <w:rPr>
          <w:rFonts w:ascii="Times New Roman" w:hAnsi="Times New Roman" w:cs="Times New Roman"/>
          <w:szCs w:val="24"/>
          <w:lang w:val="lv-LV"/>
        </w:rPr>
        <w:t>darbavietas</w:t>
      </w:r>
      <w:r w:rsidRPr="00E45AA2">
        <w:rPr>
          <w:rFonts w:ascii="Times New Roman" w:hAnsi="Times New Roman" w:cs="Times New Roman"/>
          <w:szCs w:val="24"/>
          <w:lang w:val="lv-LV"/>
        </w:rPr>
        <w:t xml:space="preserve"> telpu adrese.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18</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2003. gada 7. oktobrī Limasolas apgabaltiesa noteica, ka paziņojums par tiesvedību iesniedzējam jānosūta uz adresi, ko norādījis prasītāja uzņēmums. Iesniedzējs tika uzaicināts ierasties trīsdesmit dienu laikā pēc pavēstes saņemšanas. Tiesa nolēma, ka, ja iesniedzējs to neizdara, tā necentīsies vairs ar viņu sazināties un visus nākamos paziņojumus saistībā ar lietu piestiprinās uz tiesas paziņojumu dēļa.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19</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Apstiprinājumā, ko izsniedzis uzņēmumu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 xml:space="preserve">Ltd. </w:t>
      </w:r>
      <w:r w:rsidRPr="00E45AA2">
        <w:rPr>
          <w:rFonts w:ascii="Times New Roman" w:hAnsi="Times New Roman" w:cs="Times New Roman"/>
          <w:szCs w:val="24"/>
          <w:lang w:val="lv-LV"/>
        </w:rPr>
        <w:t xml:space="preserve">pārstāvošās juristu kompānijas darbinieks, norādīts, ka saskaņā ar tiesas lēmumu pavēste tikusi nosūtīta 2003. gada 16. novembrī ar ierakstītu sūtījumu uz adresi G. ielā Rīgā. Savukārt Latvijas valdības iesniegtajā pavēstes kopijā norādīts, ka šis dokuments sastādīts 2003. gada 17. novembrī. Kipras pasta pakalpojumu sniedzēja kvītī norādīts, ka pavēste uz adresi G. ielā tika nosūtīta 2003. gada 18. novembrī un </w:t>
      </w:r>
      <w:r w:rsidR="004A7587">
        <w:rPr>
          <w:rFonts w:ascii="Times New Roman" w:hAnsi="Times New Roman" w:cs="Times New Roman"/>
          <w:szCs w:val="24"/>
          <w:lang w:val="lv-LV"/>
        </w:rPr>
        <w:t>nogādāšana</w:t>
      </w:r>
      <w:r w:rsidRPr="00E45AA2">
        <w:rPr>
          <w:rFonts w:ascii="Times New Roman" w:hAnsi="Times New Roman" w:cs="Times New Roman"/>
          <w:szCs w:val="24"/>
          <w:lang w:val="lv-LV"/>
        </w:rPr>
        <w:t xml:space="preserve"> tika apstiprināta ar parakstu 2003. gada </w:t>
      </w:r>
      <w:r w:rsidRPr="00E45AA2">
        <w:rPr>
          <w:rFonts w:ascii="Times New Roman" w:hAnsi="Times New Roman" w:cs="Times New Roman"/>
          <w:szCs w:val="24"/>
          <w:lang w:val="lv-LV"/>
        </w:rPr>
        <w:lastRenderedPageBreak/>
        <w:t xml:space="preserve">27. novembrī. Taču paraksts uz veidlapas neatbilda iesniedzēja vārdam. Iesniedzējs apgalvoja, ka pavēsti nebija saņēmis.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20</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Tā kā iesniedzējs neieradās, Limasolas apgabaltiesa pieņēma lēmumu 2004. gada 24. maijā bez viņa klātbūtnes. Tiesa uzlika viņam par pienākumu samaksāt prasītājam USD 100 000 vai šīs summas ekvivalentu Kipras mārciņās (CYP), kā arī procentus saskaņā ar gada likmi 10% apmērā no iepriekš minētās summas, rēķinot no 1999. gada 30. jūnija līdz pat parāda atmaksas brīdim. Tāpat no iesniedzēja tika pieprasīts segt izmaksas un izdevumus CYP 699,50 (bruto) apmērā, kā arī procentus ar gada likmi 8% apmērā. Saskaņā ar spriedumu, kura gala versija tika sastādīta 2004. gada 3. jūnijā, iesniedzējs bija pienācīgi informēts par tiesas sēdi, taču uz to neieradās. Spriedumā nebija norādīts, vai tas ir galīgs, un tas nesaturēja nekādas norādes uz iespējamām pārsūdzības iespējām.</w:t>
      </w:r>
    </w:p>
    <w:p w:rsidR="0013508E" w:rsidRPr="00E45AA2" w:rsidRDefault="00C00E4D" w:rsidP="005E3370">
      <w:pPr>
        <w:pStyle w:val="ECHRHeading2"/>
        <w:numPr>
          <w:ilvl w:val="0"/>
          <w:numId w:val="16"/>
        </w:numPr>
        <w:rPr>
          <w:rFonts w:ascii="Times New Roman" w:hAnsi="Times New Roman" w:cs="Times New Roman"/>
          <w:color w:val="auto"/>
          <w:sz w:val="24"/>
          <w:szCs w:val="24"/>
          <w:lang w:val="lv-LV"/>
        </w:rPr>
      </w:pPr>
      <w:r>
        <w:rPr>
          <w:rFonts w:ascii="Times New Roman" w:hAnsi="Times New Roman" w:cs="Times New Roman"/>
          <w:color w:val="auto"/>
          <w:sz w:val="24"/>
          <w:szCs w:val="24"/>
          <w:lang w:val="lv-LV"/>
        </w:rPr>
        <w:t>Sprieduma a</w:t>
      </w:r>
      <w:r w:rsidR="0013508E" w:rsidRPr="00E45AA2">
        <w:rPr>
          <w:rFonts w:ascii="Times New Roman" w:hAnsi="Times New Roman" w:cs="Times New Roman"/>
          <w:color w:val="auto"/>
          <w:sz w:val="24"/>
          <w:szCs w:val="24"/>
          <w:lang w:val="lv-LV"/>
        </w:rPr>
        <w:t xml:space="preserve">tzīšanas un izpildes tiesvedība Latvijas tiesās </w:t>
      </w:r>
    </w:p>
    <w:p w:rsidR="00EB7834" w:rsidRPr="00E45AA2" w:rsidRDefault="00EB7834" w:rsidP="00EB7834">
      <w:pPr>
        <w:pStyle w:val="ECHRPara"/>
        <w:ind w:left="720" w:firstLine="0"/>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21</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2005. gada 22. februārī uzņēmums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 xml:space="preserve">Ltd. </w:t>
      </w:r>
      <w:r w:rsidRPr="00E45AA2">
        <w:rPr>
          <w:rFonts w:ascii="Times New Roman" w:hAnsi="Times New Roman" w:cs="Times New Roman"/>
          <w:szCs w:val="24"/>
          <w:lang w:val="lv-LV"/>
        </w:rPr>
        <w:t xml:space="preserve">vērsās ar pieteikumu Rīgas pilsētas Latgales priekšpilsētas tiesā, lūdzot atzīt un izpildīt 2004. gada 24. maija spriedumu. Savā pieteikumā uzņēmums arī lūdza piemērot prasības nodrošinājumu.  Tas minēja, ka iesniedzējam piederēja nekustamais īpašums Garkalnē (Rīgas rajonā), kas saskaņā ar zemesgrāmatas datiem jau bija ieķīlāts par labu bankai. Baidoties, ka iesniedzējs varētu mēģināt izvairīties no sprieduma izpildes, uzņēmums lūdza Latgales priekšpilsētas tiesu minēto īpašu </w:t>
      </w:r>
      <w:r w:rsidR="002A4F3E">
        <w:rPr>
          <w:rFonts w:ascii="Times New Roman" w:hAnsi="Times New Roman" w:cs="Times New Roman"/>
          <w:szCs w:val="24"/>
          <w:lang w:val="lv-LV"/>
        </w:rPr>
        <w:t xml:space="preserve">apķīlāt, izdarot par to atzīmi </w:t>
      </w:r>
      <w:r w:rsidRPr="00E45AA2">
        <w:rPr>
          <w:rFonts w:ascii="Times New Roman" w:hAnsi="Times New Roman" w:cs="Times New Roman"/>
          <w:szCs w:val="24"/>
          <w:lang w:val="lv-LV"/>
        </w:rPr>
        <w:t>zemesgrāma</w:t>
      </w:r>
      <w:r w:rsidR="002A4F3E">
        <w:rPr>
          <w:rFonts w:ascii="Times New Roman" w:hAnsi="Times New Roman" w:cs="Times New Roman"/>
          <w:szCs w:val="24"/>
          <w:lang w:val="lv-LV"/>
        </w:rPr>
        <w:t xml:space="preserve">tā. Visbeidzot, uzņēmums lūdza </w:t>
      </w:r>
      <w:r w:rsidRPr="00E45AA2">
        <w:rPr>
          <w:rFonts w:ascii="Times New Roman" w:hAnsi="Times New Roman" w:cs="Times New Roman"/>
          <w:szCs w:val="24"/>
          <w:lang w:val="lv-LV"/>
        </w:rPr>
        <w:t xml:space="preserve">piedzīt no iesniedzēja tiesāšanas izdevumus. Savā pieteikumā uzņēmums kā iesniedzēja dzīvesvietas adresi norādīja Č. ielu Rīgā, kas atšķīrās no adreses, kuru tas bija iepriekš paziņojis Kipras tiesai.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22</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2005. gada 28. aprīlī Rīgas pilsētas Latgales priekšpilsētas tiesa atstāja bez virzības uzņēmuma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Ltd.</w:t>
      </w:r>
      <w:r w:rsidRPr="00E45AA2">
        <w:rPr>
          <w:rFonts w:ascii="Times New Roman" w:hAnsi="Times New Roman" w:cs="Times New Roman"/>
          <w:szCs w:val="24"/>
          <w:lang w:val="lv-LV"/>
        </w:rPr>
        <w:t xml:space="preserve"> pieteikumu, info</w:t>
      </w:r>
      <w:r w:rsidR="002A4F3E">
        <w:rPr>
          <w:rFonts w:ascii="Times New Roman" w:hAnsi="Times New Roman" w:cs="Times New Roman"/>
          <w:szCs w:val="24"/>
          <w:lang w:val="lv-LV"/>
        </w:rPr>
        <w:t>rmējot uzņēmumu par pieteikumā esošajiem</w:t>
      </w:r>
      <w:r w:rsidRPr="00E45AA2">
        <w:rPr>
          <w:rFonts w:ascii="Times New Roman" w:hAnsi="Times New Roman" w:cs="Times New Roman"/>
          <w:szCs w:val="24"/>
          <w:lang w:val="lv-LV"/>
        </w:rPr>
        <w:t xml:space="preserve"> trūkumiem un norādot, ka uzņēmumam ir viens mēnesis laika šo trūkumu novēršanai. Jo īpaši tiesa atzīmēja, ka </w:t>
      </w:r>
      <w:r w:rsidRPr="00E45AA2">
        <w:rPr>
          <w:rFonts w:ascii="Times New Roman" w:hAnsi="Times New Roman" w:cs="Times New Roman"/>
          <w:i/>
          <w:szCs w:val="24"/>
          <w:lang w:val="lv-LV"/>
        </w:rPr>
        <w:t>F.H. Ltd</w:t>
      </w:r>
      <w:r w:rsidRPr="00E45AA2">
        <w:rPr>
          <w:rFonts w:ascii="Times New Roman" w:hAnsi="Times New Roman" w:cs="Times New Roman"/>
          <w:szCs w:val="24"/>
          <w:lang w:val="lv-LV"/>
        </w:rPr>
        <w:t xml:space="preserve">. nebija paskaidrojis, kāpēc tas norādīja Č. ielu, ja tika pieņemts, ka iesniedzējs dzīvo G. ielā.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23</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2005. gada 26. maijā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Ltd</w:t>
      </w:r>
      <w:r w:rsidRPr="00E45AA2">
        <w:rPr>
          <w:rFonts w:ascii="Times New Roman" w:hAnsi="Times New Roman" w:cs="Times New Roman"/>
          <w:szCs w:val="24"/>
          <w:lang w:val="lv-LV"/>
        </w:rPr>
        <w:t xml:space="preserve">. iesniedza papildinājumu, kurā līdz ar citiem aspektiem paskaidroja, ka saskaņā ar Iedzīvotāju reģistrā atrodamo informāciju adrese Č. ielā bija iesniedzēja oficiāli deklarētā dzīvesvieta. </w:t>
      </w:r>
      <w:r w:rsidR="002A4F3E">
        <w:rPr>
          <w:rFonts w:ascii="Times New Roman" w:hAnsi="Times New Roman" w:cs="Times New Roman"/>
          <w:szCs w:val="24"/>
          <w:lang w:val="lv-LV"/>
        </w:rPr>
        <w:t>Attiecībā</w:t>
      </w:r>
      <w:r w:rsidRPr="00E45AA2">
        <w:rPr>
          <w:rFonts w:ascii="Times New Roman" w:hAnsi="Times New Roman" w:cs="Times New Roman"/>
          <w:szCs w:val="24"/>
          <w:lang w:val="lv-LV"/>
        </w:rPr>
        <w:t xml:space="preserve"> uz adresi G. ielā, uzņēmuma pārstāvji pieņēma, ka tā bija iesniedzēja faktiskā dzīvesvieta. Turklāt Latvijas valdība iesniedza Tiesā vēstules kopiju no iestādes, kas atbildīga par Iedzīvotāju reģistru, un saskaņā ar to līdz 2006. gada 19. jūnijam iesniedzēja oficiāli deklarētā adrese bija Č. ielā. </w:t>
      </w:r>
    </w:p>
    <w:p w:rsidR="0013508E" w:rsidRPr="00E45AA2" w:rsidRDefault="0013508E" w:rsidP="00EB7834">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24</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Latgales priekšpilsētas tiesa ar 2005. gada 31. maija lēmumu </w:t>
      </w:r>
      <w:r w:rsidRPr="00E45AA2">
        <w:rPr>
          <w:rFonts w:ascii="Times New Roman" w:hAnsi="Times New Roman" w:cs="Times New Roman"/>
          <w:i/>
          <w:szCs w:val="24"/>
          <w:lang w:val="lv-LV"/>
        </w:rPr>
        <w:t>F.H.Ltd.</w:t>
      </w:r>
      <w:r w:rsidRPr="00E45AA2">
        <w:rPr>
          <w:rFonts w:ascii="Times New Roman" w:hAnsi="Times New Roman" w:cs="Times New Roman"/>
          <w:szCs w:val="24"/>
          <w:lang w:val="lv-LV"/>
        </w:rPr>
        <w:t xml:space="preserve"> iesniegtos papildinājumus pie pieteikuma atzina par nepietiekamiem, jo netika novērsti visi pieteikumā konstatētie trūkumi.  </w:t>
      </w:r>
      <w:r w:rsidRPr="00E45AA2">
        <w:rPr>
          <w:rFonts w:ascii="Times New Roman" w:hAnsi="Times New Roman" w:cs="Times New Roman"/>
          <w:szCs w:val="24"/>
          <w:lang w:val="lv-LV"/>
        </w:rPr>
        <w:lastRenderedPageBreak/>
        <w:t>Tādēļ tiesa atstāja pieteikumu bez izskatīšanas, nosūtot to atpakaļ uzņēmumam. Uzņēmums iesniedza sūdzību Rīgas apgabaltiesā, kas 2006. gada 23. janvārī atcēla 2005. gada 31. maija lēmumu un nosūtīja lietu Latgales priekšpilsētas tiesā atkārtotai pieteikuma par sprieduma atzīšanu un izpildi izskatīšanai, ņemot vērā 2005. gada 26. m</w:t>
      </w:r>
      <w:r w:rsidR="00EB7834" w:rsidRPr="00E45AA2">
        <w:rPr>
          <w:rFonts w:ascii="Times New Roman" w:hAnsi="Times New Roman" w:cs="Times New Roman"/>
          <w:szCs w:val="24"/>
          <w:lang w:val="lv-LV"/>
        </w:rPr>
        <w:t>aija pieteikuma papildinājumus.</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25</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Latgales priekšpilsētas tiesa ar 2006. gada 27. februāra lēmumu, kas pieņemts bez pušu klātbūtnes, minēto </w:t>
      </w:r>
      <w:r w:rsidRPr="00E45AA2">
        <w:rPr>
          <w:rFonts w:ascii="Times New Roman" w:hAnsi="Times New Roman" w:cs="Times New Roman"/>
          <w:i/>
          <w:szCs w:val="24"/>
          <w:lang w:val="lv-LV"/>
        </w:rPr>
        <w:t>F.H.Ltd.</w:t>
      </w:r>
      <w:r w:rsidRPr="00E45AA2">
        <w:rPr>
          <w:rFonts w:ascii="Times New Roman" w:hAnsi="Times New Roman" w:cs="Times New Roman"/>
          <w:szCs w:val="24"/>
          <w:lang w:val="lv-LV"/>
        </w:rPr>
        <w:t xml:space="preserve"> pieteikumu apmierināja pilnībā un lēma par Limasolas apgabaltiesas 2004. gada 24. maija sprieduma atzīšanu un izpildi, kā arī hipotēkas atzīmes veikšanu Garkalnes pagasta zemesgrāmatā, lai noteiktu apgrūtinājumu iesniedzēja īpašumam minētajā pagastā. Tāpat tika noteikts, ka iesniedzējam jāsedz tiesas izdevumi.</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26</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Saskaņā ar iesniedzēja sniegto informāciju par Kipras spriedumu un Latgales priekšpilsētas tiesas lēmumu par šī sprieduma izpildi viņš uzzināja tikai 2006. gada 15. jūnijā no tiesu izpildītāja, kas atbildīgs par attiecīgā Kipras sprieduma izpildi. Nākamajā dienā (2006. gada 16. jūnijā) viņš devās uz attiecīgo priekšpilsētas tiesu, kur pats iepazinās ar spriedumu</w:t>
      </w:r>
      <w:r w:rsidR="00E33B37">
        <w:rPr>
          <w:rFonts w:ascii="Times New Roman" w:hAnsi="Times New Roman" w:cs="Times New Roman"/>
          <w:szCs w:val="24"/>
          <w:lang w:val="lv-LV"/>
        </w:rPr>
        <w:t xml:space="preserve"> un lēmumu. Valdība-atbildētāja</w:t>
      </w:r>
      <w:r w:rsidRPr="00E45AA2">
        <w:rPr>
          <w:rFonts w:ascii="Times New Roman" w:hAnsi="Times New Roman" w:cs="Times New Roman"/>
          <w:szCs w:val="24"/>
          <w:lang w:val="lv-LV"/>
        </w:rPr>
        <w:t xml:space="preserve"> šos faktus neapstrīdēja.</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27</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Iesniedzējs neapstrīdēja Kipras tiesas spriedumu Kipras tiesu inst</w:t>
      </w:r>
      <w:r w:rsidR="00EB7834" w:rsidRPr="00E45AA2">
        <w:rPr>
          <w:rFonts w:ascii="Times New Roman" w:hAnsi="Times New Roman" w:cs="Times New Roman"/>
          <w:szCs w:val="24"/>
          <w:lang w:val="lv-LV"/>
        </w:rPr>
        <w:t>a</w:t>
      </w:r>
      <w:r w:rsidRPr="00E45AA2">
        <w:rPr>
          <w:rFonts w:ascii="Times New Roman" w:hAnsi="Times New Roman" w:cs="Times New Roman"/>
          <w:szCs w:val="24"/>
          <w:lang w:val="lv-LV"/>
        </w:rPr>
        <w:t>ncēs. Tā vietā viņš vērsās Rīgas apgabaltiesā ar blakussūdzību par iepriekš minēto lēmumu, vienlaikus lūdzot Latgales priekšpilsētas tiesu pagarināt pārsūdzības termiņu</w:t>
      </w:r>
      <w:r w:rsidR="00C55D7E">
        <w:rPr>
          <w:rFonts w:ascii="Times New Roman" w:hAnsi="Times New Roman" w:cs="Times New Roman"/>
          <w:szCs w:val="24"/>
          <w:lang w:val="lv-LV"/>
        </w:rPr>
        <w:t>.</w:t>
      </w:r>
      <w:r w:rsidRPr="00E45AA2" w:rsidDel="00B058D5">
        <w:rPr>
          <w:rFonts w:ascii="Times New Roman" w:hAnsi="Times New Roman" w:cs="Times New Roman"/>
          <w:szCs w:val="24"/>
          <w:lang w:val="lv-LV"/>
        </w:rPr>
        <w:t xml:space="preserve"> </w:t>
      </w:r>
      <w:r w:rsidRPr="00E45AA2">
        <w:rPr>
          <w:rFonts w:ascii="Times New Roman" w:hAnsi="Times New Roman" w:cs="Times New Roman"/>
          <w:szCs w:val="24"/>
          <w:lang w:val="lv-LV"/>
        </w:rPr>
        <w:t xml:space="preserve">Iesniedzējs apgalvoja, ka lietas materiālos nav informācijas, kas apstiprinātu, ka viņam bija paziņots par 2006. gada 27. februāra sēdi vai par lēmumu, kas izsniegts pēc šīs sēdes; iesniedzējs norādīja, ka Civilprocesa likumā paredzētais trīsdesmit dienu termiņš bija jāsāk skaitīt no 2006. gada 16. jūnija, kad viņš </w:t>
      </w:r>
      <w:r w:rsidR="00E20E43">
        <w:rPr>
          <w:rFonts w:ascii="Times New Roman" w:hAnsi="Times New Roman" w:cs="Times New Roman"/>
          <w:szCs w:val="24"/>
          <w:lang w:val="lv-LV"/>
        </w:rPr>
        <w:t>ir uzzinājis par tiesas lēmumu.</w:t>
      </w:r>
      <w:r w:rsidRPr="00E45AA2">
        <w:rPr>
          <w:rFonts w:ascii="Times New Roman" w:hAnsi="Times New Roman" w:cs="Times New Roman"/>
          <w:szCs w:val="24"/>
          <w:lang w:val="lv-LV"/>
        </w:rPr>
        <w:t xml:space="preserve">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28</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Latgales priekšpilsētas tiesa ar 2006. gada 13. jūlija lēmumu apmierināja iesniedzēja lūgumu un pagarināja pārsūdzības iesniegšanas termiņu. </w:t>
      </w:r>
    </w:p>
    <w:p w:rsidR="0013508E" w:rsidRPr="00E45AA2" w:rsidRDefault="00EB7834"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t xml:space="preserve">Tā, </w:t>
      </w:r>
      <w:r w:rsidR="0013508E" w:rsidRPr="00E45AA2">
        <w:rPr>
          <w:rFonts w:ascii="Times New Roman" w:hAnsi="Times New Roman" w:cs="Times New Roman"/>
          <w:szCs w:val="24"/>
          <w:lang w:val="lv-LV"/>
        </w:rPr>
        <w:t>cita starpā, atzīmēja:</w:t>
      </w:r>
    </w:p>
    <w:p w:rsidR="0013508E" w:rsidRPr="005A197F" w:rsidRDefault="005A197F" w:rsidP="0013508E">
      <w:pPr>
        <w:pStyle w:val="ECHRParaQuote"/>
        <w:rPr>
          <w:rFonts w:ascii="Times New Roman" w:hAnsi="Times New Roman" w:cs="Times New Roman"/>
          <w:szCs w:val="20"/>
          <w:lang w:val="lv-LV"/>
        </w:rPr>
      </w:pPr>
      <w:r w:rsidRPr="005A197F">
        <w:rPr>
          <w:rFonts w:ascii="Times New Roman" w:hAnsi="Times New Roman" w:cs="Times New Roman"/>
          <w:szCs w:val="20"/>
          <w:lang w:val="lv-LV"/>
        </w:rPr>
        <w:t xml:space="preserve"> </w:t>
      </w:r>
      <w:r w:rsidR="0013508E" w:rsidRPr="005A197F">
        <w:rPr>
          <w:rFonts w:ascii="Times New Roman" w:hAnsi="Times New Roman" w:cs="Times New Roman"/>
          <w:szCs w:val="20"/>
          <w:lang w:val="lv-LV"/>
        </w:rPr>
        <w:t>“(...) No tiesas 2006. gada 27. februāra tiesas lēmuma izriet, ka lēmums par ārvalsts tiesas sprieduma atzīšanu un izpildi tika pieņemts bez pušu klātbūtnes, pa</w:t>
      </w:r>
      <w:r w:rsidR="00C55D7E">
        <w:rPr>
          <w:rFonts w:ascii="Times New Roman" w:hAnsi="Times New Roman" w:cs="Times New Roman"/>
          <w:szCs w:val="20"/>
          <w:lang w:val="lv-LV"/>
        </w:rPr>
        <w:t>matojoties uz iesniedzēja [</w:t>
      </w:r>
      <w:r w:rsidR="00C55D7E" w:rsidRPr="00C55D7E">
        <w:rPr>
          <w:rFonts w:ascii="Times New Roman" w:hAnsi="Times New Roman" w:cs="Times New Roman"/>
          <w:i/>
          <w:szCs w:val="20"/>
          <w:lang w:val="lv-LV"/>
        </w:rPr>
        <w:t>F.H.</w:t>
      </w:r>
      <w:r w:rsidR="0013508E" w:rsidRPr="00C55D7E">
        <w:rPr>
          <w:rFonts w:ascii="Times New Roman" w:hAnsi="Times New Roman" w:cs="Times New Roman"/>
          <w:i/>
          <w:szCs w:val="20"/>
          <w:lang w:val="lv-LV"/>
        </w:rPr>
        <w:t>Ltd</w:t>
      </w:r>
      <w:r w:rsidR="0013508E" w:rsidRPr="005A197F">
        <w:rPr>
          <w:rFonts w:ascii="Times New Roman" w:hAnsi="Times New Roman" w:cs="Times New Roman"/>
          <w:szCs w:val="20"/>
          <w:lang w:val="lv-LV"/>
        </w:rPr>
        <w:t>.] iesniegtajiem dokumentiem. Vienlaikus, lēmumā tika norādīts, ka iesniedzējs saskaņā ar Civilprocesa likuma 641. panta 2. punktu var lēmumu pārsūdzēt trīsdesmit dienu laikā, skaitot no [minētā lēmuma] noraksta saņemšanas dienas.</w:t>
      </w:r>
    </w:p>
    <w:p w:rsidR="0013508E" w:rsidRPr="005A197F" w:rsidRDefault="0013508E" w:rsidP="0013508E">
      <w:pPr>
        <w:pStyle w:val="ECHRParaQuote"/>
        <w:rPr>
          <w:rFonts w:ascii="Times New Roman" w:hAnsi="Times New Roman" w:cs="Times New Roman"/>
          <w:szCs w:val="20"/>
          <w:lang w:val="lv-LV"/>
        </w:rPr>
      </w:pPr>
      <w:r w:rsidRPr="005A197F">
        <w:rPr>
          <w:rFonts w:ascii="Times New Roman" w:hAnsi="Times New Roman" w:cs="Times New Roman"/>
          <w:szCs w:val="20"/>
          <w:lang w:val="lv-LV"/>
        </w:rPr>
        <w:t>Tiesa atzīst iesniedzēja P. Avotiņa izvirzītos argumentus par pamatotiem, proti, faktu, ka viņš nebija saņēmis (...) 2006. gada 27. februāra lēmumu un šo faktu apliecina atzīme uzziņas lapā [kas pievienota lietai], kā arī faktu, ka lēmums, kuru tiesa nosūtīja [iesniedzējam], tika saņemts atpaka</w:t>
      </w:r>
      <w:r w:rsidR="00A72631">
        <w:rPr>
          <w:rFonts w:ascii="Times New Roman" w:hAnsi="Times New Roman" w:cs="Times New Roman"/>
          <w:szCs w:val="20"/>
          <w:lang w:val="lv-LV"/>
        </w:rPr>
        <w:t>ļ 2006. gada 10. aprīlī (...)</w:t>
      </w:r>
      <w:r w:rsidRPr="005A197F">
        <w:rPr>
          <w:rFonts w:ascii="Times New Roman" w:hAnsi="Times New Roman" w:cs="Times New Roman"/>
          <w:szCs w:val="20"/>
          <w:lang w:val="lv-LV"/>
        </w:rPr>
        <w:t>. No sūdzībai pievienotajiem dokumentiem ir redzams, ka iesniedzējs no 2004. gada 1. maija vairs nedzīvo deklarētajā adresē [Č. ielā]; to apstiprina (...) viņa pārstāvja tiesā sniegtie paskaidrojumi, par to, ka iesniedzējs vairs nedzīvo iepriekš minētajā adresē.</w:t>
      </w:r>
    </w:p>
    <w:p w:rsidR="0013508E" w:rsidRPr="005A197F" w:rsidRDefault="0013508E" w:rsidP="0013508E">
      <w:pPr>
        <w:pStyle w:val="ECHRParaQuote"/>
        <w:rPr>
          <w:rFonts w:ascii="Times New Roman" w:hAnsi="Times New Roman" w:cs="Times New Roman"/>
          <w:szCs w:val="20"/>
          <w:lang w:val="lv-LV"/>
        </w:rPr>
      </w:pPr>
      <w:r w:rsidRPr="005A197F">
        <w:rPr>
          <w:rFonts w:ascii="Times New Roman" w:hAnsi="Times New Roman" w:cs="Times New Roman"/>
          <w:szCs w:val="20"/>
          <w:lang w:val="lv-LV"/>
        </w:rPr>
        <w:lastRenderedPageBreak/>
        <w:t>Tādējādi ir jāsecina, ka trīsdesmit dienu termiņš (...) sākās dienā, kad iesniedzējs saņēma minēto lēmumu (...).</w:t>
      </w:r>
    </w:p>
    <w:p w:rsidR="0013508E" w:rsidRPr="005A197F" w:rsidRDefault="0013508E" w:rsidP="0013508E">
      <w:pPr>
        <w:pStyle w:val="ECHRParaQuote"/>
        <w:rPr>
          <w:rFonts w:ascii="Times New Roman" w:hAnsi="Times New Roman" w:cs="Times New Roman"/>
          <w:szCs w:val="20"/>
          <w:lang w:val="lv-LV"/>
        </w:rPr>
      </w:pPr>
      <w:r w:rsidRPr="005A197F">
        <w:rPr>
          <w:rFonts w:ascii="Times New Roman" w:hAnsi="Times New Roman" w:cs="Times New Roman"/>
          <w:szCs w:val="20"/>
          <w:lang w:val="lv-LV"/>
        </w:rPr>
        <w:t>Vienlaikus, tiesa atzīst par nepietiekami pamatotu [</w:t>
      </w:r>
      <w:r w:rsidRPr="005A197F">
        <w:rPr>
          <w:rFonts w:ascii="Times New Roman" w:hAnsi="Times New Roman" w:cs="Times New Roman"/>
          <w:i/>
          <w:szCs w:val="20"/>
          <w:lang w:val="lv-LV"/>
        </w:rPr>
        <w:t>F.H.Ltd.</w:t>
      </w:r>
      <w:r w:rsidRPr="005A197F">
        <w:rPr>
          <w:rFonts w:ascii="Times New Roman" w:hAnsi="Times New Roman" w:cs="Times New Roman"/>
          <w:szCs w:val="20"/>
          <w:lang w:val="lv-LV"/>
        </w:rPr>
        <w:t>] pārstāvja viedokli par to, ka iesniedzējs pats ir atbildīgs par to, ka nav saņēmis sūtījumus, jo nav savlaicīgi deklarējis savu dzīvesvietu, tādēļ nav pamata pagarināt [sūdzības] iesniegšanas termiņu. Patiesi, fakts, ka nav izpildītas likuma prasības par dzīvesvietas deklarēšanu</w:t>
      </w:r>
      <w:r w:rsidR="00C55D7E">
        <w:rPr>
          <w:rFonts w:ascii="Times New Roman" w:hAnsi="Times New Roman" w:cs="Times New Roman"/>
          <w:szCs w:val="20"/>
          <w:lang w:val="lv-LV"/>
        </w:rPr>
        <w:t>,</w:t>
      </w:r>
      <w:r w:rsidRPr="005A197F">
        <w:rPr>
          <w:rFonts w:ascii="Times New Roman" w:hAnsi="Times New Roman" w:cs="Times New Roman"/>
          <w:szCs w:val="20"/>
          <w:lang w:val="lv-LV"/>
        </w:rPr>
        <w:t xml:space="preserve"> vēl nav pietiekams, lai pamatotu sekas, kas varētu iestāties, ja tiesa liegtu iesniedzējam iespēju izmantot valsts garantētās pamattiesības uz tiesas pieejamību un tiesisko aizsardzību, tostarp t</w:t>
      </w:r>
      <w:r w:rsidR="00A96540">
        <w:rPr>
          <w:rFonts w:ascii="Times New Roman" w:hAnsi="Times New Roman" w:cs="Times New Roman"/>
          <w:szCs w:val="20"/>
          <w:lang w:val="lv-LV"/>
        </w:rPr>
        <w:t>iesības pārsūdzēt tiesas lēmumu</w:t>
      </w:r>
      <w:r w:rsidRPr="005A197F">
        <w:rPr>
          <w:rFonts w:ascii="Times New Roman" w:hAnsi="Times New Roman" w:cs="Times New Roman"/>
          <w:szCs w:val="20"/>
          <w:lang w:val="lv-LV"/>
        </w:rPr>
        <w:t xml:space="preserve"> (...) “</w:t>
      </w:r>
    </w:p>
    <w:p w:rsidR="0013508E" w:rsidRPr="00E45AA2" w:rsidRDefault="00EB7834"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t xml:space="preserve"> </w:t>
      </w:r>
      <w:r w:rsidR="0013508E" w:rsidRPr="00E45AA2">
        <w:rPr>
          <w:rFonts w:ascii="Times New Roman" w:hAnsi="Times New Roman" w:cs="Times New Roman"/>
          <w:szCs w:val="24"/>
          <w:lang w:val="lv-LV"/>
        </w:rPr>
        <w:fldChar w:fldCharType="begin"/>
      </w:r>
      <w:r w:rsidR="0013508E" w:rsidRPr="00E45AA2">
        <w:rPr>
          <w:rFonts w:ascii="Times New Roman" w:hAnsi="Times New Roman" w:cs="Times New Roman"/>
          <w:szCs w:val="24"/>
          <w:lang w:val="lv-LV"/>
        </w:rPr>
        <w:instrText xml:space="preserve"> SEQ level0 \*arabic </w:instrText>
      </w:r>
      <w:r w:rsidR="0013508E" w:rsidRPr="00E45AA2">
        <w:rPr>
          <w:rFonts w:ascii="Times New Roman" w:hAnsi="Times New Roman" w:cs="Times New Roman"/>
          <w:szCs w:val="24"/>
          <w:lang w:val="lv-LV"/>
        </w:rPr>
        <w:fldChar w:fldCharType="separate"/>
      </w:r>
      <w:r w:rsidR="0013508E" w:rsidRPr="00E45AA2">
        <w:rPr>
          <w:rFonts w:ascii="Times New Roman" w:hAnsi="Times New Roman" w:cs="Times New Roman"/>
          <w:noProof/>
          <w:szCs w:val="24"/>
          <w:lang w:val="lv-LV"/>
        </w:rPr>
        <w:t>29</w:t>
      </w:r>
      <w:r w:rsidR="0013508E" w:rsidRPr="00E45AA2">
        <w:rPr>
          <w:rFonts w:ascii="Times New Roman" w:hAnsi="Times New Roman" w:cs="Times New Roman"/>
          <w:szCs w:val="24"/>
          <w:lang w:val="lv-LV"/>
        </w:rPr>
        <w:fldChar w:fldCharType="end"/>
      </w:r>
      <w:r w:rsidR="0013508E" w:rsidRPr="00E45AA2">
        <w:rPr>
          <w:rFonts w:ascii="Times New Roman" w:hAnsi="Times New Roman" w:cs="Times New Roman"/>
          <w:szCs w:val="24"/>
          <w:lang w:val="lv-LV"/>
        </w:rPr>
        <w:t xml:space="preserve">. Rīgas apgabaltiesai adresētajā sūdzībā iesniedzējs norādīja, ka Kipras tiesas sprieduma atzīšana un izpilde Latvijā pārkāpa Eiropas Savienības Padomes Regulu (EK) Nr. 44/2001 (2000. gada 22. decembris) par jurisdikciju un spriedumu atzīšanu un izpildi civillietās un komerclietās (tā dēvēto “Briseles I Regulu”, turpmāk </w:t>
      </w:r>
      <w:r w:rsidR="0013508E" w:rsidRPr="00E45AA2">
        <w:rPr>
          <w:rFonts w:ascii="Times New Roman" w:hAnsi="Times New Roman" w:cs="Times New Roman"/>
          <w:szCs w:val="24"/>
          <w:cs/>
        </w:rPr>
        <w:t xml:space="preserve">– </w:t>
      </w:r>
      <w:r w:rsidR="0013508E" w:rsidRPr="00E45AA2">
        <w:rPr>
          <w:rFonts w:ascii="Times New Roman" w:hAnsi="Times New Roman" w:cs="Times New Roman"/>
          <w:szCs w:val="24"/>
          <w:lang w:val="lv-LV"/>
        </w:rPr>
        <w:t>Regula), kā arī attiecīgās Latvijas Civilprocesa likuma normas.</w:t>
      </w:r>
      <w:r w:rsidRPr="00E45AA2">
        <w:rPr>
          <w:rFonts w:ascii="Times New Roman" w:hAnsi="Times New Roman" w:cs="Times New Roman"/>
          <w:szCs w:val="24"/>
          <w:lang w:val="lv-LV"/>
        </w:rPr>
        <w:t xml:space="preserve"> </w:t>
      </w:r>
      <w:r w:rsidR="0013508E" w:rsidRPr="00E45AA2">
        <w:rPr>
          <w:rFonts w:ascii="Times New Roman" w:hAnsi="Times New Roman" w:cs="Times New Roman"/>
          <w:szCs w:val="24"/>
          <w:lang w:val="lv-LV"/>
        </w:rPr>
        <w:t xml:space="preserve">Šajā sakarā viņš minēja divus argumentus. </w:t>
      </w:r>
    </w:p>
    <w:p w:rsidR="0013508E" w:rsidRPr="00E45AA2" w:rsidRDefault="0013508E" w:rsidP="0013508E">
      <w:pPr>
        <w:pStyle w:val="ECHRPara"/>
        <w:rPr>
          <w:rFonts w:ascii="Times New Roman" w:hAnsi="Times New Roman" w:cs="Times New Roman"/>
          <w:szCs w:val="24"/>
          <w:shd w:val="clear" w:color="auto" w:fill="FFFFFF"/>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30</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Pirmkārt, iesniedzējs apgalvoja, ka saskaņā ar Briseles I Regulas 34. panta 2. punktu (kas pēc būtības atbilst Latvijas Civilprocesa likuma 637. panta otrās daļas 3. punktam) </w:t>
      </w:r>
      <w:r w:rsidRPr="00E45AA2">
        <w:rPr>
          <w:rFonts w:ascii="Times New Roman" w:hAnsi="Times New Roman" w:cs="Times New Roman"/>
          <w:szCs w:val="24"/>
          <w:shd w:val="clear" w:color="auto" w:fill="FFFFFF"/>
          <w:lang w:val="lv-LV"/>
        </w:rPr>
        <w:t xml:space="preserve">gadījumos, ja spriedums pieņemts aizmuguriski citā dalībvalstī, tas nevar tikt atzīts, ja atbildētājam dokuments, ar kuru ierosināta lieta, nav uzrādīts pietiekami laicīgi, lai viņš varētu </w:t>
      </w:r>
      <w:r w:rsidRPr="00E45AA2">
        <w:rPr>
          <w:rFonts w:ascii="Times New Roman" w:hAnsi="Times New Roman" w:cs="Times New Roman"/>
          <w:szCs w:val="24"/>
          <w:lang w:val="lv-LV"/>
        </w:rPr>
        <w:t>īstenot savas tiesības uz aizstāvību</w:t>
      </w:r>
      <w:r w:rsidRPr="00E45AA2">
        <w:rPr>
          <w:rFonts w:ascii="Times New Roman" w:hAnsi="Times New Roman" w:cs="Times New Roman"/>
          <w:szCs w:val="24"/>
          <w:shd w:val="clear" w:color="auto" w:fill="FFFFFF"/>
          <w:lang w:val="lv-LV"/>
        </w:rPr>
        <w:t xml:space="preserve">. Viņš apgalvoja, ka nav ticis pienācīgi informēts par tiesvedību Kiprā, lai arī gan Kipras juristi, kas pārstāvēja prasītāja uzņēmumu Limasolas apgabaltiesā, gan Latvijas juristi, kas to pārstāvēja Latvijas tiesās, bija informēti par viņa darbavietas adresi Rīgā. Lai pamatotu šo apgalvojumu, viņš iesniedza informāciju, ka viņam bija bijuši darba darījumi ar Kipras juristiem, kas viņam bija zvanījuši un sūtījuši faksa sūtījumus uz biroju, un ka viņš bija personīgi ticies ar Latvijas juristiem. Līdz ar to viņiem visiem bija jāzina viņa darbavietas adrese. Iesniedzējs piebilda, ka ar viņu bija iespējams sazināties, izmantojot arī mājas adresi Garkalnē, tā kā tur bija viņa dzīvesvieta, kas bija oficiāli deklarēta saskaņā ar normatīvajām prasībām, un juristi varēja iegūt informāciju arī pašvaldības zemesgrāmatā, kur iesniedzējam piederošais īpašums bija reģistrēts. Tomēr tā vietā, lai sūtītu pavēstes uz kādu no šīm adresēm, kas bija zināmas un pieejamas, juristi </w:t>
      </w:r>
      <w:r w:rsidRPr="00E45AA2">
        <w:rPr>
          <w:rFonts w:ascii="Times New Roman" w:hAnsi="Times New Roman" w:cs="Times New Roman"/>
          <w:szCs w:val="24"/>
          <w:lang w:val="lv-LV"/>
        </w:rPr>
        <w:t>bija paziņojuši tiesu iestādēm adresi, kurā viņu objektīvu iemeslu dēļ nevarēja uzaicināt uz tiesu</w:t>
      </w:r>
      <w:r w:rsidRPr="00E45AA2">
        <w:rPr>
          <w:rFonts w:ascii="Times New Roman" w:hAnsi="Times New Roman" w:cs="Times New Roman"/>
          <w:szCs w:val="24"/>
          <w:shd w:val="clear" w:color="auto" w:fill="FFFFFF"/>
          <w:lang w:val="lv-LV"/>
        </w:rPr>
        <w:t>.</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31</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Otrkārt, iesniedzējs apgalvoja, ka saskaņā ar Briseles I Regulas 38. panta 1. punktu un Civilprocesa likuma 637. panta otrās daļas 2. </w:t>
      </w:r>
      <w:r w:rsidRPr="00E45AA2" w:rsidDel="004476FA">
        <w:rPr>
          <w:rFonts w:ascii="Times New Roman" w:hAnsi="Times New Roman" w:cs="Times New Roman"/>
          <w:szCs w:val="24"/>
          <w:lang w:val="lv-LV"/>
        </w:rPr>
        <w:t xml:space="preserve"> </w:t>
      </w:r>
      <w:r w:rsidR="00EB7834" w:rsidRPr="00E45AA2">
        <w:rPr>
          <w:rFonts w:ascii="Times New Roman" w:hAnsi="Times New Roman" w:cs="Times New Roman"/>
          <w:szCs w:val="24"/>
          <w:lang w:val="lv-LV"/>
        </w:rPr>
        <w:t>p</w:t>
      </w:r>
      <w:r w:rsidRPr="00E45AA2">
        <w:rPr>
          <w:rFonts w:ascii="Times New Roman" w:hAnsi="Times New Roman" w:cs="Times New Roman"/>
          <w:szCs w:val="24"/>
          <w:lang w:val="lv-LV"/>
        </w:rPr>
        <w:t>unktu</w:t>
      </w:r>
      <w:r w:rsidR="00EB7834" w:rsidRPr="00E45AA2">
        <w:rPr>
          <w:rFonts w:ascii="Times New Roman" w:hAnsi="Times New Roman" w:cs="Times New Roman"/>
          <w:szCs w:val="24"/>
          <w:lang w:val="lv-LV"/>
        </w:rPr>
        <w:t>,</w:t>
      </w:r>
      <w:r w:rsidRPr="00E45AA2">
        <w:rPr>
          <w:rFonts w:ascii="Times New Roman" w:hAnsi="Times New Roman" w:cs="Times New Roman"/>
          <w:szCs w:val="24"/>
          <w:lang w:val="lv-LV"/>
        </w:rPr>
        <w:t xml:space="preserve"> lai tiesas nolēmumu varētu izpildīt pieteikuma saņēmēj</w:t>
      </w:r>
      <w:r w:rsidR="00F031CB">
        <w:rPr>
          <w:rFonts w:ascii="Times New Roman" w:hAnsi="Times New Roman" w:cs="Times New Roman"/>
          <w:szCs w:val="24"/>
          <w:lang w:val="lv-LV"/>
        </w:rPr>
        <w:t>a</w:t>
      </w:r>
      <w:r w:rsidRPr="00E45AA2">
        <w:rPr>
          <w:rFonts w:ascii="Times New Roman" w:hAnsi="Times New Roman" w:cs="Times New Roman"/>
          <w:szCs w:val="24"/>
          <w:lang w:val="lv-LV"/>
        </w:rPr>
        <w:t xml:space="preserve"> valstī, tam ir jāstājas likumīgā spēkā valstī, kurā tas ir ticis pieņemts. </w:t>
      </w:r>
      <w:r w:rsidRPr="00E45AA2">
        <w:rPr>
          <w:rFonts w:ascii="Times New Roman" w:hAnsi="Times New Roman" w:cs="Times New Roman"/>
          <w:szCs w:val="24"/>
          <w:shd w:val="clear" w:color="auto" w:fill="FFFFFF"/>
          <w:lang w:val="lv-LV"/>
        </w:rPr>
        <w:t xml:space="preserve">Šajā lietā </w:t>
      </w:r>
      <w:r w:rsidRPr="00E45AA2">
        <w:rPr>
          <w:rFonts w:ascii="Times New Roman" w:hAnsi="Times New Roman" w:cs="Times New Roman"/>
          <w:szCs w:val="24"/>
          <w:lang w:val="lv-LV"/>
        </w:rPr>
        <w:t>šī prasība nebija izpildīta trijos aspektos.</w:t>
      </w:r>
      <w:r w:rsidRPr="00E45AA2">
        <w:rPr>
          <w:rFonts w:ascii="Times New Roman" w:hAnsi="Times New Roman" w:cs="Times New Roman"/>
          <w:szCs w:val="24"/>
          <w:shd w:val="clear" w:color="auto" w:fill="FFFFFF"/>
          <w:lang w:val="lv-LV"/>
        </w:rPr>
        <w:t xml:space="preserve"> Pirmkārt, prasītājs bija iesniedzis Latvijas tiesai tikai Kipras tiesas sprieduma tekstu, bet nebija iesniedzis Briseles I Regulas V pielikumā noteikto apliecību. Šajā sakarā iesniedzējs atzina, ka saskaņā ar Briseles I Regulas 55. panta 1. punktu tiesa, kurai jāizpilda spriedums dažos gadījumos var atbrīvot prasītāju no pienākuma iesniegt apliecību. Tomēr šajā lietā Latgales priekšpilsētas tiesa </w:t>
      </w:r>
      <w:r w:rsidRPr="00E45AA2">
        <w:rPr>
          <w:rFonts w:ascii="Times New Roman" w:hAnsi="Times New Roman" w:cs="Times New Roman"/>
          <w:szCs w:val="24"/>
          <w:lang w:val="lv-LV"/>
        </w:rPr>
        <w:t xml:space="preserve">nebija </w:t>
      </w:r>
      <w:r w:rsidRPr="00E45AA2">
        <w:rPr>
          <w:rFonts w:ascii="Times New Roman" w:hAnsi="Times New Roman" w:cs="Times New Roman"/>
          <w:szCs w:val="24"/>
          <w:lang w:val="lv-LV"/>
        </w:rPr>
        <w:lastRenderedPageBreak/>
        <w:t>paskaidrojusi, vai un kāda iemesla dēļ tā uzskatīja, ka prasītāju varēja atbrīvot no minētā pienākuma</w:t>
      </w:r>
      <w:r w:rsidRPr="00E45AA2">
        <w:rPr>
          <w:rFonts w:ascii="Times New Roman" w:hAnsi="Times New Roman" w:cs="Times New Roman"/>
          <w:szCs w:val="24"/>
          <w:shd w:val="clear" w:color="auto" w:fill="FFFFFF"/>
          <w:lang w:val="lv-LV"/>
        </w:rPr>
        <w:t xml:space="preserve">. </w:t>
      </w:r>
      <w:r w:rsidRPr="00E45AA2">
        <w:rPr>
          <w:rFonts w:ascii="Times New Roman" w:hAnsi="Times New Roman" w:cs="Times New Roman"/>
          <w:szCs w:val="24"/>
          <w:lang w:val="lv-LV"/>
        </w:rPr>
        <w:t>Otrkārt, arī Kipras tiesas spriedumā nebija nekādas norādes par tā spēkā stāšanos un pārsūdzības iespējām. Treškārt, lai gan saskaņā ar Briseles I Regulu</w:t>
      </w:r>
      <w:r w:rsidR="00FC47F3">
        <w:rPr>
          <w:rFonts w:ascii="Times New Roman" w:hAnsi="Times New Roman" w:cs="Times New Roman"/>
          <w:szCs w:val="24"/>
          <w:lang w:val="lv-LV"/>
        </w:rPr>
        <w:t xml:space="preserve"> spriedumam bija jābūt izpildāma</w:t>
      </w:r>
      <w:r w:rsidRPr="00E45AA2">
        <w:rPr>
          <w:rFonts w:ascii="Times New Roman" w:hAnsi="Times New Roman" w:cs="Times New Roman"/>
          <w:szCs w:val="24"/>
          <w:lang w:val="lv-LV"/>
        </w:rPr>
        <w:t xml:space="preserve">m izcelsmes valstī, prasītāja uzņēmums nav iesniedzis nekādu dokumentālu </w:t>
      </w:r>
      <w:r w:rsidR="00FE70B0">
        <w:rPr>
          <w:rFonts w:ascii="Times New Roman" w:hAnsi="Times New Roman" w:cs="Times New Roman"/>
          <w:szCs w:val="24"/>
          <w:lang w:val="lv-LV"/>
        </w:rPr>
        <w:t>pierādījumu</w:t>
      </w:r>
      <w:r w:rsidRPr="00E45AA2">
        <w:rPr>
          <w:rFonts w:ascii="Times New Roman" w:hAnsi="Times New Roman" w:cs="Times New Roman"/>
          <w:szCs w:val="24"/>
          <w:lang w:val="lv-LV"/>
        </w:rPr>
        <w:t xml:space="preserve">, kas apstiprinātu, ka 2004. gada 24. maija spriedums bija izpildāms Kiprā. Ņemot vērā šos apstākļus, iesniedzējs uzskatīja, ka spriedums nekādā gadījumā nevarēja tikt atzīts un izpildīts Latvijā.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32</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Ar 2006. gada 2. oktobra lēmumu apgabaltiesa atzina iesniedzēja minētos argumentus par pamatotiem, grozīja iepriekš pieņemto lēmumu un noraidīja pieteikumu par Kipras tiesas sprieduma atzīšanu un izpildi.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33</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 xml:space="preserve">Ltd. </w:t>
      </w:r>
      <w:r w:rsidRPr="00E45AA2">
        <w:rPr>
          <w:rFonts w:ascii="Times New Roman" w:hAnsi="Times New Roman" w:cs="Times New Roman"/>
          <w:szCs w:val="24"/>
          <w:lang w:val="lv-LV"/>
        </w:rPr>
        <w:t xml:space="preserve"> pārsūdzēja šo lēmumu Augstākās tiesas Senātā, kas to izskatīja 2007. gada 31. janvāra sēdē. Tiesas sēdes sākumā uzņēmums </w:t>
      </w:r>
      <w:r w:rsidR="00C55D7E">
        <w:rPr>
          <w:rFonts w:ascii="Times New Roman" w:hAnsi="Times New Roman" w:cs="Times New Roman"/>
          <w:i/>
          <w:szCs w:val="24"/>
          <w:lang w:val="lv-LV"/>
        </w:rPr>
        <w:t>F.H.</w:t>
      </w:r>
      <w:r w:rsidRPr="00E45AA2">
        <w:rPr>
          <w:rFonts w:ascii="Times New Roman" w:hAnsi="Times New Roman" w:cs="Times New Roman"/>
          <w:i/>
          <w:szCs w:val="24"/>
          <w:lang w:val="lv-LV"/>
        </w:rPr>
        <w:t xml:space="preserve">Ltd. </w:t>
      </w:r>
      <w:r w:rsidRPr="00E45AA2">
        <w:rPr>
          <w:rFonts w:ascii="Times New Roman" w:hAnsi="Times New Roman" w:cs="Times New Roman"/>
          <w:szCs w:val="24"/>
          <w:lang w:val="lv-LV"/>
        </w:rPr>
        <w:t xml:space="preserve">Senātam iesniedza vairāku dokumentu kopijas, tai skaitā apliecību, kas minēta Briseles I Regulas 54. pantā un tās V pielikumā. Apliecības izdošanas datums bija 2007. gada 18. janvāris, un to bija parakstījis Limasolas rajona tiesas pagaidu tiesnesis. Tajā bija norādīts, ka prasības pieteikums iesniedzējam bija nosūtīts 2003. gada 27. novembrī. Pēdējā apliecības daļa, kurā norādāma persona, pret kuru spriedums ir izpildāms, tika atstāta tukša. Pēc uzaicinājuma izteikties par šiem dokumentiem iesniedzēja advokāts apgalvoja, ka tie bija acīmredzami nepietiekami, lai spriedumu varētu atzīt par izpildāmu.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34</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Ar 2007. gada 31. janvāra lēmumu, kurš bija galīgs, Augstākā tiesa atcēla apgabaltiesas 2006. gada 2. oktobra lēmumu. Augstākā tiesa apmierināja</w:t>
      </w:r>
      <w:r w:rsidRPr="00E45AA2">
        <w:rPr>
          <w:rFonts w:ascii="Times New Roman" w:hAnsi="Times New Roman" w:cs="Times New Roman"/>
          <w:i/>
          <w:szCs w:val="24"/>
          <w:lang w:val="lv-LV"/>
        </w:rPr>
        <w:t xml:space="preserve"> F.H.Ltd.</w:t>
      </w:r>
      <w:r w:rsidRPr="00E45AA2">
        <w:rPr>
          <w:rFonts w:ascii="Times New Roman" w:hAnsi="Times New Roman" w:cs="Times New Roman"/>
          <w:szCs w:val="24"/>
          <w:lang w:val="lv-LV"/>
        </w:rPr>
        <w:t xml:space="preserve"> prasību un pieņēma lēmumu par Kipras tiesas sprieduma atzīšanu un izpildi, kā arī hipotēkas atzīmes veikšanu zemesgrāmatā attiecībā uz iesniedzēja nekustamo īpašumu Garkalnē.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t>Attiecīgās šā lēmuma daļas ir šādas:</w:t>
      </w:r>
    </w:p>
    <w:p w:rsidR="007C1ED3" w:rsidRDefault="007C1ED3" w:rsidP="0013508E">
      <w:pPr>
        <w:pStyle w:val="ECHRPara"/>
        <w:rPr>
          <w:rFonts w:ascii="Times New Roman" w:hAnsi="Times New Roman" w:cs="Times New Roman"/>
          <w:sz w:val="22"/>
          <w:szCs w:val="24"/>
          <w:lang w:val="lv-LV"/>
        </w:rPr>
      </w:pPr>
    </w:p>
    <w:p w:rsidR="0013508E" w:rsidRPr="006B40AA" w:rsidRDefault="0013508E" w:rsidP="0013508E">
      <w:pPr>
        <w:pStyle w:val="ECHRPara"/>
        <w:rPr>
          <w:rFonts w:ascii="Times New Roman" w:hAnsi="Times New Roman" w:cs="Times New Roman"/>
          <w:sz w:val="20"/>
          <w:szCs w:val="24"/>
          <w:lang w:val="lv-LV"/>
        </w:rPr>
      </w:pPr>
      <w:r w:rsidRPr="006B40AA" w:rsidDel="003D2F2D">
        <w:rPr>
          <w:rFonts w:ascii="Times New Roman" w:hAnsi="Times New Roman" w:cs="Times New Roman"/>
          <w:sz w:val="22"/>
          <w:szCs w:val="24"/>
          <w:lang w:val="lv-LV"/>
        </w:rPr>
        <w:t xml:space="preserve"> </w:t>
      </w:r>
      <w:r w:rsidR="00EB7834" w:rsidRPr="006B40AA">
        <w:rPr>
          <w:rFonts w:ascii="Times New Roman" w:hAnsi="Times New Roman" w:cs="Times New Roman"/>
          <w:sz w:val="20"/>
          <w:szCs w:val="24"/>
          <w:lang w:val="lv-LV"/>
        </w:rPr>
        <w:t>“</w:t>
      </w:r>
      <w:r w:rsidRPr="006B40AA">
        <w:rPr>
          <w:rFonts w:ascii="Times New Roman" w:hAnsi="Times New Roman" w:cs="Times New Roman"/>
          <w:sz w:val="20"/>
          <w:szCs w:val="24"/>
          <w:lang w:val="lv-LV"/>
        </w:rPr>
        <w:t xml:space="preserve">(...) No lietas materiāliem ir redzams, ka Limasolas apgabaltiesas spriedums ir kļuvis galīgs. To apstiprina gan abu pušu skaidrojumi Rīgas apgabaltiesas sēdē 2006. gada 2. oktobrī, par </w:t>
      </w:r>
      <w:r w:rsidR="004F431C">
        <w:rPr>
          <w:rFonts w:ascii="Times New Roman" w:hAnsi="Times New Roman" w:cs="Times New Roman"/>
          <w:sz w:val="20"/>
          <w:szCs w:val="24"/>
          <w:lang w:val="lv-LV"/>
        </w:rPr>
        <w:t>to, ka spriedums nav pārsūdzēts,</w:t>
      </w:r>
      <w:r w:rsidRPr="006B40AA">
        <w:rPr>
          <w:rFonts w:ascii="Times New Roman" w:hAnsi="Times New Roman" w:cs="Times New Roman"/>
          <w:sz w:val="20"/>
          <w:szCs w:val="24"/>
          <w:lang w:val="lv-LV"/>
        </w:rPr>
        <w:t xml:space="preserve"> gan 2007. gada 18. janvārī izsniegtā apliecība(..</w:t>
      </w:r>
      <w:r w:rsidR="004F431C">
        <w:rPr>
          <w:rFonts w:ascii="Times New Roman" w:hAnsi="Times New Roman" w:cs="Times New Roman"/>
          <w:sz w:val="20"/>
          <w:szCs w:val="24"/>
          <w:lang w:val="lv-LV"/>
        </w:rPr>
        <w:t>.</w:t>
      </w:r>
      <w:r w:rsidRPr="006B40AA">
        <w:rPr>
          <w:rFonts w:ascii="Times New Roman" w:hAnsi="Times New Roman" w:cs="Times New Roman"/>
          <w:sz w:val="20"/>
          <w:szCs w:val="24"/>
          <w:lang w:val="lv-LV"/>
        </w:rPr>
        <w:t>)</w:t>
      </w:r>
      <w:r w:rsidR="004F431C">
        <w:rPr>
          <w:rFonts w:ascii="Times New Roman" w:hAnsi="Times New Roman" w:cs="Times New Roman"/>
          <w:sz w:val="20"/>
          <w:szCs w:val="24"/>
          <w:lang w:val="lv-LV"/>
        </w:rPr>
        <w:t>.</w:t>
      </w:r>
      <w:r w:rsidRPr="006B40AA">
        <w:rPr>
          <w:rFonts w:ascii="Times New Roman" w:hAnsi="Times New Roman" w:cs="Times New Roman"/>
          <w:sz w:val="20"/>
          <w:szCs w:val="24"/>
          <w:lang w:val="lv-LV"/>
        </w:rPr>
        <w:t xml:space="preserve"> Tā kā [iesniedzējs] spriedumu nepārsūdzēja, viņa advokāta argumentiem par to, ka iesniedzējs nav ticis pienācīgi informēts par lietas izskatīšanu ārvalstu tiesā, nav būtiskas nozīmes.</w:t>
      </w:r>
    </w:p>
    <w:p w:rsidR="0013508E" w:rsidRPr="006B40AA" w:rsidRDefault="0013508E" w:rsidP="0013508E">
      <w:pPr>
        <w:pStyle w:val="ECHRParaQuote"/>
        <w:rPr>
          <w:rFonts w:ascii="Times New Roman" w:hAnsi="Times New Roman" w:cs="Times New Roman"/>
          <w:szCs w:val="24"/>
          <w:lang w:val="lv-LV"/>
        </w:rPr>
      </w:pPr>
      <w:r w:rsidRPr="006B40AA">
        <w:rPr>
          <w:rFonts w:ascii="Times New Roman" w:hAnsi="Times New Roman" w:cs="Times New Roman"/>
          <w:szCs w:val="24"/>
          <w:lang w:val="lv-LV"/>
        </w:rPr>
        <w:t>Ņemot vērā iepriekš minēto, Senāts atzīst, ka Limasolas (Kipra) tiesas 2004. gada 24. maija spriedums ir atzīstams un izpildāms Latvijā.</w:t>
      </w:r>
    </w:p>
    <w:p w:rsidR="0013508E" w:rsidRPr="006B40AA" w:rsidRDefault="0013508E" w:rsidP="0013508E">
      <w:pPr>
        <w:pStyle w:val="ECHRParaQuote"/>
        <w:rPr>
          <w:rFonts w:ascii="Times New Roman" w:hAnsi="Times New Roman" w:cs="Times New Roman"/>
          <w:szCs w:val="24"/>
          <w:lang w:val="lv-LV"/>
        </w:rPr>
      </w:pPr>
      <w:r w:rsidRPr="006B40AA" w:rsidDel="003D2F2D">
        <w:rPr>
          <w:rFonts w:ascii="Times New Roman" w:hAnsi="Times New Roman" w:cs="Times New Roman"/>
          <w:szCs w:val="24"/>
          <w:lang w:val="lv-LV"/>
        </w:rPr>
        <w:t xml:space="preserve"> </w:t>
      </w:r>
      <w:r w:rsidRPr="006B40AA">
        <w:rPr>
          <w:rFonts w:ascii="Times New Roman" w:hAnsi="Times New Roman" w:cs="Times New Roman"/>
          <w:szCs w:val="24"/>
          <w:lang w:val="lv-LV"/>
        </w:rPr>
        <w:t>[Briseles I] regulas 36. pants nosaka, ka ārvalstu tiesas lēmumu nekādā gadījumā nevar pārskatīt pēc būtības; un saskaņā ar Civilprocesa likuma 644. panta pirmo daļu, ja šis lēmums tiek atzīts, tas ir izpildāms tajā pašā likumā paredzētajā kārtībā. (...) “</w:t>
      </w:r>
    </w:p>
    <w:p w:rsidR="0013508E" w:rsidRPr="00E45AA2" w:rsidRDefault="0013508E" w:rsidP="0013508E">
      <w:pPr>
        <w:pStyle w:val="ECHRParaQuote"/>
        <w:ind w:left="0" w:firstLine="284"/>
        <w:rPr>
          <w:rFonts w:ascii="Times New Roman" w:hAnsi="Times New Roman" w:cs="Times New Roman"/>
          <w:sz w:val="24"/>
          <w:szCs w:val="24"/>
          <w:lang w:val="lv-LV"/>
        </w:rPr>
      </w:pPr>
      <w:r w:rsidRPr="00E45AA2">
        <w:rPr>
          <w:rFonts w:ascii="Times New Roman" w:hAnsi="Times New Roman" w:cs="Times New Roman"/>
          <w:sz w:val="24"/>
          <w:szCs w:val="24"/>
          <w:lang w:val="lv-LV"/>
        </w:rPr>
        <w:fldChar w:fldCharType="begin"/>
      </w:r>
      <w:r w:rsidRPr="00E45AA2">
        <w:rPr>
          <w:rFonts w:ascii="Times New Roman" w:hAnsi="Times New Roman" w:cs="Times New Roman"/>
          <w:sz w:val="24"/>
          <w:szCs w:val="24"/>
          <w:lang w:val="lv-LV"/>
        </w:rPr>
        <w:instrText xml:space="preserve"> SEQ level0 \*arabic </w:instrText>
      </w:r>
      <w:r w:rsidRPr="00E45AA2">
        <w:rPr>
          <w:rFonts w:ascii="Times New Roman" w:hAnsi="Times New Roman" w:cs="Times New Roman"/>
          <w:sz w:val="24"/>
          <w:szCs w:val="24"/>
          <w:lang w:val="lv-LV"/>
        </w:rPr>
        <w:fldChar w:fldCharType="separate"/>
      </w:r>
      <w:r w:rsidRPr="00E45AA2">
        <w:rPr>
          <w:rFonts w:ascii="Times New Roman" w:hAnsi="Times New Roman" w:cs="Times New Roman"/>
          <w:noProof/>
          <w:sz w:val="24"/>
          <w:szCs w:val="24"/>
          <w:lang w:val="lv-LV"/>
        </w:rPr>
        <w:t>35</w:t>
      </w:r>
      <w:r w:rsidRPr="00E45AA2">
        <w:rPr>
          <w:rFonts w:ascii="Times New Roman" w:hAnsi="Times New Roman" w:cs="Times New Roman"/>
          <w:sz w:val="24"/>
          <w:szCs w:val="24"/>
          <w:lang w:val="lv-LV"/>
        </w:rPr>
        <w:fldChar w:fldCharType="end"/>
      </w:r>
      <w:r w:rsidRPr="00E45AA2">
        <w:rPr>
          <w:rFonts w:ascii="Times New Roman" w:hAnsi="Times New Roman" w:cs="Times New Roman"/>
          <w:sz w:val="24"/>
          <w:szCs w:val="24"/>
          <w:lang w:val="lv-LV"/>
        </w:rPr>
        <w:t>.  Pamatojoties uz Augstākās tiesas lēmumu, 2007. gada 14. februār</w:t>
      </w:r>
      <w:r w:rsidR="00E95BE7">
        <w:rPr>
          <w:rFonts w:ascii="Times New Roman" w:hAnsi="Times New Roman" w:cs="Times New Roman"/>
          <w:sz w:val="24"/>
          <w:szCs w:val="24"/>
          <w:lang w:val="lv-LV"/>
        </w:rPr>
        <w:t>ī Latgales priekšpilsētas tiesa</w:t>
      </w:r>
      <w:r w:rsidRPr="00E45AA2">
        <w:rPr>
          <w:rFonts w:ascii="Times New Roman" w:hAnsi="Times New Roman" w:cs="Times New Roman"/>
          <w:sz w:val="24"/>
          <w:szCs w:val="24"/>
          <w:lang w:val="lv-LV"/>
        </w:rPr>
        <w:t xml:space="preserve"> izdeva izpildu rakstu. Iesniedzējs nekavējoties izpildīja izpildu raksta noteikumus un samaksāja tiesu izpildītājam, kuru bija nolīdzis uzņēmums 90 244,62 Latvijas latus (LVL, aptuveni 129 000 eiro (EUR)), no kuriem LVL 84 366,04 sedza parāda pamatsummu un LVL </w:t>
      </w:r>
      <w:r w:rsidRPr="00E45AA2">
        <w:rPr>
          <w:rFonts w:ascii="Times New Roman" w:hAnsi="Times New Roman" w:cs="Times New Roman"/>
          <w:sz w:val="24"/>
          <w:szCs w:val="24"/>
          <w:lang w:val="lv-LV"/>
        </w:rPr>
        <w:lastRenderedPageBreak/>
        <w:t xml:space="preserve">5878,58 </w:t>
      </w:r>
      <w:r w:rsidR="00EB7834" w:rsidRPr="00E45AA2">
        <w:rPr>
          <w:rFonts w:ascii="Times New Roman" w:hAnsi="Times New Roman" w:cs="Times New Roman"/>
          <w:sz w:val="24"/>
          <w:szCs w:val="24"/>
          <w:lang w:val="lv-LV"/>
        </w:rPr>
        <w:t>– piedziņas izdevumus</w:t>
      </w:r>
      <w:r w:rsidRPr="00E45AA2">
        <w:rPr>
          <w:rFonts w:ascii="Times New Roman" w:hAnsi="Times New Roman" w:cs="Times New Roman"/>
          <w:sz w:val="24"/>
          <w:szCs w:val="24"/>
          <w:lang w:val="lv-LV"/>
        </w:rPr>
        <w:t xml:space="preserve">. Pēc tam viņš </w:t>
      </w:r>
      <w:r w:rsidR="00EB7834" w:rsidRPr="00E45AA2">
        <w:rPr>
          <w:rFonts w:ascii="Times New Roman" w:hAnsi="Times New Roman" w:cs="Times New Roman"/>
          <w:sz w:val="24"/>
          <w:szCs w:val="24"/>
          <w:lang w:val="lv-LV"/>
        </w:rPr>
        <w:t>lūdza dzēst hipotēkas atzīmi</w:t>
      </w:r>
      <w:r w:rsidRPr="00E45AA2">
        <w:rPr>
          <w:rFonts w:ascii="Times New Roman" w:hAnsi="Times New Roman" w:cs="Times New Roman"/>
          <w:sz w:val="24"/>
          <w:szCs w:val="24"/>
          <w:lang w:val="lv-LV"/>
        </w:rPr>
        <w:t xml:space="preserve">, kas apgrūtināja viņa īpašumu Garkalnē. Ar diviem lēmumiem, kas </w:t>
      </w:r>
      <w:r w:rsidR="00EF28A9">
        <w:rPr>
          <w:rFonts w:ascii="Times New Roman" w:hAnsi="Times New Roman" w:cs="Times New Roman"/>
          <w:sz w:val="24"/>
          <w:szCs w:val="24"/>
          <w:lang w:val="lv-LV"/>
        </w:rPr>
        <w:t xml:space="preserve">tika </w:t>
      </w:r>
      <w:r w:rsidRPr="00E45AA2">
        <w:rPr>
          <w:rFonts w:ascii="Times New Roman" w:hAnsi="Times New Roman" w:cs="Times New Roman"/>
          <w:sz w:val="24"/>
          <w:szCs w:val="24"/>
          <w:lang w:val="lv-LV"/>
        </w:rPr>
        <w:t xml:space="preserve">pieņemti 2008. gada 24. janvārī, zemesgrāmatu nodaļas tiesnesis šo lūgumu </w:t>
      </w:r>
      <w:r w:rsidR="00B953F4">
        <w:rPr>
          <w:rFonts w:ascii="Times New Roman" w:hAnsi="Times New Roman" w:cs="Times New Roman"/>
          <w:sz w:val="24"/>
          <w:szCs w:val="24"/>
          <w:lang w:val="lv-LV"/>
        </w:rPr>
        <w:t>n</w:t>
      </w:r>
      <w:r w:rsidR="00D8616E">
        <w:rPr>
          <w:rFonts w:ascii="Times New Roman" w:hAnsi="Times New Roman" w:cs="Times New Roman"/>
          <w:sz w:val="24"/>
          <w:szCs w:val="24"/>
          <w:lang w:val="lv-LV"/>
        </w:rPr>
        <w:t>or</w:t>
      </w:r>
      <w:r w:rsidR="00B953F4">
        <w:rPr>
          <w:rFonts w:ascii="Times New Roman" w:hAnsi="Times New Roman" w:cs="Times New Roman"/>
          <w:sz w:val="24"/>
          <w:szCs w:val="24"/>
          <w:lang w:val="lv-LV"/>
        </w:rPr>
        <w:t>a</w:t>
      </w:r>
      <w:r w:rsidR="00D8616E">
        <w:rPr>
          <w:rFonts w:ascii="Times New Roman" w:hAnsi="Times New Roman" w:cs="Times New Roman"/>
          <w:sz w:val="24"/>
          <w:szCs w:val="24"/>
          <w:lang w:val="lv-LV"/>
        </w:rPr>
        <w:t>i</w:t>
      </w:r>
      <w:r w:rsidR="00B953F4">
        <w:rPr>
          <w:rFonts w:ascii="Times New Roman" w:hAnsi="Times New Roman" w:cs="Times New Roman"/>
          <w:sz w:val="24"/>
          <w:szCs w:val="24"/>
          <w:lang w:val="lv-LV"/>
        </w:rPr>
        <w:t>dīja</w:t>
      </w:r>
      <w:r w:rsidRPr="00E45AA2">
        <w:rPr>
          <w:rFonts w:ascii="Times New Roman" w:hAnsi="Times New Roman" w:cs="Times New Roman"/>
          <w:sz w:val="24"/>
          <w:szCs w:val="24"/>
          <w:lang w:val="lv-LV"/>
        </w:rPr>
        <w:t xml:space="preserve">. Iesniedzējs iesniedza apelācijas sūdzību Augstākās tiesa Senātā, kas </w:t>
      </w:r>
      <w:r w:rsidR="003F7C65">
        <w:rPr>
          <w:rFonts w:ascii="Times New Roman" w:hAnsi="Times New Roman" w:cs="Times New Roman"/>
          <w:sz w:val="24"/>
          <w:szCs w:val="24"/>
          <w:lang w:val="lv-LV"/>
        </w:rPr>
        <w:t xml:space="preserve">ar </w:t>
      </w:r>
      <w:r w:rsidRPr="00E45AA2">
        <w:rPr>
          <w:rFonts w:ascii="Times New Roman" w:hAnsi="Times New Roman" w:cs="Times New Roman"/>
          <w:sz w:val="24"/>
          <w:szCs w:val="24"/>
          <w:lang w:val="lv-LV"/>
        </w:rPr>
        <w:t>sav</w:t>
      </w:r>
      <w:r w:rsidR="003F7C65">
        <w:rPr>
          <w:rFonts w:ascii="Times New Roman" w:hAnsi="Times New Roman" w:cs="Times New Roman"/>
          <w:sz w:val="24"/>
          <w:szCs w:val="24"/>
          <w:lang w:val="lv-LV"/>
        </w:rPr>
        <w:t>u</w:t>
      </w:r>
      <w:r w:rsidRPr="00E45AA2">
        <w:rPr>
          <w:rFonts w:ascii="Times New Roman" w:hAnsi="Times New Roman" w:cs="Times New Roman"/>
          <w:sz w:val="24"/>
          <w:szCs w:val="24"/>
          <w:lang w:val="lv-LV"/>
        </w:rPr>
        <w:t xml:space="preserve"> 2008. gada 14. maija </w:t>
      </w:r>
      <w:r w:rsidR="003F7C65">
        <w:rPr>
          <w:rFonts w:ascii="Times New Roman" w:hAnsi="Times New Roman" w:cs="Times New Roman"/>
          <w:sz w:val="24"/>
          <w:szCs w:val="24"/>
          <w:lang w:val="lv-LV"/>
        </w:rPr>
        <w:t>lēmumu</w:t>
      </w:r>
      <w:r w:rsidRPr="00E45AA2">
        <w:rPr>
          <w:rFonts w:ascii="Times New Roman" w:hAnsi="Times New Roman" w:cs="Times New Roman"/>
          <w:sz w:val="24"/>
          <w:szCs w:val="24"/>
          <w:lang w:val="lv-LV"/>
        </w:rPr>
        <w:t xml:space="preserve"> atcēla īpašumam piemēroto </w:t>
      </w:r>
      <w:r w:rsidR="003F7C65">
        <w:rPr>
          <w:rFonts w:ascii="Times New Roman" w:hAnsi="Times New Roman" w:cs="Times New Roman"/>
          <w:sz w:val="24"/>
          <w:szCs w:val="24"/>
          <w:lang w:val="lv-LV"/>
        </w:rPr>
        <w:t>apķīlājumu</w:t>
      </w:r>
      <w:r w:rsidRPr="00E45AA2">
        <w:rPr>
          <w:rFonts w:ascii="Times New Roman" w:hAnsi="Times New Roman" w:cs="Times New Roman"/>
          <w:sz w:val="24"/>
          <w:szCs w:val="24"/>
          <w:lang w:val="lv-LV"/>
        </w:rPr>
        <w:t>.</w:t>
      </w:r>
    </w:p>
    <w:p w:rsidR="0013508E" w:rsidRPr="00E45AA2" w:rsidRDefault="0013508E" w:rsidP="00EB7834">
      <w:pPr>
        <w:pStyle w:val="ECHRHeading1"/>
        <w:numPr>
          <w:ilvl w:val="0"/>
          <w:numId w:val="0"/>
        </w:numPr>
        <w:rPr>
          <w:rFonts w:ascii="Times New Roman" w:hAnsi="Times New Roman" w:cs="Times New Roman"/>
          <w:color w:val="auto"/>
          <w:sz w:val="24"/>
          <w:szCs w:val="24"/>
          <w:lang w:val="lv-LV"/>
        </w:rPr>
      </w:pPr>
      <w:r w:rsidRPr="00E45AA2">
        <w:rPr>
          <w:rFonts w:ascii="Times New Roman" w:hAnsi="Times New Roman" w:cs="Times New Roman"/>
          <w:color w:val="auto"/>
          <w:sz w:val="24"/>
          <w:szCs w:val="24"/>
          <w:lang w:val="lv-LV"/>
        </w:rPr>
        <w:t>II.  ATTIECĪGO EIROPAS SAVIENĪBAS UN STARPTAUTISKO TIESĪBU AKTU MATERIĀLI</w:t>
      </w:r>
    </w:p>
    <w:p w:rsidR="0013508E" w:rsidRPr="00E45AA2" w:rsidRDefault="0013508E" w:rsidP="00EB7834">
      <w:pPr>
        <w:pStyle w:val="ECHRHeading2"/>
        <w:numPr>
          <w:ilvl w:val="0"/>
          <w:numId w:val="0"/>
        </w:numPr>
        <w:rPr>
          <w:rFonts w:ascii="Times New Roman" w:hAnsi="Times New Roman" w:cs="Times New Roman"/>
          <w:i/>
          <w:color w:val="auto"/>
          <w:sz w:val="24"/>
          <w:szCs w:val="24"/>
          <w:lang w:val="lv-LV"/>
        </w:rPr>
      </w:pPr>
      <w:r w:rsidRPr="00E45AA2">
        <w:rPr>
          <w:rFonts w:ascii="Times New Roman" w:hAnsi="Times New Roman" w:cs="Times New Roman"/>
          <w:color w:val="auto"/>
          <w:sz w:val="24"/>
          <w:szCs w:val="24"/>
          <w:lang w:val="lv-LV"/>
        </w:rPr>
        <w:t xml:space="preserve">A.  Vispārējie Eiropas Savienības tiesību akti </w:t>
      </w:r>
    </w:p>
    <w:p w:rsidR="0013508E" w:rsidRDefault="0013508E" w:rsidP="00EB7834">
      <w:pPr>
        <w:pStyle w:val="ECHRHeading3"/>
        <w:numPr>
          <w:ilvl w:val="0"/>
          <w:numId w:val="0"/>
        </w:numPr>
        <w:ind w:left="720"/>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1.  Pamattiesības Eiropas Savienības tiesību aktos</w:t>
      </w:r>
    </w:p>
    <w:p w:rsidR="007C1ED3" w:rsidRPr="007C1ED3" w:rsidRDefault="007C1ED3" w:rsidP="007C1ED3">
      <w:pPr>
        <w:pStyle w:val="ECHRPara"/>
        <w:rPr>
          <w:lang w:val="lv-LV"/>
        </w:rPr>
      </w:pPr>
    </w:p>
    <w:p w:rsidR="0013508E"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36</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Lietas apstākļu norises brīdī Līguma par Eiropas Savienību (LES) 6. panta attiecīgo daļu redakcija ir šāda: </w:t>
      </w:r>
    </w:p>
    <w:p w:rsidR="007C1ED3" w:rsidRPr="00E45AA2" w:rsidRDefault="007C1ED3" w:rsidP="0013508E">
      <w:pPr>
        <w:pStyle w:val="ECHRPara"/>
        <w:rPr>
          <w:rFonts w:ascii="Times New Roman" w:hAnsi="Times New Roman" w:cs="Times New Roman"/>
          <w:szCs w:val="24"/>
          <w:lang w:val="lv-LV"/>
        </w:rPr>
      </w:pPr>
    </w:p>
    <w:p w:rsidR="0013508E" w:rsidRPr="00E45AA2" w:rsidRDefault="0013508E" w:rsidP="007C1ED3">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 xml:space="preserve">„1.  Savienība ir dibināta uz brīvības, demokrātijas, </w:t>
      </w:r>
      <w:r w:rsidRPr="00E45AA2">
        <w:rPr>
          <w:rFonts w:ascii="Times New Roman" w:hAnsi="Times New Roman" w:cs="Times New Roman"/>
          <w:szCs w:val="20"/>
          <w:shd w:val="clear" w:color="auto" w:fill="FFFFFF"/>
          <w:lang w:val="lv-LV"/>
        </w:rPr>
        <w:t>cilvēktiesību un pamatbrīvību ievērošanas un tiesiskuma principiem, kas ir kopīgi dalībvalstīm.</w:t>
      </w:r>
      <w:r w:rsidRPr="00E45AA2">
        <w:rPr>
          <w:rStyle w:val="apple-converted-space"/>
          <w:rFonts w:ascii="Times New Roman" w:hAnsi="Times New Roman" w:cs="Times New Roman"/>
          <w:szCs w:val="20"/>
          <w:shd w:val="clear" w:color="auto" w:fill="FFFFFF"/>
          <w:lang w:val="lv-LV"/>
        </w:rPr>
        <w:t> </w:t>
      </w:r>
    </w:p>
    <w:p w:rsidR="0013508E" w:rsidRPr="00E45AA2" w:rsidRDefault="0013508E" w:rsidP="007C1ED3">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 xml:space="preserve">2. Eiropas Savienība kā Kopienas tiesību vispārējus principus ievēro pamattiesības, ko garantē </w:t>
      </w:r>
      <w:r w:rsidRPr="00E45AA2">
        <w:rPr>
          <w:rFonts w:ascii="Times New Roman" w:hAnsi="Times New Roman" w:cs="Times New Roman"/>
          <w:szCs w:val="20"/>
          <w:shd w:val="clear" w:color="auto" w:fill="FFFFFF"/>
          <w:lang w:val="lv-LV"/>
        </w:rPr>
        <w:t xml:space="preserve">1950.gada 4.novembrī Romā parakstītā </w:t>
      </w:r>
      <w:r w:rsidRPr="00E45AA2">
        <w:rPr>
          <w:rFonts w:ascii="Times New Roman" w:hAnsi="Times New Roman" w:cs="Times New Roman"/>
          <w:szCs w:val="20"/>
          <w:lang w:val="lv-LV"/>
        </w:rPr>
        <w:t xml:space="preserve">Eiropas </w:t>
      </w:r>
      <w:r w:rsidRPr="00E45AA2">
        <w:rPr>
          <w:rFonts w:ascii="Times New Roman" w:hAnsi="Times New Roman" w:cs="Times New Roman"/>
          <w:szCs w:val="20"/>
          <w:shd w:val="clear" w:color="auto" w:fill="FFFFFF"/>
          <w:lang w:val="lv-LV"/>
        </w:rPr>
        <w:t>Konvencija par cilvēktiesību un pamatbrīvību aizsardzību</w:t>
      </w:r>
      <w:r w:rsidR="00EB7834" w:rsidRPr="00E45AA2">
        <w:rPr>
          <w:rFonts w:ascii="Times New Roman" w:hAnsi="Times New Roman" w:cs="Times New Roman"/>
          <w:szCs w:val="20"/>
          <w:shd w:val="clear" w:color="auto" w:fill="FFFFFF"/>
          <w:lang w:val="lv-LV"/>
        </w:rPr>
        <w:t xml:space="preserve"> </w:t>
      </w:r>
      <w:r w:rsidRPr="00E45AA2">
        <w:rPr>
          <w:rFonts w:ascii="Times New Roman" w:hAnsi="Times New Roman" w:cs="Times New Roman"/>
          <w:szCs w:val="20"/>
          <w:shd w:val="clear" w:color="auto" w:fill="FFFFFF"/>
          <w:lang w:val="lv-LV"/>
        </w:rPr>
        <w:t>un kas izriet no dalībvalstu kopīgām konstitucionālām tradīcijām.</w:t>
      </w:r>
      <w:r w:rsidRPr="00E45AA2">
        <w:rPr>
          <w:rStyle w:val="apple-converted-space"/>
          <w:rFonts w:ascii="Times New Roman" w:hAnsi="Times New Roman" w:cs="Times New Roman"/>
          <w:szCs w:val="20"/>
          <w:shd w:val="clear" w:color="auto" w:fill="FFFFFF"/>
          <w:lang w:val="lv-LV"/>
        </w:rPr>
        <w:t> </w:t>
      </w:r>
    </w:p>
    <w:p w:rsidR="0013508E" w:rsidRDefault="0013508E" w:rsidP="007C1ED3">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w:t>
      </w:r>
    </w:p>
    <w:p w:rsidR="007C1ED3" w:rsidRPr="00E45AA2" w:rsidRDefault="007C1ED3" w:rsidP="007C1ED3">
      <w:pPr>
        <w:pStyle w:val="ECHRParaQuote"/>
        <w:spacing w:before="0" w:after="0"/>
        <w:rPr>
          <w:rFonts w:ascii="Times New Roman" w:hAnsi="Times New Roman" w:cs="Times New Roman"/>
          <w:szCs w:val="20"/>
          <w:lang w:val="lv-LV"/>
        </w:rPr>
      </w:pPr>
    </w:p>
    <w:p w:rsidR="0013508E" w:rsidRDefault="0013508E" w:rsidP="0013508E">
      <w:pPr>
        <w:pStyle w:val="ECHRPara"/>
        <w:keepNext/>
        <w:keepLines/>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37</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Pēc Lisabonas Līguma stāšanās spēkā 2009. gada 1. decembrī LES </w:t>
      </w:r>
      <w:r w:rsidR="00EB7834" w:rsidRPr="00E45AA2">
        <w:rPr>
          <w:rFonts w:ascii="Times New Roman" w:hAnsi="Times New Roman" w:cs="Times New Roman"/>
          <w:szCs w:val="24"/>
          <w:lang w:val="lv-LV"/>
        </w:rPr>
        <w:t>6. panta redakcija ir šāda:</w:t>
      </w:r>
    </w:p>
    <w:p w:rsidR="007C1ED3" w:rsidRPr="00E45AA2" w:rsidRDefault="007C1ED3" w:rsidP="0013508E">
      <w:pPr>
        <w:pStyle w:val="ECHRPara"/>
        <w:keepNext/>
        <w:keepLines/>
        <w:rPr>
          <w:rFonts w:ascii="Times New Roman" w:hAnsi="Times New Roman" w:cs="Times New Roman"/>
          <w:szCs w:val="24"/>
          <w:lang w:val="lv-LV"/>
        </w:rPr>
      </w:pPr>
    </w:p>
    <w:p w:rsidR="0013508E" w:rsidRPr="00E45AA2" w:rsidRDefault="0013508E" w:rsidP="007C1ED3">
      <w:pPr>
        <w:pStyle w:val="ECHRParaQuote"/>
        <w:spacing w:before="0" w:after="0"/>
        <w:rPr>
          <w:rFonts w:ascii="Times New Roman" w:eastAsia="Times New Roman" w:hAnsi="Times New Roman" w:cs="Times New Roman"/>
          <w:szCs w:val="24"/>
          <w:lang w:val="lv-LV" w:eastAsia="lv-LV"/>
        </w:rPr>
      </w:pPr>
      <w:r w:rsidRPr="00E45AA2">
        <w:rPr>
          <w:rFonts w:ascii="Times New Roman" w:eastAsia="Times New Roman" w:hAnsi="Times New Roman" w:cs="Times New Roman"/>
          <w:szCs w:val="24"/>
          <w:lang w:val="lv-LV" w:eastAsia="lv-LV"/>
        </w:rPr>
        <w:t xml:space="preserve"> „1. Savienība atzīst tiesības, brīvības un principus, kas izklāstīti 2000. gada 7. decembra Eiropas Savienības Pamattiesību hartā, kas pieņemta Strasbūrā 2007. gada 12. decembrī, un šai hartai ir tāds pats juridiskais spēks kā Līgumiem.</w:t>
      </w:r>
    </w:p>
    <w:p w:rsidR="0013508E" w:rsidRPr="00E45AA2" w:rsidRDefault="0013508E" w:rsidP="007C1ED3">
      <w:pPr>
        <w:pStyle w:val="ECHRParaQuote"/>
        <w:spacing w:before="0" w:after="0"/>
        <w:rPr>
          <w:rFonts w:ascii="Times New Roman" w:eastAsia="Times New Roman" w:hAnsi="Times New Roman" w:cs="Times New Roman"/>
          <w:szCs w:val="24"/>
          <w:lang w:val="lv-LV" w:eastAsia="lv-LV"/>
        </w:rPr>
      </w:pPr>
      <w:r w:rsidRPr="00E45AA2">
        <w:rPr>
          <w:rFonts w:ascii="Times New Roman" w:eastAsia="Times New Roman" w:hAnsi="Times New Roman" w:cs="Times New Roman"/>
          <w:szCs w:val="24"/>
          <w:lang w:val="lv-LV" w:eastAsia="lv-LV"/>
        </w:rPr>
        <w:t>Hartas noteikumi nekādā ziņā nepaplašina Savienības kompetences, kā tās noteiktas Līgumos.</w:t>
      </w:r>
    </w:p>
    <w:p w:rsidR="0013508E" w:rsidRPr="00E45AA2" w:rsidRDefault="0013508E" w:rsidP="007C1ED3">
      <w:pPr>
        <w:pStyle w:val="ECHRParaQuote"/>
        <w:spacing w:before="0" w:after="0"/>
        <w:rPr>
          <w:rFonts w:ascii="Times New Roman" w:eastAsia="Times New Roman" w:hAnsi="Times New Roman" w:cs="Times New Roman"/>
          <w:szCs w:val="24"/>
          <w:lang w:val="lv-LV" w:eastAsia="lv-LV"/>
        </w:rPr>
      </w:pPr>
      <w:r w:rsidRPr="00E45AA2">
        <w:rPr>
          <w:rFonts w:ascii="Times New Roman" w:eastAsia="Times New Roman" w:hAnsi="Times New Roman" w:cs="Times New Roman"/>
          <w:szCs w:val="24"/>
          <w:lang w:val="lv-LV" w:eastAsia="lv-LV"/>
        </w:rPr>
        <w:t>Hartā paredzētās tiesības, brīvības un principus interpretē saskaņā ar hartas VII sadaļas vispārējiem noteikumiem, ar ko reglamentē tās interpretēšanu un piemērošanu, un pienācīgi ņemot vērā Hartā minētos paskaidrojumus, kuros izklāsta minēto noteikumu pamatu.</w:t>
      </w:r>
    </w:p>
    <w:p w:rsidR="0013508E" w:rsidRPr="00E45AA2" w:rsidRDefault="0013508E" w:rsidP="007C1ED3">
      <w:pPr>
        <w:pStyle w:val="ECHRParaQuote"/>
        <w:spacing w:before="0" w:after="0"/>
        <w:rPr>
          <w:rFonts w:ascii="Times New Roman" w:eastAsia="Times New Roman" w:hAnsi="Times New Roman" w:cs="Times New Roman"/>
          <w:szCs w:val="24"/>
          <w:lang w:val="lv-LV" w:eastAsia="lv-LV"/>
        </w:rPr>
      </w:pPr>
      <w:r w:rsidRPr="00E45AA2">
        <w:rPr>
          <w:rFonts w:ascii="Times New Roman" w:eastAsia="Times New Roman" w:hAnsi="Times New Roman" w:cs="Times New Roman"/>
          <w:szCs w:val="24"/>
          <w:lang w:val="lv-LV" w:eastAsia="lv-LV"/>
        </w:rPr>
        <w:t>2. Savienība pievienojas Eiropas Cilvēktiesību un pamatbrīvību aizsardzības konvencijai. Šī pievienošanās neietekmē Savienības kompetences, kā tās noteiktas Līgumos.</w:t>
      </w:r>
    </w:p>
    <w:p w:rsidR="0013508E" w:rsidRDefault="0013508E" w:rsidP="007C1ED3">
      <w:pPr>
        <w:pStyle w:val="ECHRParaQuote"/>
        <w:spacing w:before="0" w:after="0"/>
        <w:rPr>
          <w:rFonts w:ascii="Times New Roman" w:eastAsia="Times New Roman" w:hAnsi="Times New Roman" w:cs="Times New Roman"/>
          <w:szCs w:val="24"/>
          <w:lang w:val="lv-LV" w:eastAsia="lv-LV"/>
        </w:rPr>
      </w:pPr>
      <w:r w:rsidRPr="00E45AA2">
        <w:rPr>
          <w:rFonts w:ascii="Times New Roman" w:eastAsia="Times New Roman" w:hAnsi="Times New Roman" w:cs="Times New Roman"/>
          <w:szCs w:val="24"/>
          <w:lang w:val="lv-LV" w:eastAsia="lv-LV"/>
        </w:rPr>
        <w:t>3. Pamattiesības, kas garantētas Eiropas Cilvēktiesību un pamatbrīvību aizsardzības konvencijā un kas izriet no dalībvalstu kopīgajām konstitucionālajām tradīcijām, ir Savienības tiesību vispārējo principu pamats.”</w:t>
      </w:r>
    </w:p>
    <w:p w:rsidR="007C1ED3" w:rsidRPr="00E45AA2" w:rsidRDefault="007C1ED3" w:rsidP="007C1ED3">
      <w:pPr>
        <w:pStyle w:val="ECHRParaQuote"/>
        <w:spacing w:before="0" w:after="0"/>
        <w:rPr>
          <w:rFonts w:ascii="Times New Roman" w:hAnsi="Times New Roman" w:cs="Times New Roman"/>
          <w:szCs w:val="24"/>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38</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Turklāt kopš 2009. gada 1. decembra attiecīgie Līguma par Eiropas Savienības darbību (LESD) noteikumi paredz: </w:t>
      </w:r>
    </w:p>
    <w:p w:rsidR="0013508E" w:rsidRPr="00E45AA2" w:rsidRDefault="0013508E" w:rsidP="0013508E">
      <w:pPr>
        <w:pStyle w:val="ECHRTitleCentre3"/>
        <w:rPr>
          <w:rFonts w:ascii="Times New Roman" w:hAnsi="Times New Roman" w:cs="Times New Roman"/>
          <w:szCs w:val="24"/>
          <w:lang w:val="lv-LV"/>
        </w:rPr>
      </w:pPr>
      <w:r w:rsidRPr="00E45AA2">
        <w:rPr>
          <w:rFonts w:ascii="Times New Roman" w:hAnsi="Times New Roman" w:cs="Times New Roman"/>
          <w:szCs w:val="24"/>
          <w:lang w:val="lv-LV"/>
        </w:rPr>
        <w:lastRenderedPageBreak/>
        <w:t>67. pants</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„1.  Savienība brīvības, drošības un tiesiskuma</w:t>
      </w:r>
      <w:r w:rsidRPr="00E45AA2">
        <w:rPr>
          <w:rFonts w:ascii="Times New Roman" w:hAnsi="Times New Roman" w:cs="Times New Roman"/>
          <w:szCs w:val="24"/>
          <w:shd w:val="clear" w:color="auto" w:fill="FFFFFF"/>
          <w:lang w:val="lv-LV"/>
        </w:rPr>
        <w:t xml:space="preserve"> telpu veido, ievērojot pamattiesības un dalībvalstu atšķirīgās tiesību sistēmas un tradīcijas.</w:t>
      </w:r>
      <w:r w:rsidRPr="00E45AA2">
        <w:rPr>
          <w:rStyle w:val="apple-converted-space"/>
          <w:rFonts w:ascii="Times New Roman" w:hAnsi="Times New Roman" w:cs="Times New Roman"/>
          <w:szCs w:val="24"/>
          <w:shd w:val="clear" w:color="auto" w:fill="FFFFFF"/>
          <w:lang w:val="lv-LV"/>
        </w:rPr>
        <w:t>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4.  Savienība veicina tiesu iestāžu pieejamību, jo īpaši, piemērojot  </w:t>
      </w:r>
      <w:r w:rsidRPr="00E45AA2">
        <w:rPr>
          <w:rFonts w:ascii="Times New Roman" w:hAnsi="Times New Roman" w:cs="Times New Roman"/>
          <w:szCs w:val="24"/>
          <w:shd w:val="clear" w:color="auto" w:fill="FFFFFF"/>
          <w:lang w:val="lv-LV"/>
        </w:rPr>
        <w:t xml:space="preserve"> tiesas nolēmumu un ārpustiesas lēmumu savstarpējas atzīšanas principu civillietās</w:t>
      </w:r>
      <w:r w:rsidRPr="00E45AA2">
        <w:rPr>
          <w:rFonts w:ascii="Times New Roman" w:hAnsi="Times New Roman" w:cs="Times New Roman"/>
          <w:szCs w:val="24"/>
          <w:lang w:val="lv-LV"/>
        </w:rPr>
        <w:t>.”</w:t>
      </w:r>
    </w:p>
    <w:p w:rsidR="0013508E" w:rsidRPr="00E45AA2" w:rsidRDefault="0013508E" w:rsidP="0013508E">
      <w:pPr>
        <w:pStyle w:val="ECHRTitleCentre3"/>
        <w:rPr>
          <w:rFonts w:ascii="Times New Roman" w:hAnsi="Times New Roman" w:cs="Times New Roman"/>
          <w:szCs w:val="24"/>
          <w:lang w:val="lv-LV"/>
        </w:rPr>
      </w:pPr>
      <w:r w:rsidRPr="00E45AA2">
        <w:rPr>
          <w:rFonts w:ascii="Times New Roman" w:hAnsi="Times New Roman" w:cs="Times New Roman"/>
          <w:szCs w:val="24"/>
          <w:lang w:val="lv-LV"/>
        </w:rPr>
        <w:t>81. panta 1. punkts</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r w:rsidRPr="00E45AA2">
        <w:rPr>
          <w:rFonts w:ascii="Times New Roman" w:hAnsi="Times New Roman" w:cs="Times New Roman"/>
          <w:szCs w:val="24"/>
          <w:shd w:val="clear" w:color="auto" w:fill="FFFFFF"/>
          <w:lang w:val="lv-LV"/>
        </w:rPr>
        <w:t>Savienība izvērš tiesu iestāžu sadarbību civillietās, kurās ir pārrobežu elementi, pamatojoties uz tiesas nolēmumu un ārpustiesas lēmumu savstarpējas atzīšanas principu. Šāda sadarbība var ietvert pasākumus dalībvalstu normatīvo aktu tuvināšanai</w:t>
      </w:r>
      <w:r w:rsidRPr="00E45AA2">
        <w:rPr>
          <w:rFonts w:ascii="Times New Roman" w:hAnsi="Times New Roman" w:cs="Times New Roman"/>
          <w:szCs w:val="24"/>
          <w:lang w:val="lv-LV"/>
        </w:rPr>
        <w:t>.”</w:t>
      </w:r>
    </w:p>
    <w:p w:rsidR="0013508E" w:rsidRPr="00E45AA2" w:rsidRDefault="0013508E" w:rsidP="0013508E">
      <w:pPr>
        <w:pStyle w:val="ECHRTitleCentre3"/>
        <w:rPr>
          <w:rFonts w:ascii="Times New Roman" w:hAnsi="Times New Roman" w:cs="Times New Roman"/>
          <w:szCs w:val="24"/>
          <w:lang w:val="lv-LV"/>
        </w:rPr>
      </w:pPr>
      <w:r w:rsidRPr="00E45AA2">
        <w:rPr>
          <w:rFonts w:ascii="Times New Roman" w:hAnsi="Times New Roman" w:cs="Times New Roman"/>
          <w:szCs w:val="24"/>
          <w:lang w:val="lv-LV"/>
        </w:rPr>
        <w:t>82. panta 1. punkts</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shd w:val="clear" w:color="auto" w:fill="FFFFFF"/>
          <w:lang w:val="lv-LV"/>
        </w:rPr>
        <w:t>„Savienībā tiesu iestāžu sadarbība krimināllietās pamatojas uz tiesas spriedumu un lēmumu savstarpējas atzīšanas principu, un tā ietver dalībvalstu normatīvo aktu tuvināšanu jomās, kas minētas 2. punktā un 83. pantā.</w:t>
      </w:r>
      <w:r w:rsidRPr="00E45AA2">
        <w:rPr>
          <w:rFonts w:ascii="Times New Roman" w:hAnsi="Times New Roman" w:cs="Times New Roman"/>
          <w:szCs w:val="24"/>
          <w:lang w:val="lv-LV"/>
        </w:rPr>
        <w:t>”</w:t>
      </w:r>
    </w:p>
    <w:p w:rsidR="0013508E" w:rsidRPr="007C1ED3" w:rsidRDefault="0013508E" w:rsidP="0013508E">
      <w:pPr>
        <w:pStyle w:val="ECHRPara"/>
        <w:keepNext/>
        <w:keepLines/>
        <w:rPr>
          <w:rFonts w:ascii="Times New Roman" w:hAnsi="Times New Roman" w:cs="Times New Roman"/>
          <w:szCs w:val="24"/>
          <w:lang w:val="lv-LV"/>
        </w:rPr>
      </w:pPr>
      <w:r w:rsidRPr="007C1ED3">
        <w:rPr>
          <w:rFonts w:ascii="Times New Roman" w:hAnsi="Times New Roman" w:cs="Times New Roman"/>
          <w:szCs w:val="24"/>
          <w:lang w:val="lv-LV"/>
        </w:rPr>
        <w:fldChar w:fldCharType="begin"/>
      </w:r>
      <w:r w:rsidRPr="007C1ED3">
        <w:rPr>
          <w:rFonts w:ascii="Times New Roman" w:hAnsi="Times New Roman" w:cs="Times New Roman"/>
          <w:szCs w:val="24"/>
          <w:lang w:val="lv-LV"/>
        </w:rPr>
        <w:instrText xml:space="preserve"> SEQ level0 \*arabic </w:instrText>
      </w:r>
      <w:r w:rsidRPr="007C1ED3">
        <w:rPr>
          <w:rFonts w:ascii="Times New Roman" w:hAnsi="Times New Roman" w:cs="Times New Roman"/>
          <w:szCs w:val="24"/>
          <w:lang w:val="lv-LV"/>
        </w:rPr>
        <w:fldChar w:fldCharType="separate"/>
      </w:r>
      <w:r w:rsidRPr="007C1ED3">
        <w:rPr>
          <w:rFonts w:ascii="Times New Roman" w:hAnsi="Times New Roman" w:cs="Times New Roman"/>
          <w:noProof/>
          <w:szCs w:val="24"/>
          <w:lang w:val="lv-LV"/>
        </w:rPr>
        <w:t>39</w:t>
      </w:r>
      <w:r w:rsidRPr="007C1ED3">
        <w:rPr>
          <w:rFonts w:ascii="Times New Roman" w:hAnsi="Times New Roman" w:cs="Times New Roman"/>
          <w:szCs w:val="24"/>
          <w:lang w:val="lv-LV"/>
        </w:rPr>
        <w:fldChar w:fldCharType="end"/>
      </w:r>
      <w:r w:rsidRPr="007C1ED3">
        <w:rPr>
          <w:rFonts w:ascii="Times New Roman" w:hAnsi="Times New Roman" w:cs="Times New Roman"/>
          <w:szCs w:val="24"/>
          <w:lang w:val="lv-LV"/>
        </w:rPr>
        <w:t xml:space="preserve">.  Visbeidzot Eiropas Kopienas dibināšanas līguma (EKDL) 249. pants (piemērojams lietas apstākļu norises brīdī un vienāds ar LESD 288. panta 2. punktu) noteica šādi: </w:t>
      </w:r>
    </w:p>
    <w:p w:rsidR="0013508E" w:rsidRPr="00E45AA2" w:rsidRDefault="0013508E" w:rsidP="0013508E">
      <w:pPr>
        <w:pStyle w:val="ECHRParaQuote"/>
        <w:rPr>
          <w:rFonts w:ascii="Times New Roman" w:hAnsi="Times New Roman" w:cs="Times New Roman"/>
          <w:sz w:val="22"/>
          <w:szCs w:val="24"/>
          <w:lang w:val="lv-LV"/>
        </w:rPr>
      </w:pPr>
      <w:r w:rsidRPr="00E45AA2">
        <w:rPr>
          <w:rFonts w:ascii="Times New Roman" w:hAnsi="Times New Roman" w:cs="Times New Roman"/>
          <w:szCs w:val="24"/>
          <w:lang w:val="lv-LV"/>
        </w:rPr>
        <w:t>“Regulas ir vispārpiemērojamas. Tās uzliek saistības kopumā un ir tieši piemērojamas visās dalībvalstīs”</w:t>
      </w:r>
      <w:r w:rsidRPr="00E45AA2">
        <w:rPr>
          <w:rFonts w:ascii="Times New Roman" w:hAnsi="Times New Roman" w:cs="Times New Roman"/>
          <w:sz w:val="22"/>
          <w:szCs w:val="24"/>
          <w:lang w:val="lv-LV"/>
        </w:rPr>
        <w:t xml:space="preserve">. </w:t>
      </w:r>
    </w:p>
    <w:p w:rsidR="0013508E" w:rsidRPr="007C1ED3" w:rsidRDefault="0013508E" w:rsidP="0013508E">
      <w:pPr>
        <w:pStyle w:val="ECHRPara"/>
        <w:rPr>
          <w:rFonts w:ascii="Times New Roman" w:hAnsi="Times New Roman" w:cs="Times New Roman"/>
          <w:szCs w:val="24"/>
          <w:lang w:val="lv-LV"/>
        </w:rPr>
      </w:pPr>
      <w:r w:rsidRPr="007C1ED3">
        <w:rPr>
          <w:rFonts w:ascii="Times New Roman" w:hAnsi="Times New Roman" w:cs="Times New Roman"/>
          <w:szCs w:val="24"/>
          <w:lang w:val="lv-LV"/>
        </w:rPr>
        <w:fldChar w:fldCharType="begin"/>
      </w:r>
      <w:r w:rsidRPr="007C1ED3">
        <w:rPr>
          <w:rFonts w:ascii="Times New Roman" w:hAnsi="Times New Roman" w:cs="Times New Roman"/>
          <w:szCs w:val="24"/>
          <w:lang w:val="lv-LV"/>
        </w:rPr>
        <w:instrText xml:space="preserve"> SEQ level0 \*arabic </w:instrText>
      </w:r>
      <w:r w:rsidRPr="007C1ED3">
        <w:rPr>
          <w:rFonts w:ascii="Times New Roman" w:hAnsi="Times New Roman" w:cs="Times New Roman"/>
          <w:szCs w:val="24"/>
          <w:lang w:val="lv-LV"/>
        </w:rPr>
        <w:fldChar w:fldCharType="separate"/>
      </w:r>
      <w:r w:rsidRPr="007C1ED3">
        <w:rPr>
          <w:rFonts w:ascii="Times New Roman" w:hAnsi="Times New Roman" w:cs="Times New Roman"/>
          <w:noProof/>
          <w:szCs w:val="24"/>
          <w:lang w:val="lv-LV"/>
        </w:rPr>
        <w:t>40</w:t>
      </w:r>
      <w:r w:rsidRPr="007C1ED3">
        <w:rPr>
          <w:rFonts w:ascii="Times New Roman" w:hAnsi="Times New Roman" w:cs="Times New Roman"/>
          <w:szCs w:val="24"/>
          <w:lang w:val="lv-LV"/>
        </w:rPr>
        <w:fldChar w:fldCharType="end"/>
      </w:r>
      <w:r w:rsidRPr="007C1ED3">
        <w:rPr>
          <w:rFonts w:ascii="Times New Roman" w:hAnsi="Times New Roman" w:cs="Times New Roman"/>
          <w:szCs w:val="24"/>
          <w:lang w:val="lv-LV"/>
        </w:rPr>
        <w:t xml:space="preserve">.  Attiecīgie Eiropas Savienības Pamattiesību hartas noteikumi (kas lietas apstākļu </w:t>
      </w:r>
      <w:r w:rsidR="001B61BB">
        <w:rPr>
          <w:rFonts w:ascii="Times New Roman" w:hAnsi="Times New Roman" w:cs="Times New Roman"/>
          <w:szCs w:val="24"/>
          <w:lang w:val="lv-LV"/>
        </w:rPr>
        <w:t>norises</w:t>
      </w:r>
      <w:r w:rsidRPr="007C1ED3">
        <w:rPr>
          <w:rFonts w:ascii="Times New Roman" w:hAnsi="Times New Roman" w:cs="Times New Roman"/>
          <w:szCs w:val="24"/>
          <w:lang w:val="lv-LV"/>
        </w:rPr>
        <w:t xml:space="preserve"> brīdī vēl nebija saistoši) paredz: </w:t>
      </w:r>
    </w:p>
    <w:p w:rsidR="0013508E" w:rsidRPr="00E45AA2" w:rsidRDefault="0013508E" w:rsidP="00EB7834">
      <w:pPr>
        <w:pStyle w:val="ECHRTitleCentre3"/>
        <w:rPr>
          <w:rFonts w:ascii="Times New Roman" w:hAnsi="Times New Roman" w:cs="Times New Roman"/>
          <w:bCs/>
          <w:szCs w:val="24"/>
          <w:lang w:val="lv-LV"/>
        </w:rPr>
      </w:pPr>
      <w:r w:rsidRPr="00E45AA2">
        <w:rPr>
          <w:rFonts w:ascii="Times New Roman" w:hAnsi="Times New Roman" w:cs="Times New Roman"/>
          <w:szCs w:val="24"/>
          <w:lang w:val="lv-LV"/>
        </w:rPr>
        <w:t>47. pants. Tiesības uz efektīvu tiesību aizsardzību un taisnīgu tiesu</w:t>
      </w:r>
    </w:p>
    <w:p w:rsidR="0013508E" w:rsidRPr="00E45AA2" w:rsidRDefault="0013508E" w:rsidP="00EB7834">
      <w:pPr>
        <w:pStyle w:val="ECHRParaQuote"/>
        <w:rPr>
          <w:rFonts w:ascii="Times New Roman" w:hAnsi="Times New Roman" w:cs="Times New Roman"/>
          <w:szCs w:val="24"/>
          <w:lang w:val="lv-LV"/>
        </w:rPr>
      </w:pPr>
      <w:r w:rsidRPr="00E45AA2">
        <w:rPr>
          <w:rFonts w:ascii="Times New Roman" w:hAnsi="Times New Roman" w:cs="Times New Roman"/>
          <w:szCs w:val="24"/>
          <w:lang w:val="lv-LV"/>
        </w:rPr>
        <w:t>„Ikvienai personai, kuras tiesības un brīvības, kas garantētas Savienības tiesībās, tikušas pārkāptas, ir tiesības uz efektīvu tiesību aizsardzību, ievērojot nosacījumus, kuri paredzēti šajā pantā.</w:t>
      </w:r>
    </w:p>
    <w:p w:rsidR="0013508E" w:rsidRPr="00E45AA2" w:rsidRDefault="0013508E" w:rsidP="00EB7834">
      <w:pPr>
        <w:pStyle w:val="ECHRParaQuote"/>
        <w:rPr>
          <w:rFonts w:ascii="Times New Roman" w:hAnsi="Times New Roman" w:cs="Times New Roman"/>
          <w:szCs w:val="24"/>
          <w:lang w:val="lv-LV"/>
        </w:rPr>
      </w:pPr>
      <w:r w:rsidRPr="00E45AA2">
        <w:rPr>
          <w:rFonts w:ascii="Times New Roman" w:hAnsi="Times New Roman" w:cs="Times New Roman"/>
          <w:szCs w:val="24"/>
          <w:lang w:val="lv-LV"/>
        </w:rPr>
        <w:t xml:space="preserve"> Ikvienai personai ir tiesības uz taisnīgu, atklātu un laikus veiktu lietas izskatīšanu neatkarīgā un objektīvā, tiesību aktos noteiktā tiesā. Ikvienai personai ir iespējas saņemt konsultāciju, aizstāvību un pārstāvību.</w:t>
      </w:r>
    </w:p>
    <w:p w:rsidR="0013508E" w:rsidRPr="00E45AA2" w:rsidRDefault="0013508E" w:rsidP="00EB7834">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TitleCentre3"/>
        <w:rPr>
          <w:rFonts w:ascii="Times New Roman" w:hAnsi="Times New Roman" w:cs="Times New Roman"/>
          <w:szCs w:val="24"/>
          <w:lang w:val="lv-LV"/>
        </w:rPr>
      </w:pPr>
      <w:r w:rsidRPr="00E45AA2">
        <w:rPr>
          <w:rFonts w:ascii="Times New Roman" w:hAnsi="Times New Roman" w:cs="Times New Roman"/>
          <w:szCs w:val="24"/>
          <w:lang w:val="lv-LV"/>
        </w:rPr>
        <w:t>51. pants. Piemērošanas joma</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„1.  Šīs Hartas noteikumi attiecas uz Savienības iestādēm un struktūrām, ievērojot subsidiaritātes principu, un uz dalībvalstīm tikai tad, ja tās īsteno Savienības tiesību aktus</w:t>
      </w:r>
      <w:r w:rsidR="00567C63">
        <w:rPr>
          <w:rFonts w:ascii="Times New Roman" w:hAnsi="Times New Roman" w:cs="Times New Roman"/>
          <w:szCs w:val="24"/>
          <w:lang w:val="lv-LV"/>
        </w:rPr>
        <w:t>(</w:t>
      </w:r>
      <w:r w:rsidRPr="00E45AA2">
        <w:rPr>
          <w:rFonts w:ascii="Times New Roman" w:hAnsi="Times New Roman" w:cs="Times New Roman"/>
          <w:szCs w:val="24"/>
          <w:lang w:val="lv-LV"/>
        </w:rPr>
        <w:t>...</w:t>
      </w:r>
      <w:r w:rsidR="00567C63">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TitleCentre3"/>
        <w:rPr>
          <w:rFonts w:ascii="Times New Roman" w:hAnsi="Times New Roman" w:cs="Times New Roman"/>
          <w:bCs/>
          <w:szCs w:val="24"/>
          <w:lang w:val="lv-LV"/>
        </w:rPr>
      </w:pPr>
      <w:r w:rsidRPr="00E45AA2">
        <w:rPr>
          <w:rFonts w:ascii="Times New Roman" w:hAnsi="Times New Roman" w:cs="Times New Roman"/>
          <w:szCs w:val="24"/>
          <w:lang w:val="lv-LV"/>
        </w:rPr>
        <w:t>52. pants. Tiesību un principu piemērošana un interpretēšana</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 xml:space="preserve">„1. Visiem šajā Hartā atzīto tiesību un brīvību izmantošanas ierobežojumiem ir jābūt noteiktiem tiesību aktos, un tajos jārespektē šo tiesību un brīvību būtība. Ievērojot proporcionalitātes principu, ierobežojumus drīkst uzlikt tikai tad, ja tie ir nepieciešami </w:t>
      </w:r>
      <w:r w:rsidRPr="00E45AA2">
        <w:rPr>
          <w:rFonts w:ascii="Times New Roman" w:hAnsi="Times New Roman" w:cs="Times New Roman"/>
          <w:szCs w:val="24"/>
          <w:lang w:val="lv-LV"/>
        </w:rPr>
        <w:lastRenderedPageBreak/>
        <w:t>un patiešām atbilst vispārējas nozīmes mērķiem, ko atzinusi Savienība, vai vajadzībai aizsargāt citu personu tiesības un brīvības.</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3. Ciktāl Hartā ir ietvertas tiesības, kuras atbilst Eiropas Cilvēktiesību un pamatbrīvību aizsardzības konvencijā garantētajām tiesībām, šo tiesību nozīme un apjoms ir tāds pats kā minētajā Konvencijā noteiktajām tiesībām. Šis noteikums neliedz Savienības tiesībās paredzēt plašāku aizsardzību.</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4. Ciktāl šajā Hartā ir atzītas pamattiesības, kuru pamatā ir dalībvalstu kopējas konstitucionālās tradīcijas, šīs tiesības interpretē saskaņā ar minētajām tradīcijām.</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TitleCentre3"/>
        <w:rPr>
          <w:rFonts w:ascii="Times New Roman" w:hAnsi="Times New Roman" w:cs="Times New Roman"/>
          <w:bCs/>
          <w:szCs w:val="24"/>
          <w:lang w:val="lv-LV"/>
        </w:rPr>
      </w:pPr>
      <w:r w:rsidRPr="00E45AA2">
        <w:rPr>
          <w:rFonts w:ascii="Times New Roman" w:hAnsi="Times New Roman" w:cs="Times New Roman"/>
          <w:szCs w:val="24"/>
          <w:lang w:val="lv-LV"/>
        </w:rPr>
        <w:t xml:space="preserve">53. pants. </w:t>
      </w:r>
      <w:r w:rsidRPr="00E45AA2">
        <w:rPr>
          <w:rFonts w:ascii="Times New Roman" w:hAnsi="Times New Roman" w:cs="Times New Roman"/>
          <w:bCs/>
          <w:szCs w:val="24"/>
          <w:lang w:val="lv-LV"/>
        </w:rPr>
        <w:t>Aizsardzības līmenis</w:t>
      </w:r>
    </w:p>
    <w:p w:rsidR="0013508E" w:rsidRPr="00E45AA2" w:rsidRDefault="0013508E" w:rsidP="0013508E">
      <w:pPr>
        <w:pStyle w:val="ECHRParaQuote"/>
        <w:keepNext/>
        <w:keepLines/>
        <w:rPr>
          <w:rFonts w:ascii="Times New Roman" w:hAnsi="Times New Roman" w:cs="Times New Roman"/>
          <w:szCs w:val="24"/>
          <w:lang w:val="lv-LV"/>
        </w:rPr>
      </w:pPr>
      <w:r w:rsidRPr="00E45AA2">
        <w:rPr>
          <w:rFonts w:ascii="Times New Roman" w:hAnsi="Times New Roman" w:cs="Times New Roman"/>
          <w:szCs w:val="24"/>
          <w:lang w:val="lv-LV"/>
        </w:rPr>
        <w:t>„Nekas no šajā Hartā noteiktā nav interpretējams kā tāds, kas ierobežo vai negatīvi ietekmē cilvēktiesības un pamatbrīvības, kuras atzītas attiecīgās to piemērošanas jomās Savienības tiesību aktos un starptautiskajās tiesībās, kā arī starptautiskās konvencijās, kurām pievienojusies Savienība vai visas dalībvalstis, tostarp Eiropas Cilvēktiesību un pamatbrīvību aizsardzības konvencijā un dalībvalstu konstitūcijās.”</w:t>
      </w:r>
    </w:p>
    <w:p w:rsidR="0013508E" w:rsidRPr="00E45AA2" w:rsidRDefault="0013508E" w:rsidP="0013508E">
      <w:pPr>
        <w:pStyle w:val="ECHRPara"/>
        <w:rPr>
          <w:rFonts w:ascii="Times New Roman" w:hAnsi="Times New Roman" w:cs="Times New Roman"/>
          <w:szCs w:val="24"/>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41</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Lietā </w:t>
      </w:r>
      <w:r w:rsidRPr="00E45AA2">
        <w:rPr>
          <w:rFonts w:ascii="Times New Roman" w:hAnsi="Times New Roman" w:cs="Times New Roman"/>
          <w:i/>
          <w:szCs w:val="24"/>
          <w:lang w:val="lv-LV"/>
        </w:rPr>
        <w:t xml:space="preserve">Krombach pret Bamberski </w:t>
      </w:r>
      <w:r w:rsidRPr="00E45AA2">
        <w:rPr>
          <w:rFonts w:ascii="Times New Roman" w:hAnsi="Times New Roman" w:cs="Times New Roman"/>
          <w:szCs w:val="24"/>
          <w:lang w:val="lv-LV"/>
        </w:rPr>
        <w:t xml:space="preserve">(Lieta Nr. C-7/98, 2000. gada 28. marta spriedums, </w:t>
      </w:r>
      <w:r w:rsidR="00B138C1">
        <w:rPr>
          <w:rFonts w:ascii="Times New Roman" w:hAnsi="Times New Roman" w:cs="Times New Roman"/>
          <w:szCs w:val="24"/>
          <w:lang w:val="lv-LV"/>
        </w:rPr>
        <w:t>ECR</w:t>
      </w:r>
      <w:r w:rsidRPr="00E45AA2">
        <w:rPr>
          <w:rFonts w:ascii="Times New Roman" w:hAnsi="Times New Roman" w:cs="Times New Roman"/>
          <w:szCs w:val="24"/>
          <w:lang w:val="lv-LV"/>
        </w:rPr>
        <w:t xml:space="preserve"> I-1935) Eiropas Savienības tiesa (pirms Lisabonas līguma stāšanās spēkā 2009. gada 1. decembrī zināma kā Eiropas Kopienu tiesa (turpmāk – EST)) noteica šādi: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 xml:space="preserve">„25.  Saskaņā ar pastāvīgo judikatūru pamattiesības ir to vispārējo tiesību principu daļa, kuru ievērošanu nodrošina Tiesa (it īpaši skat. 1996. gada 28. marta atzinumu 2/94, </w:t>
      </w:r>
      <w:r w:rsidRPr="00E45AA2">
        <w:rPr>
          <w:rFonts w:ascii="Times New Roman" w:hAnsi="Times New Roman" w:cs="Times New Roman"/>
          <w:i/>
          <w:iCs/>
          <w:szCs w:val="24"/>
          <w:lang w:val="lv-LV"/>
        </w:rPr>
        <w:t>Recueil</w:t>
      </w:r>
      <w:r w:rsidRPr="00E45AA2">
        <w:rPr>
          <w:rFonts w:ascii="Times New Roman" w:hAnsi="Times New Roman" w:cs="Times New Roman"/>
          <w:szCs w:val="24"/>
          <w:lang w:val="lv-LV"/>
        </w:rPr>
        <w:t>, I</w:t>
      </w:r>
      <w:r w:rsidRPr="00E45AA2">
        <w:rPr>
          <w:rFonts w:ascii="Times New Roman" w:hAnsi="Times New Roman" w:cs="Times New Roman"/>
          <w:szCs w:val="24"/>
          <w:lang w:val="lv-LV"/>
        </w:rPr>
        <w:noBreakHyphen/>
        <w:t>1759. lpp., 33. punkts). Šajā sakarā Tiesa vadās no dalībvalstu kopīgajām konstitucionālajām tradīcijām un pamatnostādnēm, kas noteiktas starptautiskos līgumos par cilvēktiesību aizsardzību, kuru noslēgšanā dalībvalstis ir piedalījušās vai kurus tās ir parakstījušas. Šajā ziņā īpaša nozīme ir Eiropas Cilvēka tiesību un pamatbrīvību aizsardzības konvencijai (turpmāk tekstā – “E</w:t>
      </w:r>
      <w:r w:rsidR="00A366D6">
        <w:rPr>
          <w:rFonts w:ascii="Times New Roman" w:hAnsi="Times New Roman" w:cs="Times New Roman"/>
          <w:szCs w:val="24"/>
          <w:lang w:val="lv-LV"/>
        </w:rPr>
        <w:t>CHR</w:t>
      </w:r>
      <w:r w:rsidRPr="00E45AA2">
        <w:rPr>
          <w:rFonts w:ascii="Times New Roman" w:hAnsi="Times New Roman" w:cs="Times New Roman"/>
          <w:szCs w:val="24"/>
          <w:lang w:val="lv-LV"/>
        </w:rPr>
        <w:t xml:space="preserve">”) (it īpaši skat. 1986. gada 15. maija spriedumu lietā 222/84 </w:t>
      </w:r>
      <w:r w:rsidRPr="00E45AA2">
        <w:rPr>
          <w:rFonts w:ascii="Times New Roman" w:hAnsi="Times New Roman" w:cs="Times New Roman"/>
          <w:i/>
          <w:iCs/>
          <w:szCs w:val="24"/>
          <w:lang w:val="lv-LV"/>
        </w:rPr>
        <w:t>Johnston</w:t>
      </w:r>
      <w:r w:rsidRPr="00E45AA2">
        <w:rPr>
          <w:rFonts w:ascii="Times New Roman" w:hAnsi="Times New Roman" w:cs="Times New Roman"/>
          <w:szCs w:val="24"/>
          <w:lang w:val="lv-LV"/>
        </w:rPr>
        <w:t xml:space="preserve">, </w:t>
      </w:r>
      <w:r w:rsidRPr="00E45AA2">
        <w:rPr>
          <w:rFonts w:ascii="Times New Roman" w:hAnsi="Times New Roman" w:cs="Times New Roman"/>
          <w:i/>
          <w:iCs/>
          <w:szCs w:val="24"/>
          <w:lang w:val="lv-LV"/>
        </w:rPr>
        <w:t>Recueil</w:t>
      </w:r>
      <w:r w:rsidRPr="00E45AA2">
        <w:rPr>
          <w:rFonts w:ascii="Times New Roman" w:hAnsi="Times New Roman" w:cs="Times New Roman"/>
          <w:szCs w:val="24"/>
          <w:lang w:val="lv-LV"/>
        </w:rPr>
        <w:t>, 1651. lpp., 18. punkts).</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26.  Tādējādi Tiesa ir nepārprotami atzinusi Kopienu tiesību vispārējo principu, ka ikvienam ir tiesības uz taisnīgu tiesas procesu, kas izriet no minētajām pamattiesībām (1998. gada 17. decembra spriedums lietā C</w:t>
      </w:r>
      <w:r w:rsidRPr="00E45AA2">
        <w:rPr>
          <w:rFonts w:ascii="Times New Roman" w:hAnsi="Times New Roman" w:cs="Times New Roman"/>
          <w:szCs w:val="24"/>
          <w:lang w:val="lv-LV"/>
        </w:rPr>
        <w:noBreakHyphen/>
        <w:t>185/95 P</w:t>
      </w:r>
      <w:r w:rsidRPr="00E45AA2">
        <w:rPr>
          <w:rFonts w:ascii="Times New Roman" w:hAnsi="Times New Roman" w:cs="Times New Roman"/>
          <w:i/>
          <w:iCs/>
          <w:szCs w:val="24"/>
          <w:lang w:val="lv-LV"/>
        </w:rPr>
        <w:t xml:space="preserve"> Baustahlgewebe</w:t>
      </w:r>
      <w:r w:rsidRPr="00E45AA2">
        <w:rPr>
          <w:rFonts w:ascii="Times New Roman" w:hAnsi="Times New Roman" w:cs="Times New Roman"/>
          <w:szCs w:val="24"/>
          <w:lang w:val="lv-LV"/>
        </w:rPr>
        <w:t>/</w:t>
      </w:r>
      <w:r w:rsidRPr="00F173EE">
        <w:rPr>
          <w:rFonts w:ascii="Times New Roman" w:hAnsi="Times New Roman" w:cs="Times New Roman"/>
          <w:i/>
          <w:szCs w:val="24"/>
          <w:lang w:val="lv-LV"/>
        </w:rPr>
        <w:t>Komisija</w:t>
      </w:r>
      <w:r w:rsidRPr="00E45AA2">
        <w:rPr>
          <w:rFonts w:ascii="Times New Roman" w:hAnsi="Times New Roman" w:cs="Times New Roman"/>
          <w:szCs w:val="24"/>
          <w:lang w:val="lv-LV"/>
        </w:rPr>
        <w:t xml:space="preserve">, </w:t>
      </w:r>
      <w:r w:rsidRPr="00E45AA2">
        <w:rPr>
          <w:rFonts w:ascii="Times New Roman" w:hAnsi="Times New Roman" w:cs="Times New Roman"/>
          <w:i/>
          <w:iCs/>
          <w:szCs w:val="24"/>
          <w:lang w:val="lv-LV"/>
        </w:rPr>
        <w:t>Recueil</w:t>
      </w:r>
      <w:r w:rsidRPr="00E45AA2">
        <w:rPr>
          <w:rFonts w:ascii="Times New Roman" w:hAnsi="Times New Roman" w:cs="Times New Roman"/>
          <w:szCs w:val="24"/>
          <w:lang w:val="lv-LV"/>
        </w:rPr>
        <w:t>, I</w:t>
      </w:r>
      <w:r w:rsidRPr="00E45AA2">
        <w:rPr>
          <w:rFonts w:ascii="Times New Roman" w:hAnsi="Times New Roman" w:cs="Times New Roman"/>
          <w:szCs w:val="24"/>
          <w:lang w:val="lv-LV"/>
        </w:rPr>
        <w:noBreakHyphen/>
        <w:t>8417. lpp., 20. un 21. punkts, un 2000. gada 11. janvāra spriedums apvienotajās lietās C</w:t>
      </w:r>
      <w:r w:rsidRPr="00E45AA2">
        <w:rPr>
          <w:rFonts w:ascii="Times New Roman" w:hAnsi="Times New Roman" w:cs="Times New Roman"/>
          <w:szCs w:val="24"/>
          <w:lang w:val="lv-LV"/>
        </w:rPr>
        <w:noBreakHyphen/>
        <w:t>174/98 P un C</w:t>
      </w:r>
      <w:r w:rsidRPr="00E45AA2">
        <w:rPr>
          <w:rFonts w:ascii="Times New Roman" w:hAnsi="Times New Roman" w:cs="Times New Roman"/>
          <w:szCs w:val="24"/>
          <w:lang w:val="lv-LV"/>
        </w:rPr>
        <w:noBreakHyphen/>
        <w:t xml:space="preserve">189/98 P </w:t>
      </w:r>
      <w:r w:rsidRPr="00F173EE">
        <w:rPr>
          <w:rFonts w:ascii="Times New Roman" w:hAnsi="Times New Roman" w:cs="Times New Roman"/>
          <w:i/>
          <w:szCs w:val="24"/>
          <w:lang w:val="lv-LV"/>
        </w:rPr>
        <w:t>Nīderlande un</w:t>
      </w:r>
      <w:r w:rsidRPr="00E45AA2">
        <w:rPr>
          <w:rFonts w:ascii="Times New Roman" w:hAnsi="Times New Roman" w:cs="Times New Roman"/>
          <w:szCs w:val="24"/>
          <w:lang w:val="lv-LV"/>
        </w:rPr>
        <w:t xml:space="preserve"> </w:t>
      </w:r>
      <w:r w:rsidRPr="00E45AA2">
        <w:rPr>
          <w:rFonts w:ascii="Times New Roman" w:hAnsi="Times New Roman" w:cs="Times New Roman"/>
          <w:i/>
          <w:iCs/>
          <w:szCs w:val="24"/>
          <w:lang w:val="lv-LV"/>
        </w:rPr>
        <w:t>Van der Wal</w:t>
      </w:r>
      <w:r w:rsidRPr="00E45AA2">
        <w:rPr>
          <w:rFonts w:ascii="Times New Roman" w:hAnsi="Times New Roman" w:cs="Times New Roman"/>
          <w:szCs w:val="24"/>
          <w:lang w:val="lv-LV"/>
        </w:rPr>
        <w:t>/</w:t>
      </w:r>
      <w:r w:rsidRPr="00F173EE">
        <w:rPr>
          <w:rFonts w:ascii="Times New Roman" w:hAnsi="Times New Roman" w:cs="Times New Roman"/>
          <w:i/>
          <w:szCs w:val="24"/>
          <w:lang w:val="lv-LV"/>
        </w:rPr>
        <w:t>Komisija</w:t>
      </w:r>
      <w:r w:rsidRPr="00E45AA2">
        <w:rPr>
          <w:rFonts w:ascii="Times New Roman" w:hAnsi="Times New Roman" w:cs="Times New Roman"/>
          <w:szCs w:val="24"/>
          <w:lang w:val="lv-LV"/>
        </w:rPr>
        <w:t xml:space="preserve">, </w:t>
      </w:r>
      <w:r w:rsidRPr="00E45AA2">
        <w:rPr>
          <w:rFonts w:ascii="Times New Roman" w:hAnsi="Times New Roman" w:cs="Times New Roman"/>
          <w:i/>
          <w:iCs/>
          <w:szCs w:val="24"/>
          <w:lang w:val="lv-LV"/>
        </w:rPr>
        <w:t>Recueil</w:t>
      </w:r>
      <w:r w:rsidRPr="00E45AA2">
        <w:rPr>
          <w:rFonts w:ascii="Times New Roman" w:hAnsi="Times New Roman" w:cs="Times New Roman"/>
          <w:szCs w:val="24"/>
          <w:lang w:val="lv-LV"/>
        </w:rPr>
        <w:t>, I</w:t>
      </w:r>
      <w:r w:rsidRPr="00E45AA2">
        <w:rPr>
          <w:rFonts w:ascii="Times New Roman" w:hAnsi="Times New Roman" w:cs="Times New Roman"/>
          <w:szCs w:val="24"/>
          <w:lang w:val="lv-LV"/>
        </w:rPr>
        <w:noBreakHyphen/>
        <w:t>1. lpp., 17. punkts).</w:t>
      </w:r>
    </w:p>
    <w:p w:rsidR="0013508E" w:rsidRPr="00E45AA2" w:rsidRDefault="0013508E" w:rsidP="0013508E">
      <w:pPr>
        <w:pStyle w:val="ECHRParaQuote"/>
        <w:rPr>
          <w:rFonts w:ascii="Times New Roman" w:hAnsi="Times New Roman" w:cs="Times New Roman"/>
          <w:sz w:val="24"/>
          <w:szCs w:val="24"/>
          <w:lang w:val="lv-LV"/>
        </w:rPr>
      </w:pPr>
      <w:r w:rsidRPr="00E45AA2">
        <w:rPr>
          <w:rFonts w:ascii="Times New Roman" w:hAnsi="Times New Roman" w:cs="Times New Roman"/>
          <w:szCs w:val="24"/>
          <w:lang w:val="lv-LV"/>
        </w:rPr>
        <w:t>27.  Līguma par Eiropas Savienību F panta 2. punktā (jaunajā redakcijā pēc grozījumiem – LES 6. panta 2. punkts) ir ietverta minētā Tiesas judikatūra. Tajā paredzēts: “Savienība kā Kopienas tiesību vispārēju principu ievēro pamattiesības, ko nodrošina 1950. gada 4. novembrī Romā parakstītā Eiropas Cilvēka tiesību un pamatbrīvību aizsardzības konvencija un kas izriet no dalībvalstu kopīgām konstitucionālām tradīcijām”.</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42</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Savā spriedumā lietā </w:t>
      </w:r>
      <w:r w:rsidRPr="00E45AA2">
        <w:rPr>
          <w:rFonts w:ascii="Times New Roman" w:hAnsi="Times New Roman" w:cs="Times New Roman"/>
          <w:i/>
          <w:szCs w:val="24"/>
          <w:lang w:val="lv-LV"/>
        </w:rPr>
        <w:t>ASML Nīderlande BV pret Semiconductor Industry Services GmbH (SEMIS)</w:t>
      </w:r>
      <w:r w:rsidRPr="00E45AA2">
        <w:rPr>
          <w:rFonts w:ascii="Times New Roman" w:hAnsi="Times New Roman" w:cs="Times New Roman"/>
          <w:szCs w:val="24"/>
          <w:lang w:val="lv-LV"/>
        </w:rPr>
        <w:t xml:space="preserve"> (Lieta Nr. C-283/05, 2006. gada 14. decembra spriedums, </w:t>
      </w:r>
      <w:r w:rsidR="00AB78F6">
        <w:rPr>
          <w:rFonts w:ascii="Times New Roman" w:hAnsi="Times New Roman" w:cs="Times New Roman"/>
          <w:szCs w:val="24"/>
          <w:lang w:val="lv-LV"/>
        </w:rPr>
        <w:t>ECR</w:t>
      </w:r>
      <w:r w:rsidRPr="00E45AA2">
        <w:rPr>
          <w:rFonts w:ascii="Times New Roman" w:hAnsi="Times New Roman" w:cs="Times New Roman"/>
          <w:szCs w:val="24"/>
          <w:lang w:val="lv-LV"/>
        </w:rPr>
        <w:t xml:space="preserve"> I-12041) EST noteica šādi: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lastRenderedPageBreak/>
        <w:t>„26.  Atbilstoši pastāvīgajai judikatūrai vispārējo tiesību principu neatņemama sastāvdaļa ir pamattiesības, kuru ievērošanu nodrošina Tiesa</w:t>
      </w:r>
      <w:r w:rsidR="00B22414">
        <w:rPr>
          <w:rFonts w:ascii="Times New Roman" w:hAnsi="Times New Roman" w:cs="Times New Roman"/>
          <w:szCs w:val="24"/>
          <w:lang w:val="lv-LV"/>
        </w:rPr>
        <w:t>(</w:t>
      </w:r>
      <w:r w:rsidRPr="00E45AA2">
        <w:rPr>
          <w:rFonts w:ascii="Times New Roman" w:hAnsi="Times New Roman" w:cs="Times New Roman"/>
          <w:szCs w:val="24"/>
          <w:lang w:val="lv-LV"/>
        </w:rPr>
        <w:t>...</w:t>
      </w:r>
      <w:r w:rsidR="00B22414">
        <w:rPr>
          <w:rFonts w:ascii="Times New Roman" w:hAnsi="Times New Roman" w:cs="Times New Roman"/>
          <w:szCs w:val="24"/>
          <w:lang w:val="lv-LV"/>
        </w:rPr>
        <w:t xml:space="preserve">) </w:t>
      </w:r>
      <w:r w:rsidRPr="00E45AA2">
        <w:rPr>
          <w:rFonts w:ascii="Times New Roman" w:hAnsi="Times New Roman" w:cs="Times New Roman"/>
          <w:szCs w:val="24"/>
          <w:lang w:val="lv-LV"/>
        </w:rPr>
        <w:t>Šajā nolūkā Tiesa smeļas iedvesmu no dalībvalstīm kopīgām konstitucionālajām tradīcijām, kā arī no norādēm, ko sniedz starptautiskie nolīgumi cilvēktiesību aizsardzības jomā, kuriem dalībvalstis ir pievienojušās vai kurus tās ir ratificējušas. Eiropas Cilvēktiesību un pamatbrīvību aizsardzības konvencijai (turpmāk tekstā – “</w:t>
      </w:r>
      <w:r w:rsidR="00C55D7E">
        <w:rPr>
          <w:rFonts w:ascii="Times New Roman" w:hAnsi="Times New Roman" w:cs="Times New Roman"/>
          <w:szCs w:val="24"/>
          <w:lang w:val="lv-LV"/>
        </w:rPr>
        <w:t>E</w:t>
      </w:r>
      <w:r w:rsidR="00A366D6">
        <w:rPr>
          <w:rFonts w:ascii="Times New Roman" w:hAnsi="Times New Roman" w:cs="Times New Roman"/>
          <w:szCs w:val="24"/>
          <w:lang w:val="lv-LV"/>
        </w:rPr>
        <w:t>CHR</w:t>
      </w:r>
      <w:r w:rsidRPr="00E45AA2">
        <w:rPr>
          <w:rFonts w:ascii="Times New Roman" w:hAnsi="Times New Roman" w:cs="Times New Roman"/>
          <w:szCs w:val="24"/>
          <w:lang w:val="lv-LV"/>
        </w:rPr>
        <w:t>”) šajā kontekstā ir īpaša nozīme</w:t>
      </w:r>
      <w:r w:rsidR="00F25F30">
        <w:rPr>
          <w:rFonts w:ascii="Times New Roman" w:hAnsi="Times New Roman" w:cs="Times New Roman"/>
          <w:szCs w:val="24"/>
          <w:lang w:val="lv-LV"/>
        </w:rPr>
        <w:t>(</w:t>
      </w:r>
      <w:r w:rsidRPr="00E45AA2">
        <w:rPr>
          <w:rFonts w:ascii="Times New Roman" w:hAnsi="Times New Roman" w:cs="Times New Roman"/>
          <w:szCs w:val="24"/>
          <w:lang w:val="lv-LV"/>
        </w:rPr>
        <w:t>...</w:t>
      </w:r>
      <w:r w:rsidR="00F25F30">
        <w:rPr>
          <w:rFonts w:ascii="Times New Roman" w:hAnsi="Times New Roman" w:cs="Times New Roman"/>
          <w:szCs w:val="24"/>
          <w:lang w:val="lv-LV"/>
        </w:rPr>
        <w:t>)</w:t>
      </w:r>
      <w:r w:rsidRPr="00E45AA2">
        <w:rPr>
          <w:rFonts w:ascii="Times New Roman" w:hAnsi="Times New Roman" w:cs="Times New Roman"/>
          <w:szCs w:val="24"/>
          <w:lang w:val="lv-LV"/>
        </w:rPr>
        <w:t xml:space="preserve"> </w:t>
      </w:r>
    </w:p>
    <w:p w:rsidR="0013508E" w:rsidRPr="00E45AA2" w:rsidRDefault="0013508E" w:rsidP="0013508E">
      <w:pPr>
        <w:pStyle w:val="ECHRParaQuote"/>
        <w:ind w:left="284"/>
        <w:rPr>
          <w:rFonts w:ascii="Times New Roman" w:hAnsi="Times New Roman" w:cs="Times New Roman"/>
          <w:szCs w:val="24"/>
          <w:lang w:val="lv-LV"/>
        </w:rPr>
      </w:pPr>
      <w:bookmarkStart w:id="1" w:name="point27"/>
      <w:r w:rsidRPr="00E45AA2">
        <w:rPr>
          <w:rFonts w:ascii="Times New Roman" w:hAnsi="Times New Roman" w:cs="Times New Roman"/>
          <w:szCs w:val="24"/>
          <w:lang w:val="lv-LV"/>
        </w:rPr>
        <w:t>27</w:t>
      </w:r>
      <w:bookmarkEnd w:id="1"/>
      <w:r w:rsidRPr="00E45AA2">
        <w:rPr>
          <w:rFonts w:ascii="Times New Roman" w:hAnsi="Times New Roman" w:cs="Times New Roman"/>
          <w:szCs w:val="24"/>
          <w:lang w:val="lv-LV"/>
        </w:rPr>
        <w:t xml:space="preserve">.  No ECHR atbilstoši Eiropas Cilvēktiesību tiesas interpretācijai izriet, ka īstenojot tiesības uz aizstāvību, kas ir atvasinātas no tiesībām uz lietas taisnīgu izskatīšanu, kam veltīts šīs konvencijas 6. pants, ir nepieciešama konkrēta un efektīva atbildētāja tiesību aizsardzība (skat. Eiropas Cilvēktiesību tiesas 1980. gada 13. maija spriedumu lietā </w:t>
      </w:r>
      <w:r w:rsidRPr="00F25F30">
        <w:rPr>
          <w:rFonts w:ascii="Times New Roman" w:hAnsi="Times New Roman" w:cs="Times New Roman"/>
          <w:i/>
          <w:iCs/>
          <w:szCs w:val="24"/>
          <w:lang w:val="lv-LV"/>
        </w:rPr>
        <w:t>Artico</w:t>
      </w:r>
      <w:r w:rsidRPr="00F25F30">
        <w:rPr>
          <w:rFonts w:ascii="Times New Roman" w:hAnsi="Times New Roman" w:cs="Times New Roman"/>
          <w:i/>
          <w:szCs w:val="24"/>
          <w:lang w:val="lv-LV"/>
        </w:rPr>
        <w:t xml:space="preserve"> pret Itāliju</w:t>
      </w:r>
      <w:r w:rsidRPr="00E45AA2">
        <w:rPr>
          <w:rFonts w:ascii="Times New Roman" w:hAnsi="Times New Roman" w:cs="Times New Roman"/>
          <w:szCs w:val="24"/>
          <w:lang w:val="lv-LV"/>
        </w:rPr>
        <w:t xml:space="preserve">, A sērija, Nr. 37, 33. punkts, un 1992. gada 12. oktobra spriedumu lietā </w:t>
      </w:r>
      <w:r w:rsidRPr="00F25F30">
        <w:rPr>
          <w:rFonts w:ascii="Times New Roman" w:hAnsi="Times New Roman" w:cs="Times New Roman"/>
          <w:i/>
          <w:iCs/>
          <w:szCs w:val="24"/>
          <w:lang w:val="lv-LV"/>
        </w:rPr>
        <w:t>T</w:t>
      </w:r>
      <w:r w:rsidRPr="00F25F30">
        <w:rPr>
          <w:rFonts w:ascii="Times New Roman" w:hAnsi="Times New Roman" w:cs="Times New Roman"/>
          <w:i/>
          <w:szCs w:val="24"/>
          <w:lang w:val="lv-LV"/>
        </w:rPr>
        <w:t>. pret Itāliju</w:t>
      </w:r>
      <w:r w:rsidRPr="00E45AA2">
        <w:rPr>
          <w:rFonts w:ascii="Times New Roman" w:hAnsi="Times New Roman" w:cs="Times New Roman"/>
          <w:szCs w:val="24"/>
          <w:lang w:val="lv-LV"/>
        </w:rPr>
        <w:t xml:space="preserve">, A sērija, Nr. 245 C, 28. punkts).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43</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Savā spriedumā lietā </w:t>
      </w:r>
      <w:r w:rsidR="00EB7834" w:rsidRPr="00E45AA2">
        <w:rPr>
          <w:rFonts w:ascii="Times New Roman" w:hAnsi="Times New Roman" w:cs="Times New Roman"/>
          <w:i/>
          <w:szCs w:val="24"/>
          <w:lang w:val="lv-LV"/>
        </w:rPr>
        <w:t>DEB Deutsche Energiehandels-</w:t>
      </w:r>
      <w:r w:rsidRPr="00E45AA2">
        <w:rPr>
          <w:rFonts w:ascii="Times New Roman" w:hAnsi="Times New Roman" w:cs="Times New Roman"/>
          <w:i/>
          <w:szCs w:val="24"/>
          <w:lang w:val="lv-LV"/>
        </w:rPr>
        <w:t xml:space="preserve">und Beratungsgesellschaft mbH pret Vācijas Federatīvo Republiku </w:t>
      </w:r>
      <w:r w:rsidRPr="00E45AA2">
        <w:rPr>
          <w:rFonts w:ascii="Times New Roman" w:hAnsi="Times New Roman" w:cs="Times New Roman"/>
          <w:szCs w:val="24"/>
          <w:lang w:val="lv-LV"/>
        </w:rPr>
        <w:t xml:space="preserve">(Lieta Nr. C-279/09, 2010. gada 22. decembra spriedums, </w:t>
      </w:r>
      <w:r w:rsidR="00AF098B">
        <w:rPr>
          <w:rFonts w:ascii="Times New Roman" w:hAnsi="Times New Roman" w:cs="Times New Roman"/>
          <w:szCs w:val="24"/>
          <w:lang w:val="lv-LV"/>
        </w:rPr>
        <w:t>ECR</w:t>
      </w:r>
      <w:r w:rsidRPr="00E45AA2">
        <w:rPr>
          <w:rFonts w:ascii="Times New Roman" w:hAnsi="Times New Roman" w:cs="Times New Roman"/>
          <w:szCs w:val="24"/>
          <w:lang w:val="lv-LV"/>
        </w:rPr>
        <w:t xml:space="preserve"> I-13849), kas pasludināts pēc Lisabonas līguma </w:t>
      </w:r>
      <w:r w:rsidR="00855ADF">
        <w:rPr>
          <w:rFonts w:ascii="Times New Roman" w:hAnsi="Times New Roman" w:cs="Times New Roman"/>
          <w:szCs w:val="24"/>
          <w:lang w:val="lv-LV"/>
        </w:rPr>
        <w:t xml:space="preserve">spēkā stāšanās </w:t>
      </w:r>
      <w:r w:rsidRPr="00E45AA2">
        <w:rPr>
          <w:rFonts w:ascii="Times New Roman" w:hAnsi="Times New Roman" w:cs="Times New Roman"/>
          <w:szCs w:val="24"/>
          <w:lang w:val="lv-LV"/>
        </w:rPr>
        <w:t xml:space="preserve">un </w:t>
      </w:r>
      <w:r w:rsidR="00855ADF">
        <w:rPr>
          <w:rFonts w:ascii="Times New Roman" w:hAnsi="Times New Roman" w:cs="Times New Roman"/>
          <w:szCs w:val="24"/>
          <w:lang w:val="lv-LV"/>
        </w:rPr>
        <w:t>attiecīgi</w:t>
      </w:r>
      <w:r w:rsidRPr="00E45AA2">
        <w:rPr>
          <w:rFonts w:ascii="Times New Roman" w:hAnsi="Times New Roman" w:cs="Times New Roman"/>
          <w:szCs w:val="24"/>
          <w:lang w:val="lv-LV"/>
        </w:rPr>
        <w:t xml:space="preserve"> pēc </w:t>
      </w:r>
      <w:r w:rsidR="00855ADF">
        <w:rPr>
          <w:rFonts w:ascii="Times New Roman" w:hAnsi="Times New Roman" w:cs="Times New Roman"/>
          <w:szCs w:val="24"/>
          <w:lang w:val="lv-LV"/>
        </w:rPr>
        <w:t xml:space="preserve">tam, kad </w:t>
      </w:r>
      <w:r w:rsidRPr="00E45AA2">
        <w:rPr>
          <w:rFonts w:ascii="Times New Roman" w:hAnsi="Times New Roman" w:cs="Times New Roman"/>
          <w:szCs w:val="24"/>
          <w:lang w:val="lv-LV"/>
        </w:rPr>
        <w:t>Pam</w:t>
      </w:r>
      <w:r w:rsidR="00855ADF">
        <w:rPr>
          <w:rFonts w:ascii="Times New Roman" w:hAnsi="Times New Roman" w:cs="Times New Roman"/>
          <w:szCs w:val="24"/>
          <w:lang w:val="lv-LV"/>
        </w:rPr>
        <w:t>attiesību harta ir</w:t>
      </w:r>
      <w:r w:rsidRPr="00E45AA2">
        <w:rPr>
          <w:rFonts w:ascii="Times New Roman" w:hAnsi="Times New Roman" w:cs="Times New Roman"/>
          <w:szCs w:val="24"/>
          <w:lang w:val="lv-LV"/>
        </w:rPr>
        <w:t xml:space="preserve"> </w:t>
      </w:r>
      <w:r w:rsidR="00855ADF">
        <w:rPr>
          <w:rFonts w:ascii="Times New Roman" w:hAnsi="Times New Roman" w:cs="Times New Roman"/>
          <w:szCs w:val="24"/>
          <w:lang w:val="lv-LV"/>
        </w:rPr>
        <w:t>ieguvu</w:t>
      </w:r>
      <w:r w:rsidRPr="00E45AA2">
        <w:rPr>
          <w:rFonts w:ascii="Times New Roman" w:hAnsi="Times New Roman" w:cs="Times New Roman"/>
          <w:szCs w:val="24"/>
          <w:lang w:val="lv-LV"/>
        </w:rPr>
        <w:t>s</w:t>
      </w:r>
      <w:r w:rsidR="00855ADF">
        <w:rPr>
          <w:rFonts w:ascii="Times New Roman" w:hAnsi="Times New Roman" w:cs="Times New Roman"/>
          <w:szCs w:val="24"/>
          <w:lang w:val="lv-LV"/>
        </w:rPr>
        <w:t>i</w:t>
      </w:r>
      <w:r w:rsidRPr="00E45AA2">
        <w:rPr>
          <w:rFonts w:ascii="Times New Roman" w:hAnsi="Times New Roman" w:cs="Times New Roman"/>
          <w:szCs w:val="24"/>
          <w:lang w:val="lv-LV"/>
        </w:rPr>
        <w:t xml:space="preserve"> tādu pašu juridisko spēku kā Līgumi, EST noteica: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 xml:space="preserve">„29. Tādējādi uzdotais jautājums attiecas uz juridiskās personas tiesībām uz tās lietas efektīvu izskatīšanu tiesā un tātad – Savienības tiesību kontekstā – uz tiesību efektīvu aizsardzību tiesā. Šis princips ir vispārējs Savienības tiesību princips, kas izriet no visām dalībvalstīm kopīgām konstitucionālajām tradīcijām un kas ir noteikts Eiropas Cilvēktiesību un pamatbrīvību aizsardzības konvencijas, kas parakstīta Romā 1950. gada 4. novembrī (turpmāk tekstā – “ECHR”), 6. un 13. pantā </w:t>
      </w:r>
      <w:r w:rsidR="00F25F30">
        <w:rPr>
          <w:rFonts w:ascii="Times New Roman" w:hAnsi="Times New Roman" w:cs="Times New Roman"/>
          <w:szCs w:val="24"/>
          <w:lang w:val="lv-LV"/>
        </w:rPr>
        <w:t>(</w:t>
      </w:r>
      <w:r w:rsidRPr="00E45AA2">
        <w:rPr>
          <w:rFonts w:ascii="Times New Roman" w:hAnsi="Times New Roman" w:cs="Times New Roman"/>
          <w:szCs w:val="24"/>
          <w:lang w:val="lv-LV"/>
        </w:rPr>
        <w:t>...</w:t>
      </w:r>
      <w:r w:rsidR="00F25F30">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bookmarkStart w:id="2" w:name="point30"/>
      <w:r w:rsidRPr="00E45AA2">
        <w:rPr>
          <w:rFonts w:ascii="Times New Roman" w:hAnsi="Times New Roman" w:cs="Times New Roman"/>
          <w:szCs w:val="24"/>
          <w:lang w:val="lv-LV"/>
        </w:rPr>
        <w:t>30</w:t>
      </w:r>
      <w:bookmarkEnd w:id="2"/>
      <w:r w:rsidRPr="00E45AA2">
        <w:rPr>
          <w:rFonts w:ascii="Times New Roman" w:hAnsi="Times New Roman" w:cs="Times New Roman"/>
          <w:szCs w:val="24"/>
          <w:lang w:val="lv-LV"/>
        </w:rPr>
        <w:t xml:space="preserve">.  Attiecībā uz pamattiesībām kopš Lisabonas līguma stāšanās spēkā ir svarīgi ņemt vērā Hartu, kurai atbilstoši LES 6. panta 1. punkta pirmajai daļai “ir tāds pats juridiskais spēks kā Līgumiem”. Minētās hartas 51. panta 1. punktā ir paredzēts, ka tās normas attiecas uz dalībvalstīm tikai tad, ja tās īsteno Savienības tiesību aktus. </w:t>
      </w:r>
    </w:p>
    <w:p w:rsidR="0013508E" w:rsidRPr="00E45AA2" w:rsidRDefault="0013508E" w:rsidP="0013508E">
      <w:pPr>
        <w:pStyle w:val="ECHRParaQuote"/>
        <w:rPr>
          <w:rFonts w:ascii="Times New Roman" w:hAnsi="Times New Roman" w:cs="Times New Roman"/>
          <w:szCs w:val="24"/>
          <w:lang w:val="lv-LV"/>
        </w:rPr>
      </w:pPr>
      <w:bookmarkStart w:id="3" w:name="point31"/>
      <w:r w:rsidRPr="00E45AA2">
        <w:rPr>
          <w:rFonts w:ascii="Times New Roman" w:hAnsi="Times New Roman" w:cs="Times New Roman"/>
          <w:szCs w:val="24"/>
          <w:lang w:val="lv-LV"/>
        </w:rPr>
        <w:t>31</w:t>
      </w:r>
      <w:bookmarkEnd w:id="3"/>
      <w:r w:rsidRPr="00E45AA2">
        <w:rPr>
          <w:rFonts w:ascii="Times New Roman" w:hAnsi="Times New Roman" w:cs="Times New Roman"/>
          <w:szCs w:val="24"/>
          <w:lang w:val="lv-LV"/>
        </w:rPr>
        <w:t xml:space="preserve">.   Šajā ziņā Hartas 47. panta pirmajā daļā ir paredzēts, ka ikvienai personai, kuras tiesības un brīvības, kas garantētas Savienības tiesībās, tikušas pārkāptas, ir tiesības uz efektīvu tiesību aizsardzību, ievērojot nosacījumus, kuri paredzēti šajā pantā. Saskaņā ar šī paša panta otro daļu ikvienai personai ir tiesības uz taisnīgu, atklātu un </w:t>
      </w:r>
      <w:r w:rsidR="00837945">
        <w:rPr>
          <w:rFonts w:ascii="Times New Roman" w:hAnsi="Times New Roman" w:cs="Times New Roman"/>
          <w:szCs w:val="24"/>
          <w:lang w:val="lv-LV"/>
        </w:rPr>
        <w:t xml:space="preserve">savlaicīgi </w:t>
      </w:r>
      <w:r w:rsidRPr="00E45AA2">
        <w:rPr>
          <w:rFonts w:ascii="Times New Roman" w:hAnsi="Times New Roman" w:cs="Times New Roman"/>
          <w:szCs w:val="24"/>
          <w:lang w:val="lv-LV"/>
        </w:rPr>
        <w:t xml:space="preserve">veiktu lietas izskatīšanu neatkarīgā un objektīvā, tiesību aktos noteiktā tiesā. Ikvienai personai ir iespējas saņemt konsultāciju, aizstāvību un pārstāvību. Minētā panta trešajā daļā ir īpaši noteikts, ka juridiskā palīdzība tiek sniegta tiem, kam nav pietiekamu līdzekļu, ciktāl šī palīdzība ir nepieciešama, lai nodrošinātu efektīvu tiesiskuma īstenošanu [lietas efektīvu izskatīšanu tiesā]. </w:t>
      </w:r>
    </w:p>
    <w:p w:rsidR="0013508E" w:rsidRPr="00E45AA2" w:rsidRDefault="0013508E" w:rsidP="0013508E">
      <w:pPr>
        <w:pStyle w:val="ECHRParaQuote"/>
        <w:rPr>
          <w:rFonts w:ascii="Times New Roman" w:hAnsi="Times New Roman" w:cs="Times New Roman"/>
          <w:szCs w:val="24"/>
          <w:lang w:val="lv-LV"/>
        </w:rPr>
      </w:pPr>
      <w:bookmarkStart w:id="4" w:name="point32"/>
      <w:r w:rsidRPr="00E45AA2">
        <w:rPr>
          <w:rFonts w:ascii="Times New Roman" w:hAnsi="Times New Roman" w:cs="Times New Roman"/>
          <w:szCs w:val="24"/>
          <w:lang w:val="lv-LV"/>
        </w:rPr>
        <w:t>32</w:t>
      </w:r>
      <w:bookmarkEnd w:id="4"/>
      <w:r w:rsidRPr="00E45AA2">
        <w:rPr>
          <w:rFonts w:ascii="Times New Roman" w:hAnsi="Times New Roman" w:cs="Times New Roman"/>
          <w:szCs w:val="24"/>
          <w:lang w:val="lv-LV"/>
        </w:rPr>
        <w:t xml:space="preserve">.  Atbilstoši paskaidrojumiem attiecībā uz šo pantu, kas saskaņā ar LES 6. panta 1. punkta trešo daļu un Hartas 52. panta 7. punktu ir jāņem vērā, to interpretējot, Hartas 47. panta otrā daļa atbilst ECHR 6. panta 1. punktam.”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44</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Lietā </w:t>
      </w:r>
      <w:r w:rsidRPr="00E45AA2">
        <w:rPr>
          <w:rFonts w:ascii="Times New Roman" w:hAnsi="Times New Roman" w:cs="Times New Roman"/>
          <w:bCs/>
          <w:i/>
          <w:szCs w:val="24"/>
          <w:lang w:val="lv-LV"/>
        </w:rPr>
        <w:t xml:space="preserve">Gascogne Sack Deutschland GmbH pret Komisiju </w:t>
      </w:r>
      <w:r w:rsidRPr="00E45AA2">
        <w:rPr>
          <w:rFonts w:ascii="Times New Roman" w:hAnsi="Times New Roman" w:cs="Times New Roman"/>
          <w:szCs w:val="24"/>
          <w:lang w:val="lv-LV"/>
        </w:rPr>
        <w:t>(Lieta Nr. C</w:t>
      </w:r>
      <w:r w:rsidRPr="00E45AA2">
        <w:rPr>
          <w:rFonts w:ascii="Times New Roman" w:hAnsi="Times New Roman" w:cs="Times New Roman"/>
          <w:szCs w:val="24"/>
          <w:lang w:val="lv-LV"/>
        </w:rPr>
        <w:noBreakHyphen/>
        <w:t xml:space="preserve">40/12 P, 2013. gada 26. novembra spriedums) EST uzsvēra tiesu sistēmas nepārtrauktību pirms un pēc Lisabonas līguma stāšanās spēkā, nosakot šādi: </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 xml:space="preserve">„28.  Attiecībā uz jautājumu par to, vai Lisabonas līguma stāšanās spēkā būtu uzskatāma – kā to uzskata apelācijas sūdzības iesniedzēja – par apstākli, kas kļuvis zināms iztiesāšanas Vispārējā tiesā laikā un kas saskaņā ar Vispārējās tiesas Reglamenta 48. panta 2. punkta pirmo daļu ļautu izvirzīt jaunus pamatus, jāatgādina, </w:t>
      </w:r>
      <w:r w:rsidRPr="00E45AA2">
        <w:rPr>
          <w:rFonts w:ascii="Times New Roman" w:hAnsi="Times New Roman" w:cs="Times New Roman"/>
          <w:szCs w:val="20"/>
          <w:lang w:val="lv-LV"/>
        </w:rPr>
        <w:lastRenderedPageBreak/>
        <w:t>ka Tiesa jau ir nospriedusi, ka šī spēkā stāšanās, kas ietver Hartas iekļaušanu Savienības primārajās tiesībās, nevar tikt uzskatīta par jaunu apstākli tās Reglamenta 42. panta 2. punkta pirmās daļas izpratnē. Šajā kontekstā Tiesa ir uzsvērusi, ka vēl pirms šī līguma stāšanās spēkā tā vairākkārt jau bija atzinusi, ka tiesības uz lietas taisnīgu izskatīšanu, kādas tās izriet it īpaši no ECHR 6. panta, ir pamattiesības, kuras Eiropas Savienība ievēro kā vispārēju principu atbilstoši LES 6. panta 2. punktam (skat. it īpaši 2012. gada 3. maija spriedumu lietā C</w:t>
      </w:r>
      <w:r w:rsidRPr="00E45AA2">
        <w:rPr>
          <w:rFonts w:ascii="Times New Roman" w:hAnsi="Times New Roman" w:cs="Times New Roman"/>
          <w:szCs w:val="20"/>
          <w:lang w:val="lv-LV"/>
        </w:rPr>
        <w:noBreakHyphen/>
        <w:t xml:space="preserve">289/11 P </w:t>
      </w:r>
      <w:r w:rsidRPr="00E45AA2">
        <w:rPr>
          <w:rFonts w:ascii="Times New Roman" w:hAnsi="Times New Roman" w:cs="Times New Roman"/>
          <w:i/>
          <w:iCs/>
          <w:szCs w:val="20"/>
          <w:lang w:val="lv-LV"/>
        </w:rPr>
        <w:t>Legris Industries</w:t>
      </w:r>
      <w:r w:rsidRPr="00E45AA2">
        <w:rPr>
          <w:rFonts w:ascii="Times New Roman" w:hAnsi="Times New Roman" w:cs="Times New Roman"/>
          <w:szCs w:val="20"/>
          <w:lang w:val="lv-LV"/>
        </w:rPr>
        <w:t>/</w:t>
      </w:r>
      <w:r w:rsidRPr="00B034EA">
        <w:rPr>
          <w:rFonts w:ascii="Times New Roman" w:hAnsi="Times New Roman" w:cs="Times New Roman"/>
          <w:i/>
          <w:szCs w:val="20"/>
          <w:lang w:val="lv-LV"/>
        </w:rPr>
        <w:t>Komisija</w:t>
      </w:r>
      <w:r w:rsidRPr="00E45AA2">
        <w:rPr>
          <w:rFonts w:ascii="Times New Roman" w:hAnsi="Times New Roman" w:cs="Times New Roman"/>
          <w:szCs w:val="20"/>
          <w:lang w:val="lv-LV"/>
        </w:rPr>
        <w:t xml:space="preserve">, 36. punkts).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45</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Visbeidzot attiecībā uz Pamattiesību hartas nodrošināto tiesību apjomu lietā </w:t>
      </w:r>
      <w:r w:rsidRPr="00E45AA2">
        <w:rPr>
          <w:rFonts w:ascii="Times New Roman" w:hAnsi="Times New Roman" w:cs="Times New Roman"/>
          <w:i/>
          <w:szCs w:val="24"/>
          <w:lang w:val="lv-LV"/>
        </w:rPr>
        <w:t>J. McB. pret L.E.</w:t>
      </w:r>
      <w:r w:rsidRPr="00E45AA2">
        <w:rPr>
          <w:rFonts w:ascii="Times New Roman" w:hAnsi="Times New Roman" w:cs="Times New Roman"/>
          <w:szCs w:val="24"/>
          <w:lang w:val="lv-LV"/>
        </w:rPr>
        <w:t xml:space="preserve"> (Lieta Nr. C</w:t>
      </w:r>
      <w:r w:rsidRPr="00E45AA2">
        <w:rPr>
          <w:rFonts w:ascii="Times New Roman" w:hAnsi="Times New Roman" w:cs="Times New Roman"/>
          <w:szCs w:val="24"/>
          <w:lang w:val="lv-LV"/>
        </w:rPr>
        <w:noBreakHyphen/>
        <w:t>400/10 PPU, 2010. gada 5. oktobra spriedums) EST noteica šādi:</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 xml:space="preserve">„53.  Turklāt no Hartas 52. panta 3. punkta izriet, ka tiktāl, ciktāl tajā ir ietvertas tiesības, kas atbilst Eiropas Cilvēktiesību konvencijā garantētajām tiesībām, to nozīme un apjoms ir tāds pats kā minētajā Konvencijā noteiktajām tiesībām. Tomēr šis noteikums neliedz Savienības tiesībās paredzēt plašāku aizsardzību. Saskaņā ar tās pašas Hartas 7. pantu „ikvienai personai ir tiesības uz savas privātās un ģimenes dzīves, dzīvokļa un saziņas neaizskaramību”. Eiropas Cilvēktiesību konvencijas 8. panta 1. punkta formulējums ir identisks minētā 7. panta formulējumam, izņemot to, ka vārda “saziņa” vietā tajā ir izmantots vārds “korespondence”. Tādējādi ir jāsecina, ka šajā 7. pantā ir iekļautas tiesības, kas atbilst Eiropas Cilvēktiesību konvencijas 8. panta 1. punktā garantētajām tiesībām. Līdz ar to Hartas 7. pantam ir jāpiešķir tāda pati nozīme un apjoms kā Eiropas Cilvēktiesību konvencijas 8.  panta 1.  punktam, kas interpretēts Eiropas Cilvēktiesību tiesas judikatūrā (pēc analoģijas skat. 2008. gada 14. februāra spriedumu lietā C-450/06 </w:t>
      </w:r>
      <w:r w:rsidRPr="00E45AA2">
        <w:rPr>
          <w:rFonts w:ascii="Times New Roman" w:hAnsi="Times New Roman" w:cs="Times New Roman"/>
          <w:i/>
          <w:szCs w:val="24"/>
          <w:lang w:val="lv-LV"/>
        </w:rPr>
        <w:t>Varec</w:t>
      </w:r>
      <w:r w:rsidRPr="00E45AA2">
        <w:rPr>
          <w:rFonts w:ascii="Times New Roman" w:hAnsi="Times New Roman" w:cs="Times New Roman"/>
          <w:szCs w:val="24"/>
          <w:lang w:val="lv-LV"/>
        </w:rPr>
        <w:t xml:space="preserve">, </w:t>
      </w:r>
      <w:r w:rsidR="00696E22">
        <w:rPr>
          <w:rFonts w:ascii="Times New Roman" w:hAnsi="Times New Roman" w:cs="Times New Roman"/>
          <w:szCs w:val="24"/>
          <w:lang w:val="lv-LV"/>
        </w:rPr>
        <w:t>ECR</w:t>
      </w:r>
      <w:r w:rsidRPr="00E45AA2">
        <w:rPr>
          <w:rFonts w:ascii="Times New Roman" w:hAnsi="Times New Roman" w:cs="Times New Roman"/>
          <w:szCs w:val="24"/>
          <w:lang w:val="lv-LV"/>
        </w:rPr>
        <w:t xml:space="preserve"> I-581. lpp., 48. punkts).”</w:t>
      </w:r>
    </w:p>
    <w:p w:rsidR="0013508E" w:rsidRPr="00E45AA2" w:rsidRDefault="0013508E" w:rsidP="00EB7834">
      <w:pPr>
        <w:pStyle w:val="ECHRHeading3"/>
        <w:numPr>
          <w:ilvl w:val="0"/>
          <w:numId w:val="0"/>
        </w:numPr>
        <w:ind w:left="720" w:hanging="432"/>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 xml:space="preserve">2.  Pamattiesības un savstarpējas uzticēšanās princips </w:t>
      </w:r>
    </w:p>
    <w:p w:rsidR="00EB7834" w:rsidRPr="00E45AA2" w:rsidRDefault="00EB7834" w:rsidP="00EB7834">
      <w:pPr>
        <w:pStyle w:val="ECHRPara"/>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46</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Ņemot vērā </w:t>
      </w:r>
      <w:r w:rsidRPr="00E45AA2">
        <w:rPr>
          <w:rStyle w:val="Strong"/>
          <w:rFonts w:ascii="Times New Roman" w:hAnsi="Times New Roman" w:cs="Times New Roman"/>
          <w:b w:val="0"/>
          <w:szCs w:val="24"/>
          <w:bdr w:val="none" w:sz="0" w:space="0" w:color="auto" w:frame="1"/>
          <w:shd w:val="clear" w:color="auto" w:fill="FFFFFF"/>
          <w:lang w:val="lv-LV"/>
        </w:rPr>
        <w:t xml:space="preserve">Padomes regulu (EK) Nr. 343/2003 (2003. gada 18. februāris), ar ko paredz kritērijus un mehānismus, lai noteiktu dalībvalsti, kura ir atbildīga par trešās valsts pilsoņa patvēruma pieteikuma izskatīšanu, kas iesniegts kādā no dalībvalstīm („Dublinas regulu”), savā spriedumā lietā </w:t>
      </w:r>
      <w:r w:rsidRPr="00E45AA2">
        <w:rPr>
          <w:rFonts w:ascii="Times New Roman" w:hAnsi="Times New Roman" w:cs="Times New Roman"/>
          <w:bCs/>
          <w:i/>
          <w:szCs w:val="24"/>
          <w:lang w:val="lv-LV"/>
        </w:rPr>
        <w:t xml:space="preserve">N.S. pret Iekšlietu nodaļas valsts sekretāru </w:t>
      </w:r>
      <w:r w:rsidRPr="00E45AA2">
        <w:rPr>
          <w:rFonts w:ascii="Times New Roman" w:hAnsi="Times New Roman" w:cs="Times New Roman"/>
          <w:bCs/>
          <w:szCs w:val="24"/>
          <w:lang w:val="lv-LV"/>
        </w:rPr>
        <w:t xml:space="preserve">(Apvienotās lietas C-411/10 un C-493/10, 2011. gada 21. decembra spriedums, </w:t>
      </w:r>
      <w:r w:rsidR="00D1654F">
        <w:rPr>
          <w:rFonts w:ascii="Times New Roman" w:hAnsi="Times New Roman" w:cs="Times New Roman"/>
          <w:bCs/>
          <w:szCs w:val="24"/>
          <w:lang w:val="lv-LV"/>
        </w:rPr>
        <w:t xml:space="preserve">ECR </w:t>
      </w:r>
      <w:r w:rsidRPr="00E45AA2">
        <w:rPr>
          <w:rFonts w:ascii="Times New Roman" w:hAnsi="Times New Roman" w:cs="Times New Roman"/>
          <w:bCs/>
          <w:szCs w:val="24"/>
          <w:lang w:val="lv-LV"/>
        </w:rPr>
        <w:t>I-13905), EST noteica:</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„77.  Tāpat jānorāda, ka saskaņā ar pastāvīgo judikatūru dalībvalstīm ir ne tikai to valsts tiesību normas jāinterpretē atbilstoši Savienības tiesībām, bet arī jārūpējas, lai tās nepamatotos uz tādu sekundāro tiesību normu interpretāciju, kas būtu konfliktā ar Savienības tiesību sistēmā aizsargātajām pamattiesībām vai citiem Savienības tiesību vispārīgajiem principiem (šajā ziņā skat. 2003. gada 6. novembra spriedumu lietā C</w:t>
      </w:r>
      <w:r w:rsidRPr="00E45AA2">
        <w:rPr>
          <w:rFonts w:ascii="Times New Roman" w:hAnsi="Times New Roman" w:cs="Times New Roman"/>
          <w:szCs w:val="24"/>
          <w:lang w:val="lv-LV"/>
        </w:rPr>
        <w:noBreakHyphen/>
        <w:t>101/01</w:t>
      </w:r>
      <w:r w:rsidRPr="00E45AA2">
        <w:rPr>
          <w:rStyle w:val="apple-converted-space"/>
          <w:rFonts w:ascii="Times New Roman" w:hAnsi="Times New Roman" w:cs="Times New Roman"/>
          <w:szCs w:val="24"/>
          <w:lang w:val="lv-LV"/>
        </w:rPr>
        <w:t> </w:t>
      </w:r>
      <w:r w:rsidRPr="00E45AA2">
        <w:rPr>
          <w:rFonts w:ascii="Times New Roman" w:hAnsi="Times New Roman" w:cs="Times New Roman"/>
          <w:i/>
          <w:iCs/>
          <w:szCs w:val="24"/>
          <w:lang w:val="lv-LV"/>
        </w:rPr>
        <w:t>Lindqvist</w:t>
      </w:r>
      <w:r w:rsidRPr="00E45AA2">
        <w:rPr>
          <w:rFonts w:ascii="Times New Roman" w:hAnsi="Times New Roman" w:cs="Times New Roman"/>
          <w:szCs w:val="24"/>
          <w:lang w:val="lv-LV"/>
        </w:rPr>
        <w:t xml:space="preserve"> [2003] </w:t>
      </w:r>
      <w:r w:rsidR="00D83935">
        <w:rPr>
          <w:rFonts w:ascii="Times New Roman" w:hAnsi="Times New Roman" w:cs="Times New Roman"/>
          <w:szCs w:val="24"/>
          <w:lang w:val="lv-LV"/>
        </w:rPr>
        <w:t>E</w:t>
      </w:r>
      <w:r w:rsidR="00F97B05">
        <w:rPr>
          <w:rFonts w:ascii="Times New Roman" w:hAnsi="Times New Roman" w:cs="Times New Roman"/>
          <w:szCs w:val="24"/>
          <w:lang w:val="lv-LV"/>
        </w:rPr>
        <w:t>CR</w:t>
      </w:r>
      <w:r w:rsidRPr="00E45AA2">
        <w:rPr>
          <w:rFonts w:ascii="Times New Roman" w:hAnsi="Times New Roman" w:cs="Times New Roman"/>
          <w:szCs w:val="24"/>
          <w:lang w:val="lv-LV"/>
        </w:rPr>
        <w:t xml:space="preserve"> I</w:t>
      </w:r>
      <w:r w:rsidRPr="00E45AA2">
        <w:rPr>
          <w:rFonts w:ascii="Times New Roman" w:hAnsi="Times New Roman" w:cs="Times New Roman"/>
          <w:szCs w:val="24"/>
          <w:lang w:val="lv-LV"/>
        </w:rPr>
        <w:noBreakHyphen/>
        <w:t>12971. lpp., 87. punkts, kā arī lietu C</w:t>
      </w:r>
      <w:r w:rsidRPr="00E45AA2">
        <w:rPr>
          <w:rFonts w:ascii="Times New Roman" w:hAnsi="Times New Roman" w:cs="Times New Roman"/>
          <w:szCs w:val="24"/>
          <w:lang w:val="lv-LV"/>
        </w:rPr>
        <w:noBreakHyphen/>
        <w:t>305/05</w:t>
      </w:r>
      <w:r w:rsidRPr="00E45AA2">
        <w:rPr>
          <w:rStyle w:val="apple-converted-space"/>
          <w:rFonts w:ascii="Times New Roman" w:hAnsi="Times New Roman" w:cs="Times New Roman"/>
          <w:szCs w:val="24"/>
          <w:lang w:val="lv-LV"/>
        </w:rPr>
        <w:t> </w:t>
      </w:r>
      <w:r w:rsidRPr="00E45AA2">
        <w:rPr>
          <w:rFonts w:ascii="Times New Roman" w:hAnsi="Times New Roman" w:cs="Times New Roman"/>
          <w:i/>
          <w:iCs/>
          <w:szCs w:val="24"/>
          <w:lang w:val="lv-LV"/>
        </w:rPr>
        <w:t>Ordre des barreaux francophones et germanophone</w:t>
      </w:r>
      <w:r w:rsidRPr="00E45AA2">
        <w:rPr>
          <w:rFonts w:ascii="Times New Roman" w:hAnsi="Times New Roman" w:cs="Times New Roman"/>
          <w:szCs w:val="24"/>
          <w:lang w:val="lv-LV"/>
        </w:rPr>
        <w:t xml:space="preserve"> u.c. [2007], </w:t>
      </w:r>
      <w:r w:rsidR="00F97B05">
        <w:rPr>
          <w:rFonts w:ascii="Times New Roman" w:hAnsi="Times New Roman" w:cs="Times New Roman"/>
          <w:szCs w:val="24"/>
          <w:lang w:val="lv-LV"/>
        </w:rPr>
        <w:t>ECR</w:t>
      </w:r>
      <w:r w:rsidRPr="00E45AA2">
        <w:rPr>
          <w:rFonts w:ascii="Times New Roman" w:hAnsi="Times New Roman" w:cs="Times New Roman"/>
          <w:szCs w:val="24"/>
          <w:lang w:val="lv-LV"/>
        </w:rPr>
        <w:t xml:space="preserve"> I</w:t>
      </w:r>
      <w:r w:rsidRPr="00E45AA2">
        <w:rPr>
          <w:rFonts w:ascii="Times New Roman" w:hAnsi="Times New Roman" w:cs="Times New Roman"/>
          <w:szCs w:val="24"/>
          <w:lang w:val="lv-LV"/>
        </w:rPr>
        <w:noBreakHyphen/>
        <w:t>5305. lpp., 28. punkts).</w:t>
      </w:r>
    </w:p>
    <w:p w:rsidR="0013508E" w:rsidRPr="00E45AA2" w:rsidRDefault="0013508E" w:rsidP="0013508E">
      <w:pPr>
        <w:pStyle w:val="ECHRParaQuote"/>
        <w:rPr>
          <w:rFonts w:ascii="Times New Roman" w:hAnsi="Times New Roman" w:cs="Times New Roman"/>
          <w:szCs w:val="24"/>
          <w:lang w:val="lv-LV"/>
        </w:rPr>
      </w:pPr>
      <w:bookmarkStart w:id="5" w:name="point78"/>
      <w:r w:rsidRPr="00E45AA2">
        <w:rPr>
          <w:rFonts w:ascii="Times New Roman" w:hAnsi="Times New Roman" w:cs="Times New Roman"/>
          <w:szCs w:val="24"/>
          <w:lang w:val="lv-LV"/>
        </w:rPr>
        <w:t>78</w:t>
      </w:r>
      <w:bookmarkEnd w:id="5"/>
      <w:r w:rsidRPr="00E45AA2">
        <w:rPr>
          <w:rFonts w:ascii="Times New Roman" w:hAnsi="Times New Roman" w:cs="Times New Roman"/>
          <w:szCs w:val="24"/>
          <w:lang w:val="lv-LV"/>
        </w:rPr>
        <w:t>.   No dokumentiem, kas veido kopējo Eiropas patvēruma sistēmu, izriet, ka tā tika izveidota apstākļos, kuri ļāva pieņemt, ka visas valstis, kas tajā piedalās, vai tās būtu dalībvalstis vai trešās valstis, ievēro pamattiesības, ieskaitot tiesības, kas izriet no Ženēvas konvencijas un 1967. gada protokola, kā arī ECHR, un ka dalībvalstis šajā ziņā var viena otrai savstarpēji uzticēties.</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lastRenderedPageBreak/>
        <w:t>(...)</w:t>
      </w:r>
    </w:p>
    <w:p w:rsidR="0013508E" w:rsidRPr="00E45AA2" w:rsidRDefault="0013508E" w:rsidP="0013508E">
      <w:pPr>
        <w:pStyle w:val="ECHRParaQuote"/>
        <w:rPr>
          <w:rFonts w:ascii="Times New Roman" w:hAnsi="Times New Roman" w:cs="Times New Roman"/>
          <w:szCs w:val="24"/>
          <w:lang w:val="lv-LV"/>
        </w:rPr>
      </w:pPr>
      <w:bookmarkStart w:id="6" w:name="point80"/>
      <w:r w:rsidRPr="00E45AA2">
        <w:rPr>
          <w:rFonts w:ascii="Times New Roman" w:hAnsi="Times New Roman" w:cs="Times New Roman"/>
          <w:szCs w:val="24"/>
          <w:lang w:val="lv-LV"/>
        </w:rPr>
        <w:t>80</w:t>
      </w:r>
      <w:bookmarkEnd w:id="6"/>
      <w:r w:rsidRPr="00E45AA2">
        <w:rPr>
          <w:rFonts w:ascii="Times New Roman" w:hAnsi="Times New Roman" w:cs="Times New Roman"/>
          <w:szCs w:val="24"/>
          <w:lang w:val="lv-LV"/>
        </w:rPr>
        <w:t xml:space="preserve">.  Šādos apstākļos ir jāpieņem, ka attieksme pret patvēruma meklētājiem katrā dalībvalstī atbilst </w:t>
      </w:r>
      <w:r w:rsidR="00E954AC">
        <w:rPr>
          <w:rFonts w:ascii="Times New Roman" w:hAnsi="Times New Roman" w:cs="Times New Roman"/>
          <w:szCs w:val="24"/>
          <w:lang w:val="lv-LV"/>
        </w:rPr>
        <w:t>H</w:t>
      </w:r>
      <w:r w:rsidRPr="00E45AA2">
        <w:rPr>
          <w:rFonts w:ascii="Times New Roman" w:hAnsi="Times New Roman" w:cs="Times New Roman"/>
          <w:szCs w:val="24"/>
          <w:lang w:val="lv-LV"/>
        </w:rPr>
        <w:t>artas, Ženēvas konvencijas, kā arī ECHR prasībām.</w:t>
      </w:r>
    </w:p>
    <w:p w:rsidR="0013508E" w:rsidRPr="00E45AA2" w:rsidRDefault="0013508E" w:rsidP="0013508E">
      <w:pPr>
        <w:pStyle w:val="ECHRParaQuote"/>
        <w:rPr>
          <w:rFonts w:ascii="Times New Roman" w:hAnsi="Times New Roman" w:cs="Times New Roman"/>
          <w:szCs w:val="24"/>
          <w:lang w:val="lv-LV"/>
        </w:rPr>
      </w:pPr>
      <w:bookmarkStart w:id="7" w:name="point81"/>
      <w:r w:rsidRPr="00E45AA2">
        <w:rPr>
          <w:rFonts w:ascii="Times New Roman" w:hAnsi="Times New Roman" w:cs="Times New Roman"/>
          <w:szCs w:val="24"/>
          <w:lang w:val="lv-LV"/>
        </w:rPr>
        <w:t>81</w:t>
      </w:r>
      <w:bookmarkEnd w:id="7"/>
      <w:r w:rsidRPr="00E45AA2">
        <w:rPr>
          <w:rFonts w:ascii="Times New Roman" w:hAnsi="Times New Roman" w:cs="Times New Roman"/>
          <w:szCs w:val="24"/>
          <w:lang w:val="lv-LV"/>
        </w:rPr>
        <w:t>. Tomēr nevar izslēgt, ka šī sistēma noteiktā dalībvalstī praksē var sastapties ar lielām operacionālām grūtībām, kas nozīmē, ka pastāv nopietns risks, ka pret patvēruma meklētājiem to nosūtīšanas uz šo dalībvalsti gadījumā izrādītā attieksme nebūs saderīga ar viņu pamattiesībām.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bookmarkStart w:id="8" w:name="point83"/>
      <w:r w:rsidRPr="00E45AA2">
        <w:rPr>
          <w:rFonts w:ascii="Times New Roman" w:hAnsi="Times New Roman" w:cs="Times New Roman"/>
          <w:szCs w:val="24"/>
          <w:lang w:val="lv-LV"/>
        </w:rPr>
        <w:t>83</w:t>
      </w:r>
      <w:bookmarkEnd w:id="8"/>
      <w:r w:rsidRPr="00E45AA2">
        <w:rPr>
          <w:rFonts w:ascii="Times New Roman" w:hAnsi="Times New Roman" w:cs="Times New Roman"/>
          <w:szCs w:val="24"/>
          <w:lang w:val="lv-LV"/>
        </w:rPr>
        <w:t>.  Tas faktiski izriet no Savienības, kā arī brīvības, drošības un tiesiskuma telpas izveides un it īpaši no kopējās Eiropas patvēruma sistēmas, – kas ir izveidota, pamatojoties uz savstarpēju uzticību un pieņēmumu, ka citas dalībvalstis ievēros Savienības tiesības un it īpaši pamattiesības, – jēgas.</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94. No iepriekš minētā izriet, ka tādās situācijās kā pamatlietās, lai ļautu Savienībai un tās dalībvalstīm ievērot to pienākumus patvēruma meklētāju pamattiesību aizsardzības jomā, dalībvalstīm, ieskaitot valsts tiesas, ir pienākums nenosūtīt patvēruma meklētāju uz “atbildīgo dalībvalsti” Regulas Nr. 343/2003 izpratnē gadījumos, kad tās nevar nezināt, ka sistemātiski trūkumi patvēruma piešķiršanas procesā un patvēruma meklētāju uzņemšanas apstākļos šajā dalībvalstī rada nopietnus un pierādītus iemeslus uzskatīt, ka patvēruma meklētājam radīsies reāls risks tikt pakļautam necilvēciskai vai pazemojošai attieksmei hartas 4. panta izpratnē.</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bookmarkStart w:id="9" w:name="point98"/>
      <w:r w:rsidRPr="00E45AA2">
        <w:rPr>
          <w:rFonts w:ascii="Times New Roman" w:hAnsi="Times New Roman" w:cs="Times New Roman"/>
          <w:szCs w:val="24"/>
          <w:lang w:val="lv-LV"/>
        </w:rPr>
        <w:t>98</w:t>
      </w:r>
      <w:bookmarkEnd w:id="9"/>
      <w:r w:rsidRPr="00E45AA2">
        <w:rPr>
          <w:rFonts w:ascii="Times New Roman" w:hAnsi="Times New Roman" w:cs="Times New Roman"/>
          <w:szCs w:val="24"/>
          <w:lang w:val="lv-LV"/>
        </w:rPr>
        <w:t>.  Tomēr ir svarīgi, lai dalībvalsts, kurā atrodas patvēruma meklētājs, rūpētos par to, lai situācija, kurā tiek pārkāptas šī patvēruma meklētāja pamattiesības, netiktu pasliktināta, veicot nesaprātīgi garu atbildīgās dalībvalsts noteikšanas procesu. Vajadzības gadījumā tās pienākums ir pašai izskatīt pieteikumu saskaņā ar Regulas Nr. 343/2003 3. panta 2. punktā paredzētajiem nosacījumiem.</w:t>
      </w:r>
    </w:p>
    <w:p w:rsidR="0013508E" w:rsidRPr="00E45AA2" w:rsidRDefault="0013508E" w:rsidP="0013508E">
      <w:pPr>
        <w:pStyle w:val="ECHRParaQuote"/>
        <w:rPr>
          <w:rFonts w:ascii="Times New Roman" w:hAnsi="Times New Roman" w:cs="Times New Roman"/>
          <w:szCs w:val="24"/>
          <w:lang w:val="lv-LV"/>
        </w:rPr>
      </w:pPr>
      <w:bookmarkStart w:id="10" w:name="point99"/>
      <w:r w:rsidRPr="00E45AA2">
        <w:rPr>
          <w:rFonts w:ascii="Times New Roman" w:hAnsi="Times New Roman" w:cs="Times New Roman"/>
          <w:szCs w:val="24"/>
          <w:lang w:val="lv-LV"/>
        </w:rPr>
        <w:t>99</w:t>
      </w:r>
      <w:bookmarkEnd w:id="10"/>
      <w:r w:rsidRPr="00E45AA2">
        <w:rPr>
          <w:rFonts w:ascii="Times New Roman" w:hAnsi="Times New Roman" w:cs="Times New Roman"/>
          <w:szCs w:val="24"/>
          <w:lang w:val="lv-LV"/>
        </w:rPr>
        <w:t>.  No visiem iepriekš minētajiem apsvērumiem izriet, ka Regulas Nr. 343/2003 piemērošana, pamatojoties uz neapstrīdamu pieņēmumu, ka par patvēruma pieteikuma izskatīšanu parasti atbildīgajā dalībvalstī tiks ievērotas patvēruma meklētāja pamattiesības, kā ir norādījusi ģenerāladvokāte secinājumu lietā C</w:t>
      </w:r>
      <w:r w:rsidRPr="00E45AA2">
        <w:rPr>
          <w:rFonts w:ascii="Times New Roman" w:hAnsi="Times New Roman" w:cs="Times New Roman"/>
          <w:szCs w:val="24"/>
          <w:lang w:val="lv-LV"/>
        </w:rPr>
        <w:noBreakHyphen/>
        <w:t>411/10 131. punktā, nav saderīga ar dalībvalsts pienākumu interpretēt un piemērot Regulu Nr. 343/2003 atbilstoši pamattiesībām.</w:t>
      </w:r>
    </w:p>
    <w:p w:rsidR="0013508E" w:rsidRPr="00E45AA2" w:rsidRDefault="0013508E" w:rsidP="0013508E">
      <w:pPr>
        <w:pStyle w:val="ECHRParaQuote"/>
        <w:rPr>
          <w:rFonts w:ascii="Times New Roman" w:hAnsi="Times New Roman" w:cs="Times New Roman"/>
          <w:szCs w:val="24"/>
          <w:lang w:val="lv-LV"/>
        </w:rPr>
      </w:pPr>
      <w:bookmarkStart w:id="11" w:name="point100"/>
      <w:r w:rsidRPr="00E45AA2">
        <w:rPr>
          <w:rFonts w:ascii="Times New Roman" w:hAnsi="Times New Roman" w:cs="Times New Roman"/>
          <w:szCs w:val="24"/>
          <w:lang w:val="lv-LV"/>
        </w:rPr>
        <w:t>100</w:t>
      </w:r>
      <w:bookmarkEnd w:id="11"/>
      <w:r w:rsidRPr="00E45AA2">
        <w:rPr>
          <w:rFonts w:ascii="Times New Roman" w:hAnsi="Times New Roman" w:cs="Times New Roman"/>
          <w:szCs w:val="24"/>
          <w:lang w:val="lv-LV"/>
        </w:rPr>
        <w:t>.  Turklāt, kā ir uzsvēris</w:t>
      </w:r>
      <w:r w:rsidRPr="00E45AA2">
        <w:rPr>
          <w:rStyle w:val="apple-converted-space"/>
          <w:rFonts w:ascii="Times New Roman" w:hAnsi="Times New Roman" w:cs="Times New Roman"/>
          <w:szCs w:val="24"/>
          <w:lang w:val="lv-LV"/>
        </w:rPr>
        <w:t> </w:t>
      </w:r>
      <w:r w:rsidRPr="00E45AA2">
        <w:rPr>
          <w:rFonts w:ascii="Times New Roman" w:hAnsi="Times New Roman" w:cs="Times New Roman"/>
          <w:i/>
          <w:iCs/>
          <w:szCs w:val="24"/>
          <w:lang w:val="lv-LV"/>
        </w:rPr>
        <w:t>N. S.</w:t>
      </w:r>
      <w:r w:rsidRPr="00E45AA2">
        <w:rPr>
          <w:rFonts w:ascii="Times New Roman" w:hAnsi="Times New Roman" w:cs="Times New Roman"/>
          <w:szCs w:val="24"/>
          <w:lang w:val="lv-LV"/>
        </w:rPr>
        <w:t>, ja Regulā Nr. 343/2003 būtu noteikts neapstrīdams pieņēmums par pamattiesību ievērošanu, tad tā pati varētu tikt uzskatīta par tādu, kas apdraud garantijas, kurās paredzēts, ka Savienība un tās dalībvalstis aizsargā un ievēro pamattiesības.</w:t>
      </w:r>
    </w:p>
    <w:p w:rsidR="0013508E" w:rsidRPr="00E45AA2" w:rsidRDefault="0013508E" w:rsidP="0013508E">
      <w:pPr>
        <w:pStyle w:val="ECHRParaQuote"/>
        <w:rPr>
          <w:rFonts w:ascii="Times New Roman" w:hAnsi="Times New Roman" w:cs="Times New Roman"/>
          <w:szCs w:val="24"/>
          <w:lang w:val="lv-LV"/>
        </w:rPr>
      </w:pPr>
      <w:bookmarkStart w:id="12" w:name="point101"/>
      <w:r w:rsidRPr="00E45AA2">
        <w:rPr>
          <w:rFonts w:ascii="Times New Roman" w:hAnsi="Times New Roman" w:cs="Times New Roman"/>
          <w:szCs w:val="24"/>
          <w:lang w:val="lv-LV"/>
        </w:rPr>
        <w:t>101</w:t>
      </w:r>
      <w:bookmarkEnd w:id="12"/>
      <w:r w:rsidRPr="00E45AA2">
        <w:rPr>
          <w:rFonts w:ascii="Times New Roman" w:hAnsi="Times New Roman" w:cs="Times New Roman"/>
          <w:szCs w:val="24"/>
          <w:lang w:val="lv-LV"/>
        </w:rPr>
        <w:t>.  Tā tas it īpaši būtu ar tiesību normu, kurā paredzēts, ka zināmas valstis ir “drošas valstis” pamattiesību ievērošanas ziņā, ja šī tiesību norma būtu interpretējama tā, ka tā ietver neapstrīdamu pieņēmumu, aizliedzot pretējus pierādījumus.</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bookmarkStart w:id="13" w:name="point104"/>
      <w:r w:rsidRPr="00E45AA2">
        <w:rPr>
          <w:rFonts w:ascii="Times New Roman" w:hAnsi="Times New Roman" w:cs="Times New Roman"/>
          <w:szCs w:val="24"/>
          <w:lang w:val="lv-LV"/>
        </w:rPr>
        <w:t>104</w:t>
      </w:r>
      <w:bookmarkEnd w:id="13"/>
      <w:r w:rsidRPr="00E45AA2">
        <w:rPr>
          <w:rFonts w:ascii="Times New Roman" w:hAnsi="Times New Roman" w:cs="Times New Roman"/>
          <w:szCs w:val="24"/>
          <w:lang w:val="lv-LV"/>
        </w:rPr>
        <w:t>. Šādos apstākļos šī sprieduma 80. punktā konstatētais pieņēmums, kas ir pamatā visam tiesiskajam regulējumam šajā jomā, ka patvēruma meklētājiem tiks izrādīta cilvēktiesībām atbilstoša attieksme, ir uzskatāms par apstrīdamu. </w:t>
      </w:r>
    </w:p>
    <w:p w:rsidR="0013508E" w:rsidRPr="00E45AA2" w:rsidRDefault="0013508E" w:rsidP="0013508E">
      <w:pPr>
        <w:pStyle w:val="ECHRParaQuote"/>
        <w:rPr>
          <w:rFonts w:ascii="Times New Roman" w:hAnsi="Times New Roman" w:cs="Times New Roman"/>
          <w:szCs w:val="24"/>
          <w:lang w:val="lv-LV"/>
        </w:rPr>
      </w:pPr>
      <w:bookmarkStart w:id="14" w:name="point105"/>
      <w:r w:rsidRPr="00E45AA2">
        <w:rPr>
          <w:rFonts w:ascii="Times New Roman" w:hAnsi="Times New Roman" w:cs="Times New Roman"/>
          <w:szCs w:val="24"/>
          <w:lang w:val="lv-LV"/>
        </w:rPr>
        <w:lastRenderedPageBreak/>
        <w:t>105</w:t>
      </w:r>
      <w:bookmarkEnd w:id="14"/>
      <w:r w:rsidRPr="00E45AA2">
        <w:rPr>
          <w:rFonts w:ascii="Times New Roman" w:hAnsi="Times New Roman" w:cs="Times New Roman"/>
          <w:szCs w:val="24"/>
          <w:lang w:val="lv-LV"/>
        </w:rPr>
        <w:t>. Ņemot vērā šos faktus, uz uzdotajiem jautājumiem ir jāatbild, ka Savienības tiesībās tiek liegts piemērot neapstrīdamu pieņēmumu, ka dalībvalsts, kura Regulas Nr. 343/2003 3. pantā ir norādīta par atbildīgo, ievēro Savienības pamattiesības.”</w:t>
      </w:r>
    </w:p>
    <w:p w:rsidR="0013508E" w:rsidRPr="00E45AA2" w:rsidRDefault="0013508E" w:rsidP="0013508E">
      <w:pPr>
        <w:pStyle w:val="ECHRPara"/>
        <w:rPr>
          <w:rFonts w:ascii="Times New Roman" w:hAnsi="Times New Roman" w:cs="Times New Roman"/>
          <w:bCs/>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47</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Lietā </w:t>
      </w:r>
      <w:r w:rsidRPr="00E45AA2">
        <w:rPr>
          <w:rFonts w:ascii="Times New Roman" w:hAnsi="Times New Roman" w:cs="Times New Roman"/>
          <w:bCs/>
          <w:i/>
          <w:szCs w:val="24"/>
          <w:lang w:val="lv-LV"/>
        </w:rPr>
        <w:t>Melloni v Ministerio Fiscal</w:t>
      </w:r>
      <w:r w:rsidRPr="00E45AA2">
        <w:rPr>
          <w:rFonts w:ascii="Times New Roman" w:hAnsi="Times New Roman" w:cs="Times New Roman"/>
          <w:bCs/>
          <w:szCs w:val="24"/>
          <w:lang w:val="lv-LV"/>
        </w:rPr>
        <w:t xml:space="preserve"> (Lieta Nr. C-399/11, 2013. gada 26. februāra spriedums) par jautājumu, vai Eiropas Savienības dalībvalsts var atteikties izpildīt Eiropas apcietināšanas orderi saskaņā Pamattiesību hartas 53. pantu, pamatojot to ar uzskatu, ka tādā veidā tiek pārkāptas valsts konstitūcijā noteiktās attiecīgās personas pamattiesības, EST noteica šādi: </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„60. Protams, Hartas 53. pants apstiprina, ka, ja Savienības tiesību aktā ir prasīts veikt valsts īstenojošos pasākumus, valsts iestādes un tiesas joprojām var piemērot savus valsts standartus pamattiesību aizsardzībai, ja vien šāda piemērošana nekaitē nedz Hartā paredzētajam aizsardzības līmenim, kā to interpretē Tiesa, nedz Savienības tiesību pārākumam, vienotībai un efektivitātei.</w:t>
      </w:r>
    </w:p>
    <w:p w:rsidR="0013508E" w:rsidRPr="00E45AA2" w:rsidRDefault="0013508E" w:rsidP="0013508E">
      <w:pPr>
        <w:pStyle w:val="ECHRParaQuote"/>
        <w:rPr>
          <w:rFonts w:ascii="Times New Roman" w:hAnsi="Times New Roman" w:cs="Times New Roman"/>
          <w:szCs w:val="20"/>
          <w:lang w:val="lv-LV"/>
        </w:rPr>
      </w:pPr>
      <w:bookmarkStart w:id="15" w:name="point61"/>
      <w:r w:rsidRPr="00E45AA2">
        <w:rPr>
          <w:rFonts w:ascii="Times New Roman" w:hAnsi="Times New Roman" w:cs="Times New Roman"/>
          <w:szCs w:val="20"/>
          <w:lang w:val="lv-LV"/>
        </w:rPr>
        <w:t>61</w:t>
      </w:r>
      <w:bookmarkEnd w:id="15"/>
      <w:r w:rsidRPr="00E45AA2">
        <w:rPr>
          <w:rFonts w:ascii="Times New Roman" w:hAnsi="Times New Roman" w:cs="Times New Roman"/>
          <w:szCs w:val="20"/>
          <w:lang w:val="lv-LV"/>
        </w:rPr>
        <w:t>.  Tomēr, kā izriet Pamatlēmuma [kas attiecas Eiropas apcietināšanas orderiem] dalībvalstīm netiek sniegta iespēja atteikt Eiropas apcietināšanas ordera izpildi, ja ieinteresētā persona atrodas kādā no paredzētajām situācijām(...)</w:t>
      </w:r>
    </w:p>
    <w:p w:rsidR="0013508E" w:rsidRPr="00E45AA2" w:rsidRDefault="0013508E" w:rsidP="0013508E">
      <w:pPr>
        <w:pStyle w:val="ECHRParaQuote"/>
        <w:rPr>
          <w:rFonts w:ascii="Times New Roman" w:hAnsi="Times New Roman" w:cs="Times New Roman"/>
          <w:szCs w:val="20"/>
          <w:lang w:val="lv-LV"/>
        </w:rPr>
      </w:pPr>
      <w:bookmarkStart w:id="16" w:name="point62"/>
      <w:r w:rsidRPr="00E45AA2">
        <w:rPr>
          <w:rFonts w:ascii="Times New Roman" w:hAnsi="Times New Roman" w:cs="Times New Roman"/>
          <w:szCs w:val="20"/>
          <w:lang w:val="lv-LV"/>
        </w:rPr>
        <w:t>62</w:t>
      </w:r>
      <w:bookmarkEnd w:id="16"/>
      <w:r w:rsidRPr="00E45AA2">
        <w:rPr>
          <w:rFonts w:ascii="Times New Roman" w:hAnsi="Times New Roman" w:cs="Times New Roman"/>
          <w:szCs w:val="20"/>
          <w:lang w:val="lv-LV"/>
        </w:rPr>
        <w:t>.  Turklāt jāatgādina, ka Pamatlēmums 2009/299, ar kuru Pamatlēmumā 2002/584 tika iekļauta iepriekš minētā norma, tika pieņemts, lai atvieglotu grūtības, kas rodas aizmuguriski pieņemtu nolēmumu savstarpējā atzīšanā, kuras izraisa dalībvalstīs pastāvošās atšķirības pamattiesību aizsardzībā. Šajā sakarā ar šo pamatlēmumu tiek saskaņoti Eiropas apcietināšanas ordera izpildes nosacījumi aizmuguriski notiesājoša sprieduma gadījumā, kas atspoguļo starp visām dalībvalstīm panākto vienošanos par to, kāda ir aizmuguriski notiesāto personu, attiecībā uz kurām ir izsniegts Eiropas apcietināšanas orderis, procesuālo tiesību piemērojamība atbilstoši Savienības tiesībām.</w:t>
      </w:r>
    </w:p>
    <w:p w:rsidR="0013508E" w:rsidRPr="00E45AA2" w:rsidRDefault="0013508E" w:rsidP="0013508E">
      <w:pPr>
        <w:pStyle w:val="ECHRParaQuote"/>
        <w:rPr>
          <w:rFonts w:ascii="Times New Roman" w:hAnsi="Times New Roman" w:cs="Times New Roman"/>
          <w:szCs w:val="20"/>
          <w:lang w:val="lv-LV"/>
        </w:rPr>
      </w:pPr>
      <w:bookmarkStart w:id="17" w:name="point63"/>
      <w:r w:rsidRPr="00E45AA2">
        <w:rPr>
          <w:rFonts w:ascii="Times New Roman" w:hAnsi="Times New Roman" w:cs="Times New Roman"/>
          <w:szCs w:val="20"/>
          <w:lang w:val="lv-LV"/>
        </w:rPr>
        <w:t>63</w:t>
      </w:r>
      <w:bookmarkEnd w:id="17"/>
      <w:r w:rsidRPr="00E45AA2">
        <w:rPr>
          <w:rFonts w:ascii="Times New Roman" w:hAnsi="Times New Roman" w:cs="Times New Roman"/>
          <w:szCs w:val="20"/>
          <w:lang w:val="lv-LV"/>
        </w:rPr>
        <w:t>.  Līdz ar to atļaut dalībvalstij atsaukties uz Hartas 53. pantu, lai pakļautu aizmuguriski notiesātas personas nodošanu nosacījumam, kas nav paredzēts Pamatlēmumā(...), lai novērstu kaitējuma nodarīšanu tiesībām uz lietas taisnīgu izskatīšanu un tiesībām uz aizstāvību, ko garantē izpildes dalībvalsts konstitūcija, nozīmētu, ka tiktu pārkāpti, apšaubot ar šo pamatlēmumu definēto pamattiesību aizsardzības standarta vienotību, [tiesiskās] paļāvības un savstarpējās atzīšanas principi, kurus ar šo lēmumu ir paredzēts aizsargāt, un tādējādi tas apdraudētu minētā pamatlēmuma efektivitāti.</w:t>
      </w:r>
    </w:p>
    <w:p w:rsidR="0013508E" w:rsidRPr="00E45AA2" w:rsidRDefault="0013508E" w:rsidP="0013508E">
      <w:pPr>
        <w:pStyle w:val="ECHRParaQuote"/>
        <w:rPr>
          <w:rFonts w:ascii="Times New Roman" w:hAnsi="Times New Roman" w:cs="Times New Roman"/>
          <w:szCs w:val="20"/>
          <w:lang w:val="lv-LV"/>
        </w:rPr>
      </w:pPr>
      <w:bookmarkStart w:id="18" w:name="point64"/>
      <w:r w:rsidRPr="00E45AA2">
        <w:rPr>
          <w:rFonts w:ascii="Times New Roman" w:hAnsi="Times New Roman" w:cs="Times New Roman"/>
          <w:szCs w:val="20"/>
          <w:lang w:val="lv-LV"/>
        </w:rPr>
        <w:t>64</w:t>
      </w:r>
      <w:bookmarkEnd w:id="18"/>
      <w:r w:rsidRPr="00E45AA2">
        <w:rPr>
          <w:rFonts w:ascii="Times New Roman" w:hAnsi="Times New Roman" w:cs="Times New Roman"/>
          <w:szCs w:val="20"/>
          <w:lang w:val="lv-LV"/>
        </w:rPr>
        <w:t>.  Ņemot vērā iepriekš minētos apsvērumus, uz trešo jautājumu jāatbild, ka Hartas 53. pants ir jāinterpretē tādējādi, ka tas neļauj dalībvalstīm aizmuguriski notiesātas personas nodošanu pakļaut nosacījumam, ka šo notiesājošo spriedumu var pārskatīt izsniegšanas dalībvalstī, lai izvairītos no kaitējuma tās konstitūcijā garantētām tiesībām uz lietas taisnīgu izskatīšanu un tiesībām uz aizstāvību.”</w:t>
      </w:r>
    </w:p>
    <w:p w:rsidR="0013508E" w:rsidRPr="00E45AA2" w:rsidRDefault="0013508E" w:rsidP="0013508E">
      <w:pPr>
        <w:pStyle w:val="ECHRPara"/>
        <w:rPr>
          <w:rFonts w:ascii="Times New Roman" w:hAnsi="Times New Roman" w:cs="Times New Roman"/>
          <w:bCs/>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48</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Lietā </w:t>
      </w:r>
      <w:r w:rsidRPr="00E45AA2">
        <w:rPr>
          <w:rFonts w:ascii="Times New Roman" w:hAnsi="Times New Roman" w:cs="Times New Roman"/>
          <w:bCs/>
          <w:i/>
          <w:szCs w:val="24"/>
          <w:lang w:val="lv-LV"/>
        </w:rPr>
        <w:t>Alpha Bank Cyprus Ltd pret Dau Si Senh un citiem</w:t>
      </w:r>
      <w:r w:rsidRPr="00E45AA2">
        <w:rPr>
          <w:rFonts w:ascii="Times New Roman" w:hAnsi="Times New Roman" w:cs="Times New Roman"/>
          <w:bCs/>
          <w:szCs w:val="24"/>
          <w:lang w:val="lv-LV"/>
        </w:rPr>
        <w:t xml:space="preserve"> (Lieta Nr. C-519/13, 2015. gada 16. septembra spriedums) par Eiropas Parlamenta un Padomes Regulas (EK) Nr. 1393/2007 par tiesas un ārpustiesas civillietu vai komerclietu dokumentu izsniegšanu dalībvalstīs piemērošanu EST noteica: </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 xml:space="preserve">„30. Tādēļ, lai uzlabotu tiesvedības efektivitāti un ātrumu un nodrošinātu pareizu tieslietu pārvaldību, šī regula iedibina principu par tiesas un ārpustiesas dokumentu tiešo nosūtīšanu starp dalībvalstīm (skatīt spriedumu lietā </w:t>
      </w:r>
      <w:r w:rsidRPr="00E45AA2">
        <w:rPr>
          <w:rFonts w:ascii="Times New Roman" w:hAnsi="Times New Roman" w:cs="Times New Roman"/>
          <w:i/>
          <w:iCs/>
          <w:szCs w:val="20"/>
          <w:lang w:val="lv-LV"/>
        </w:rPr>
        <w:t>Leffler</w:t>
      </w:r>
      <w:r w:rsidRPr="00E45AA2">
        <w:rPr>
          <w:rFonts w:ascii="Times New Roman" w:hAnsi="Times New Roman" w:cs="Times New Roman"/>
          <w:szCs w:val="20"/>
          <w:lang w:val="lv-LV"/>
        </w:rPr>
        <w:t>, C</w:t>
      </w:r>
      <w:r w:rsidRPr="00E45AA2">
        <w:rPr>
          <w:rFonts w:ascii="Times New Roman" w:hAnsi="Times New Roman" w:cs="Times New Roman"/>
          <w:szCs w:val="20"/>
          <w:lang w:val="lv-LV"/>
        </w:rPr>
        <w:noBreakHyphen/>
        <w:t xml:space="preserve">443/03, </w:t>
      </w:r>
      <w:r w:rsidRPr="00E45AA2">
        <w:rPr>
          <w:rFonts w:ascii="Times New Roman" w:hAnsi="Times New Roman" w:cs="Times New Roman"/>
          <w:szCs w:val="20"/>
          <w:lang w:val="lv-LV"/>
        </w:rPr>
        <w:lastRenderedPageBreak/>
        <w:t xml:space="preserve">ES:C:2005:665, 3. punkts), vienkāršojot un uzlabojot procedūras. Šie mērķi ir minēti šīs regulas preambulas 6.-8. apsvērumā. </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 xml:space="preserve">31.  Tomēr, kā jau Tiesa ir vairākkārt noteikusi, šos mērķus nedrīkst mēģināt panākt, jebkādā veidā apdraudot iesaistīto pušu aizstāvības tiesības, ka izriet no tiesībām uz taisnīgu lietas izskatīšanu, ko paredz </w:t>
      </w:r>
      <w:r w:rsidRPr="00E45AA2">
        <w:rPr>
          <w:rFonts w:ascii="Times New Roman" w:eastAsia="Times New Roman" w:hAnsi="Times New Roman" w:cs="Times New Roman"/>
          <w:szCs w:val="20"/>
          <w:lang w:val="lv-LV" w:eastAsia="lv-LV"/>
        </w:rPr>
        <w:t>Eiropas Savienības Pamattiesību hartas 47.panta 2. punkts un</w:t>
      </w:r>
      <w:r w:rsidRPr="00E45AA2">
        <w:rPr>
          <w:rFonts w:ascii="Times New Roman" w:hAnsi="Times New Roman" w:cs="Times New Roman"/>
          <w:szCs w:val="20"/>
          <w:shd w:val="clear" w:color="auto" w:fill="FFFFFF"/>
          <w:lang w:val="lv-LV"/>
        </w:rPr>
        <w:t xml:space="preserve"> 1950. gada 4. novembrī Romā parakstītās Eiropas Cilvēktiesību un pamatbrīvību aizsardzības konvencijas 6. panta 1. punkts (</w:t>
      </w:r>
      <w:r w:rsidRPr="00E45AA2">
        <w:rPr>
          <w:rFonts w:ascii="Times New Roman" w:hAnsi="Times New Roman" w:cs="Times New Roman"/>
          <w:szCs w:val="20"/>
          <w:lang w:val="lv-LV"/>
        </w:rPr>
        <w:t xml:space="preserve">cita starpā skatīt spriedumu lietā </w:t>
      </w:r>
      <w:r w:rsidRPr="00E45AA2">
        <w:rPr>
          <w:rFonts w:ascii="Times New Roman" w:hAnsi="Times New Roman" w:cs="Times New Roman"/>
          <w:i/>
          <w:iCs/>
          <w:szCs w:val="20"/>
          <w:lang w:val="lv-LV"/>
        </w:rPr>
        <w:t>Alder</w:t>
      </w:r>
      <w:r w:rsidRPr="00E45AA2">
        <w:rPr>
          <w:rFonts w:ascii="Times New Roman" w:hAnsi="Times New Roman" w:cs="Times New Roman"/>
          <w:szCs w:val="20"/>
          <w:lang w:val="lv-LV"/>
        </w:rPr>
        <w:t>, C</w:t>
      </w:r>
      <w:r w:rsidRPr="00E45AA2">
        <w:rPr>
          <w:rFonts w:ascii="Times New Roman" w:hAnsi="Times New Roman" w:cs="Times New Roman"/>
          <w:szCs w:val="20"/>
          <w:lang w:val="lv-LV"/>
        </w:rPr>
        <w:noBreakHyphen/>
        <w:t>325/11, ES:C:2012:</w:t>
      </w:r>
      <w:r w:rsidR="00FE70B0">
        <w:rPr>
          <w:rFonts w:ascii="Times New Roman" w:hAnsi="Times New Roman" w:cs="Times New Roman"/>
          <w:szCs w:val="20"/>
          <w:lang w:val="lv-LV"/>
        </w:rPr>
        <w:t>824, 35. punkts, kā arī augstāk</w:t>
      </w:r>
      <w:r w:rsidRPr="00E45AA2">
        <w:rPr>
          <w:rFonts w:ascii="Times New Roman" w:hAnsi="Times New Roman" w:cs="Times New Roman"/>
          <w:szCs w:val="20"/>
          <w:lang w:val="lv-LV"/>
        </w:rPr>
        <w:t>minēto judikatūru).”</w:t>
      </w:r>
    </w:p>
    <w:p w:rsidR="00EB7834" w:rsidRPr="00E45AA2" w:rsidRDefault="0013508E" w:rsidP="00EB7834">
      <w:pPr>
        <w:pStyle w:val="ECHRHeading3"/>
        <w:numPr>
          <w:ilvl w:val="0"/>
          <w:numId w:val="0"/>
        </w:numPr>
        <w:ind w:left="720"/>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3.  Atzinums 2/13</w:t>
      </w:r>
    </w:p>
    <w:p w:rsidR="00EB7834" w:rsidRPr="00E45AA2" w:rsidRDefault="00EB7834" w:rsidP="00EB7834">
      <w:pPr>
        <w:pStyle w:val="ECHRPara"/>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49</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2014. gada 18. decembra atzinumā 2/13 par nolīguma projektu par Eiropas Savienības pievienošanos Eiropas Cilvēktiesību un pamatbrīvību aizsardzības konvencijai EST atzina, ka nolīguma projekts nav saderīgs ar Līgumu par</w:t>
      </w:r>
      <w:r w:rsidR="009B14E0">
        <w:rPr>
          <w:rFonts w:ascii="Times New Roman" w:hAnsi="Times New Roman" w:cs="Times New Roman"/>
          <w:szCs w:val="24"/>
          <w:lang w:val="lv-LV"/>
        </w:rPr>
        <w:t xml:space="preserve"> Eiropas Savienību. Attiecīgās A</w:t>
      </w:r>
      <w:r w:rsidRPr="00E45AA2">
        <w:rPr>
          <w:rFonts w:ascii="Times New Roman" w:hAnsi="Times New Roman" w:cs="Times New Roman"/>
          <w:szCs w:val="24"/>
          <w:lang w:val="lv-LV"/>
        </w:rPr>
        <w:t xml:space="preserve">tzinuma daļas nosaka šādi: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„187.  Šajā ziņā, pirmkārt, ir jāatgādina, ka Hartas 53. pantā ir paredzēts, ka nekas no šajā Hartā noteiktā nav interpretējams kā tāds, kas ierobežo vai negatīvi ietekmē cilvēktiesības un pamatbrīvības, kuras atzītas attiecīgās to piemērošanas jomās Savienības tiesību aktos un starptautiskajās tiesībās, kā arī starptautiskās konvencijās, kurām pievienojusies Savienība vai visas dalībvalstis, tostarp ECHR un dalībvalstu konstitūcijās.</w:t>
      </w:r>
    </w:p>
    <w:p w:rsidR="0013508E" w:rsidRPr="00E45AA2" w:rsidRDefault="0013508E" w:rsidP="0013508E">
      <w:pPr>
        <w:pStyle w:val="ECHRParaQuote"/>
        <w:rPr>
          <w:rFonts w:ascii="Times New Roman" w:hAnsi="Times New Roman" w:cs="Times New Roman"/>
          <w:szCs w:val="24"/>
          <w:lang w:val="lv-LV"/>
        </w:rPr>
      </w:pPr>
      <w:bookmarkStart w:id="19" w:name="point188"/>
      <w:r w:rsidRPr="00E45AA2">
        <w:rPr>
          <w:rFonts w:ascii="Times New Roman" w:hAnsi="Times New Roman" w:cs="Times New Roman"/>
          <w:szCs w:val="24"/>
          <w:lang w:val="lv-LV"/>
        </w:rPr>
        <w:t>188.</w:t>
      </w:r>
      <w:bookmarkEnd w:id="19"/>
      <w:r w:rsidRPr="00E45AA2">
        <w:rPr>
          <w:rFonts w:ascii="Times New Roman" w:hAnsi="Times New Roman" w:cs="Times New Roman"/>
          <w:szCs w:val="24"/>
          <w:lang w:val="lv-LV"/>
        </w:rPr>
        <w:t>  Tiesa šo normu ir interpretējusi tādējādi, ka valstī noteikto pamattiesību aizsardzības standartu piemērošana nedrīkst apdraudēt ne Hartā paredzēto aizsardzības līmeni, ne arī Savienības tiesību pārākumu, vienotību un efektivitāti (spriedums</w:t>
      </w:r>
      <w:r w:rsidRPr="00E45AA2">
        <w:rPr>
          <w:rStyle w:val="apple-converted-space"/>
          <w:rFonts w:ascii="Times New Roman" w:hAnsi="Times New Roman" w:cs="Times New Roman"/>
          <w:szCs w:val="24"/>
          <w:lang w:val="lv-LV"/>
        </w:rPr>
        <w:t> </w:t>
      </w:r>
      <w:r w:rsidRPr="00E45AA2">
        <w:rPr>
          <w:rFonts w:ascii="Times New Roman" w:hAnsi="Times New Roman" w:cs="Times New Roman"/>
          <w:i/>
          <w:iCs/>
          <w:szCs w:val="24"/>
          <w:lang w:val="lv-LV"/>
        </w:rPr>
        <w:t>Melloni</w:t>
      </w:r>
      <w:r w:rsidRPr="00E45AA2">
        <w:rPr>
          <w:rFonts w:ascii="Times New Roman" w:hAnsi="Times New Roman" w:cs="Times New Roman"/>
          <w:szCs w:val="24"/>
          <w:lang w:val="lv-LV"/>
        </w:rPr>
        <w:t>, EU:C:2013:107, 60. punkts).</w:t>
      </w:r>
    </w:p>
    <w:p w:rsidR="0013508E" w:rsidRPr="00E45AA2" w:rsidRDefault="0013508E" w:rsidP="0013508E">
      <w:pPr>
        <w:pStyle w:val="ECHRParaQuote"/>
        <w:rPr>
          <w:rFonts w:ascii="Times New Roman" w:hAnsi="Times New Roman" w:cs="Times New Roman"/>
          <w:szCs w:val="24"/>
          <w:lang w:val="lv-LV"/>
        </w:rPr>
      </w:pPr>
      <w:bookmarkStart w:id="20" w:name="point189"/>
      <w:r w:rsidRPr="00E45AA2">
        <w:rPr>
          <w:rFonts w:ascii="Times New Roman" w:hAnsi="Times New Roman" w:cs="Times New Roman"/>
          <w:szCs w:val="24"/>
          <w:lang w:val="lv-LV"/>
        </w:rPr>
        <w:t>189.</w:t>
      </w:r>
      <w:bookmarkEnd w:id="20"/>
      <w:r w:rsidRPr="00E45AA2">
        <w:rPr>
          <w:rFonts w:ascii="Times New Roman" w:hAnsi="Times New Roman" w:cs="Times New Roman"/>
          <w:szCs w:val="24"/>
          <w:lang w:val="lv-LV"/>
        </w:rPr>
        <w:t>  Ciktāl ar ECHR 53. pantu līgumslēdzējām pusēm būtībā ir atstātas tiesības paredzēt augstākus pamattiesību aizsardzības standartus par šajā konvencijā garantētajiem, ir jānodrošina koordinācija starp šo normu un Hartas 53. pantu, kā to ir interpretējusi Tiesa, lai ar ECHR 53. pantu dalībvalstīm piešķirtās tiesības, ciktāl runa ir par Hartā atzītajām un atbilstošajām minētajā konvencijā garantētajām tiesībām, tiktu izmantotas tikai tad, ja tas ir nepieciešams, lai neapdraudētu Hartā paredzēto tiesību aizsardzības līmeni, kā arī Savienības tiesību pārākumu, vienotību un efektivitāti.</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bookmarkStart w:id="21" w:name="point191"/>
      <w:r w:rsidRPr="00E45AA2">
        <w:rPr>
          <w:rFonts w:ascii="Times New Roman" w:hAnsi="Times New Roman" w:cs="Times New Roman"/>
          <w:szCs w:val="24"/>
          <w:lang w:val="lv-LV"/>
        </w:rPr>
        <w:t>191.</w:t>
      </w:r>
      <w:bookmarkEnd w:id="21"/>
      <w:r w:rsidRPr="00E45AA2">
        <w:rPr>
          <w:rFonts w:ascii="Times New Roman" w:hAnsi="Times New Roman" w:cs="Times New Roman"/>
          <w:szCs w:val="24"/>
          <w:lang w:val="lv-LV"/>
        </w:rPr>
        <w:t> Otrkārt, jāatgādina, ka dalībvalstu savstarpējas uzticēšanās principam Savienības tiesībās ir fundamentāla nozīme, jo tas ļauj izveidot un uzturēt telpu bez iekšējām robežām. Ar šo principu, tostarp attiecībā uz brīvības, drošības un tiesiskuma telpu, katrai no šīm valstīm ir noteikts pienākums uzskatīt, izņemot ārkārtas apstākļus, ka visas pārējās dalībvalstis ievēro Savienības tiesības, it īpaši šajās tiesībās atzītās pamattiesības (šajā ziņā skatīt spriedumus</w:t>
      </w:r>
      <w:r w:rsidRPr="00E45AA2">
        <w:rPr>
          <w:rStyle w:val="apple-converted-space"/>
          <w:rFonts w:ascii="Times New Roman" w:hAnsi="Times New Roman" w:cs="Times New Roman"/>
          <w:szCs w:val="24"/>
          <w:lang w:val="lv-LV"/>
        </w:rPr>
        <w:t xml:space="preserve"> lietā </w:t>
      </w:r>
      <w:r w:rsidRPr="00E45AA2">
        <w:rPr>
          <w:rFonts w:ascii="Times New Roman" w:hAnsi="Times New Roman" w:cs="Times New Roman"/>
          <w:i/>
          <w:iCs/>
          <w:szCs w:val="24"/>
          <w:lang w:val="lv-LV"/>
        </w:rPr>
        <w:t>N. S.</w:t>
      </w:r>
      <w:r w:rsidRPr="00E45AA2">
        <w:rPr>
          <w:rFonts w:ascii="Times New Roman" w:hAnsi="Times New Roman" w:cs="Times New Roman"/>
          <w:szCs w:val="24"/>
          <w:lang w:val="lv-LV"/>
        </w:rPr>
        <w:t> </w:t>
      </w:r>
      <w:r w:rsidRPr="00E45AA2">
        <w:rPr>
          <w:rFonts w:ascii="Times New Roman" w:hAnsi="Times New Roman" w:cs="Times New Roman"/>
          <w:i/>
          <w:szCs w:val="24"/>
          <w:lang w:val="lv-LV"/>
        </w:rPr>
        <w:t>un citi</w:t>
      </w:r>
      <w:r w:rsidRPr="00E45AA2">
        <w:rPr>
          <w:rFonts w:ascii="Times New Roman" w:hAnsi="Times New Roman" w:cs="Times New Roman"/>
          <w:szCs w:val="24"/>
          <w:lang w:val="lv-LV"/>
        </w:rPr>
        <w:t>, C</w:t>
      </w:r>
      <w:r w:rsidRPr="00E45AA2">
        <w:rPr>
          <w:rFonts w:ascii="Times New Roman" w:hAnsi="Times New Roman" w:cs="Times New Roman"/>
          <w:szCs w:val="24"/>
          <w:lang w:val="lv-LV"/>
        </w:rPr>
        <w:noBreakHyphen/>
        <w:t>411/10 un C</w:t>
      </w:r>
      <w:r w:rsidRPr="00E45AA2">
        <w:rPr>
          <w:rFonts w:ascii="Times New Roman" w:hAnsi="Times New Roman" w:cs="Times New Roman"/>
          <w:szCs w:val="24"/>
          <w:lang w:val="lv-LV"/>
        </w:rPr>
        <w:noBreakHyphen/>
        <w:t>493/10, EU:C:2011:865, 78.–80. punkts, kā arī</w:t>
      </w:r>
      <w:r w:rsidRPr="00E45AA2">
        <w:rPr>
          <w:rStyle w:val="apple-converted-space"/>
          <w:rFonts w:ascii="Times New Roman" w:hAnsi="Times New Roman" w:cs="Times New Roman"/>
          <w:szCs w:val="24"/>
          <w:lang w:val="lv-LV"/>
        </w:rPr>
        <w:t xml:space="preserve"> lietā </w:t>
      </w:r>
      <w:r w:rsidRPr="00E45AA2">
        <w:rPr>
          <w:rFonts w:ascii="Times New Roman" w:hAnsi="Times New Roman" w:cs="Times New Roman"/>
          <w:i/>
          <w:iCs/>
          <w:szCs w:val="24"/>
          <w:lang w:val="lv-LV"/>
        </w:rPr>
        <w:t>Melloni</w:t>
      </w:r>
      <w:r w:rsidRPr="00E45AA2">
        <w:rPr>
          <w:rFonts w:ascii="Times New Roman" w:hAnsi="Times New Roman" w:cs="Times New Roman"/>
          <w:szCs w:val="24"/>
          <w:lang w:val="lv-LV"/>
        </w:rPr>
        <w:t>, EU:C:2013:107, 37. un 63. punkts).</w:t>
      </w:r>
    </w:p>
    <w:p w:rsidR="0013508E" w:rsidRPr="00E45AA2" w:rsidRDefault="0013508E" w:rsidP="0013508E">
      <w:pPr>
        <w:pStyle w:val="ECHRParaQuote"/>
        <w:rPr>
          <w:rFonts w:ascii="Times New Roman" w:hAnsi="Times New Roman" w:cs="Times New Roman"/>
          <w:szCs w:val="24"/>
          <w:lang w:val="lv-LV"/>
        </w:rPr>
      </w:pPr>
      <w:bookmarkStart w:id="22" w:name="point192"/>
      <w:r w:rsidRPr="00E45AA2">
        <w:rPr>
          <w:rFonts w:ascii="Times New Roman" w:hAnsi="Times New Roman" w:cs="Times New Roman"/>
          <w:szCs w:val="24"/>
          <w:lang w:val="lv-LV"/>
        </w:rPr>
        <w:t>192.</w:t>
      </w:r>
      <w:bookmarkEnd w:id="22"/>
      <w:r w:rsidRPr="00E45AA2">
        <w:rPr>
          <w:rFonts w:ascii="Times New Roman" w:hAnsi="Times New Roman" w:cs="Times New Roman"/>
          <w:szCs w:val="24"/>
          <w:lang w:val="lv-LV"/>
        </w:rPr>
        <w:t xml:space="preserve"> Tādējādi dalībvalstīm, īstenojot Savienības tiesības, saskaņā ar šīm pašām tiesībām var tikt prasīts pieņemt, ka pārējās dalībvalstis ievēro pamattiesības, kas nozīmē, ka tās nevar ne tikai kādai citai dalībvalstij pieprasīt ievērot valstī noteikto pamattiesību aizsardzības līmeni, kas ir augstāks par Savienības tiesībās nodrošināto līmeni, bet arī, izņemot ārkārtas gadījumus, pārbaudīt, vai šī cita dalībvalsts konkrētā gadījumā patiešām ir ievērojusi Savienībā garantētās pamattiesības.</w:t>
      </w:r>
    </w:p>
    <w:p w:rsidR="0013508E" w:rsidRPr="00E45AA2" w:rsidRDefault="0013508E" w:rsidP="0013508E">
      <w:pPr>
        <w:pStyle w:val="ECHRParaQuote"/>
        <w:rPr>
          <w:rFonts w:ascii="Times New Roman" w:hAnsi="Times New Roman" w:cs="Times New Roman"/>
          <w:szCs w:val="24"/>
          <w:lang w:val="lv-LV"/>
        </w:rPr>
      </w:pPr>
      <w:bookmarkStart w:id="23" w:name="point193"/>
      <w:r w:rsidRPr="00E45AA2">
        <w:rPr>
          <w:rFonts w:ascii="Times New Roman" w:hAnsi="Times New Roman" w:cs="Times New Roman"/>
          <w:szCs w:val="24"/>
          <w:lang w:val="lv-LV"/>
        </w:rPr>
        <w:lastRenderedPageBreak/>
        <w:t>193.</w:t>
      </w:r>
      <w:bookmarkEnd w:id="23"/>
      <w:r w:rsidRPr="00E45AA2">
        <w:rPr>
          <w:rFonts w:ascii="Times New Roman" w:hAnsi="Times New Roman" w:cs="Times New Roman"/>
          <w:szCs w:val="24"/>
          <w:lang w:val="lv-LV"/>
        </w:rPr>
        <w:t>  Paredzētajā nolīgumā izvēlētā pieeja pielīdzināt Savienību valstij un tās lomu jebkurā jautājumā paredzēt tādu pašu kā jebkurai citai līgumslēdzējai pusei ir pretrunā Savienības būtībai, un tajā it īpaši nav ņemts vērā, ka dalībvalstis to piederības Savienībai dēļ ir piekritušas tam, ka attiecības starp tām jomās, kurās dalībvalstu kompetence tiek nodota Savienībai, tiek regulētas Savienības tiesībās, izslēdzot jebkuru citu tiesību sistēmu, ja tā ir noteikts Savienības tiesībās.</w:t>
      </w:r>
    </w:p>
    <w:p w:rsidR="0013508E" w:rsidRPr="00E45AA2" w:rsidRDefault="0013508E" w:rsidP="0013508E">
      <w:pPr>
        <w:pStyle w:val="ECHRParaQuote"/>
        <w:rPr>
          <w:rFonts w:ascii="Times New Roman" w:hAnsi="Times New Roman" w:cs="Times New Roman"/>
          <w:szCs w:val="24"/>
          <w:lang w:val="lv-LV"/>
        </w:rPr>
      </w:pPr>
      <w:bookmarkStart w:id="24" w:name="point194"/>
      <w:r w:rsidRPr="00E45AA2">
        <w:rPr>
          <w:rFonts w:ascii="Times New Roman" w:hAnsi="Times New Roman" w:cs="Times New Roman"/>
          <w:szCs w:val="24"/>
          <w:lang w:val="lv-LV"/>
        </w:rPr>
        <w:t>194.</w:t>
      </w:r>
      <w:bookmarkEnd w:id="24"/>
      <w:r w:rsidRPr="00E45AA2">
        <w:rPr>
          <w:rFonts w:ascii="Times New Roman" w:hAnsi="Times New Roman" w:cs="Times New Roman"/>
          <w:szCs w:val="24"/>
          <w:lang w:val="lv-LV"/>
        </w:rPr>
        <w:t>  Ciktāl ar ECHR, liekot Savienību un tās dalībvalstis uzskatīt par līgumslēdzējām pusēm ne vien to attiecībās ar tām līgumslēdzējām pusēm, kuras nav Savienības dalībvalstis, bet arī to savstarpējās attiecībās, tostarp tad, ja šīs attiecības ir regulētas Savienības tiesībās, kādai dalībvalstij tiktu prasīts pārbaudīt, vai kāda cita dalībvalsts ievēro pamattiesības, lai arī Savienības tiesībās ir noteikta savstarpēja uzticēšanās starp šīm dalībvalstīm, ar pievienošanos tiktu apdraudēts Savienības dibināšanas pamatā esošais līdzsvars, kā arī Savienības tiesību autonomija.”</w:t>
      </w:r>
    </w:p>
    <w:p w:rsidR="0013508E" w:rsidRPr="00E45AA2" w:rsidRDefault="0013508E" w:rsidP="00EB7834">
      <w:pPr>
        <w:pStyle w:val="ECHRHeading3"/>
        <w:numPr>
          <w:ilvl w:val="0"/>
          <w:numId w:val="0"/>
        </w:numPr>
        <w:ind w:left="720"/>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4.  Noteikumi a</w:t>
      </w:r>
      <w:r w:rsidR="00EB7834" w:rsidRPr="00E45AA2">
        <w:rPr>
          <w:rFonts w:ascii="Times New Roman" w:hAnsi="Times New Roman" w:cs="Times New Roman"/>
          <w:b w:val="0"/>
          <w:i/>
          <w:color w:val="auto"/>
          <w:szCs w:val="24"/>
          <w:lang w:val="lv-LV"/>
        </w:rPr>
        <w:t xml:space="preserve">ttiecībā uz </w:t>
      </w:r>
      <w:r w:rsidRPr="00E45AA2">
        <w:rPr>
          <w:rFonts w:ascii="Times New Roman" w:hAnsi="Times New Roman" w:cs="Times New Roman"/>
          <w:b w:val="0"/>
          <w:i/>
          <w:color w:val="auto"/>
          <w:szCs w:val="24"/>
          <w:lang w:val="lv-LV"/>
        </w:rPr>
        <w:t xml:space="preserve">prejudiciāliem nolēmumiem </w:t>
      </w:r>
    </w:p>
    <w:p w:rsidR="00EB7834" w:rsidRPr="00E45AA2" w:rsidRDefault="00EB7834" w:rsidP="00EB7834">
      <w:pPr>
        <w:pStyle w:val="ECHRPara"/>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50</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Eiropas Kopienas dibināšanas līguma 234. pants (piemērojams attiecīgajā brīdī un aizstāts ar LESD 267. pantu) nosaka šādi: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„Tiesas jurisdikcijā ir sniegt prejudiciālus nolēmumus par</w:t>
      </w:r>
      <w:r w:rsidR="00F45FDE">
        <w:rPr>
          <w:rFonts w:ascii="Times New Roman" w:hAnsi="Times New Roman" w:cs="Times New Roman"/>
          <w:szCs w:val="24"/>
          <w:lang w:val="lv-LV"/>
        </w:rPr>
        <w:t>:</w:t>
      </w:r>
      <w:r w:rsidRPr="00E45AA2">
        <w:rPr>
          <w:rFonts w:ascii="Times New Roman" w:hAnsi="Times New Roman" w:cs="Times New Roman"/>
          <w:szCs w:val="24"/>
          <w:lang w:val="lv-LV"/>
        </w:rPr>
        <w:t xml:space="preserve">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 xml:space="preserve">(b)  Kopienas iestāžu un ECB tiesību aktu spēkā esamību un interpretāciju;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Ja šādu jautājumu ierosina kādas dalībvalsts tiesā, šī tiesa, ja tā uzskata, ka ir vajadzīgs Tiesas lēmums par šo jautājumu, lai šī tiesa varētu sniegt spriedumu, var lūgt, lai Tiesa sniedz nolēmumu par šo jautājumu.</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 xml:space="preserve"> Ja šādu jautājumu ierosina par lietu, ko izskata dalībvalsts tiesa, kuras lēmumus saskaņā ar attiecīgās valsts tiesību aktiem nevar pārsūdzēt, tad šai dalībvalsts tiesai jā</w:t>
      </w:r>
      <w:r w:rsidR="00683D7F">
        <w:rPr>
          <w:rFonts w:ascii="Times New Roman" w:hAnsi="Times New Roman" w:cs="Times New Roman"/>
          <w:szCs w:val="24"/>
          <w:lang w:val="lv-LV"/>
        </w:rPr>
        <w:t>vēršas</w:t>
      </w:r>
      <w:r w:rsidRPr="00E45AA2">
        <w:rPr>
          <w:rFonts w:ascii="Times New Roman" w:hAnsi="Times New Roman" w:cs="Times New Roman"/>
          <w:szCs w:val="24"/>
          <w:lang w:val="lv-LV"/>
        </w:rPr>
        <w:t xml:space="preserve"> Tiesā.”</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51</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Lietā </w:t>
      </w:r>
      <w:r w:rsidRPr="00E45AA2">
        <w:rPr>
          <w:rFonts w:ascii="Times New Roman" w:hAnsi="Times New Roman" w:cs="Times New Roman"/>
          <w:i/>
          <w:szCs w:val="24"/>
          <w:lang w:val="lv-LV"/>
        </w:rPr>
        <w:t xml:space="preserve">Srl CILFIT un Lanificio di Gavardo SpA pret Veselības ministriju </w:t>
      </w:r>
      <w:r w:rsidRPr="00E45AA2">
        <w:rPr>
          <w:rFonts w:ascii="Times New Roman" w:hAnsi="Times New Roman" w:cs="Times New Roman"/>
          <w:szCs w:val="24"/>
          <w:lang w:val="lv-LV"/>
        </w:rPr>
        <w:t xml:space="preserve">(Lieta Nr. 283/81, 1982. gada 6. oktobra spriedums, </w:t>
      </w:r>
      <w:r w:rsidR="00C774DA">
        <w:rPr>
          <w:rFonts w:ascii="Times New Roman" w:hAnsi="Times New Roman" w:cs="Times New Roman"/>
          <w:szCs w:val="24"/>
          <w:lang w:val="lv-LV"/>
        </w:rPr>
        <w:t>ECR</w:t>
      </w:r>
      <w:r w:rsidRPr="00E45AA2">
        <w:rPr>
          <w:rFonts w:ascii="Times New Roman" w:hAnsi="Times New Roman" w:cs="Times New Roman"/>
          <w:szCs w:val="24"/>
          <w:lang w:val="lv-LV"/>
        </w:rPr>
        <w:t xml:space="preserve"> 3415) EST noteica apjomu, cik lielā mērā ir piemērojama agrākā Eiropas Ekonomikas kopienas dibināšanas līguma 177. panta trešā daļa (vienāda ar Eiropas Kopienas dibināšanas līguma 234. panta trešo</w:t>
      </w:r>
      <w:r w:rsidR="00EB7834" w:rsidRPr="00E45AA2">
        <w:rPr>
          <w:rFonts w:ascii="Times New Roman" w:hAnsi="Times New Roman" w:cs="Times New Roman"/>
          <w:szCs w:val="24"/>
          <w:lang w:val="lv-LV"/>
        </w:rPr>
        <w:t xml:space="preserve"> </w:t>
      </w:r>
      <w:r w:rsidRPr="00E45AA2">
        <w:rPr>
          <w:rFonts w:ascii="Times New Roman" w:hAnsi="Times New Roman" w:cs="Times New Roman"/>
          <w:szCs w:val="24"/>
          <w:lang w:val="lv-LV"/>
        </w:rPr>
        <w:t xml:space="preserve">daļu). Tiesa noteica šādi: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„177. panta trešā daļa ir jāinterpretē tādā nozīmē, ka tiesai, kuras lēmumus saskaņā ar attiecīgās valsts tiesību aktiem nevar pārsūdzēt, gadījumos, kad izskatāmajā lietā tiek ierosināts jautājums saistībā ar Kopienu tiesībām, ir pienākums vērsties Tiesā, ja vien šī tiesa nekonstatē, ka ierosinātais jautājums nav būtisks vai ka Tiesa jau ir interpretējusi izskatāmo Kopienu tiesību normu, vai ka tas, kā pareizi piemērot Kopienu tiesības, ir tik acīmredzams, ka nevar būt nekādu pamatotu šaubu; šādas iespējas pastāvēšana ir jāizvērtē, ņemot vērā Kopienu tiesību būtību, īpašās grūtības, kas saistītas ar to interpretāciju, un risku, ka Kopienas teritorijā judikatūrā varētu rasties atšķirības.”</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52</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Šīs judikatūras tvērums tika definēts arī lietā </w:t>
      </w:r>
      <w:r w:rsidRPr="00E45AA2">
        <w:rPr>
          <w:rFonts w:ascii="Times New Roman" w:hAnsi="Times New Roman" w:cs="Times New Roman"/>
          <w:i/>
          <w:szCs w:val="24"/>
          <w:lang w:val="lv-LV"/>
        </w:rPr>
        <w:t>Ferreira da Silva e Brito un Otherspret Estado português</w:t>
      </w:r>
      <w:r w:rsidRPr="00E45AA2">
        <w:rPr>
          <w:rFonts w:ascii="Times New Roman" w:hAnsi="Times New Roman" w:cs="Times New Roman"/>
          <w:szCs w:val="24"/>
          <w:lang w:val="lv-LV"/>
        </w:rPr>
        <w:t xml:space="preserve"> (Lieta Nr. C-160/14, 2015. gada 9. septembra spriedums), kurā EST noteica šādi: </w:t>
      </w:r>
    </w:p>
    <w:p w:rsidR="0013508E" w:rsidRPr="00E45AA2" w:rsidRDefault="0013508E" w:rsidP="0013508E">
      <w:pPr>
        <w:pStyle w:val="ECHRParaQuote"/>
        <w:rPr>
          <w:rFonts w:ascii="Times New Roman" w:hAnsi="Times New Roman" w:cs="Times New Roman"/>
          <w:szCs w:val="24"/>
          <w:shd w:val="clear" w:color="auto" w:fill="FFFFFF"/>
          <w:lang w:val="lv-LV"/>
        </w:rPr>
      </w:pPr>
      <w:r w:rsidRPr="00E45AA2">
        <w:rPr>
          <w:rFonts w:ascii="Times New Roman" w:hAnsi="Times New Roman" w:cs="Times New Roman"/>
          <w:szCs w:val="24"/>
          <w:lang w:val="lv-LV"/>
        </w:rPr>
        <w:lastRenderedPageBreak/>
        <w:t>„36.  </w:t>
      </w:r>
      <w:r w:rsidRPr="00E45AA2">
        <w:rPr>
          <w:rFonts w:ascii="Times New Roman" w:hAnsi="Times New Roman" w:cs="Times New Roman"/>
          <w:szCs w:val="24"/>
          <w:shd w:val="clear" w:color="auto" w:fill="FFFFFF"/>
          <w:lang w:val="lv-LV"/>
        </w:rPr>
        <w:t>Uzdodot otro jautājumu, iesniedzējtiesa vēlas noskaidrot, vai, ņemot vērā tādus apstākļus, kādi ir aplūkoti pamatlietā, un it īpaši tāpēc, ka zemākas instances tiesas ir pieņēmušas pretrunīgus nolēmumus saistībā ar „uzņēmējsabiedrības īpašumtiesību pārejas” jēdziena interpretāciju Direktīvas 2001/23 1. panta 1. punkta izpratnē, LESD 267. panta trešā daļa ir interpretējama tādējādi, ka tiesai, kuras nolēmumus saskaņā ar valsts tiesību aktiem nevar pārsūdzēt, principā ir pienākums vērsties Tiesā, lai lūgtu sniegt šī jēdziena interpretāciju.</w:t>
      </w:r>
    </w:p>
    <w:p w:rsidR="0013508E" w:rsidRPr="00E45AA2" w:rsidRDefault="0013508E" w:rsidP="0013508E">
      <w:pPr>
        <w:pStyle w:val="ECHRParaQuote"/>
        <w:rPr>
          <w:rFonts w:ascii="Times New Roman" w:hAnsi="Times New Roman" w:cs="Times New Roman"/>
          <w:szCs w:val="24"/>
          <w:shd w:val="clear" w:color="auto" w:fill="FFFFFF"/>
          <w:lang w:val="lv-LV"/>
        </w:rPr>
      </w:pPr>
      <w:bookmarkStart w:id="25" w:name="point37"/>
      <w:r w:rsidRPr="00E45AA2">
        <w:rPr>
          <w:rFonts w:ascii="Times New Roman" w:hAnsi="Times New Roman" w:cs="Times New Roman"/>
          <w:szCs w:val="24"/>
          <w:lang w:val="lv-LV"/>
        </w:rPr>
        <w:t>37</w:t>
      </w:r>
      <w:bookmarkEnd w:id="25"/>
      <w:r w:rsidRPr="00E45AA2">
        <w:rPr>
          <w:rFonts w:ascii="Times New Roman" w:hAnsi="Times New Roman" w:cs="Times New Roman"/>
          <w:szCs w:val="24"/>
          <w:lang w:val="lv-LV"/>
        </w:rPr>
        <w:t>.  </w:t>
      </w:r>
      <w:r w:rsidRPr="00E45AA2">
        <w:rPr>
          <w:rFonts w:ascii="Times New Roman" w:hAnsi="Times New Roman" w:cs="Times New Roman"/>
          <w:szCs w:val="24"/>
          <w:shd w:val="clear" w:color="auto" w:fill="FFFFFF"/>
          <w:lang w:val="lv-LV"/>
        </w:rPr>
        <w:t>Šajā ziņā, lai gan ir taisnība, ka ar LESD 267. pantu izveidotā procedūra ir Tiesas un valsts tiesu sadarbības instruments, kura ietvaros pirmā sniedz otrajām tādas Savienības tiesību interpretācijas norādes, kas tām ir nepieciešamas, lai atrisinātu tajās izskatāmās lietas, tomēr ir jāatzīst, ka, ciktāl nepastāv nekādas valsts tiesas nolēmuma pārsūdzēšanas iespējas, tai principā ir pienākums vērsties Tiesā LESD atbilstoši 267. panta trešajai daļai, ja tai ir jāizskata jautājums par Savienības tiesību interpretāciju (skatīt spriedumu</w:t>
      </w:r>
      <w:r w:rsidRPr="00E45AA2">
        <w:rPr>
          <w:rStyle w:val="apple-converted-space"/>
          <w:rFonts w:ascii="Times New Roman" w:hAnsi="Times New Roman" w:cs="Times New Roman"/>
          <w:szCs w:val="24"/>
          <w:shd w:val="clear" w:color="auto" w:fill="FFFFFF"/>
          <w:lang w:val="lv-LV"/>
        </w:rPr>
        <w:t> </w:t>
      </w:r>
      <w:r w:rsidRPr="00E45AA2">
        <w:rPr>
          <w:rFonts w:ascii="Times New Roman" w:hAnsi="Times New Roman" w:cs="Times New Roman"/>
          <w:i/>
          <w:iCs/>
          <w:szCs w:val="24"/>
          <w:shd w:val="clear" w:color="auto" w:fill="FFFFFF"/>
          <w:lang w:val="lv-LV"/>
        </w:rPr>
        <w:t>Consiglio nazionale dei geologi</w:t>
      </w:r>
      <w:r w:rsidRPr="00E45AA2">
        <w:rPr>
          <w:rStyle w:val="apple-converted-space"/>
          <w:rFonts w:ascii="Times New Roman" w:hAnsi="Times New Roman" w:cs="Times New Roman"/>
          <w:i/>
          <w:iCs/>
          <w:szCs w:val="24"/>
          <w:shd w:val="clear" w:color="auto" w:fill="FFFFFF"/>
          <w:lang w:val="lv-LV"/>
        </w:rPr>
        <w:t> </w:t>
      </w:r>
      <w:r w:rsidRPr="00E45AA2">
        <w:rPr>
          <w:rFonts w:ascii="Times New Roman" w:hAnsi="Times New Roman" w:cs="Times New Roman"/>
          <w:szCs w:val="24"/>
          <w:shd w:val="clear" w:color="auto" w:fill="FFFFFF"/>
          <w:lang w:val="lv-LV"/>
        </w:rPr>
        <w:t>un</w:t>
      </w:r>
      <w:r w:rsidRPr="00E45AA2">
        <w:rPr>
          <w:rStyle w:val="apple-converted-space"/>
          <w:rFonts w:ascii="Times New Roman" w:hAnsi="Times New Roman" w:cs="Times New Roman"/>
          <w:szCs w:val="24"/>
          <w:shd w:val="clear" w:color="auto" w:fill="FFFFFF"/>
          <w:lang w:val="lv-LV"/>
        </w:rPr>
        <w:t> </w:t>
      </w:r>
      <w:r w:rsidRPr="00E45AA2">
        <w:rPr>
          <w:rFonts w:ascii="Times New Roman" w:hAnsi="Times New Roman" w:cs="Times New Roman"/>
          <w:i/>
          <w:iCs/>
          <w:szCs w:val="24"/>
          <w:shd w:val="clear" w:color="auto" w:fill="FFFFFF"/>
          <w:lang w:val="lv-LV"/>
        </w:rPr>
        <w:t>Autorità garante della concorrenza e del mercato</w:t>
      </w:r>
      <w:r w:rsidRPr="00E45AA2">
        <w:rPr>
          <w:rFonts w:ascii="Times New Roman" w:hAnsi="Times New Roman" w:cs="Times New Roman"/>
          <w:szCs w:val="24"/>
          <w:shd w:val="clear" w:color="auto" w:fill="FFFFFF"/>
          <w:lang w:val="lv-LV"/>
        </w:rPr>
        <w:t>, C</w:t>
      </w:r>
      <w:r w:rsidRPr="00E45AA2">
        <w:rPr>
          <w:rFonts w:ascii="Times New Roman" w:hAnsi="Times New Roman" w:cs="Times New Roman"/>
          <w:szCs w:val="24"/>
          <w:shd w:val="clear" w:color="auto" w:fill="FFFFFF"/>
          <w:lang w:val="lv-LV"/>
        </w:rPr>
        <w:noBreakHyphen/>
        <w:t>136/12, EU:C:2013:489, 25. punkts un tajā minētā judikatūra).</w:t>
      </w:r>
    </w:p>
    <w:p w:rsidR="0013508E" w:rsidRPr="00E45AA2" w:rsidRDefault="0013508E" w:rsidP="0013508E">
      <w:pPr>
        <w:pStyle w:val="ECHRParaQuote"/>
        <w:rPr>
          <w:rFonts w:ascii="Times New Roman" w:hAnsi="Times New Roman" w:cs="Times New Roman"/>
          <w:szCs w:val="24"/>
          <w:shd w:val="clear" w:color="auto" w:fill="FFFFFF"/>
          <w:lang w:val="lv-LV"/>
        </w:rPr>
      </w:pPr>
      <w:bookmarkStart w:id="26" w:name="point38"/>
      <w:r w:rsidRPr="00E45AA2">
        <w:rPr>
          <w:rFonts w:ascii="Times New Roman" w:hAnsi="Times New Roman" w:cs="Times New Roman"/>
          <w:szCs w:val="24"/>
          <w:lang w:val="lv-LV"/>
        </w:rPr>
        <w:t>38</w:t>
      </w:r>
      <w:bookmarkEnd w:id="26"/>
      <w:r w:rsidRPr="00E45AA2">
        <w:rPr>
          <w:rFonts w:ascii="Times New Roman" w:hAnsi="Times New Roman" w:cs="Times New Roman"/>
          <w:szCs w:val="24"/>
          <w:lang w:val="lv-LV"/>
        </w:rPr>
        <w:t>.  </w:t>
      </w:r>
      <w:r w:rsidRPr="00E45AA2">
        <w:rPr>
          <w:rFonts w:ascii="Times New Roman" w:hAnsi="Times New Roman" w:cs="Times New Roman"/>
          <w:szCs w:val="24"/>
          <w:shd w:val="clear" w:color="auto" w:fill="FFFFFF"/>
          <w:lang w:val="lv-LV"/>
        </w:rPr>
        <w:t>Attiecībā uz minētā pienākuma apmēru no judikatūras, kas ir veidota kopš sprieduma</w:t>
      </w:r>
      <w:r w:rsidRPr="00E45AA2">
        <w:rPr>
          <w:rStyle w:val="apple-converted-space"/>
          <w:rFonts w:ascii="Times New Roman" w:hAnsi="Times New Roman" w:cs="Times New Roman"/>
          <w:szCs w:val="24"/>
          <w:shd w:val="clear" w:color="auto" w:fill="FFFFFF"/>
          <w:lang w:val="lv-LV"/>
        </w:rPr>
        <w:t> </w:t>
      </w:r>
      <w:r w:rsidRPr="00E45AA2">
        <w:rPr>
          <w:rFonts w:ascii="Times New Roman" w:hAnsi="Times New Roman" w:cs="Times New Roman"/>
          <w:i/>
          <w:iCs/>
          <w:szCs w:val="24"/>
          <w:shd w:val="clear" w:color="auto" w:fill="FFFFFF"/>
          <w:lang w:val="lv-LV"/>
        </w:rPr>
        <w:t>Cilfit</w:t>
      </w:r>
      <w:r w:rsidRPr="00E45AA2">
        <w:rPr>
          <w:rFonts w:ascii="Times New Roman" w:hAnsi="Times New Roman" w:cs="Times New Roman"/>
          <w:szCs w:val="24"/>
          <w:shd w:val="clear" w:color="auto" w:fill="FFFFFF"/>
          <w:lang w:val="lv-LV"/>
        </w:rPr>
        <w:t> </w:t>
      </w:r>
      <w:r w:rsidRPr="00E45AA2">
        <w:rPr>
          <w:rFonts w:ascii="Times New Roman" w:hAnsi="Times New Roman" w:cs="Times New Roman"/>
          <w:i/>
          <w:szCs w:val="24"/>
          <w:shd w:val="clear" w:color="auto" w:fill="FFFFFF"/>
          <w:lang w:val="lv-LV"/>
        </w:rPr>
        <w:t>un citi</w:t>
      </w:r>
      <w:r w:rsidRPr="00E45AA2">
        <w:rPr>
          <w:rFonts w:ascii="Times New Roman" w:hAnsi="Times New Roman" w:cs="Times New Roman"/>
          <w:szCs w:val="24"/>
          <w:shd w:val="clear" w:color="auto" w:fill="FFFFFF"/>
          <w:lang w:val="lv-LV"/>
        </w:rPr>
        <w:t xml:space="preserve"> (283/81, EU:C:1982:335), izriet, ka tiesai, kuras nolēmumus saskaņā ar attiecīgās valsts tiesību aktiem nevar pārsūdzēt, ir pienākums, ja tai tiek uzdots Savienības tiesību jautājums, ievērot tās pienākumu vērsties Tiesā, ja vien nav konstatēts, ka jautājums ir neatbilstošs vai ka attiecīgo Savienības tiesību normu Tiesa jau ir interpretējusi, vai ka pareiza Savienības tiesību piemērošana ir tik acīmredzama, ka nepastāv nekādas saprātīgas šaubas.</w:t>
      </w:r>
    </w:p>
    <w:p w:rsidR="0013508E" w:rsidRPr="00E45AA2" w:rsidRDefault="0013508E" w:rsidP="0013508E">
      <w:pPr>
        <w:pStyle w:val="ECHRParaQuote"/>
        <w:rPr>
          <w:rFonts w:ascii="Times New Roman" w:hAnsi="Times New Roman" w:cs="Times New Roman"/>
          <w:szCs w:val="24"/>
          <w:shd w:val="clear" w:color="auto" w:fill="FFFFFF"/>
          <w:lang w:val="lv-LV"/>
        </w:rPr>
      </w:pPr>
      <w:bookmarkStart w:id="27" w:name="point39"/>
      <w:r w:rsidRPr="00E45AA2">
        <w:rPr>
          <w:rFonts w:ascii="Times New Roman" w:hAnsi="Times New Roman" w:cs="Times New Roman"/>
          <w:szCs w:val="24"/>
          <w:lang w:val="lv-LV"/>
        </w:rPr>
        <w:t>39</w:t>
      </w:r>
      <w:bookmarkEnd w:id="27"/>
      <w:r w:rsidRPr="00E45AA2">
        <w:rPr>
          <w:rFonts w:ascii="Times New Roman" w:hAnsi="Times New Roman" w:cs="Times New Roman"/>
          <w:szCs w:val="24"/>
          <w:lang w:val="lv-LV"/>
        </w:rPr>
        <w:t>.  </w:t>
      </w:r>
      <w:r w:rsidRPr="00E45AA2">
        <w:rPr>
          <w:rFonts w:ascii="Times New Roman" w:hAnsi="Times New Roman" w:cs="Times New Roman"/>
          <w:szCs w:val="24"/>
          <w:shd w:val="clear" w:color="auto" w:fill="FFFFFF"/>
          <w:lang w:val="lv-LV"/>
        </w:rPr>
        <w:t>Tiesa turklāt ir precizējusi, ka šādas iespējamības esamība ir jāizvērtē, ņemot vērā Savienības tiesību īpašās iezīmes, sevišķās grūtības, kas rodas, tās interpretējot, un atšķirīgas judikatūras rašanās risku Savienībā (spriedums</w:t>
      </w:r>
      <w:r w:rsidRPr="00E45AA2">
        <w:rPr>
          <w:rStyle w:val="apple-converted-space"/>
          <w:rFonts w:ascii="Times New Roman" w:hAnsi="Times New Roman" w:cs="Times New Roman"/>
          <w:szCs w:val="24"/>
          <w:shd w:val="clear" w:color="auto" w:fill="FFFFFF"/>
          <w:lang w:val="lv-LV"/>
        </w:rPr>
        <w:t> </w:t>
      </w:r>
      <w:r w:rsidRPr="00E45AA2">
        <w:rPr>
          <w:rFonts w:ascii="Times New Roman" w:hAnsi="Times New Roman" w:cs="Times New Roman"/>
          <w:i/>
          <w:iCs/>
          <w:szCs w:val="24"/>
          <w:shd w:val="clear" w:color="auto" w:fill="FFFFFF"/>
          <w:lang w:val="lv-LV"/>
        </w:rPr>
        <w:t>Intermodal Transports</w:t>
      </w:r>
      <w:r w:rsidRPr="00E45AA2">
        <w:rPr>
          <w:rFonts w:ascii="Times New Roman" w:hAnsi="Times New Roman" w:cs="Times New Roman"/>
          <w:szCs w:val="24"/>
          <w:shd w:val="clear" w:color="auto" w:fill="FFFFFF"/>
          <w:lang w:val="lv-LV"/>
        </w:rPr>
        <w:t>, C</w:t>
      </w:r>
      <w:r w:rsidRPr="00E45AA2">
        <w:rPr>
          <w:rFonts w:ascii="Times New Roman" w:hAnsi="Times New Roman" w:cs="Times New Roman"/>
          <w:szCs w:val="24"/>
          <w:shd w:val="clear" w:color="auto" w:fill="FFFFFF"/>
          <w:lang w:val="lv-LV"/>
        </w:rPr>
        <w:noBreakHyphen/>
        <w:t>495/03, EU:C:2005:552, 33. punkts).</w:t>
      </w:r>
    </w:p>
    <w:p w:rsidR="0013508E" w:rsidRPr="00E45AA2" w:rsidRDefault="0013508E" w:rsidP="0013508E">
      <w:pPr>
        <w:pStyle w:val="ECHRParaQuote"/>
        <w:rPr>
          <w:rFonts w:ascii="Times New Roman" w:hAnsi="Times New Roman" w:cs="Times New Roman"/>
          <w:szCs w:val="24"/>
          <w:shd w:val="clear" w:color="auto" w:fill="FFFFFF"/>
          <w:lang w:val="lv-LV"/>
        </w:rPr>
      </w:pPr>
      <w:bookmarkStart w:id="28" w:name="point40"/>
      <w:r w:rsidRPr="00E45AA2">
        <w:rPr>
          <w:rFonts w:ascii="Times New Roman" w:hAnsi="Times New Roman" w:cs="Times New Roman"/>
          <w:szCs w:val="24"/>
          <w:lang w:val="lv-LV"/>
        </w:rPr>
        <w:t>40</w:t>
      </w:r>
      <w:bookmarkEnd w:id="28"/>
      <w:r w:rsidRPr="00E45AA2">
        <w:rPr>
          <w:rFonts w:ascii="Times New Roman" w:hAnsi="Times New Roman" w:cs="Times New Roman"/>
          <w:szCs w:val="24"/>
          <w:lang w:val="lv-LV"/>
        </w:rPr>
        <w:t>. </w:t>
      </w:r>
      <w:r w:rsidRPr="00E45AA2">
        <w:rPr>
          <w:rFonts w:ascii="Times New Roman" w:hAnsi="Times New Roman" w:cs="Times New Roman"/>
          <w:szCs w:val="24"/>
          <w:shd w:val="clear" w:color="auto" w:fill="FFFFFF"/>
          <w:lang w:val="lv-LV"/>
        </w:rPr>
        <w:t>Protams, tikai valsts tiesa var izvērtēt, vai Savienības tiesību pareiza piemērošana ir tik acīmredzama, ka nepastāv nekādas pamatotas šaubas, un tādēļ nolemt nevērsties Tiesā ar jautājumu par Savienības tiesību interpretāciju, kas ir izvirzīts šajā valsts tiesā (skatīt spriedumu</w:t>
      </w:r>
      <w:r w:rsidRPr="00E45AA2">
        <w:rPr>
          <w:rStyle w:val="apple-converted-space"/>
          <w:rFonts w:ascii="Times New Roman" w:hAnsi="Times New Roman" w:cs="Times New Roman"/>
          <w:szCs w:val="24"/>
          <w:shd w:val="clear" w:color="auto" w:fill="FFFFFF"/>
          <w:lang w:val="lv-LV"/>
        </w:rPr>
        <w:t> </w:t>
      </w:r>
      <w:r w:rsidRPr="00E45AA2">
        <w:rPr>
          <w:rFonts w:ascii="Times New Roman" w:hAnsi="Times New Roman" w:cs="Times New Roman"/>
          <w:i/>
          <w:iCs/>
          <w:szCs w:val="24"/>
          <w:shd w:val="clear" w:color="auto" w:fill="FFFFFF"/>
          <w:lang w:val="lv-LV"/>
        </w:rPr>
        <w:t>Intermodal Transports</w:t>
      </w:r>
      <w:r w:rsidRPr="00E45AA2">
        <w:rPr>
          <w:rFonts w:ascii="Times New Roman" w:hAnsi="Times New Roman" w:cs="Times New Roman"/>
          <w:szCs w:val="24"/>
          <w:shd w:val="clear" w:color="auto" w:fill="FFFFFF"/>
          <w:lang w:val="lv-LV"/>
        </w:rPr>
        <w:t>, C</w:t>
      </w:r>
      <w:r w:rsidRPr="00E45AA2">
        <w:rPr>
          <w:rFonts w:ascii="Times New Roman" w:hAnsi="Times New Roman" w:cs="Times New Roman"/>
          <w:szCs w:val="24"/>
          <w:shd w:val="clear" w:color="auto" w:fill="FFFFFF"/>
          <w:lang w:val="lv-LV"/>
        </w:rPr>
        <w:noBreakHyphen/>
        <w:t>495/03, EU:C:2005:552, 37. punkts, kā arī tajā minēto judikatūru).</w:t>
      </w:r>
    </w:p>
    <w:p w:rsidR="0013508E" w:rsidRPr="00E45AA2" w:rsidRDefault="0013508E" w:rsidP="0013508E">
      <w:pPr>
        <w:pStyle w:val="ECHRParaQuote"/>
        <w:rPr>
          <w:rFonts w:ascii="Times New Roman" w:hAnsi="Times New Roman" w:cs="Times New Roman"/>
          <w:szCs w:val="24"/>
          <w:lang w:val="lv-LV"/>
        </w:rPr>
      </w:pPr>
      <w:bookmarkStart w:id="29" w:name="point41"/>
      <w:r w:rsidRPr="00E45AA2">
        <w:rPr>
          <w:rFonts w:ascii="Times New Roman" w:hAnsi="Times New Roman" w:cs="Times New Roman"/>
          <w:szCs w:val="24"/>
          <w:lang w:val="lv-LV"/>
        </w:rPr>
        <w:t>41</w:t>
      </w:r>
      <w:bookmarkEnd w:id="29"/>
      <w:r w:rsidRPr="00E45AA2">
        <w:rPr>
          <w:rFonts w:ascii="Times New Roman" w:hAnsi="Times New Roman" w:cs="Times New Roman"/>
          <w:szCs w:val="24"/>
          <w:lang w:val="lv-LV"/>
        </w:rPr>
        <w:t>.  Šajā ziņā tas vien, ka pastāv pretrunīgi citu valsts tiesu pieņemti nolēmumi, nevar būt izšķirošs faktors, kas var uzlikt LESD 267. panta trešajā daļā noteikto pienākumu.</w:t>
      </w:r>
    </w:p>
    <w:p w:rsidR="0013508E" w:rsidRPr="00E45AA2" w:rsidRDefault="0013508E" w:rsidP="0013508E">
      <w:pPr>
        <w:pStyle w:val="ECHRParaQuote"/>
        <w:rPr>
          <w:rFonts w:ascii="Times New Roman" w:hAnsi="Times New Roman" w:cs="Times New Roman"/>
          <w:szCs w:val="24"/>
          <w:lang w:val="lv-LV"/>
        </w:rPr>
      </w:pPr>
      <w:bookmarkStart w:id="30" w:name="point42"/>
      <w:r w:rsidRPr="00E45AA2">
        <w:rPr>
          <w:rFonts w:ascii="Times New Roman" w:hAnsi="Times New Roman" w:cs="Times New Roman"/>
          <w:szCs w:val="24"/>
          <w:lang w:val="lv-LV"/>
        </w:rPr>
        <w:t>42</w:t>
      </w:r>
      <w:bookmarkEnd w:id="30"/>
      <w:r w:rsidRPr="00E45AA2">
        <w:rPr>
          <w:rFonts w:ascii="Times New Roman" w:hAnsi="Times New Roman" w:cs="Times New Roman"/>
          <w:szCs w:val="24"/>
          <w:lang w:val="lv-LV"/>
        </w:rPr>
        <w:t>.  Tiesa, kas izskata lietu pēdējā instancē, neraugoties uz konkrētu kādas Savienības tiesību normas interpretāciju, ko ir veikušas zemākas instances tiesas, faktiski var uzskatīt, ka interpretācija, kuru tā piedāvā sniegt minētajai tiesību normai un kura atšķiras no tās, kādu ir sniegušas minētās tiesas, ir tik acīmredzama, ka nepastāv nekādas saprātīgas šaubas.</w:t>
      </w:r>
    </w:p>
    <w:p w:rsidR="0013508E" w:rsidRPr="00E45AA2" w:rsidRDefault="0013508E" w:rsidP="0013508E">
      <w:pPr>
        <w:pStyle w:val="ECHRParaQuote"/>
        <w:rPr>
          <w:rFonts w:ascii="Times New Roman" w:hAnsi="Times New Roman" w:cs="Times New Roman"/>
          <w:szCs w:val="24"/>
          <w:shd w:val="clear" w:color="auto" w:fill="FFFFFF"/>
          <w:lang w:val="lv-LV"/>
        </w:rPr>
      </w:pPr>
      <w:bookmarkStart w:id="31" w:name="point43"/>
      <w:r w:rsidRPr="00E45AA2">
        <w:rPr>
          <w:rFonts w:ascii="Times New Roman" w:hAnsi="Times New Roman" w:cs="Times New Roman"/>
          <w:szCs w:val="24"/>
          <w:lang w:val="lv-LV"/>
        </w:rPr>
        <w:t>43</w:t>
      </w:r>
      <w:bookmarkEnd w:id="31"/>
      <w:r w:rsidRPr="00E45AA2">
        <w:rPr>
          <w:rFonts w:ascii="Times New Roman" w:hAnsi="Times New Roman" w:cs="Times New Roman"/>
          <w:szCs w:val="24"/>
          <w:lang w:val="lv-LV"/>
        </w:rPr>
        <w:t>.  </w:t>
      </w:r>
      <w:r w:rsidRPr="00E45AA2">
        <w:rPr>
          <w:rFonts w:ascii="Times New Roman" w:hAnsi="Times New Roman" w:cs="Times New Roman"/>
          <w:szCs w:val="24"/>
          <w:shd w:val="clear" w:color="auto" w:fill="FFFFFF"/>
          <w:lang w:val="lv-LV"/>
        </w:rPr>
        <w:t>Tomēr ir jāuzsver, ka saistībā ar šajā lietā aplūkoto jomu, kā tas izriet no šī sprieduma 24.–27. punkta, „uzņēmējsabiedrības īpašumtiesību pārejas” jēdziena interpretācija lielam skaitam valsts tiesu ir radījušas daudzus jautājumus, tādējādi tās ir bijušas spiestas vērsties Tiesā. Šie jautājumi liecina ne tikai par to, ka pastāv interpretācijas grūtības, bet arī par to, ka pastāv risks, ka judikatūra Savienībā varētu būt atšķirīga.</w:t>
      </w:r>
    </w:p>
    <w:p w:rsidR="0013508E" w:rsidRPr="00E45AA2" w:rsidRDefault="0013508E" w:rsidP="0013508E">
      <w:pPr>
        <w:pStyle w:val="ECHRParaQuote"/>
        <w:rPr>
          <w:rFonts w:ascii="Times New Roman" w:hAnsi="Times New Roman" w:cs="Times New Roman"/>
          <w:szCs w:val="24"/>
          <w:shd w:val="clear" w:color="auto" w:fill="FFFFFF"/>
          <w:lang w:val="lv-LV"/>
        </w:rPr>
      </w:pPr>
      <w:bookmarkStart w:id="32" w:name="point44"/>
      <w:r w:rsidRPr="00E45AA2">
        <w:rPr>
          <w:rFonts w:ascii="Times New Roman" w:hAnsi="Times New Roman" w:cs="Times New Roman"/>
          <w:szCs w:val="24"/>
          <w:lang w:val="lv-LV"/>
        </w:rPr>
        <w:t>44</w:t>
      </w:r>
      <w:bookmarkEnd w:id="32"/>
      <w:r w:rsidRPr="00E45AA2">
        <w:rPr>
          <w:rFonts w:ascii="Times New Roman" w:hAnsi="Times New Roman" w:cs="Times New Roman"/>
          <w:szCs w:val="24"/>
          <w:lang w:val="lv-LV"/>
        </w:rPr>
        <w:t>.  </w:t>
      </w:r>
      <w:r w:rsidRPr="00E45AA2">
        <w:rPr>
          <w:rFonts w:ascii="Times New Roman" w:hAnsi="Times New Roman" w:cs="Times New Roman"/>
          <w:szCs w:val="24"/>
          <w:shd w:val="clear" w:color="auto" w:fill="FFFFFF"/>
          <w:lang w:val="lv-LV"/>
        </w:rPr>
        <w:t xml:space="preserve">No tā izriet, ka tādos apstākļos, kādi ir aplūkoti pamatlietā un kam vienlaikus ir raksturīgi gan pretrunīgi judikatūras virzieni valsts mērogā jautājumā par „uzņēmējsabiedrības īpašumtiesību pārejas” jēdzienu Direktīvas 2001/23 izpratnē, gan </w:t>
      </w:r>
      <w:r w:rsidRPr="00E45AA2">
        <w:rPr>
          <w:rFonts w:ascii="Times New Roman" w:hAnsi="Times New Roman" w:cs="Times New Roman"/>
          <w:szCs w:val="24"/>
          <w:shd w:val="clear" w:color="auto" w:fill="FFFFFF"/>
          <w:lang w:val="lv-LV"/>
        </w:rPr>
        <w:lastRenderedPageBreak/>
        <w:t>šī jēdziena interpretācijas grūtības, kas bieži vien rodas dažādās dalībvalstīs, valsts tiesai, kuras nolēmumus saskaņā ar valsts tiesību aktiem nevar pārsūdzēt, ir jāizpilda savs pienākums vērsties Tiesā, lai novērstu Savienības tiesību kļūdainas interpretācijas risku.</w:t>
      </w:r>
    </w:p>
    <w:p w:rsidR="0013508E" w:rsidRPr="00E45AA2" w:rsidRDefault="0013508E" w:rsidP="0013508E">
      <w:pPr>
        <w:pStyle w:val="ECHRParaQuote"/>
        <w:rPr>
          <w:rFonts w:ascii="Times New Roman" w:hAnsi="Times New Roman" w:cs="Times New Roman"/>
          <w:szCs w:val="24"/>
          <w:shd w:val="clear" w:color="auto" w:fill="FFFFFF"/>
          <w:lang w:val="lv-LV"/>
        </w:rPr>
      </w:pPr>
      <w:bookmarkStart w:id="33" w:name="point45"/>
      <w:r w:rsidRPr="00E45AA2">
        <w:rPr>
          <w:rFonts w:ascii="Times New Roman" w:hAnsi="Times New Roman" w:cs="Times New Roman"/>
          <w:szCs w:val="24"/>
          <w:lang w:val="lv-LV"/>
        </w:rPr>
        <w:t>45</w:t>
      </w:r>
      <w:bookmarkEnd w:id="33"/>
      <w:r w:rsidRPr="00E45AA2">
        <w:rPr>
          <w:rFonts w:ascii="Times New Roman" w:hAnsi="Times New Roman" w:cs="Times New Roman"/>
          <w:szCs w:val="24"/>
          <w:lang w:val="lv-LV"/>
        </w:rPr>
        <w:t>.  </w:t>
      </w:r>
      <w:r w:rsidRPr="00E45AA2">
        <w:rPr>
          <w:rFonts w:ascii="Times New Roman" w:hAnsi="Times New Roman" w:cs="Times New Roman"/>
          <w:szCs w:val="24"/>
          <w:shd w:val="clear" w:color="auto" w:fill="FFFFFF"/>
          <w:lang w:val="lv-LV"/>
        </w:rPr>
        <w:t>No iepriekš izklāstītajiem apsvērumiem izriet, ka uz otro jautājumu ir jāatbild, ka LESD 267. panta trešā daļa ir interpretējama tādējādi, ka tiesai, kuras nolēmumus saskaņā ar valsts tiesību aktiem nevar pārsūdzēt, ir pienākums vērsties Tiesā ar lūgumu sniegt prejudiciālu nolēmumu saistībā ar „uzņēmējsabiedrības īpašumtiesību pārejas” jēdziena Direktīvas 2001/23 1. panta 1. punkta izpratnē interpretāciju tādos apstākļos, kādi ir aplūkoti pamatlietā un kam vienlaikus ir raksturīgi gan atšķirīgi zemākas instances tiesu nolēmumi attiecībā uz šī jēdziena interpretāciju, gan šī jēdziena interpretācijas grūtības, kas bieži vien rodas dažādās dalībvalstīs</w:t>
      </w:r>
      <w:r w:rsidRPr="00E45AA2">
        <w:rPr>
          <w:rFonts w:ascii="Times New Roman" w:hAnsi="Times New Roman" w:cs="Times New Roman"/>
          <w:szCs w:val="24"/>
          <w:lang w:val="lv-LV"/>
        </w:rPr>
        <w:t>.”</w:t>
      </w:r>
    </w:p>
    <w:p w:rsidR="0013508E" w:rsidRPr="00E45AA2" w:rsidRDefault="0013508E" w:rsidP="004316E2">
      <w:pPr>
        <w:pStyle w:val="ECHRHeading2"/>
        <w:numPr>
          <w:ilvl w:val="0"/>
          <w:numId w:val="0"/>
        </w:numPr>
        <w:rPr>
          <w:rFonts w:ascii="Times New Roman" w:hAnsi="Times New Roman" w:cs="Times New Roman"/>
          <w:color w:val="auto"/>
          <w:sz w:val="24"/>
          <w:szCs w:val="24"/>
          <w:lang w:val="lv-LV"/>
        </w:rPr>
      </w:pPr>
      <w:r w:rsidRPr="00E45AA2">
        <w:rPr>
          <w:rFonts w:ascii="Times New Roman" w:hAnsi="Times New Roman" w:cs="Times New Roman"/>
          <w:color w:val="auto"/>
          <w:sz w:val="24"/>
          <w:szCs w:val="24"/>
          <w:lang w:val="lv-LV"/>
        </w:rPr>
        <w:t xml:space="preserve">B.  Noteikumi par ārvalstu spriedumu atzīšanu un izpildi civillietās un komerclietās </w:t>
      </w:r>
    </w:p>
    <w:p w:rsidR="0013508E" w:rsidRPr="00E45AA2" w:rsidRDefault="0013508E" w:rsidP="004316E2">
      <w:pPr>
        <w:pStyle w:val="ECHRHeading3"/>
        <w:numPr>
          <w:ilvl w:val="0"/>
          <w:numId w:val="0"/>
        </w:numPr>
        <w:ind w:left="720" w:hanging="432"/>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1.  Regula Nr. 44/2001 (Brisel</w:t>
      </w:r>
      <w:r w:rsidR="004316E2" w:rsidRPr="00E45AA2">
        <w:rPr>
          <w:rFonts w:ascii="Times New Roman" w:hAnsi="Times New Roman" w:cs="Times New Roman"/>
          <w:b w:val="0"/>
          <w:i/>
          <w:color w:val="auto"/>
          <w:szCs w:val="24"/>
          <w:lang w:val="lv-LV"/>
        </w:rPr>
        <w:t xml:space="preserve">es I regula) – konkrētajā lietā </w:t>
      </w:r>
      <w:r w:rsidRPr="00E45AA2">
        <w:rPr>
          <w:rFonts w:ascii="Times New Roman" w:hAnsi="Times New Roman" w:cs="Times New Roman"/>
          <w:b w:val="0"/>
          <w:i/>
          <w:color w:val="auto"/>
          <w:szCs w:val="24"/>
          <w:lang w:val="lv-LV"/>
        </w:rPr>
        <w:t xml:space="preserve">piemērotā versija </w:t>
      </w:r>
    </w:p>
    <w:p w:rsidR="0013508E" w:rsidRPr="00E45AA2" w:rsidRDefault="0013508E" w:rsidP="004316E2">
      <w:pPr>
        <w:pStyle w:val="ECHRHeading4"/>
        <w:numPr>
          <w:ilvl w:val="0"/>
          <w:numId w:val="0"/>
        </w:numPr>
        <w:ind w:left="864"/>
        <w:rPr>
          <w:rFonts w:ascii="Times New Roman" w:hAnsi="Times New Roman" w:cs="Times New Roman"/>
          <w:i w:val="0"/>
          <w:color w:val="auto"/>
          <w:sz w:val="22"/>
          <w:szCs w:val="24"/>
          <w:lang w:val="lv-LV"/>
        </w:rPr>
      </w:pPr>
      <w:r w:rsidRPr="00E45AA2">
        <w:rPr>
          <w:rFonts w:ascii="Times New Roman" w:hAnsi="Times New Roman" w:cs="Times New Roman"/>
          <w:i w:val="0"/>
          <w:color w:val="auto"/>
          <w:sz w:val="22"/>
          <w:szCs w:val="24"/>
          <w:lang w:val="lv-LV"/>
        </w:rPr>
        <w:t>(a)  Regulas teksts</w:t>
      </w:r>
    </w:p>
    <w:p w:rsidR="004316E2" w:rsidRPr="00E45AA2" w:rsidRDefault="004316E2" w:rsidP="004316E2">
      <w:pPr>
        <w:pStyle w:val="ECHRPara"/>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53</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Padomes regula (EK) Nr. 44/2001 (2000. gada 22. decembris) par jurisdikciju un spriedumu atzīšanu un izpildi civillietās un komerclietās („Briseles I regula”) stājās spēkā 2002. gada 1. martā. Tā aizstāja </w:t>
      </w:r>
      <w:r w:rsidRPr="00E45AA2">
        <w:rPr>
          <w:rFonts w:ascii="Times New Roman" w:hAnsi="Times New Roman" w:cs="Times New Roman"/>
          <w:szCs w:val="24"/>
          <w:shd w:val="clear" w:color="auto" w:fill="FFFFFF"/>
          <w:lang w:val="lv-LV"/>
        </w:rPr>
        <w:t>1968. gada 27. septembra Briseles Konvenciju par jurisdikciju un spriedumu atzīšanu un izpildi civillietās un komerclietās</w:t>
      </w:r>
      <w:r w:rsidRPr="00E45AA2">
        <w:rPr>
          <w:rFonts w:ascii="Times New Roman" w:hAnsi="Times New Roman" w:cs="Times New Roman"/>
          <w:szCs w:val="24"/>
          <w:lang w:val="lv-LV"/>
        </w:rPr>
        <w:t xml:space="preserve"> un bija saistoša visām Savienības dalībvalstīm, izņemot Dāniju. Zemāk citētie noteikumi, kas bija piemērojami šajā lietā, bija spēkā līdz 2015. gada 10. janvārim, kad spēkā stājās jaunā, pārstrādātā versija, kas zināma kā „Briseles I </w:t>
      </w:r>
      <w:r w:rsidRPr="00E45AA2">
        <w:rPr>
          <w:rFonts w:ascii="Times New Roman" w:hAnsi="Times New Roman" w:cs="Times New Roman"/>
          <w:i/>
          <w:szCs w:val="24"/>
          <w:lang w:val="lv-LV"/>
        </w:rPr>
        <w:t xml:space="preserve">bis </w:t>
      </w:r>
      <w:r w:rsidRPr="00E45AA2">
        <w:rPr>
          <w:rFonts w:ascii="Times New Roman" w:hAnsi="Times New Roman" w:cs="Times New Roman"/>
          <w:szCs w:val="24"/>
          <w:lang w:val="lv-LV"/>
        </w:rPr>
        <w:t>regula”.</w:t>
      </w:r>
    </w:p>
    <w:p w:rsidR="0013508E" w:rsidRPr="00E45AA2" w:rsidRDefault="0013508E" w:rsidP="0013508E">
      <w:pPr>
        <w:pStyle w:val="ECHRPara"/>
        <w:keepNext/>
        <w:keepLines/>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54</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Regulas Nr. 44/2001 preambulas 16.-18. </w:t>
      </w:r>
      <w:r w:rsidR="00C23B75">
        <w:rPr>
          <w:rFonts w:ascii="Times New Roman" w:hAnsi="Times New Roman" w:cs="Times New Roman"/>
          <w:szCs w:val="24"/>
          <w:lang w:val="lv-LV"/>
        </w:rPr>
        <w:t xml:space="preserve"> </w:t>
      </w:r>
      <w:r w:rsidRPr="00E45AA2">
        <w:rPr>
          <w:rFonts w:ascii="Times New Roman" w:hAnsi="Times New Roman" w:cs="Times New Roman"/>
          <w:szCs w:val="24"/>
          <w:lang w:val="lv-LV"/>
        </w:rPr>
        <w:t xml:space="preserve">apsvērumi nosaka šādi: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„(16)  Savstarpēja uzticēšanās tiesas spriedumos Kopienā pamato spriedumus, kas pieņemti kādā dalībvalstī un ko atzīst automātiski, bez vajadzības veikt kādu procedūru, izņemot strīdus gadījumus.</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(17)  Izmantojot to pašu savstarpējās uzticēšanās principu, procedūrai tāda sprieduma padarīšanai par piemērojamu kādā dalībvalstī, kas pieņemts citā dalībvalstī, jābūt efektīvai un ātrai. Tālab deklarācija, ka spriedums ir izpildāms, faktiski būtu jāizdod automātiski pēc pilnīgi formālas sniegto dokumentu pārbaudes, nepastāvot nekādai iespējai tiesai pēc savas iniciatīvas ierosināt kādu no neizpildīšanas pamatojumiem, kas paredzēti šajā regulā.</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(18)  Tomēr aizstāvības tiesību ievērošana nozīmē, ka atbildētājam vajadzētu būt spējīgam iesniegt pārsūdzību iztiesāšanā, uzklausot abas puses, pret izpildāmības deklarāciju, ja viņš uzskata, ka pastāv kāds no iemesliem neizpildīšanai. Prasītājam arī vajadzētu būt pieejamai prasību procedūrai, ja ir noraidīts viņa pieprasījums pēc izpildāmības deklarācijas.”</w:t>
      </w:r>
    </w:p>
    <w:p w:rsidR="0013508E" w:rsidRPr="00E45AA2" w:rsidRDefault="0013508E" w:rsidP="0013508E">
      <w:pPr>
        <w:pStyle w:val="ECHRPara"/>
        <w:rPr>
          <w:rFonts w:ascii="Times New Roman" w:hAnsi="Times New Roman" w:cs="Times New Roman"/>
          <w:szCs w:val="24"/>
          <w:lang w:val="lv-LV" w:bidi="en-US"/>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55</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Attiecīgo Regulas pantu redakcija ir šāda: </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lastRenderedPageBreak/>
        <w:t>26. pants</w:t>
      </w:r>
    </w:p>
    <w:p w:rsidR="0013508E" w:rsidRPr="00E45AA2" w:rsidRDefault="0013508E" w:rsidP="00712DF7">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„1.   Ja atbildētājs, kura domicils atrodas vienā no dalībvalstīm, ir iesūdzēts tiesā citā dalībvalstī un neierodas tiesā, tiesa pēc pašas ierosmes paziņo, ka tai nav jurisdikcijas, ja vien jurisdikciju neatvasina no šīs regulas noteikumiem.</w:t>
      </w:r>
    </w:p>
    <w:p w:rsidR="0013508E" w:rsidRPr="00E45AA2" w:rsidRDefault="0013508E" w:rsidP="00712DF7">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2.  Tiesa pārtrauc lietas izskatīšanu, kamēr nav pierādīts, ka atbildētājs laikus ir varējis saņemt dokumentu par lietas ierosināšanu vai līdzvērtīgu dokumentu, lai varētu nodrošināt sev aizstāvību vai, ka šajā sakarā ir veikti visi vajadzīgie pasākumi.</w:t>
      </w:r>
    </w:p>
    <w:p w:rsidR="0013508E" w:rsidRPr="00E45AA2" w:rsidRDefault="0013508E" w:rsidP="00712DF7">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33. pants</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„1.  Dalībvalstī pieņemts spriedums bez kādas īpašas procedūras atzīstams pārējās dalībvalstīs.</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2.  Visas ieinteresētās puses, kas sprieduma atzīšanu strīdā uzskata par būtisku jautājumu, saskaņā ar šīs nodaļas 2. un 3. iedaļā noteiktajām procedūrām var iesniegt pieprasījumu sprieduma atzīšanai.</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w:t>
      </w:r>
    </w:p>
    <w:p w:rsidR="0013508E" w:rsidRPr="00E45AA2" w:rsidRDefault="0013508E" w:rsidP="00712DF7">
      <w:pPr>
        <w:pStyle w:val="ECHRTitleCentre3"/>
        <w:spacing w:before="0" w:after="0"/>
        <w:rPr>
          <w:rFonts w:ascii="Times New Roman" w:hAnsi="Times New Roman" w:cs="Times New Roman"/>
          <w:szCs w:val="20"/>
          <w:lang w:val="lv-LV"/>
        </w:rPr>
      </w:pPr>
      <w:r w:rsidRPr="00E45AA2">
        <w:rPr>
          <w:rFonts w:ascii="Times New Roman" w:hAnsi="Times New Roman" w:cs="Times New Roman"/>
          <w:szCs w:val="20"/>
          <w:lang w:val="lv-LV"/>
        </w:rPr>
        <w:t>34. pants</w:t>
      </w:r>
    </w:p>
    <w:p w:rsidR="0013508E" w:rsidRPr="00E45AA2" w:rsidRDefault="0013508E" w:rsidP="00712DF7">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„Spriedumu neatzīst:</w:t>
      </w:r>
    </w:p>
    <w:p w:rsidR="0013508E" w:rsidRPr="00E45AA2" w:rsidRDefault="0013508E" w:rsidP="00712DF7">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1.  ja šāda atzīšana ir klaji pretrunā tās dalībvalsts sabiedriskajai kārtībai, kurā atzīšana prasīta;</w:t>
      </w:r>
    </w:p>
    <w:p w:rsidR="0013508E" w:rsidRPr="00E45AA2" w:rsidRDefault="0013508E" w:rsidP="00712DF7">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2. </w:t>
      </w:r>
      <w:r w:rsidR="00ED47D2">
        <w:rPr>
          <w:rFonts w:ascii="Times New Roman" w:hAnsi="Times New Roman" w:cs="Times New Roman"/>
          <w:szCs w:val="20"/>
          <w:lang w:val="lv-LV"/>
        </w:rPr>
        <w:t xml:space="preserve"> </w:t>
      </w:r>
      <w:r w:rsidRPr="00E45AA2">
        <w:rPr>
          <w:rFonts w:ascii="Times New Roman" w:hAnsi="Times New Roman" w:cs="Times New Roman"/>
          <w:szCs w:val="20"/>
          <w:lang w:val="lv-LV"/>
        </w:rPr>
        <w:t>gadījumos, ja tas pieņemts aizmuguriski — ja atbildētājam dokuments, ar kuru ierosināta lieta, vai līdzīgs dokuments nav uzrādīts pietiekami laicīgi, lai viņš varētu nodrošināt sev aizstāvību, izņemot gadījumu, kad atbildētājs nav uzsācis sprieduma pārsūdzēšanas procedūru, kad to bija iespējams darīt; </w:t>
      </w:r>
    </w:p>
    <w:p w:rsidR="0013508E" w:rsidRPr="00E45AA2" w:rsidRDefault="00712DF7" w:rsidP="00712DF7">
      <w:pPr>
        <w:pStyle w:val="ECHRParaQuote"/>
        <w:spacing w:before="0" w:after="0"/>
        <w:rPr>
          <w:rFonts w:ascii="Times New Roman" w:hAnsi="Times New Roman" w:cs="Times New Roman"/>
          <w:szCs w:val="20"/>
          <w:lang w:val="lv-LV"/>
        </w:rPr>
      </w:pPr>
      <w:r>
        <w:rPr>
          <w:rFonts w:ascii="Times New Roman" w:hAnsi="Times New Roman" w:cs="Times New Roman"/>
          <w:szCs w:val="20"/>
          <w:lang w:val="lv-LV"/>
        </w:rPr>
        <w:t>(</w:t>
      </w:r>
      <w:r w:rsidR="0013508E" w:rsidRPr="00E45AA2">
        <w:rPr>
          <w:rFonts w:ascii="Times New Roman" w:hAnsi="Times New Roman" w:cs="Times New Roman"/>
          <w:szCs w:val="20"/>
          <w:lang w:val="lv-LV"/>
        </w:rPr>
        <w:t>...</w:t>
      </w:r>
      <w:r>
        <w:rPr>
          <w:rFonts w:ascii="Times New Roman" w:hAnsi="Times New Roman" w:cs="Times New Roman"/>
          <w:szCs w:val="20"/>
          <w:lang w:val="lv-LV"/>
        </w:rPr>
        <w:t>)</w:t>
      </w:r>
      <w:r w:rsidR="0013508E" w:rsidRPr="00E45AA2">
        <w:rPr>
          <w:rFonts w:ascii="Times New Roman" w:hAnsi="Times New Roman" w:cs="Times New Roman"/>
          <w:szCs w:val="20"/>
          <w:lang w:val="lv-LV"/>
        </w:rPr>
        <w:t>”</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35. pants</w:t>
      </w:r>
    </w:p>
    <w:p w:rsidR="0013508E" w:rsidRPr="00E45AA2" w:rsidRDefault="0013508E" w:rsidP="00712DF7">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„1.  Turklāt spriedumu neatzīst, ja tas ir pretrunā ar II nodaļas 3., 4. vai 6. nodaļu, kā arī 72. pantā paredzētajā gadījumā.</w:t>
      </w:r>
    </w:p>
    <w:p w:rsidR="0013508E" w:rsidRPr="00E45AA2" w:rsidRDefault="0013508E" w:rsidP="00712DF7">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2.  Izskatot pamatu jurisdikcijai iepriekšējā punktā minētajā gadījumā, tiesai vai iestādei, kurā iesniegta prasība, ir saistoši konstatētie fakti, kas ir pamatā izcelsmes dalībvalsts tiesas jurisdikcijai.</w:t>
      </w:r>
    </w:p>
    <w:p w:rsidR="0013508E" w:rsidRPr="00E45AA2" w:rsidRDefault="0013508E" w:rsidP="00712DF7">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3.  Saskaņā ar 1. punktu izcelsmes dalībvalsts tiesas jurisdikcija nav apstrīdama</w:t>
      </w:r>
      <w:r w:rsidR="00712DF7">
        <w:rPr>
          <w:rFonts w:ascii="Times New Roman" w:hAnsi="Times New Roman" w:cs="Times New Roman"/>
          <w:szCs w:val="20"/>
          <w:lang w:val="lv-LV"/>
        </w:rPr>
        <w:t>(</w:t>
      </w:r>
      <w:r w:rsidRPr="00E45AA2">
        <w:rPr>
          <w:rFonts w:ascii="Times New Roman" w:hAnsi="Times New Roman" w:cs="Times New Roman"/>
          <w:szCs w:val="20"/>
          <w:lang w:val="lv-LV"/>
        </w:rPr>
        <w:t>...</w:t>
      </w:r>
      <w:r w:rsidR="00712DF7">
        <w:rPr>
          <w:rFonts w:ascii="Times New Roman" w:hAnsi="Times New Roman" w:cs="Times New Roman"/>
          <w:szCs w:val="20"/>
          <w:lang w:val="lv-LV"/>
        </w:rPr>
        <w:t>)</w:t>
      </w:r>
      <w:r w:rsidRPr="00E45AA2">
        <w:rPr>
          <w:rFonts w:ascii="Times New Roman" w:hAnsi="Times New Roman" w:cs="Times New Roman"/>
          <w:szCs w:val="20"/>
          <w:lang w:val="lv-LV"/>
        </w:rPr>
        <w:t>”</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36. pants</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„Nekādos apstākļos ārvalstīs pieņemts spriedums nav pārskatāms pēc būtības.”</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 xml:space="preserve">37. panta 1. punkts </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„Tiesa dalībvalstī, kurā tiek prasīts atzīt spriedumu, kas pieņemts citā dalībvalstī, drīkst pārtraukt iztiesāšanu, ja spriedums ir pārsūdzēts parastā kārtā.”</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38. panta 1. punkts</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„Kādā dalībvalstī pieņemts spriedums, kas izpildāms minētajā valstī, jāizpilda citā līgumslēdzējā valstī, ja pēc kādas ieinteresētās puses pieprasījuma tas ir pasludināts par izpildāmu attiecīgajā valstī.”</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lastRenderedPageBreak/>
        <w:t>41. pants</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„Spriedumu pasludina par izpildāmu</w:t>
      </w:r>
      <w:r w:rsidR="00567C63">
        <w:rPr>
          <w:rFonts w:ascii="Times New Roman" w:hAnsi="Times New Roman" w:cs="Times New Roman"/>
          <w:szCs w:val="20"/>
          <w:lang w:val="lv-LV"/>
        </w:rPr>
        <w:t>(</w:t>
      </w:r>
      <w:r w:rsidRPr="00E45AA2">
        <w:rPr>
          <w:rFonts w:ascii="Times New Roman" w:hAnsi="Times New Roman" w:cs="Times New Roman"/>
          <w:szCs w:val="20"/>
          <w:lang w:val="lv-LV"/>
        </w:rPr>
        <w:t>...</w:t>
      </w:r>
      <w:r w:rsidR="00567C63">
        <w:rPr>
          <w:rFonts w:ascii="Times New Roman" w:hAnsi="Times New Roman" w:cs="Times New Roman"/>
          <w:szCs w:val="20"/>
          <w:lang w:val="lv-LV"/>
        </w:rPr>
        <w:t>)</w:t>
      </w:r>
      <w:r w:rsidRPr="00E45AA2">
        <w:rPr>
          <w:rFonts w:ascii="Times New Roman" w:hAnsi="Times New Roman" w:cs="Times New Roman"/>
          <w:szCs w:val="20"/>
          <w:lang w:val="lv-LV"/>
        </w:rPr>
        <w:t>, neveicot pārbaudes saskaņā ar 34. un 35. pantu. Persona, pret kuru celta izpildīšanas prasība, šajā tiesvedības posmā nav tiesīga ne uz kādiem iesniegumiem prasības sakarā.”</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43. pants</w:t>
      </w:r>
    </w:p>
    <w:p w:rsidR="0013508E" w:rsidRPr="00E45AA2" w:rsidRDefault="0013508E" w:rsidP="002910A0">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„1.  Visas puses var pārsūdzēt lēmumu par izpildāmības deklarācijas prasību.</w:t>
      </w:r>
    </w:p>
    <w:p w:rsidR="0013508E" w:rsidRPr="00E45AA2" w:rsidRDefault="002910A0" w:rsidP="002910A0">
      <w:pPr>
        <w:pStyle w:val="ECHRParaQuote"/>
        <w:spacing w:before="0" w:after="0"/>
        <w:rPr>
          <w:rFonts w:ascii="Times New Roman" w:hAnsi="Times New Roman" w:cs="Times New Roman"/>
          <w:szCs w:val="20"/>
          <w:lang w:val="lv-LV"/>
        </w:rPr>
      </w:pPr>
      <w:r>
        <w:rPr>
          <w:rFonts w:ascii="Times New Roman" w:hAnsi="Times New Roman" w:cs="Times New Roman"/>
          <w:szCs w:val="20"/>
          <w:lang w:val="lv-LV"/>
        </w:rPr>
        <w:t>(</w:t>
      </w:r>
      <w:r w:rsidR="0013508E" w:rsidRPr="00E45AA2">
        <w:rPr>
          <w:rFonts w:ascii="Times New Roman" w:hAnsi="Times New Roman" w:cs="Times New Roman"/>
          <w:szCs w:val="20"/>
          <w:lang w:val="lv-LV"/>
        </w:rPr>
        <w:t>...</w:t>
      </w:r>
      <w:r>
        <w:rPr>
          <w:rFonts w:ascii="Times New Roman" w:hAnsi="Times New Roman" w:cs="Times New Roman"/>
          <w:szCs w:val="20"/>
          <w:lang w:val="lv-LV"/>
        </w:rPr>
        <w:t>)</w:t>
      </w:r>
    </w:p>
    <w:p w:rsidR="0013508E" w:rsidRPr="00E45AA2" w:rsidRDefault="0013508E" w:rsidP="002910A0">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3.  Pārsūdzību izskata saskaņā ar normām, kas reglamentē kārtību pretrunu gadījumos.”</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45. pants</w:t>
      </w:r>
    </w:p>
    <w:p w:rsidR="0013508E" w:rsidRPr="00E45AA2" w:rsidRDefault="00CF043B" w:rsidP="002910A0">
      <w:pPr>
        <w:pStyle w:val="ECHRParaQuote"/>
        <w:spacing w:before="0" w:after="0"/>
        <w:rPr>
          <w:rFonts w:ascii="Times New Roman" w:hAnsi="Times New Roman" w:cs="Times New Roman"/>
          <w:szCs w:val="20"/>
          <w:lang w:val="lv-LV"/>
        </w:rPr>
      </w:pPr>
      <w:r>
        <w:rPr>
          <w:rFonts w:ascii="Times New Roman" w:hAnsi="Times New Roman" w:cs="Times New Roman"/>
          <w:szCs w:val="20"/>
          <w:lang w:val="lv-LV"/>
        </w:rPr>
        <w:t>„1. </w:t>
      </w:r>
      <w:r w:rsidR="0013508E" w:rsidRPr="00E45AA2">
        <w:rPr>
          <w:rFonts w:ascii="Times New Roman" w:hAnsi="Times New Roman" w:cs="Times New Roman"/>
          <w:szCs w:val="20"/>
          <w:lang w:val="lv-LV"/>
        </w:rPr>
        <w:t>Tiesa, kurā pārsūdzība ir iesniegta saskaņā ar 43. pantu vai 44. pantu, atsakās no izpildāmības deklarācijas vai to atceļ tikai ar vienu no 34. un 35. pantā sīkāk norādītajiem pamatojumiem. Lēmumu tā pieņem nekavējoties.</w:t>
      </w:r>
    </w:p>
    <w:p w:rsidR="0013508E" w:rsidRPr="00E45AA2" w:rsidRDefault="00CF043B" w:rsidP="002910A0">
      <w:pPr>
        <w:pStyle w:val="ECHRParaQuote"/>
        <w:spacing w:before="0" w:after="0"/>
        <w:rPr>
          <w:rFonts w:ascii="Times New Roman" w:hAnsi="Times New Roman" w:cs="Times New Roman"/>
          <w:szCs w:val="20"/>
          <w:lang w:val="lv-LV"/>
        </w:rPr>
      </w:pPr>
      <w:r>
        <w:rPr>
          <w:rFonts w:ascii="Times New Roman" w:hAnsi="Times New Roman" w:cs="Times New Roman"/>
          <w:szCs w:val="20"/>
          <w:lang w:val="lv-LV"/>
        </w:rPr>
        <w:t>2. </w:t>
      </w:r>
      <w:r w:rsidR="0013508E" w:rsidRPr="00E45AA2">
        <w:rPr>
          <w:rFonts w:ascii="Times New Roman" w:hAnsi="Times New Roman" w:cs="Times New Roman"/>
          <w:szCs w:val="20"/>
          <w:lang w:val="lv-LV"/>
        </w:rPr>
        <w:t>Nekādos apstākļos ārvalstīs pieņemts spriedums nav pārskatāms pēc būtības.”</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46. panta 1. punkts</w:t>
      </w:r>
    </w:p>
    <w:p w:rsidR="0013508E" w:rsidRPr="00E45AA2" w:rsidRDefault="0013508E" w:rsidP="0013508E">
      <w:pPr>
        <w:pStyle w:val="ECHRParaQuote"/>
        <w:keepNext/>
        <w:keepLines/>
        <w:rPr>
          <w:rFonts w:ascii="Times New Roman" w:hAnsi="Times New Roman" w:cs="Times New Roman"/>
          <w:szCs w:val="20"/>
          <w:lang w:val="lv-LV"/>
        </w:rPr>
      </w:pPr>
      <w:r w:rsidRPr="00E45AA2">
        <w:rPr>
          <w:rFonts w:ascii="Times New Roman" w:hAnsi="Times New Roman" w:cs="Times New Roman"/>
          <w:szCs w:val="20"/>
          <w:lang w:val="lv-LV"/>
        </w:rPr>
        <w:t>„Tiesa, kurā pārsūdzība iesniegta saskaņā ar 43. pantu, pēc tās personas prasības pieteikuma, pret kuru celta izpildīšanas prasība, pārtrauc tiesvedību, ja spriedums ir pārsūdzēts parastajā kārtībā izcelsmes dalībvalstī vai šādas pārsūdzības termiņš vēl nav beidzies; otrajā gadījumā tiesa var nolikt termiņu, kurā šāda pārsūdzība iesniedzama.”</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54. pants</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„Tās dalībvalsts tiesa vai kompetentā iestāde, kurā pieņemts spriedums, pēc ieinteresētās personas pieprasījuma izdod apliecību, izmantojot šīs regulas V pielikumā norādīto standarta veidlapu.”</w:t>
      </w:r>
    </w:p>
    <w:p w:rsidR="004316E2" w:rsidRPr="00E45AA2" w:rsidRDefault="0013508E" w:rsidP="004316E2">
      <w:pPr>
        <w:pStyle w:val="ECHRHeading4"/>
        <w:numPr>
          <w:ilvl w:val="0"/>
          <w:numId w:val="0"/>
        </w:numPr>
        <w:ind w:left="864" w:hanging="144"/>
        <w:rPr>
          <w:rFonts w:ascii="Times New Roman" w:hAnsi="Times New Roman" w:cs="Times New Roman"/>
          <w:i w:val="0"/>
          <w:color w:val="auto"/>
          <w:sz w:val="20"/>
          <w:szCs w:val="24"/>
          <w:lang w:val="lv-LV"/>
        </w:rPr>
      </w:pPr>
      <w:r w:rsidRPr="00E45AA2">
        <w:rPr>
          <w:rFonts w:ascii="Times New Roman" w:hAnsi="Times New Roman" w:cs="Times New Roman"/>
          <w:i w:val="0"/>
          <w:color w:val="auto"/>
          <w:sz w:val="20"/>
          <w:szCs w:val="24"/>
          <w:lang w:val="lv-LV"/>
        </w:rPr>
        <w:t>(b)  Paskaidrojuma raksts par priekšlikumu Regulai</w:t>
      </w:r>
    </w:p>
    <w:p w:rsidR="0013508E" w:rsidRPr="00E45AA2" w:rsidRDefault="0013508E" w:rsidP="004316E2">
      <w:pPr>
        <w:pStyle w:val="ECHRHeading4"/>
        <w:numPr>
          <w:ilvl w:val="0"/>
          <w:numId w:val="0"/>
        </w:numPr>
        <w:ind w:left="864" w:hanging="144"/>
        <w:rPr>
          <w:rFonts w:ascii="Times New Roman" w:hAnsi="Times New Roman" w:cs="Times New Roman"/>
          <w:i w:val="0"/>
          <w:color w:val="auto"/>
          <w:sz w:val="20"/>
          <w:szCs w:val="24"/>
          <w:lang w:val="lv-LV"/>
        </w:rPr>
      </w:pPr>
      <w:r w:rsidRPr="00E45AA2">
        <w:rPr>
          <w:rFonts w:ascii="Times New Roman" w:hAnsi="Times New Roman" w:cs="Times New Roman"/>
          <w:i w:val="0"/>
          <w:color w:val="auto"/>
          <w:sz w:val="20"/>
          <w:szCs w:val="24"/>
          <w:lang w:val="lv-LV"/>
        </w:rPr>
        <w:t xml:space="preserve">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56</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Ciktāl tas attiecas uz šo lietu, Komisijas piedāvātais paskaidrojuma raksts par priekšlikumu Padomes Regulai (EK) par jurisdikciju un spriedumu atzīšanu un izpildi civillietās un komerclietās (dokuments COM/99/0348, galējā versija, publicēts Eiropas Kopienu Oficiālajā Vēstnesī C 376 E 1999. gada 28. decembrī 1.-17. lpp.) noteica šādi:</w:t>
      </w:r>
    </w:p>
    <w:p w:rsidR="0013508E" w:rsidRPr="00E45AA2" w:rsidRDefault="0013508E" w:rsidP="0013508E">
      <w:pPr>
        <w:pStyle w:val="ECHRTitleCentre3"/>
        <w:rPr>
          <w:rFonts w:ascii="Times New Roman" w:hAnsi="Times New Roman" w:cs="Times New Roman"/>
          <w:szCs w:val="24"/>
          <w:lang w:val="lv-LV"/>
        </w:rPr>
      </w:pPr>
      <w:r w:rsidRPr="00E45AA2">
        <w:rPr>
          <w:rFonts w:ascii="Times New Roman" w:hAnsi="Times New Roman" w:cs="Times New Roman"/>
          <w:szCs w:val="24"/>
          <w:lang w:val="lv-LV"/>
        </w:rPr>
        <w:t>„2.2. Juridiskais pamats</w:t>
      </w:r>
    </w:p>
    <w:p w:rsidR="0013508E" w:rsidRPr="00E45AA2" w:rsidRDefault="0013508E" w:rsidP="002910A0">
      <w:pPr>
        <w:pStyle w:val="ECHRParaQuote"/>
        <w:spacing w:before="0" w:after="0"/>
        <w:rPr>
          <w:rFonts w:ascii="Times New Roman" w:hAnsi="Times New Roman" w:cs="Times New Roman"/>
          <w:szCs w:val="24"/>
          <w:lang w:val="lv-LV"/>
        </w:rPr>
      </w:pPr>
      <w:r w:rsidRPr="00E45AA2">
        <w:rPr>
          <w:rFonts w:ascii="Times New Roman" w:hAnsi="Times New Roman" w:cs="Times New Roman"/>
          <w:szCs w:val="24"/>
          <w:lang w:val="lv-LV"/>
        </w:rPr>
        <w:t xml:space="preserve">[Briseles] konvencijas priekšmets ir ietverts Līguma 65. pantā; šī piedāvātā paskaidrojuma juridiskais pamats ir Līgums 61. panta c punkts. </w:t>
      </w:r>
    </w:p>
    <w:p w:rsidR="0013508E" w:rsidRPr="00E45AA2" w:rsidRDefault="0013508E" w:rsidP="002910A0">
      <w:pPr>
        <w:pStyle w:val="ECHRParaQuote"/>
        <w:spacing w:before="0" w:after="0"/>
        <w:rPr>
          <w:rFonts w:ascii="Times New Roman" w:hAnsi="Times New Roman" w:cs="Times New Roman"/>
          <w:szCs w:val="24"/>
          <w:lang w:val="lv-LV"/>
        </w:rPr>
      </w:pPr>
      <w:r w:rsidRPr="00E45AA2">
        <w:rPr>
          <w:rFonts w:ascii="Times New Roman" w:hAnsi="Times New Roman" w:cs="Times New Roman"/>
          <w:szCs w:val="24"/>
          <w:lang w:val="lv-LV"/>
        </w:rPr>
        <w:t xml:space="preserve">Instrumenta, t.i., regulas, izvēlēto formu pamato vairāki apsvērumi. Dalībvalstu ziņā nedrīkst atstāt ne tikai jurisdikcijas noteikumu noteikšanu, kuras mērķis ir panāk tiesisko noteiktību privātpersonu un uzņēmumu labā, bet arī spriedumu atzīšanas un izpildes procedūras, kam ir jābūt skaidrām un vienādām visās dalībvalstīs.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TitleCentre3"/>
        <w:rPr>
          <w:rFonts w:ascii="Times New Roman" w:hAnsi="Times New Roman" w:cs="Times New Roman"/>
          <w:szCs w:val="24"/>
          <w:lang w:val="lv-LV"/>
        </w:rPr>
      </w:pPr>
      <w:r w:rsidRPr="00E45AA2">
        <w:rPr>
          <w:rFonts w:ascii="Times New Roman" w:hAnsi="Times New Roman" w:cs="Times New Roman"/>
          <w:szCs w:val="24"/>
          <w:lang w:val="lv-LV"/>
        </w:rPr>
        <w:lastRenderedPageBreak/>
        <w:t>2. daļa. Izpilde</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Šajā daļā ir aprakstīta procedūra, kas jāievēro gan formālai atzīšanai</w:t>
      </w:r>
      <w:r w:rsidR="004316E2" w:rsidRPr="00E45AA2">
        <w:rPr>
          <w:rFonts w:ascii="Times New Roman" w:hAnsi="Times New Roman" w:cs="Times New Roman"/>
          <w:szCs w:val="24"/>
          <w:lang w:val="lv-LV"/>
        </w:rPr>
        <w:t>(</w:t>
      </w:r>
      <w:r w:rsidRPr="00E45AA2">
        <w:rPr>
          <w:rFonts w:ascii="Times New Roman" w:hAnsi="Times New Roman" w:cs="Times New Roman"/>
          <w:szCs w:val="24"/>
          <w:lang w:val="lv-LV"/>
        </w:rPr>
        <w:t>...</w:t>
      </w:r>
      <w:r w:rsidR="004316E2" w:rsidRPr="00E45AA2">
        <w:rPr>
          <w:rFonts w:ascii="Times New Roman" w:hAnsi="Times New Roman" w:cs="Times New Roman"/>
          <w:szCs w:val="24"/>
          <w:lang w:val="lv-LV"/>
        </w:rPr>
        <w:t>)</w:t>
      </w:r>
      <w:r w:rsidRPr="00E45AA2">
        <w:rPr>
          <w:rFonts w:ascii="Times New Roman" w:hAnsi="Times New Roman" w:cs="Times New Roman"/>
          <w:szCs w:val="24"/>
          <w:lang w:val="lv-LV"/>
        </w:rPr>
        <w:t>, gan paziņošanai par izpild</w:t>
      </w:r>
      <w:r w:rsidR="00813FCB">
        <w:rPr>
          <w:rFonts w:ascii="Times New Roman" w:hAnsi="Times New Roman" w:cs="Times New Roman"/>
          <w:szCs w:val="24"/>
          <w:lang w:val="lv-LV"/>
        </w:rPr>
        <w:t xml:space="preserve">i </w:t>
      </w:r>
      <w:r w:rsidRPr="00E45AA2">
        <w:rPr>
          <w:rFonts w:ascii="Times New Roman" w:hAnsi="Times New Roman" w:cs="Times New Roman"/>
          <w:szCs w:val="24"/>
          <w:lang w:val="lv-LV"/>
        </w:rPr>
        <w:t>dalībvalstī, kas nav sprieduma izcelsmes valsts. Šīs procedūras mērķis, protams, ir paziņot par spriedumu, kas i</w:t>
      </w:r>
      <w:r w:rsidR="00844D24" w:rsidRPr="00E45AA2">
        <w:rPr>
          <w:rFonts w:ascii="Times New Roman" w:hAnsi="Times New Roman" w:cs="Times New Roman"/>
          <w:szCs w:val="24"/>
          <w:lang w:val="lv-LV"/>
        </w:rPr>
        <w:t xml:space="preserve">r izpildāms izcelsmes valstī; </w:t>
      </w:r>
      <w:r w:rsidRPr="00E45AA2">
        <w:rPr>
          <w:rFonts w:ascii="Times New Roman" w:hAnsi="Times New Roman" w:cs="Times New Roman"/>
          <w:szCs w:val="24"/>
          <w:lang w:val="lv-LV"/>
        </w:rPr>
        <w:t>tas tieši neietekmē sprieduma izpild</w:t>
      </w:r>
      <w:r w:rsidR="00813FCB">
        <w:rPr>
          <w:rFonts w:ascii="Times New Roman" w:hAnsi="Times New Roman" w:cs="Times New Roman"/>
          <w:szCs w:val="24"/>
          <w:lang w:val="lv-LV"/>
        </w:rPr>
        <w:t>i</w:t>
      </w:r>
      <w:r w:rsidRPr="00E45AA2">
        <w:rPr>
          <w:rFonts w:ascii="Times New Roman" w:hAnsi="Times New Roman" w:cs="Times New Roman"/>
          <w:szCs w:val="24"/>
          <w:lang w:val="lv-LV"/>
        </w:rPr>
        <w:t xml:space="preserve"> uzrunātajā dalībvalstī. Procedūras mērķis ir ātri pieņemt lēmumu. Attiecīgi ir veiktas būtiskas izmaiņas Briseles Konvencijas mehānismā. Pirmkārt, tiesai vai iestādei, kas atbildīga par uzrunātajā dalībvalstī izpildāmā sprieduma paziņošanu, nav tiesību pēc savas iniciatīvas uzsākt 41. un 42. punktā minēto sprieduma neizpild</w:t>
      </w:r>
      <w:r w:rsidR="00F451BA">
        <w:rPr>
          <w:rFonts w:ascii="Times New Roman" w:hAnsi="Times New Roman" w:cs="Times New Roman"/>
          <w:szCs w:val="24"/>
          <w:lang w:val="lv-LV"/>
        </w:rPr>
        <w:t>es</w:t>
      </w:r>
      <w:r w:rsidRPr="00E45AA2">
        <w:rPr>
          <w:rFonts w:ascii="Times New Roman" w:hAnsi="Times New Roman" w:cs="Times New Roman"/>
          <w:szCs w:val="24"/>
          <w:lang w:val="lv-LV"/>
        </w:rPr>
        <w:t xml:space="preserve"> iemeslu pārbaudi. Ja pārbaude tomēr ir nepieciešama, to var darīt, ja puse, pret kuru sprieduma izpilde ir atļauta, iesniedz pārsūdzību. Tiesai vai kompetentajai iestādei ir ļauts vienīgi veikt formālu pārbaudi attiecībā uz dokumentiem, kas iesniegti kopā ar iesniegumu; tos nosaka Regula. Turkl</w:t>
      </w:r>
      <w:r w:rsidR="00D56980">
        <w:rPr>
          <w:rFonts w:ascii="Times New Roman" w:hAnsi="Times New Roman" w:cs="Times New Roman"/>
          <w:szCs w:val="24"/>
          <w:lang w:val="lv-LV"/>
        </w:rPr>
        <w:t>āt būtiski ir samazināts neatzīšanas</w:t>
      </w:r>
      <w:r w:rsidRPr="00E45AA2">
        <w:rPr>
          <w:rFonts w:ascii="Times New Roman" w:hAnsi="Times New Roman" w:cs="Times New Roman"/>
          <w:szCs w:val="24"/>
          <w:lang w:val="lv-LV"/>
        </w:rPr>
        <w:t xml:space="preserve"> un neizpild</w:t>
      </w:r>
      <w:r w:rsidR="00F451BA">
        <w:rPr>
          <w:rFonts w:ascii="Times New Roman" w:hAnsi="Times New Roman" w:cs="Times New Roman"/>
          <w:szCs w:val="24"/>
          <w:lang w:val="lv-LV"/>
        </w:rPr>
        <w:t>e</w:t>
      </w:r>
      <w:r w:rsidR="00D56980">
        <w:rPr>
          <w:rFonts w:ascii="Times New Roman" w:hAnsi="Times New Roman" w:cs="Times New Roman"/>
          <w:szCs w:val="24"/>
          <w:lang w:val="lv-LV"/>
        </w:rPr>
        <w:t>s</w:t>
      </w:r>
      <w:r w:rsidRPr="00E45AA2">
        <w:rPr>
          <w:rFonts w:ascii="Times New Roman" w:hAnsi="Times New Roman" w:cs="Times New Roman"/>
          <w:szCs w:val="24"/>
          <w:lang w:val="lv-LV"/>
        </w:rPr>
        <w:t xml:space="preserve"> iemeslu klāsts.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w:t>
      </w:r>
    </w:p>
    <w:p w:rsidR="0013508E" w:rsidRPr="00E45AA2" w:rsidRDefault="0013508E" w:rsidP="0013508E">
      <w:pPr>
        <w:pStyle w:val="ECHRTitleCentre3"/>
        <w:rPr>
          <w:rFonts w:ascii="Times New Roman" w:hAnsi="Times New Roman" w:cs="Times New Roman"/>
          <w:szCs w:val="24"/>
          <w:lang w:val="lv-LV"/>
        </w:rPr>
      </w:pPr>
      <w:r w:rsidRPr="00E45AA2">
        <w:rPr>
          <w:rFonts w:ascii="Times New Roman" w:hAnsi="Times New Roman" w:cs="Times New Roman"/>
          <w:szCs w:val="24"/>
          <w:lang w:val="lv-LV"/>
        </w:rPr>
        <w:t>41. pants</w:t>
      </w:r>
      <w:r w:rsidR="00844D24" w:rsidRPr="00E45AA2">
        <w:rPr>
          <w:rFonts w:ascii="Times New Roman" w:hAnsi="Times New Roman" w:cs="Times New Roman"/>
          <w:szCs w:val="24"/>
          <w:lang w:val="lv-LV"/>
        </w:rPr>
        <w:t xml:space="preserve"> </w:t>
      </w:r>
      <w:r w:rsidRPr="00E45AA2">
        <w:rPr>
          <w:rFonts w:ascii="Times New Roman" w:hAnsi="Times New Roman" w:cs="Times New Roman"/>
          <w:szCs w:val="24"/>
          <w:lang w:val="lv-LV"/>
        </w:rPr>
        <w:t xml:space="preserve">[atbilst EK regulas 34. pantam]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 xml:space="preserve">Šis pants nosaka vienīgos iemeslus, kuru gadījumā tiesa, kas izskata pārsūdzības prasību, var atteikt vai atcelt paziņojumu par izpildi. Šie iemesli ir tikuši ierobežoti, lai veicinātu brīvu spriedumu plūsmu.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Pirmkārt, apstākļa vārda „</w:t>
      </w:r>
      <w:r w:rsidR="005336EB">
        <w:rPr>
          <w:rFonts w:ascii="Times New Roman" w:hAnsi="Times New Roman" w:cs="Times New Roman"/>
          <w:szCs w:val="24"/>
          <w:lang w:val="lv-LV"/>
        </w:rPr>
        <w:t>acīmredzami</w:t>
      </w:r>
      <w:r w:rsidRPr="00E45AA2">
        <w:rPr>
          <w:rFonts w:ascii="Times New Roman" w:hAnsi="Times New Roman" w:cs="Times New Roman"/>
          <w:szCs w:val="24"/>
          <w:lang w:val="lv-LV"/>
        </w:rPr>
        <w:t>” pievienošana 1. punktam ietver sabiedriskās kārtības iemesla ārkārtas dabu. Otrkārt, iemesls, uz kuru visbiežāk atsaucas parādnieki, lai iebilstu pret sprieduma izpildi, tika mainīts, lai novērstu ļaunprātīgu procedūras izmantošanu. Lai novērstu neizpildi, pietiks, ka atbildētājs izcelsmes valstī laicīgi saņem paziņojumu tādā veidā un laikā, kas viņam ļauj nod</w:t>
      </w:r>
      <w:r w:rsidR="00C115E5">
        <w:rPr>
          <w:rFonts w:ascii="Times New Roman" w:hAnsi="Times New Roman" w:cs="Times New Roman"/>
          <w:szCs w:val="24"/>
          <w:lang w:val="lv-LV"/>
        </w:rPr>
        <w:t>rošināt sev aizstāvību. Formāla</w:t>
      </w:r>
      <w:r w:rsidRPr="00E45AA2">
        <w:rPr>
          <w:rFonts w:ascii="Times New Roman" w:hAnsi="Times New Roman" w:cs="Times New Roman"/>
          <w:szCs w:val="24"/>
          <w:lang w:val="lv-LV"/>
        </w:rPr>
        <w:t xml:space="preserve"> neatbilstība </w:t>
      </w:r>
      <w:r w:rsidR="00053B6B">
        <w:rPr>
          <w:rFonts w:ascii="Times New Roman" w:hAnsi="Times New Roman" w:cs="Times New Roman"/>
          <w:szCs w:val="24"/>
          <w:lang w:val="lv-LV"/>
        </w:rPr>
        <w:t>paziņošanas</w:t>
      </w:r>
      <w:r w:rsidRPr="00E45AA2">
        <w:rPr>
          <w:rFonts w:ascii="Times New Roman" w:hAnsi="Times New Roman" w:cs="Times New Roman"/>
          <w:szCs w:val="24"/>
          <w:lang w:val="lv-LV"/>
        </w:rPr>
        <w:t xml:space="preserve"> procedūrā nekavēs sprieduma atzīšanu vai izpildi, ja vien tas nav kavējis parādnieku nodrošināt sev aizstāvību. Turklāt, ja parādniekam ir bijusi iespēja iesniegt pārsūdzību izcelsmes valstī, pamatojoties uz procesuālu neatbilstību, bet viņš to nav izmantojis, viņam nav tiesību izmantot šo procesuālo neatbilstību par pamatu uzrunātajā valstī veiktā paziņojuma noraidīšanai vai atcelšanai(...)”</w:t>
      </w:r>
    </w:p>
    <w:p w:rsidR="0013508E" w:rsidRPr="00E45AA2" w:rsidRDefault="0013508E" w:rsidP="00844D24">
      <w:pPr>
        <w:pStyle w:val="ECHRHeading4"/>
        <w:numPr>
          <w:ilvl w:val="0"/>
          <w:numId w:val="0"/>
        </w:numPr>
        <w:ind w:left="864"/>
        <w:rPr>
          <w:rFonts w:ascii="Times New Roman" w:hAnsi="Times New Roman" w:cs="Times New Roman"/>
          <w:i w:val="0"/>
          <w:color w:val="auto"/>
          <w:sz w:val="20"/>
          <w:szCs w:val="24"/>
          <w:lang w:val="lv-LV"/>
        </w:rPr>
      </w:pPr>
      <w:r w:rsidRPr="00E45AA2">
        <w:rPr>
          <w:rFonts w:ascii="Times New Roman" w:hAnsi="Times New Roman" w:cs="Times New Roman"/>
          <w:i w:val="0"/>
          <w:color w:val="auto"/>
          <w:sz w:val="20"/>
          <w:szCs w:val="24"/>
          <w:lang w:val="lv-LV"/>
        </w:rPr>
        <w:t>(c)  EST judikatūra</w:t>
      </w:r>
    </w:p>
    <w:p w:rsidR="00844D24" w:rsidRPr="00E45AA2" w:rsidRDefault="00844D24" w:rsidP="00844D24">
      <w:pPr>
        <w:pStyle w:val="ECHRPara"/>
        <w:rPr>
          <w:lang w:val="lv-LV"/>
        </w:rPr>
      </w:pPr>
    </w:p>
    <w:p w:rsidR="0013508E" w:rsidRPr="00E45AA2" w:rsidRDefault="0013508E" w:rsidP="006D13AD">
      <w:pPr>
        <w:pStyle w:val="ECHRPara"/>
        <w:rPr>
          <w:rFonts w:ascii="Times New Roman" w:hAnsi="Times New Roman" w:cs="Times New Roman"/>
          <w:szCs w:val="24"/>
          <w:lang w:val="lv-LV"/>
        </w:rPr>
      </w:pPr>
      <w:r w:rsidRPr="00E45AA2">
        <w:rPr>
          <w:rFonts w:ascii="Times New Roman" w:hAnsi="Times New Roman" w:cs="Times New Roman"/>
          <w:szCs w:val="24"/>
          <w:lang w:val="lv-LV" w:eastAsia="fr-FR"/>
        </w:rPr>
        <w:fldChar w:fldCharType="begin"/>
      </w:r>
      <w:r w:rsidRPr="00E45AA2">
        <w:rPr>
          <w:rFonts w:ascii="Times New Roman" w:hAnsi="Times New Roman" w:cs="Times New Roman"/>
          <w:szCs w:val="24"/>
          <w:lang w:val="lv-LV" w:eastAsia="fr-FR"/>
        </w:rPr>
        <w:instrText xml:space="preserve"> SEQ level0 \*arabic </w:instrText>
      </w:r>
      <w:r w:rsidRPr="00E45AA2">
        <w:rPr>
          <w:rFonts w:ascii="Times New Roman" w:hAnsi="Times New Roman" w:cs="Times New Roman"/>
          <w:szCs w:val="24"/>
          <w:lang w:val="lv-LV" w:eastAsia="fr-FR"/>
        </w:rPr>
        <w:fldChar w:fldCharType="separate"/>
      </w:r>
      <w:r w:rsidRPr="00E45AA2">
        <w:rPr>
          <w:rFonts w:ascii="Times New Roman" w:hAnsi="Times New Roman" w:cs="Times New Roman"/>
          <w:noProof/>
          <w:szCs w:val="24"/>
          <w:lang w:val="lv-LV" w:eastAsia="fr-FR"/>
        </w:rPr>
        <w:t>57</w:t>
      </w:r>
      <w:r w:rsidRPr="00E45AA2">
        <w:rPr>
          <w:rFonts w:ascii="Times New Roman" w:hAnsi="Times New Roman" w:cs="Times New Roman"/>
          <w:szCs w:val="24"/>
          <w:lang w:val="lv-LV" w:eastAsia="fr-FR"/>
        </w:rPr>
        <w:fldChar w:fldCharType="end"/>
      </w:r>
      <w:r w:rsidRPr="00E45AA2">
        <w:rPr>
          <w:rFonts w:ascii="Times New Roman" w:hAnsi="Times New Roman" w:cs="Times New Roman"/>
          <w:szCs w:val="24"/>
          <w:lang w:val="lv-LV" w:eastAsia="fr-FR"/>
        </w:rPr>
        <w:t xml:space="preserve">.   Lietā </w:t>
      </w:r>
      <w:r w:rsidRPr="00E45AA2">
        <w:rPr>
          <w:rFonts w:ascii="Times New Roman" w:hAnsi="Times New Roman" w:cs="Times New Roman"/>
          <w:i/>
          <w:szCs w:val="24"/>
          <w:lang w:val="lv-LV" w:eastAsia="fr-FR"/>
        </w:rPr>
        <w:t xml:space="preserve">Klomps pret Michel </w:t>
      </w:r>
      <w:r w:rsidRPr="00E45AA2">
        <w:rPr>
          <w:rFonts w:ascii="Times New Roman" w:hAnsi="Times New Roman" w:cs="Times New Roman"/>
          <w:szCs w:val="24"/>
          <w:lang w:val="lv-LV" w:eastAsia="fr-FR"/>
        </w:rPr>
        <w:t xml:space="preserve">(Lieta C-166/80, 1981. gada 16. jūnija spriedums, </w:t>
      </w:r>
      <w:r w:rsidR="00C774DA">
        <w:rPr>
          <w:rFonts w:ascii="Times New Roman" w:hAnsi="Times New Roman" w:cs="Times New Roman"/>
          <w:szCs w:val="24"/>
          <w:lang w:val="lv-LV" w:eastAsia="fr-FR"/>
        </w:rPr>
        <w:t>ECR</w:t>
      </w:r>
      <w:r w:rsidRPr="00E45AA2">
        <w:rPr>
          <w:rFonts w:ascii="Times New Roman" w:hAnsi="Times New Roman" w:cs="Times New Roman"/>
          <w:szCs w:val="24"/>
          <w:lang w:val="lv-LV" w:eastAsia="fr-FR"/>
        </w:rPr>
        <w:t xml:space="preserve"> 1593) EST definēja Briseles Konvencijas 27. panta 2. punktā (atbilst Briseles I regulas 34. panta 2. punktam) ietverto garantiju tvērumu. </w:t>
      </w:r>
      <w:r w:rsidRPr="00E45AA2">
        <w:rPr>
          <w:rFonts w:ascii="Times New Roman" w:hAnsi="Times New Roman" w:cs="Times New Roman"/>
          <w:szCs w:val="24"/>
          <w:lang w:val="lv-LV"/>
        </w:rPr>
        <w:t>Tā nosprieda, ka šis noteikums bija piemērojams situācijā, kad atbildētājs pārsūdz spriedumu, kas pieņemts aizmuguriski, un izcelsmes valsts kompetentā jurisdikcija atzīst pārsūdzību par nepieņemamu, pamatojoties uz to, ka ir beidzies pārsūdzības iesniegšanas termiņš.</w:t>
      </w:r>
      <w:r w:rsidR="006D13AD">
        <w:rPr>
          <w:rFonts w:ascii="Times New Roman" w:hAnsi="Times New Roman" w:cs="Times New Roman"/>
          <w:szCs w:val="24"/>
          <w:lang w:val="lv-LV"/>
        </w:rPr>
        <w:t xml:space="preserve"> </w:t>
      </w:r>
      <w:r w:rsidRPr="00E45AA2">
        <w:rPr>
          <w:rFonts w:ascii="Times New Roman" w:hAnsi="Times New Roman" w:cs="Times New Roman"/>
          <w:szCs w:val="24"/>
          <w:lang w:val="lv-LV"/>
        </w:rPr>
        <w:t>Turklāt, tāpat kā gadījumos, kad izcelsmes val</w:t>
      </w:r>
      <w:r w:rsidR="005D56AD">
        <w:rPr>
          <w:rFonts w:ascii="Times New Roman" w:hAnsi="Times New Roman" w:cs="Times New Roman"/>
          <w:szCs w:val="24"/>
          <w:lang w:val="lv-LV"/>
        </w:rPr>
        <w:t>sts tiesa</w:t>
      </w:r>
      <w:r w:rsidRPr="00E45AA2">
        <w:rPr>
          <w:rFonts w:ascii="Times New Roman" w:hAnsi="Times New Roman" w:cs="Times New Roman"/>
          <w:szCs w:val="24"/>
          <w:lang w:val="lv-LV"/>
        </w:rPr>
        <w:t xml:space="preserve"> </w:t>
      </w:r>
      <w:r w:rsidR="005D56AD">
        <w:rPr>
          <w:rFonts w:ascii="Times New Roman" w:hAnsi="Times New Roman"/>
          <w:lang w:val="lv-LV"/>
        </w:rPr>
        <w:t>pušu līdztiesības</w:t>
      </w:r>
      <w:r w:rsidR="005D56AD" w:rsidRPr="0000011C">
        <w:rPr>
          <w:rFonts w:ascii="Times New Roman" w:hAnsi="Times New Roman"/>
          <w:lang w:val="lv-LV"/>
        </w:rPr>
        <w:t xml:space="preserve"> principa</w:t>
      </w:r>
      <w:r w:rsidR="005D56AD">
        <w:rPr>
          <w:rFonts w:ascii="Times New Roman" w:hAnsi="Times New Roman"/>
          <w:lang w:val="lv-LV"/>
        </w:rPr>
        <w:t>m atbilstošā tiesas procesā</w:t>
      </w:r>
      <w:r w:rsidRPr="00E45AA2">
        <w:rPr>
          <w:rFonts w:ascii="Times New Roman" w:hAnsi="Times New Roman" w:cs="Times New Roman"/>
          <w:szCs w:val="24"/>
          <w:lang w:val="lv-LV"/>
        </w:rPr>
        <w:t xml:space="preserve"> nolemj, ka tiesu izpildītāja veiktā uzaicināšana vai paziņošana bija pienācīga, minētais noteikums paredz, ka tiesnesis tomēr veic pārbaudi, uzdodot jautājumu, vai šī uzaicināšana vai paziņošana bija veikta savlaicīgi, lai atbildētājs varētu</w:t>
      </w:r>
      <w:r w:rsidR="00564690" w:rsidRPr="00E45AA2">
        <w:rPr>
          <w:rFonts w:ascii="Times New Roman" w:hAnsi="Times New Roman" w:cs="Times New Roman"/>
          <w:szCs w:val="24"/>
          <w:lang w:val="lv-LV"/>
        </w:rPr>
        <w:t xml:space="preserve"> īstenot savu aizstāvību.</w:t>
      </w:r>
    </w:p>
    <w:p w:rsidR="0013508E" w:rsidRPr="00E45AA2" w:rsidRDefault="0013508E" w:rsidP="0013508E">
      <w:pPr>
        <w:pStyle w:val="ECHRPara"/>
        <w:rPr>
          <w:rFonts w:ascii="Times New Roman" w:hAnsi="Times New Roman" w:cs="Times New Roman"/>
          <w:szCs w:val="24"/>
          <w:lang w:val="lv-LV" w:eastAsia="en-GB"/>
        </w:rPr>
      </w:pPr>
      <w:r w:rsidRPr="00E45AA2">
        <w:rPr>
          <w:rFonts w:ascii="Times New Roman" w:hAnsi="Times New Roman" w:cs="Times New Roman"/>
          <w:szCs w:val="24"/>
          <w:lang w:val="lv-LV" w:eastAsia="en-GB"/>
        </w:rPr>
        <w:fldChar w:fldCharType="begin"/>
      </w:r>
      <w:r w:rsidRPr="00E45AA2">
        <w:rPr>
          <w:rFonts w:ascii="Times New Roman" w:hAnsi="Times New Roman" w:cs="Times New Roman"/>
          <w:szCs w:val="24"/>
          <w:lang w:val="lv-LV" w:eastAsia="en-GB"/>
        </w:rPr>
        <w:instrText xml:space="preserve"> SEQ level0 \*arabic </w:instrText>
      </w:r>
      <w:r w:rsidRPr="00E45AA2">
        <w:rPr>
          <w:rFonts w:ascii="Times New Roman" w:hAnsi="Times New Roman" w:cs="Times New Roman"/>
          <w:szCs w:val="24"/>
          <w:lang w:val="lv-LV" w:eastAsia="en-GB"/>
        </w:rPr>
        <w:fldChar w:fldCharType="separate"/>
      </w:r>
      <w:r w:rsidRPr="00E45AA2">
        <w:rPr>
          <w:rFonts w:ascii="Times New Roman" w:hAnsi="Times New Roman" w:cs="Times New Roman"/>
          <w:noProof/>
          <w:szCs w:val="24"/>
          <w:lang w:val="lv-LV" w:eastAsia="en-GB"/>
        </w:rPr>
        <w:t>58</w:t>
      </w:r>
      <w:r w:rsidRPr="00E45AA2">
        <w:rPr>
          <w:rFonts w:ascii="Times New Roman" w:hAnsi="Times New Roman" w:cs="Times New Roman"/>
          <w:szCs w:val="24"/>
          <w:lang w:val="lv-LV" w:eastAsia="en-GB"/>
        </w:rPr>
        <w:fldChar w:fldCharType="end"/>
      </w:r>
      <w:r w:rsidRPr="00E45AA2">
        <w:rPr>
          <w:rFonts w:ascii="Times New Roman" w:hAnsi="Times New Roman" w:cs="Times New Roman"/>
          <w:szCs w:val="24"/>
          <w:lang w:val="lv-LV" w:eastAsia="en-GB"/>
        </w:rPr>
        <w:t xml:space="preserve">.  Iepriekš minētajā spriedumā lietā </w:t>
      </w:r>
      <w:r w:rsidRPr="00E45AA2">
        <w:rPr>
          <w:rFonts w:ascii="Times New Roman" w:hAnsi="Times New Roman" w:cs="Times New Roman"/>
          <w:i/>
          <w:szCs w:val="24"/>
          <w:lang w:val="lv-LV"/>
        </w:rPr>
        <w:t>ASML Nīderlande BV pret Semiconductor Industry Services GmbH (SEMIS)</w:t>
      </w:r>
      <w:r w:rsidRPr="00E45AA2">
        <w:rPr>
          <w:rFonts w:ascii="Times New Roman" w:hAnsi="Times New Roman" w:cs="Times New Roman"/>
          <w:szCs w:val="24"/>
          <w:lang w:val="lv-LV" w:eastAsia="en-GB"/>
        </w:rPr>
        <w:t xml:space="preserve"> EST tika aicināta sniegt </w:t>
      </w:r>
      <w:r w:rsidRPr="00E45AA2">
        <w:rPr>
          <w:rFonts w:ascii="Times New Roman" w:hAnsi="Times New Roman" w:cs="Times New Roman"/>
          <w:szCs w:val="24"/>
          <w:lang w:val="lv-LV"/>
        </w:rPr>
        <w:t xml:space="preserve">nolēmumu par to, vai “bija iespējams” (Briseles I Regulas 34. panta </w:t>
      </w:r>
      <w:r w:rsidRPr="00E45AA2">
        <w:rPr>
          <w:rFonts w:ascii="Times New Roman" w:hAnsi="Times New Roman" w:cs="Times New Roman"/>
          <w:szCs w:val="24"/>
          <w:lang w:val="lv-LV"/>
        </w:rPr>
        <w:lastRenderedPageBreak/>
        <w:t xml:space="preserve">2. punkta izpratnē) pārsūdzēt aizmugurisko spriedumu nozīmē, ka ir nepieciešams, lai šis spriedums būtu noteiktā kārtībā izsniegts vai paziņots atbildētājam, kas nav ieradies, vai pietiek ar to, ka minētais atbildētājs uzzina par tā esamību izpildes procedūras posmā valstī, kurā prasīta atzīšana. EST sniedza šādus apsvērumus: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eastAsia="en-GB"/>
        </w:rPr>
        <w:t>“20. (</w:t>
      </w:r>
      <w:r w:rsidRPr="00E45AA2">
        <w:rPr>
          <w:rFonts w:ascii="Times New Roman" w:hAnsi="Times New Roman" w:cs="Times New Roman"/>
          <w:szCs w:val="24"/>
          <w:lang w:val="lv-LV"/>
        </w:rPr>
        <w:t>...) Regulas Nr. 44/2001 34. panta 2. punktā nav prasīts, lai dokuments, ar kuru ir ierosināta lieta, obligāti būtu uzrādīts vai paziņots noteiktā kārtībā, bet gan lai efektīvi būtu ievērotas tiesības uz aizstāvību.</w:t>
      </w:r>
    </w:p>
    <w:p w:rsidR="0013508E" w:rsidRPr="00E45AA2" w:rsidRDefault="0013508E" w:rsidP="0013508E">
      <w:pPr>
        <w:pStyle w:val="ECHRParaQuote"/>
        <w:rPr>
          <w:rFonts w:ascii="Times New Roman" w:hAnsi="Times New Roman" w:cs="Times New Roman"/>
          <w:szCs w:val="24"/>
          <w:lang w:val="lv-LV"/>
        </w:rPr>
      </w:pPr>
      <w:bookmarkStart w:id="34" w:name="point21"/>
      <w:r w:rsidRPr="00E45AA2">
        <w:rPr>
          <w:rFonts w:ascii="Times New Roman" w:hAnsi="Times New Roman" w:cs="Times New Roman"/>
          <w:szCs w:val="24"/>
          <w:lang w:val="lv-LV" w:eastAsia="en-GB"/>
        </w:rPr>
        <w:t>21</w:t>
      </w:r>
      <w:bookmarkEnd w:id="34"/>
      <w:r w:rsidRPr="00E45AA2">
        <w:rPr>
          <w:rFonts w:ascii="Times New Roman" w:hAnsi="Times New Roman" w:cs="Times New Roman"/>
          <w:szCs w:val="24"/>
          <w:lang w:val="lv-LV" w:eastAsia="en-GB"/>
        </w:rPr>
        <w:t>.  </w:t>
      </w:r>
      <w:r w:rsidRPr="00E45AA2">
        <w:rPr>
          <w:rFonts w:ascii="Times New Roman" w:hAnsi="Times New Roman" w:cs="Times New Roman"/>
          <w:szCs w:val="24"/>
          <w:lang w:val="lv-LV"/>
        </w:rPr>
        <w:t xml:space="preserve">Minētajā 34. panta 2. punktā paredzēts izņēmums no sprieduma atzīšanas un izpildes atteikuma, t.i., gadījumā, ja atbildētājs, kas nav ieradies, nav uzsācis pārsūdzēšanas procedūru, lai gan viņam bija iespējams to darīt. </w:t>
      </w:r>
    </w:p>
    <w:p w:rsidR="0013508E" w:rsidRPr="00E45AA2" w:rsidRDefault="0013508E" w:rsidP="0013508E">
      <w:pPr>
        <w:pStyle w:val="ECHRParaQuote"/>
        <w:rPr>
          <w:rFonts w:ascii="Times New Roman" w:hAnsi="Times New Roman" w:cs="Times New Roman"/>
          <w:szCs w:val="24"/>
          <w:lang w:val="lv-LV"/>
        </w:rPr>
      </w:pPr>
      <w:bookmarkStart w:id="35" w:name="point22"/>
      <w:r w:rsidRPr="00E45AA2">
        <w:rPr>
          <w:rFonts w:ascii="Times New Roman" w:hAnsi="Times New Roman" w:cs="Times New Roman"/>
          <w:szCs w:val="24"/>
          <w:lang w:val="lv-LV" w:eastAsia="en-GB"/>
        </w:rPr>
        <w:t>22</w:t>
      </w:r>
      <w:bookmarkEnd w:id="35"/>
      <w:r w:rsidRPr="00E45AA2">
        <w:rPr>
          <w:rFonts w:ascii="Times New Roman" w:hAnsi="Times New Roman" w:cs="Times New Roman"/>
          <w:szCs w:val="24"/>
          <w:lang w:val="lv-LV" w:eastAsia="en-GB"/>
        </w:rPr>
        <w:t>.  </w:t>
      </w:r>
      <w:r w:rsidRPr="00E45AA2">
        <w:rPr>
          <w:rFonts w:ascii="Times New Roman" w:hAnsi="Times New Roman" w:cs="Times New Roman"/>
          <w:szCs w:val="24"/>
          <w:lang w:val="lv-LV"/>
        </w:rPr>
        <w:t xml:space="preserve">Tādēļ Regulas Nr. 44/2001 34. panta 2. punkts ir jāinterpretē, ņemot vērā minētās regulas mērķus un sistēmu. </w:t>
      </w:r>
    </w:p>
    <w:p w:rsidR="0013508E" w:rsidRPr="00E45AA2" w:rsidRDefault="0013508E" w:rsidP="0013508E">
      <w:pPr>
        <w:pStyle w:val="ECHRParaQuote"/>
        <w:rPr>
          <w:rFonts w:ascii="Times New Roman" w:hAnsi="Times New Roman" w:cs="Times New Roman"/>
          <w:szCs w:val="24"/>
          <w:lang w:val="lv-LV"/>
        </w:rPr>
      </w:pPr>
      <w:bookmarkStart w:id="36" w:name="point23"/>
      <w:r w:rsidRPr="00E45AA2">
        <w:rPr>
          <w:rFonts w:ascii="Times New Roman" w:hAnsi="Times New Roman" w:cs="Times New Roman"/>
          <w:szCs w:val="24"/>
          <w:lang w:val="lv-LV" w:eastAsia="en-GB"/>
        </w:rPr>
        <w:t>23</w:t>
      </w:r>
      <w:bookmarkEnd w:id="36"/>
      <w:r w:rsidRPr="00E45AA2">
        <w:rPr>
          <w:rFonts w:ascii="Times New Roman" w:hAnsi="Times New Roman" w:cs="Times New Roman"/>
          <w:szCs w:val="24"/>
          <w:lang w:val="lv-LV" w:eastAsia="en-GB"/>
        </w:rPr>
        <w:t>.  </w:t>
      </w:r>
      <w:r w:rsidRPr="00E45AA2">
        <w:rPr>
          <w:rFonts w:ascii="Times New Roman" w:hAnsi="Times New Roman" w:cs="Times New Roman"/>
          <w:szCs w:val="24"/>
          <w:lang w:val="lv-LV"/>
        </w:rPr>
        <w:t xml:space="preserve">Pirmkārt, attiecībā uz minētās regulas mērķiem no tās otrā, sestā, sešpadsmitā un septiņpadsmitā apsvēruma izriet, ka tās mērķis ir nodrošināt dalībvalstīs pieņemto spriedumu brīvu apriti civillietās un komerclietās, vienkāršojot formalitātes ātrai un vienkāršai spriedumu atzīšanai un izpildei. </w:t>
      </w:r>
    </w:p>
    <w:p w:rsidR="0013508E" w:rsidRPr="00E45AA2" w:rsidRDefault="0013508E" w:rsidP="0013508E">
      <w:pPr>
        <w:pStyle w:val="ECHRParaQuote"/>
        <w:rPr>
          <w:rFonts w:ascii="Times New Roman" w:hAnsi="Times New Roman" w:cs="Times New Roman"/>
          <w:szCs w:val="24"/>
          <w:lang w:val="lv-LV"/>
        </w:rPr>
      </w:pPr>
      <w:bookmarkStart w:id="37" w:name="point24"/>
      <w:r w:rsidRPr="00E45AA2">
        <w:rPr>
          <w:rFonts w:ascii="Times New Roman" w:hAnsi="Times New Roman" w:cs="Times New Roman"/>
          <w:szCs w:val="24"/>
          <w:lang w:val="lv-LV" w:eastAsia="en-GB"/>
        </w:rPr>
        <w:t>24</w:t>
      </w:r>
      <w:bookmarkEnd w:id="37"/>
      <w:r w:rsidRPr="00E45AA2">
        <w:rPr>
          <w:rFonts w:ascii="Times New Roman" w:hAnsi="Times New Roman" w:cs="Times New Roman"/>
          <w:szCs w:val="24"/>
          <w:lang w:val="lv-LV" w:eastAsia="en-GB"/>
        </w:rPr>
        <w:t>.  </w:t>
      </w:r>
      <w:r w:rsidRPr="00E45AA2">
        <w:rPr>
          <w:rFonts w:ascii="Times New Roman" w:hAnsi="Times New Roman" w:cs="Times New Roman"/>
          <w:szCs w:val="24"/>
          <w:lang w:val="lv-LV"/>
        </w:rPr>
        <w:t>Šo mērķi tomēr nedrīkst īstenot, jebkādā veidā vājinot aizstāvības tiesības</w:t>
      </w:r>
      <w:r w:rsidR="00844D24" w:rsidRPr="00E45AA2">
        <w:rPr>
          <w:rFonts w:ascii="Times New Roman" w:hAnsi="Times New Roman" w:cs="Times New Roman"/>
          <w:szCs w:val="24"/>
          <w:lang w:val="lv-LV"/>
        </w:rPr>
        <w:t>(</w:t>
      </w:r>
      <w:r w:rsidRPr="00E45AA2">
        <w:rPr>
          <w:rFonts w:ascii="Times New Roman" w:hAnsi="Times New Roman" w:cs="Times New Roman"/>
          <w:szCs w:val="24"/>
          <w:lang w:val="lv-LV"/>
        </w:rPr>
        <w:t>...</w:t>
      </w:r>
      <w:r w:rsidR="00844D24" w:rsidRPr="00E45AA2">
        <w:rPr>
          <w:rFonts w:ascii="Times New Roman" w:hAnsi="Times New Roman" w:cs="Times New Roman"/>
          <w:szCs w:val="24"/>
          <w:lang w:val="lv-LV"/>
        </w:rPr>
        <w:t>)</w:t>
      </w:r>
    </w:p>
    <w:p w:rsidR="0013508E" w:rsidRPr="00E45AA2" w:rsidRDefault="0013508E" w:rsidP="0013508E">
      <w:pPr>
        <w:pStyle w:val="ECHRParaQuote"/>
        <w:rPr>
          <w:rFonts w:ascii="Times New Roman" w:hAnsi="Times New Roman" w:cs="Times New Roman"/>
          <w:szCs w:val="24"/>
          <w:lang w:val="lv-LV"/>
        </w:rPr>
      </w:pPr>
      <w:bookmarkStart w:id="38" w:name="point25"/>
      <w:r w:rsidRPr="00E45AA2">
        <w:rPr>
          <w:rFonts w:ascii="Times New Roman" w:hAnsi="Times New Roman" w:cs="Times New Roman"/>
          <w:szCs w:val="24"/>
          <w:lang w:val="lv-LV" w:eastAsia="en-GB"/>
        </w:rPr>
        <w:t>25</w:t>
      </w:r>
      <w:bookmarkEnd w:id="38"/>
      <w:r w:rsidRPr="00E45AA2">
        <w:rPr>
          <w:rFonts w:ascii="Times New Roman" w:hAnsi="Times New Roman" w:cs="Times New Roman"/>
          <w:szCs w:val="24"/>
          <w:lang w:val="lv-LV" w:eastAsia="en-GB"/>
        </w:rPr>
        <w:t>.  </w:t>
      </w:r>
      <w:r w:rsidRPr="00E45AA2">
        <w:rPr>
          <w:rFonts w:ascii="Times New Roman" w:hAnsi="Times New Roman" w:cs="Times New Roman"/>
          <w:szCs w:val="24"/>
          <w:lang w:val="lv-LV"/>
        </w:rPr>
        <w:t xml:space="preserve">Tāda pati prasība izriet no Regulas Nr. 44/2001 astoņpadsmitā apsvēruma, atbilstoši kuram tiesību uz aizstāvību ievērošana nozīmē, ka atbildētājam vajadzētu būt iespējai iesniegt pārsūdzību, lai uzklausītu abas puses, pret izpildāmības deklarāciju, ja viņš uzskata, ka pastāv kāds no iemesliem neizpildīšanai. </w:t>
      </w:r>
    </w:p>
    <w:p w:rsidR="0013508E" w:rsidRPr="00E45AA2" w:rsidRDefault="00844D24" w:rsidP="0013508E">
      <w:pPr>
        <w:pStyle w:val="ECHRParaQuote"/>
        <w:rPr>
          <w:rFonts w:ascii="Times New Roman" w:hAnsi="Times New Roman" w:cs="Times New Roman"/>
          <w:szCs w:val="24"/>
          <w:lang w:val="lv-LV" w:eastAsia="en-GB"/>
        </w:rPr>
      </w:pPr>
      <w:r w:rsidRPr="00E45AA2">
        <w:rPr>
          <w:rFonts w:ascii="Times New Roman" w:hAnsi="Times New Roman" w:cs="Times New Roman"/>
          <w:szCs w:val="24"/>
          <w:lang w:val="lv-LV" w:eastAsia="en-GB"/>
        </w:rPr>
        <w:t>(</w:t>
      </w:r>
      <w:r w:rsidR="0013508E" w:rsidRPr="00E45AA2">
        <w:rPr>
          <w:rFonts w:ascii="Times New Roman" w:hAnsi="Times New Roman" w:cs="Times New Roman"/>
          <w:szCs w:val="24"/>
          <w:lang w:val="lv-LV" w:eastAsia="en-GB"/>
        </w:rPr>
        <w:t>...</w:t>
      </w:r>
      <w:r w:rsidRPr="00E45AA2">
        <w:rPr>
          <w:rFonts w:ascii="Times New Roman" w:hAnsi="Times New Roman" w:cs="Times New Roman"/>
          <w:szCs w:val="24"/>
          <w:lang w:val="lv-LV" w:eastAsia="en-GB"/>
        </w:rPr>
        <w:t>)</w:t>
      </w:r>
    </w:p>
    <w:p w:rsidR="0013508E" w:rsidRPr="00E45AA2" w:rsidRDefault="0013508E" w:rsidP="0013508E">
      <w:pPr>
        <w:pStyle w:val="ECHRParaQuote"/>
        <w:rPr>
          <w:rFonts w:ascii="Times New Roman" w:hAnsi="Times New Roman" w:cs="Times New Roman"/>
          <w:szCs w:val="24"/>
          <w:lang w:val="lv-LV"/>
        </w:rPr>
      </w:pPr>
      <w:bookmarkStart w:id="39" w:name="point29"/>
      <w:r w:rsidRPr="00E45AA2">
        <w:rPr>
          <w:rFonts w:ascii="Times New Roman" w:hAnsi="Times New Roman" w:cs="Times New Roman"/>
          <w:szCs w:val="24"/>
          <w:lang w:val="lv-LV" w:eastAsia="en-GB"/>
        </w:rPr>
        <w:t>29</w:t>
      </w:r>
      <w:bookmarkEnd w:id="39"/>
      <w:r w:rsidRPr="00E45AA2">
        <w:rPr>
          <w:rFonts w:ascii="Times New Roman" w:hAnsi="Times New Roman" w:cs="Times New Roman"/>
          <w:szCs w:val="24"/>
          <w:lang w:val="lv-LV" w:eastAsia="en-GB"/>
        </w:rPr>
        <w:t>.  </w:t>
      </w:r>
      <w:r w:rsidRPr="00E45AA2">
        <w:rPr>
          <w:rFonts w:ascii="Times New Roman" w:hAnsi="Times New Roman" w:cs="Times New Roman"/>
          <w:szCs w:val="24"/>
          <w:lang w:val="lv-LV"/>
        </w:rPr>
        <w:t>Otrkārt, attiecībā uz sistēmu, kas izveidota ar Regulu Nr. 44/2001 spriedumu atzīšanas un izpildes jomā, jāatzīmē</w:t>
      </w:r>
      <w:r w:rsidR="00844D24" w:rsidRPr="00E45AA2">
        <w:rPr>
          <w:rFonts w:ascii="Times New Roman" w:hAnsi="Times New Roman" w:cs="Times New Roman"/>
          <w:szCs w:val="24"/>
          <w:lang w:val="lv-LV"/>
        </w:rPr>
        <w:t>(</w:t>
      </w:r>
      <w:r w:rsidRPr="00E45AA2">
        <w:rPr>
          <w:rFonts w:ascii="Times New Roman" w:hAnsi="Times New Roman" w:cs="Times New Roman"/>
          <w:szCs w:val="24"/>
          <w:lang w:val="lv-LV"/>
        </w:rPr>
        <w:t>...</w:t>
      </w:r>
      <w:r w:rsidR="00844D24" w:rsidRPr="00E45AA2">
        <w:rPr>
          <w:rFonts w:ascii="Times New Roman" w:hAnsi="Times New Roman" w:cs="Times New Roman"/>
          <w:szCs w:val="24"/>
          <w:lang w:val="lv-LV"/>
        </w:rPr>
        <w:t>)</w:t>
      </w:r>
      <w:r w:rsidRPr="00E45AA2">
        <w:rPr>
          <w:rFonts w:ascii="Times New Roman" w:hAnsi="Times New Roman" w:cs="Times New Roman"/>
          <w:szCs w:val="24"/>
          <w:lang w:val="lv-LV"/>
        </w:rPr>
        <w:t>, ka atbildētāja, kas nav ieradies tiesā, tiesību ievērošana ir nodrošināta ar dubultas kontroles palīdzību.</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eastAsia="en-GB"/>
        </w:rPr>
        <w:t xml:space="preserve">30. </w:t>
      </w:r>
      <w:r w:rsidRPr="00E45AA2">
        <w:rPr>
          <w:rFonts w:ascii="Times New Roman" w:hAnsi="Times New Roman" w:cs="Times New Roman"/>
          <w:szCs w:val="24"/>
          <w:lang w:val="lv-LV"/>
        </w:rPr>
        <w:t>Piemērojot kopā Regulas Nr. 44/2001 26. panta 2. punktu ar Regulas Nr. 1348/2000 19. panta 1. punktu, sākotnējās tiesvedības laikā izcelsmes valstī tiesai, kas izskata lietu, ir jāpārtrauc lietas izskatīšana, kamēr nav pierādīts, vai nu ka atbildētājs, kas nav ieradies, laikus ir varējis saņemt dokumentu, ar kuru ierosināta lieta, vai arī līdzvērtīgu dokumentu, lai varētu nodrošināt sev aizstāvību, vai ka šajā sakarā ir veikti visi vajadzīgie pasākumi.</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eastAsia="en-GB"/>
        </w:rPr>
        <w:t>31.  </w:t>
      </w:r>
      <w:r w:rsidRPr="00E45AA2">
        <w:rPr>
          <w:rFonts w:ascii="Times New Roman" w:hAnsi="Times New Roman" w:cs="Times New Roman"/>
          <w:szCs w:val="24"/>
          <w:lang w:val="lv-LV"/>
        </w:rPr>
        <w:t xml:space="preserve">Atzīšanas un izpildes procedūras laikā valstī, kurā prasīta atzīšana, ja atbildētājs ir pārsūdzējis izcelsmes valstī pieņemto izpildāmības deklarāciju, tiesa, kas lemj par šo sūdzību, var pārbaudīt atzīšanas un izpildes atteikuma iemeslu, kas minēts Regulas Nr. 44/2001 34. panta 2. punktā.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eastAsia="en-GB"/>
        </w:rPr>
        <w:t>32. </w:t>
      </w:r>
      <w:r w:rsidRPr="00E45AA2">
        <w:rPr>
          <w:rFonts w:ascii="Times New Roman" w:hAnsi="Times New Roman" w:cs="Times New Roman"/>
          <w:szCs w:val="24"/>
          <w:lang w:val="lv-LV"/>
        </w:rPr>
        <w:t>Ņemot vērā šos apsvērumus, ir jānosaka, vai tad, ja aizmugurisks spriedums nav izsniegts vai paziņots, ar to, ka persona, pret kuru lūdz vērst izpildi, par šī lēmuma esamību ir uzzinājusi tikai izpildes procedūras stadijā, pietiek, lai uzskatītu, ka šī persona varēja Regulas Nr. 44/2001 34. panta 2. punkta nozīmē minēto spriedumu pārsūdzēt.</w:t>
      </w:r>
    </w:p>
    <w:p w:rsidR="0013508E" w:rsidRPr="00E45AA2" w:rsidRDefault="0013508E" w:rsidP="0013508E">
      <w:pPr>
        <w:pStyle w:val="ECHRParaQuote"/>
        <w:rPr>
          <w:rFonts w:ascii="Times New Roman" w:hAnsi="Times New Roman" w:cs="Times New Roman"/>
          <w:szCs w:val="24"/>
          <w:lang w:val="lv-LV"/>
        </w:rPr>
      </w:pPr>
      <w:bookmarkStart w:id="40" w:name="point33"/>
      <w:r w:rsidRPr="00E45AA2">
        <w:rPr>
          <w:rFonts w:ascii="Times New Roman" w:hAnsi="Times New Roman" w:cs="Times New Roman"/>
          <w:szCs w:val="24"/>
          <w:lang w:val="lv-LV" w:eastAsia="en-GB"/>
        </w:rPr>
        <w:t>33</w:t>
      </w:r>
      <w:bookmarkEnd w:id="40"/>
      <w:r w:rsidRPr="00E45AA2">
        <w:rPr>
          <w:rFonts w:ascii="Times New Roman" w:hAnsi="Times New Roman" w:cs="Times New Roman"/>
          <w:szCs w:val="24"/>
          <w:lang w:val="lv-LV" w:eastAsia="en-GB"/>
        </w:rPr>
        <w:t>. </w:t>
      </w:r>
      <w:r w:rsidRPr="00E45AA2">
        <w:rPr>
          <w:rFonts w:ascii="Times New Roman" w:hAnsi="Times New Roman" w:cs="Times New Roman"/>
          <w:szCs w:val="24"/>
          <w:lang w:val="lv-LV"/>
        </w:rPr>
        <w:t>Ir skaidrs, ka pamata prāvā aizmuguriskais spriedums nav ne izsniegts, ne paziņots atbildētājai, kas nav ieradusies, tādējādi tā nezināja šī sprieduma saturu.</w:t>
      </w:r>
    </w:p>
    <w:p w:rsidR="0013508E" w:rsidRPr="00E45AA2" w:rsidRDefault="0013508E" w:rsidP="0013508E">
      <w:pPr>
        <w:pStyle w:val="ECHRParaQuote"/>
        <w:rPr>
          <w:rFonts w:ascii="Times New Roman" w:hAnsi="Times New Roman" w:cs="Times New Roman"/>
          <w:szCs w:val="24"/>
          <w:lang w:val="lv-LV"/>
        </w:rPr>
      </w:pPr>
      <w:bookmarkStart w:id="41" w:name="point34"/>
      <w:r w:rsidRPr="00E45AA2">
        <w:rPr>
          <w:rFonts w:ascii="Times New Roman" w:hAnsi="Times New Roman" w:cs="Times New Roman"/>
          <w:szCs w:val="24"/>
          <w:lang w:val="lv-LV" w:eastAsia="en-GB"/>
        </w:rPr>
        <w:t>34</w:t>
      </w:r>
      <w:bookmarkEnd w:id="41"/>
      <w:r w:rsidRPr="00E45AA2">
        <w:rPr>
          <w:rFonts w:ascii="Times New Roman" w:hAnsi="Times New Roman" w:cs="Times New Roman"/>
          <w:szCs w:val="24"/>
          <w:lang w:val="lv-LV" w:eastAsia="en-GB"/>
        </w:rPr>
        <w:t xml:space="preserve">. </w:t>
      </w:r>
      <w:r w:rsidRPr="00E45AA2">
        <w:rPr>
          <w:rFonts w:ascii="Times New Roman" w:hAnsi="Times New Roman" w:cs="Times New Roman"/>
          <w:szCs w:val="24"/>
          <w:lang w:val="lv-LV"/>
        </w:rPr>
        <w:t xml:space="preserve">Kā Tiesā iesniegtajos apsvērumos pamatoti apgalvo Austrijas, Vācijas, Nīderlandes un Polijas valdības, kā arī </w:t>
      </w:r>
      <w:r w:rsidR="00844D24" w:rsidRPr="00E45AA2">
        <w:rPr>
          <w:rFonts w:ascii="Times New Roman" w:hAnsi="Times New Roman" w:cs="Times New Roman"/>
          <w:szCs w:val="24"/>
          <w:lang w:val="lv-LV"/>
        </w:rPr>
        <w:t>Eiropas Kopienu komisija</w:t>
      </w:r>
      <w:r w:rsidRPr="00E45AA2">
        <w:rPr>
          <w:rFonts w:ascii="Times New Roman" w:hAnsi="Times New Roman" w:cs="Times New Roman"/>
          <w:szCs w:val="24"/>
          <w:lang w:val="lv-LV"/>
        </w:rPr>
        <w:t xml:space="preserve">, sprieduma </w:t>
      </w:r>
      <w:r w:rsidRPr="00E45AA2">
        <w:rPr>
          <w:rFonts w:ascii="Times New Roman" w:hAnsi="Times New Roman" w:cs="Times New Roman"/>
          <w:szCs w:val="24"/>
          <w:lang w:val="lv-LV"/>
        </w:rPr>
        <w:lastRenderedPageBreak/>
        <w:t xml:space="preserve">pārsūdzēšana ir iespējama tikai tad, ja pārsūdzības autoram ir darīts zināms tā saturs, šajā sakarā nepietiek tikai ar zināšanu par šī sprieduma esamību. </w:t>
      </w:r>
    </w:p>
    <w:p w:rsidR="0013508E" w:rsidRPr="00E45AA2" w:rsidRDefault="0013508E" w:rsidP="0013508E">
      <w:pPr>
        <w:pStyle w:val="ECHRParaQuote"/>
        <w:rPr>
          <w:rFonts w:ascii="Times New Roman" w:hAnsi="Times New Roman" w:cs="Times New Roman"/>
          <w:szCs w:val="24"/>
          <w:lang w:val="lv-LV"/>
        </w:rPr>
      </w:pPr>
      <w:bookmarkStart w:id="42" w:name="point35"/>
      <w:r w:rsidRPr="00E45AA2">
        <w:rPr>
          <w:rFonts w:ascii="Times New Roman" w:hAnsi="Times New Roman" w:cs="Times New Roman"/>
          <w:szCs w:val="24"/>
          <w:lang w:val="lv-LV" w:eastAsia="en-GB"/>
        </w:rPr>
        <w:t>35</w:t>
      </w:r>
      <w:bookmarkEnd w:id="42"/>
      <w:r w:rsidRPr="00E45AA2">
        <w:rPr>
          <w:rFonts w:ascii="Times New Roman" w:hAnsi="Times New Roman" w:cs="Times New Roman"/>
          <w:szCs w:val="24"/>
          <w:lang w:val="lv-LV" w:eastAsia="en-GB"/>
        </w:rPr>
        <w:t>.  </w:t>
      </w:r>
      <w:r w:rsidRPr="00E45AA2">
        <w:rPr>
          <w:rFonts w:ascii="Times New Roman" w:hAnsi="Times New Roman" w:cs="Times New Roman"/>
          <w:szCs w:val="24"/>
          <w:lang w:val="lv-LV"/>
        </w:rPr>
        <w:t xml:space="preserve">Lai atbildētājam būtu iespēja efektīvi pārsūdzēt, kas tam ļauj īstenot savas tiesības šī sprieduma 27. un 28. punktā minētās judikatūras nozīmē, tam jābūt iespējai uzzināt aizmuguriskā sprieduma pamatojumu, lai to varētu pienācīgi apstrīdēt. </w:t>
      </w:r>
    </w:p>
    <w:p w:rsidR="0013508E" w:rsidRPr="00E45AA2" w:rsidRDefault="0013508E" w:rsidP="0013508E">
      <w:pPr>
        <w:pStyle w:val="ECHRParaQuote"/>
        <w:rPr>
          <w:rFonts w:ascii="Times New Roman" w:hAnsi="Times New Roman" w:cs="Times New Roman"/>
          <w:szCs w:val="24"/>
          <w:lang w:val="lv-LV"/>
        </w:rPr>
      </w:pPr>
      <w:bookmarkStart w:id="43" w:name="point36"/>
      <w:r w:rsidRPr="00E45AA2">
        <w:rPr>
          <w:rFonts w:ascii="Times New Roman" w:hAnsi="Times New Roman" w:cs="Times New Roman"/>
          <w:szCs w:val="24"/>
          <w:lang w:val="lv-LV" w:eastAsia="en-GB"/>
        </w:rPr>
        <w:t>36</w:t>
      </w:r>
      <w:bookmarkEnd w:id="43"/>
      <w:r w:rsidRPr="00E45AA2">
        <w:rPr>
          <w:rFonts w:ascii="Times New Roman" w:hAnsi="Times New Roman" w:cs="Times New Roman"/>
          <w:szCs w:val="24"/>
          <w:lang w:val="lv-LV" w:eastAsia="en-GB"/>
        </w:rPr>
        <w:t>.  </w:t>
      </w:r>
      <w:r w:rsidRPr="00E45AA2">
        <w:rPr>
          <w:rFonts w:ascii="Times New Roman" w:hAnsi="Times New Roman" w:cs="Times New Roman"/>
          <w:szCs w:val="24"/>
          <w:lang w:val="lv-LV"/>
        </w:rPr>
        <w:t xml:space="preserve">No minētā izriet, ka tikai tas, ka atbildētājs, kas nav ieradies, zināja aizmuguriskā sprieduma saturu, atbilstoši prasībai ievērot tiesības uz aizstāvību un tās faktiski īstenot ļauj nodrošināt, ka atbildētājam bija iespējams Regulas Nr. 44/2001 34. panta 2. punkta nozīmē pārsūdzēt šo spriedumu izcelsmes valsts tiesā. </w:t>
      </w:r>
    </w:p>
    <w:p w:rsidR="0013508E" w:rsidRPr="00E45AA2" w:rsidRDefault="00564690" w:rsidP="0013508E">
      <w:pPr>
        <w:pStyle w:val="ECHRParaQuote"/>
        <w:rPr>
          <w:rFonts w:ascii="Times New Roman" w:hAnsi="Times New Roman" w:cs="Times New Roman"/>
          <w:szCs w:val="24"/>
          <w:lang w:val="lv-LV" w:eastAsia="en-GB"/>
        </w:rPr>
      </w:pPr>
      <w:r w:rsidRPr="00E45AA2">
        <w:rPr>
          <w:rFonts w:ascii="Times New Roman" w:hAnsi="Times New Roman" w:cs="Times New Roman"/>
          <w:szCs w:val="24"/>
          <w:lang w:val="lv-LV" w:eastAsia="en-GB"/>
        </w:rPr>
        <w:t>(</w:t>
      </w:r>
      <w:r w:rsidR="0013508E" w:rsidRPr="00E45AA2">
        <w:rPr>
          <w:rFonts w:ascii="Times New Roman" w:hAnsi="Times New Roman" w:cs="Times New Roman"/>
          <w:szCs w:val="24"/>
          <w:lang w:val="lv-LV" w:eastAsia="en-GB"/>
        </w:rPr>
        <w:t>...</w:t>
      </w:r>
      <w:r w:rsidRPr="00E45AA2">
        <w:rPr>
          <w:rFonts w:ascii="Times New Roman" w:hAnsi="Times New Roman" w:cs="Times New Roman"/>
          <w:szCs w:val="24"/>
          <w:lang w:val="lv-LV" w:eastAsia="en-GB"/>
        </w:rPr>
        <w:t>)</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eastAsia="en-GB"/>
        </w:rPr>
        <w:t>39.  </w:t>
      </w:r>
      <w:r w:rsidRPr="00E45AA2">
        <w:rPr>
          <w:rFonts w:ascii="Times New Roman" w:hAnsi="Times New Roman" w:cs="Times New Roman"/>
          <w:szCs w:val="24"/>
          <w:lang w:val="lv-LV"/>
        </w:rPr>
        <w:t xml:space="preserve">Tomēr Regulas Nr. 44/2001 34. panta 2. punktā nav paredzēts, ka atbildētājam ir jāveic papildu pasākumi, kas pārsniedz parasto rūpību, lai aizstāvētu savas tiesības būt informētam par citā dalībvalstī pieņemta nolēmuma saturu.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eastAsia="en-GB"/>
        </w:rPr>
        <w:t>40.  </w:t>
      </w:r>
      <w:r w:rsidRPr="00E45AA2">
        <w:rPr>
          <w:rFonts w:ascii="Times New Roman" w:hAnsi="Times New Roman" w:cs="Times New Roman"/>
          <w:szCs w:val="24"/>
          <w:lang w:val="lv-LV"/>
        </w:rPr>
        <w:t xml:space="preserve">Tātad, lai uzskatītu, ka atbildētājam, kas nav ieradies, bija iespējams Regulas Nr. 44/2001 34. panta 2. punkta nozīmē pārsūdzēt par to pieņemto aizmugurisko spriedumu, tam ir jāzina šī sprieduma saturs, kas nozīmē, ka tam ir jābūt izsniegtam vai paziņotam. </w:t>
      </w:r>
    </w:p>
    <w:p w:rsidR="0013508E" w:rsidRPr="00E45AA2" w:rsidRDefault="00564690" w:rsidP="0013508E">
      <w:pPr>
        <w:pStyle w:val="ECHRParaQuote"/>
        <w:rPr>
          <w:rFonts w:ascii="Times New Roman" w:hAnsi="Times New Roman" w:cs="Times New Roman"/>
          <w:szCs w:val="24"/>
          <w:lang w:val="lv-LV" w:eastAsia="en-GB"/>
        </w:rPr>
      </w:pPr>
      <w:r w:rsidRPr="00E45AA2">
        <w:rPr>
          <w:rFonts w:ascii="Times New Roman" w:hAnsi="Times New Roman" w:cs="Times New Roman"/>
          <w:szCs w:val="24"/>
          <w:lang w:val="lv-LV" w:eastAsia="en-GB"/>
        </w:rPr>
        <w:t>(</w:t>
      </w:r>
      <w:r w:rsidR="0013508E" w:rsidRPr="00E45AA2">
        <w:rPr>
          <w:rFonts w:ascii="Times New Roman" w:hAnsi="Times New Roman" w:cs="Times New Roman"/>
          <w:szCs w:val="24"/>
          <w:lang w:val="lv-LV" w:eastAsia="en-GB"/>
        </w:rPr>
        <w:t>...</w:t>
      </w:r>
      <w:r w:rsidRPr="00E45AA2">
        <w:rPr>
          <w:rFonts w:ascii="Times New Roman" w:hAnsi="Times New Roman" w:cs="Times New Roman"/>
          <w:szCs w:val="24"/>
          <w:lang w:val="lv-LV" w:eastAsia="en-GB"/>
        </w:rPr>
        <w:t>)</w:t>
      </w:r>
    </w:p>
    <w:p w:rsidR="0013508E" w:rsidRPr="00E45AA2" w:rsidRDefault="0013508E" w:rsidP="0013508E">
      <w:pPr>
        <w:pStyle w:val="ECHRParaQuote"/>
        <w:rPr>
          <w:rFonts w:ascii="Times New Roman" w:hAnsi="Times New Roman" w:cs="Times New Roman"/>
          <w:szCs w:val="24"/>
          <w:lang w:val="lv-LV"/>
        </w:rPr>
      </w:pPr>
      <w:bookmarkStart w:id="44" w:name="point49"/>
      <w:r w:rsidRPr="00E45AA2">
        <w:rPr>
          <w:rFonts w:ascii="Times New Roman" w:hAnsi="Times New Roman" w:cs="Times New Roman"/>
          <w:szCs w:val="24"/>
          <w:lang w:val="lv-LV" w:eastAsia="en-GB"/>
        </w:rPr>
        <w:t>49</w:t>
      </w:r>
      <w:bookmarkEnd w:id="44"/>
      <w:r w:rsidRPr="00E45AA2">
        <w:rPr>
          <w:rFonts w:ascii="Times New Roman" w:hAnsi="Times New Roman" w:cs="Times New Roman"/>
          <w:szCs w:val="24"/>
          <w:lang w:val="lv-LV" w:eastAsia="en-GB"/>
        </w:rPr>
        <w:t>. </w:t>
      </w:r>
      <w:r w:rsidRPr="00E45AA2">
        <w:rPr>
          <w:rFonts w:ascii="Times New Roman" w:hAnsi="Times New Roman" w:cs="Times New Roman"/>
          <w:szCs w:val="24"/>
          <w:lang w:val="lv-LV"/>
        </w:rPr>
        <w:t>Ņemot vērā visus iepriekš minētos apsvērumus, uz uzdotajiem jautājumiem ir jāatbild, ka Regulas Nr. 44/2001 34. panta 2. punkts ir jāinterpretē tā, ka atbildētājam bija “iespējams” uzsākt attiecībā uz viņu pieņemta aizmuguriska sprieduma pārsūdzēšanas procedūru tikai tad, ja viņam bija faktiski zināms tā saturs, jo tas bija izsniegts vai paziņots pietiekami laicīgi, lai viņš varētu nodrošināt sev aizstāvību izcelsmes valsts tiesā</w:t>
      </w:r>
      <w:r w:rsidRPr="00E45AA2">
        <w:rPr>
          <w:rFonts w:ascii="Times New Roman" w:hAnsi="Times New Roman" w:cs="Times New Roman"/>
          <w:szCs w:val="24"/>
          <w:lang w:val="lv-LV" w:eastAsia="en-GB"/>
        </w:rPr>
        <w:t>.”</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59</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Lietā </w:t>
      </w:r>
      <w:r w:rsidRPr="00E45AA2">
        <w:rPr>
          <w:rFonts w:ascii="Times New Roman" w:hAnsi="Times New Roman" w:cs="Times New Roman"/>
          <w:i/>
          <w:szCs w:val="24"/>
          <w:lang w:val="lv-LV"/>
        </w:rPr>
        <w:t xml:space="preserve">Bernardus Hendrikman un Maria Feyen pret Magenta Druck &amp; Verlag GmbH </w:t>
      </w:r>
      <w:r w:rsidRPr="00E45AA2">
        <w:rPr>
          <w:rFonts w:ascii="Times New Roman" w:hAnsi="Times New Roman" w:cs="Times New Roman"/>
          <w:szCs w:val="24"/>
          <w:lang w:val="lv-LV"/>
        </w:rPr>
        <w:t xml:space="preserve">(Lieta C-78/95, 1996. gada 10. oktobra spriedums, </w:t>
      </w:r>
      <w:r w:rsidR="00364EBE">
        <w:rPr>
          <w:rFonts w:ascii="Times New Roman" w:hAnsi="Times New Roman" w:cs="Times New Roman"/>
          <w:szCs w:val="24"/>
          <w:lang w:val="lv-LV"/>
        </w:rPr>
        <w:t>ECR</w:t>
      </w:r>
      <w:r w:rsidRPr="00E45AA2">
        <w:rPr>
          <w:rFonts w:ascii="Times New Roman" w:hAnsi="Times New Roman" w:cs="Times New Roman"/>
          <w:szCs w:val="24"/>
          <w:lang w:val="lv-LV"/>
        </w:rPr>
        <w:t xml:space="preserve"> I-4943) EST noteica, ka, ja pret personu ir uzsākta tiesvedība, viņai pašai to nezinot, un ja jurists ir ieradies šīs personas vārdā bez tās piekrišanas, tiek uzskatīts, ka tiesvedība pret atbildētāju notiek „aizmuguriski” Briseles konvencijas 27. panta 2. punkta izpratnē, pat ja pirmajā iesaistītajā tiesā tiesvedība bija kļuvusi par </w:t>
      </w:r>
      <w:r w:rsidR="00FE23F8" w:rsidRPr="00E45AA2">
        <w:rPr>
          <w:rFonts w:ascii="Times New Roman" w:hAnsi="Times New Roman" w:cs="Times New Roman"/>
          <w:i/>
          <w:iCs/>
          <w:szCs w:val="24"/>
          <w:lang w:val="lv-LV"/>
        </w:rPr>
        <w:t>inter partes</w:t>
      </w:r>
      <w:r w:rsidR="00FE23F8" w:rsidRPr="00E45AA2">
        <w:rPr>
          <w:rFonts w:ascii="Times New Roman" w:hAnsi="Times New Roman" w:cs="Times New Roman"/>
          <w:szCs w:val="24"/>
          <w:lang w:val="lv-LV"/>
        </w:rPr>
        <w:t xml:space="preserve"> </w:t>
      </w:r>
      <w:r w:rsidRPr="00E45AA2">
        <w:rPr>
          <w:rFonts w:ascii="Times New Roman" w:hAnsi="Times New Roman" w:cs="Times New Roman"/>
          <w:szCs w:val="24"/>
          <w:lang w:val="lv-LV"/>
        </w:rPr>
        <w:t>tiesvedību</w:t>
      </w:r>
      <w:r w:rsidRPr="00E45AA2">
        <w:rPr>
          <w:rFonts w:ascii="Times New Roman" w:hAnsi="Times New Roman" w:cs="Times New Roman"/>
          <w:iCs/>
          <w:szCs w:val="24"/>
          <w:lang w:val="lv-LV"/>
        </w:rPr>
        <w:t>.</w:t>
      </w:r>
    </w:p>
    <w:p w:rsidR="0013508E" w:rsidRPr="00E45AA2" w:rsidRDefault="0013508E" w:rsidP="0013508E">
      <w:pPr>
        <w:pStyle w:val="ECHRPara"/>
        <w:rPr>
          <w:rFonts w:ascii="Times New Roman" w:hAnsi="Times New Roman" w:cs="Times New Roman"/>
          <w:szCs w:val="24"/>
          <w:lang w:val="lv-LV" w:eastAsia="en-GB"/>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60</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Lietā </w:t>
      </w:r>
      <w:r w:rsidRPr="00E45AA2">
        <w:rPr>
          <w:rFonts w:ascii="Times New Roman" w:hAnsi="Times New Roman" w:cs="Times New Roman"/>
          <w:i/>
          <w:szCs w:val="24"/>
          <w:lang w:val="lv-LV"/>
        </w:rPr>
        <w:t xml:space="preserve">Trade Agency Ltd pret Seramico Investments Ltd </w:t>
      </w:r>
      <w:r w:rsidRPr="00E45AA2">
        <w:rPr>
          <w:rFonts w:ascii="Times New Roman" w:hAnsi="Times New Roman" w:cs="Times New Roman"/>
          <w:szCs w:val="24"/>
          <w:lang w:val="lv-LV"/>
        </w:rPr>
        <w:t xml:space="preserve">(Lieta C-619/10, 2012. gada 6. septembra spriedums) </w:t>
      </w:r>
      <w:r w:rsidRPr="00E45AA2">
        <w:rPr>
          <w:rFonts w:ascii="Times New Roman" w:hAnsi="Times New Roman" w:cs="Times New Roman"/>
          <w:szCs w:val="24"/>
          <w:lang w:val="lv-LV" w:eastAsia="en-GB"/>
        </w:rPr>
        <w:t xml:space="preserve">EST tika aicināta sniegt </w:t>
      </w:r>
      <w:r w:rsidRPr="00E45AA2">
        <w:rPr>
          <w:rFonts w:ascii="Times New Roman" w:hAnsi="Times New Roman" w:cs="Times New Roman"/>
          <w:szCs w:val="24"/>
          <w:lang w:val="lv-LV"/>
        </w:rPr>
        <w:t>nolēmumu par to, vai, ja izcelsmes valstī pieņemtam aizmuguriskam spriedumam ir pievienota Briseles I regulas V pielikumā minētā apliecība, dalībvalsts, kurā tiek prasīta atzīšana, tiesai, kurā ir iesniegta minētā pārsūdzība, ir kompetence pārbaudīt šajā apliecībā minētās informācijas atbilstību pierādījumiem. EST noteica šādi:</w:t>
      </w:r>
    </w:p>
    <w:p w:rsidR="0013508E" w:rsidRPr="00E45AA2" w:rsidRDefault="0013508E" w:rsidP="0013508E">
      <w:pPr>
        <w:pStyle w:val="ECHRPara"/>
        <w:rPr>
          <w:rFonts w:ascii="Times New Roman" w:hAnsi="Times New Roman" w:cs="Times New Roman"/>
          <w:szCs w:val="24"/>
          <w:lang w:val="lv-LV"/>
        </w:rPr>
      </w:pPr>
    </w:p>
    <w:p w:rsidR="0013508E" w:rsidRPr="00E45AA2" w:rsidRDefault="0013508E" w:rsidP="0013508E">
      <w:pPr>
        <w:pStyle w:val="ECHRParaQuote"/>
        <w:rPr>
          <w:rFonts w:ascii="Times New Roman" w:hAnsi="Times New Roman" w:cs="Times New Roman"/>
          <w:szCs w:val="24"/>
          <w:lang w:val="lv-LV" w:eastAsia="fr-FR"/>
        </w:rPr>
      </w:pPr>
      <w:r w:rsidRPr="00E45AA2">
        <w:rPr>
          <w:rFonts w:ascii="Times New Roman" w:hAnsi="Times New Roman" w:cs="Times New Roman"/>
          <w:szCs w:val="24"/>
          <w:lang w:val="lv-LV" w:eastAsia="fr-FR"/>
        </w:rPr>
        <w:t>„32.  </w:t>
      </w:r>
      <w:r w:rsidRPr="00E45AA2">
        <w:rPr>
          <w:rFonts w:ascii="Times New Roman" w:hAnsi="Times New Roman" w:cs="Times New Roman"/>
          <w:szCs w:val="24"/>
          <w:lang w:val="lv-LV"/>
        </w:rPr>
        <w:t>Attiecībā tieši uz Regulas Nr. 44/2001 34. panta 2. punktā, uz ko ir atsauce tās 45. panta 1. punktā, minēto iemeslu ir jākonstatē, ka tas ir vērsts uz to, lai nodrošinātu atbildētāja, kas nav ieradies, tiesības izcelsmes dalībvalstī uzsāktā procedūrā, izmantojot dubultas kontroles sistēmu</w:t>
      </w:r>
      <w:r w:rsidR="00C71977">
        <w:rPr>
          <w:rFonts w:ascii="Times New Roman" w:hAnsi="Times New Roman" w:cs="Times New Roman"/>
          <w:szCs w:val="24"/>
          <w:lang w:val="lv-LV"/>
        </w:rPr>
        <w:t>(</w:t>
      </w:r>
      <w:r w:rsidRPr="00E45AA2">
        <w:rPr>
          <w:rFonts w:ascii="Times New Roman" w:hAnsi="Times New Roman" w:cs="Times New Roman"/>
          <w:szCs w:val="24"/>
          <w:lang w:val="lv-LV"/>
        </w:rPr>
        <w:t>...</w:t>
      </w:r>
      <w:r w:rsidR="00C71977">
        <w:rPr>
          <w:rFonts w:ascii="Times New Roman" w:hAnsi="Times New Roman" w:cs="Times New Roman"/>
          <w:szCs w:val="24"/>
          <w:lang w:val="lv-LV"/>
        </w:rPr>
        <w:t>)</w:t>
      </w:r>
      <w:r w:rsidRPr="00E45AA2">
        <w:rPr>
          <w:rFonts w:ascii="Times New Roman" w:hAnsi="Times New Roman" w:cs="Times New Roman"/>
          <w:szCs w:val="24"/>
          <w:lang w:val="lv-LV"/>
        </w:rPr>
        <w:t xml:space="preserve"> Atbilstoši šai sistēmai dalībvalstij, kurā atzīšana ir prasīta, ir jānoraida vai pārsūdzības gadījumā jāatsauc ārvalsts aizmuguriska sprieduma izpilde, ja dokuments, ar kuru celta prasība, vai līdzīgs dokuments nav laikus izsniegts atbildētājam, kas nav ieradies, lai viņš varētu </w:t>
      </w:r>
      <w:r w:rsidRPr="00E45AA2">
        <w:rPr>
          <w:rFonts w:ascii="Times New Roman" w:hAnsi="Times New Roman" w:cs="Times New Roman"/>
          <w:szCs w:val="24"/>
          <w:lang w:val="lv-LV"/>
        </w:rPr>
        <w:lastRenderedPageBreak/>
        <w:t>nodrošināt sev aizstāvību, izņemot gadījumu, ja atbildētājs nav sācis sprieduma pārsūdzēšanas procedūru izcelsmes dalībvalsts tiesās, kad viņam bija iespējams to darīt.</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eastAsia="fr-FR"/>
        </w:rPr>
        <w:t>33. </w:t>
      </w:r>
      <w:r w:rsidR="0053451A">
        <w:rPr>
          <w:rFonts w:ascii="Times New Roman" w:hAnsi="Times New Roman" w:cs="Times New Roman"/>
          <w:szCs w:val="24"/>
          <w:lang w:val="lv-LV" w:eastAsia="fr-FR"/>
        </w:rPr>
        <w:t xml:space="preserve"> </w:t>
      </w:r>
      <w:r w:rsidRPr="00E45AA2">
        <w:rPr>
          <w:rFonts w:ascii="Times New Roman" w:hAnsi="Times New Roman" w:cs="Times New Roman"/>
          <w:szCs w:val="24"/>
          <w:lang w:val="lv-LV"/>
        </w:rPr>
        <w:t>Šādos apstākļos ir skaidrs, ka jautājums, vai minētais atbildētājs ir saņēmis paziņojumu par dokumentu, ar ko celta prasība, ir apstāklis, kas attiecas uz vispārējo faktu vērtējumu</w:t>
      </w:r>
      <w:r w:rsidR="00E42513">
        <w:rPr>
          <w:rFonts w:ascii="Times New Roman" w:hAnsi="Times New Roman" w:cs="Times New Roman"/>
          <w:szCs w:val="24"/>
          <w:lang w:val="lv-LV"/>
        </w:rPr>
        <w:t>(</w:t>
      </w:r>
      <w:r w:rsidRPr="00E45AA2">
        <w:rPr>
          <w:rFonts w:ascii="Times New Roman" w:hAnsi="Times New Roman" w:cs="Times New Roman"/>
          <w:szCs w:val="24"/>
          <w:lang w:val="lv-LV"/>
        </w:rPr>
        <w:t>...</w:t>
      </w:r>
      <w:r w:rsidR="00E42513">
        <w:rPr>
          <w:rFonts w:ascii="Times New Roman" w:hAnsi="Times New Roman" w:cs="Times New Roman"/>
          <w:szCs w:val="24"/>
          <w:lang w:val="lv-LV"/>
        </w:rPr>
        <w:t>)</w:t>
      </w:r>
      <w:r w:rsidRPr="00E45AA2">
        <w:rPr>
          <w:rFonts w:ascii="Times New Roman" w:hAnsi="Times New Roman" w:cs="Times New Roman"/>
          <w:szCs w:val="24"/>
          <w:lang w:val="lv-LV"/>
        </w:rPr>
        <w:t>, kuru ir jāveic dalībvalsts, kurā ir prasīta atzīšana, tiesai, lai pārbaudītu, vai šim atbildētājam bija vajadzīgais laiks, lai sagatavotu savu aizstāvību vai veiktu darbības, lai izvairītos no tā, ka tiek taisīts aizmugurisks spriedums.</w:t>
      </w:r>
    </w:p>
    <w:p w:rsidR="0013508E" w:rsidRPr="00E45AA2" w:rsidRDefault="0013508E" w:rsidP="0013508E">
      <w:pPr>
        <w:pStyle w:val="ECHRParaQuote"/>
        <w:rPr>
          <w:rFonts w:ascii="Times New Roman" w:hAnsi="Times New Roman" w:cs="Times New Roman"/>
          <w:szCs w:val="24"/>
          <w:lang w:val="lv-LV" w:eastAsia="fr-FR"/>
        </w:rPr>
      </w:pPr>
      <w:r w:rsidRPr="00E45AA2">
        <w:rPr>
          <w:rFonts w:ascii="Times New Roman" w:hAnsi="Times New Roman" w:cs="Times New Roman"/>
          <w:szCs w:val="24"/>
          <w:lang w:val="lv-LV" w:eastAsia="fr-FR"/>
        </w:rPr>
        <w:t>34.  </w:t>
      </w:r>
      <w:r w:rsidRPr="00E45AA2">
        <w:rPr>
          <w:rFonts w:ascii="Times New Roman" w:hAnsi="Times New Roman" w:cs="Times New Roman"/>
          <w:szCs w:val="24"/>
          <w:lang w:val="lv-LV"/>
        </w:rPr>
        <w:t>Ņemot to vērā, tātad svarīgi ir norādīt, ka tas, ka ārvalsts spriedumam ir pievienota apliecība, nevar ierobežot vērtējuma apjomu, kurš atbilstoši dubultajai kontrolei ir jāveic dalībvalsts, kurā ir prasīta atzīšana, tiesai, analizējot Regulas Nr. 44/2001 34. panta 2. punktā minēto apstrīdēšanas pamatu.</w:t>
      </w:r>
    </w:p>
    <w:p w:rsidR="0013508E" w:rsidRPr="00E45AA2" w:rsidRDefault="0013508E" w:rsidP="0013508E">
      <w:pPr>
        <w:pStyle w:val="ECHRParaQuote"/>
        <w:rPr>
          <w:rFonts w:ascii="Times New Roman" w:hAnsi="Times New Roman" w:cs="Times New Roman"/>
          <w:szCs w:val="24"/>
          <w:lang w:val="lv-LV" w:eastAsia="fr-FR"/>
        </w:rPr>
      </w:pPr>
      <w:r w:rsidRPr="00E45AA2">
        <w:rPr>
          <w:rFonts w:ascii="Times New Roman" w:hAnsi="Times New Roman" w:cs="Times New Roman"/>
          <w:szCs w:val="24"/>
          <w:lang w:val="lv-LV" w:eastAsia="fr-FR"/>
        </w:rPr>
        <w:t>(...)</w:t>
      </w:r>
    </w:p>
    <w:p w:rsidR="0013508E" w:rsidRPr="00E45AA2" w:rsidRDefault="0013508E" w:rsidP="0013508E">
      <w:pPr>
        <w:pStyle w:val="ECHRParaQuote"/>
        <w:rPr>
          <w:rFonts w:ascii="Times New Roman" w:hAnsi="Times New Roman" w:cs="Times New Roman"/>
          <w:szCs w:val="24"/>
          <w:lang w:val="lv-LV" w:eastAsia="fr-FR"/>
        </w:rPr>
      </w:pPr>
      <w:r w:rsidRPr="00E45AA2">
        <w:rPr>
          <w:rFonts w:ascii="Times New Roman" w:hAnsi="Times New Roman" w:cs="Times New Roman"/>
          <w:szCs w:val="24"/>
          <w:lang w:val="lv-LV" w:eastAsia="fr-FR"/>
        </w:rPr>
        <w:t>36.  </w:t>
      </w:r>
      <w:r w:rsidRPr="00E45AA2">
        <w:rPr>
          <w:rFonts w:ascii="Times New Roman" w:hAnsi="Times New Roman" w:cs="Times New Roman"/>
          <w:szCs w:val="24"/>
          <w:lang w:val="lv-LV"/>
        </w:rPr>
        <w:t>Turpinājumā ir jānorāda(...), ka, tā kā tiesa vai iestāde, kura ir kompetenta izsniegt šo apliecību, obligāti nav tā pati, kas ir taisījusi spriedumu, kura izpilde tiek prasīta, šai informācijai var būt vienīgi tīri norādošs raksturs, kam ir tikai informatīva vērtība. Tas izriet arī no tā, ka minētās apliecības izsniegšanai ir tikai iespējamības raksturs, tās neesamības gadījumā atbilstoši Regulas Nr. 44/2001 55. pantam dalībvalsts, kurā ir prasīta atzīšana un kura ir kompetenta pieņemt lēmumu par izpildāmības pasludināšanu, var akceptēt līdzīgu dokumentu vai, ja tā uzskata, ka ir pietiekami informēta, iztikt, neprasot šo izsniegšanu.</w:t>
      </w:r>
    </w:p>
    <w:p w:rsidR="0013508E" w:rsidRPr="00E45AA2" w:rsidRDefault="0013508E" w:rsidP="0013508E">
      <w:pPr>
        <w:pStyle w:val="ECHRParaQuote"/>
        <w:rPr>
          <w:rFonts w:ascii="Times New Roman" w:hAnsi="Times New Roman" w:cs="Times New Roman"/>
          <w:szCs w:val="24"/>
          <w:lang w:val="lv-LV" w:eastAsia="fr-FR"/>
        </w:rPr>
      </w:pPr>
      <w:r w:rsidRPr="00E45AA2">
        <w:rPr>
          <w:rFonts w:ascii="Times New Roman" w:hAnsi="Times New Roman" w:cs="Times New Roman"/>
          <w:szCs w:val="24"/>
          <w:lang w:val="lv-LV" w:eastAsia="fr-FR"/>
        </w:rPr>
        <w:t>37.  </w:t>
      </w:r>
      <w:r w:rsidRPr="00E45AA2">
        <w:rPr>
          <w:rFonts w:ascii="Times New Roman" w:hAnsi="Times New Roman" w:cs="Times New Roman"/>
          <w:szCs w:val="24"/>
          <w:lang w:val="lv-LV"/>
        </w:rPr>
        <w:t>Visbeidzot(...), kā izriet no minētās regulas V pielikuma teksta, ir jāprecizē, ka apliecībā ietvertā informācija attiecas vienīgi uz norādēm par “dokumenta, ar ko celta prasība, izsniegšanas datumu, ja spriedums ir taisīts aizmuguriski”, nepieminot citas norādes, kas noder, lai pārbaudītu, vai atbildētājam tika dota iespēja aizstāvēties, kā, piemēram, it īpaši izsniegšanas noteikumi vai atbildētāja adrese.</w:t>
      </w:r>
    </w:p>
    <w:p w:rsidR="0013508E" w:rsidRPr="00E45AA2" w:rsidRDefault="0013508E" w:rsidP="0013508E">
      <w:pPr>
        <w:pStyle w:val="ECHRParaQuote"/>
        <w:rPr>
          <w:rFonts w:ascii="Times New Roman" w:hAnsi="Times New Roman" w:cs="Times New Roman"/>
          <w:szCs w:val="24"/>
          <w:lang w:val="lv-LV" w:eastAsia="fr-FR"/>
        </w:rPr>
      </w:pPr>
      <w:r w:rsidRPr="00E45AA2">
        <w:rPr>
          <w:rFonts w:ascii="Times New Roman" w:hAnsi="Times New Roman" w:cs="Times New Roman"/>
          <w:szCs w:val="24"/>
          <w:lang w:val="lv-LV" w:eastAsia="fr-FR"/>
        </w:rPr>
        <w:t>38.  </w:t>
      </w:r>
      <w:r w:rsidRPr="00E45AA2">
        <w:rPr>
          <w:rFonts w:ascii="Times New Roman" w:hAnsi="Times New Roman" w:cs="Times New Roman"/>
          <w:szCs w:val="24"/>
          <w:lang w:val="lv-LV"/>
        </w:rPr>
        <w:t>No minētā izriet, ka, analizējot Regulas Nr. 44/2001 34. panta 2. punktā, uz ko ir atsauce tās 45. panta 1. punktā, norādīto atteikuma pamatojumu, dalībvalsts, kurā ir prasīta atzīšana, tiesai ir kompetence autonomi izvērtēt visus pierādījumus un tādējādi vajadzības gadījumā pārbaudīt to atbilstību apliecībā minētajai informācijai, lai novērtētu, pirmkārt, vai atbildētājam, kas nav ieradies, ir ticis izsniegts dokuments, ar kuru ir celta prasība, un, otrkārt, vai šī iespējamā izsniegšana ir notikusi laikus, lai viņš varētu nodrošināt sev aizstāvību.</w:t>
      </w:r>
    </w:p>
    <w:p w:rsidR="0013508E" w:rsidRPr="00E45AA2" w:rsidRDefault="0013508E" w:rsidP="0013508E">
      <w:pPr>
        <w:pStyle w:val="ECHRParaQuote"/>
        <w:rPr>
          <w:rFonts w:ascii="Times New Roman" w:hAnsi="Times New Roman" w:cs="Times New Roman"/>
          <w:szCs w:val="24"/>
          <w:lang w:val="lv-LV" w:eastAsia="fr-FR"/>
        </w:rPr>
      </w:pPr>
      <w:r w:rsidRPr="00E45AA2">
        <w:rPr>
          <w:rFonts w:ascii="Times New Roman" w:hAnsi="Times New Roman" w:cs="Times New Roman"/>
          <w:szCs w:val="24"/>
          <w:lang w:val="lv-LV" w:eastAsia="fr-FR"/>
        </w:rPr>
        <w:t>(...)</w:t>
      </w:r>
    </w:p>
    <w:p w:rsidR="0013508E" w:rsidRPr="00E45AA2" w:rsidRDefault="0013508E" w:rsidP="0013508E">
      <w:pPr>
        <w:pStyle w:val="ECHRParaQuote"/>
        <w:rPr>
          <w:rFonts w:ascii="Times New Roman" w:hAnsi="Times New Roman" w:cs="Times New Roman"/>
          <w:szCs w:val="24"/>
          <w:lang w:val="lv-LV" w:eastAsia="fr-FR"/>
        </w:rPr>
      </w:pPr>
      <w:r w:rsidRPr="00E45AA2">
        <w:rPr>
          <w:rFonts w:ascii="Times New Roman" w:hAnsi="Times New Roman" w:cs="Times New Roman"/>
          <w:szCs w:val="24"/>
          <w:lang w:val="lv-LV" w:eastAsia="fr-FR"/>
        </w:rPr>
        <w:t>43.  </w:t>
      </w:r>
      <w:r w:rsidRPr="00E45AA2">
        <w:rPr>
          <w:rFonts w:ascii="Times New Roman" w:hAnsi="Times New Roman" w:cs="Times New Roman"/>
          <w:szCs w:val="24"/>
          <w:lang w:val="lv-LV"/>
        </w:rPr>
        <w:t>Tiesa jau ir lēmusi, ka no Regulas Nr. 44/2001 preambulas 16.–18. apsvēruma izriet, ka nolēmuma atzīšanas vai izpildes pārsūdzēšanas kārtības mērķis ir līdzsvarot, pirmkārt, savstarpējo uzticēšanos tiesvedībai Eiropas Savienībā un, otrkārt, tiesību uz aizstāvību ievērošanu, kas paredz, ka atbildētājam par lēmumu par izpild</w:t>
      </w:r>
      <w:r w:rsidR="006B40AA">
        <w:rPr>
          <w:rFonts w:ascii="Times New Roman" w:hAnsi="Times New Roman" w:cs="Times New Roman"/>
          <w:szCs w:val="24"/>
          <w:lang w:val="lv-LV"/>
        </w:rPr>
        <w:t xml:space="preserve">es </w:t>
      </w:r>
      <w:r w:rsidRPr="00E45AA2">
        <w:rPr>
          <w:rFonts w:ascii="Times New Roman" w:hAnsi="Times New Roman" w:cs="Times New Roman"/>
          <w:szCs w:val="24"/>
          <w:lang w:val="lv-LV"/>
        </w:rPr>
        <w:t>pasludināšanu, ja viņš uzskata, ka pastāv kāds no neizpildes iemesliem, ir jābūt tiesībām iesniegt sūdzību, kas tiek izskatīta, uzklausot abas puses (skat. šajā ziņā 2009. gada 28. aprīļa spriedumu lietā C</w:t>
      </w:r>
      <w:r w:rsidRPr="00E45AA2">
        <w:rPr>
          <w:rFonts w:ascii="Times New Roman" w:hAnsi="Times New Roman" w:cs="Times New Roman"/>
          <w:szCs w:val="24"/>
          <w:lang w:val="lv-LV"/>
        </w:rPr>
        <w:noBreakHyphen/>
        <w:t>420/07</w:t>
      </w:r>
      <w:r w:rsidRPr="00E45AA2">
        <w:rPr>
          <w:rStyle w:val="apple-converted-space"/>
          <w:rFonts w:ascii="Times New Roman" w:hAnsi="Times New Roman" w:cs="Times New Roman"/>
          <w:szCs w:val="24"/>
          <w:lang w:val="lv-LV"/>
        </w:rPr>
        <w:t> </w:t>
      </w:r>
      <w:r w:rsidRPr="00E45AA2">
        <w:rPr>
          <w:rFonts w:ascii="Times New Roman" w:hAnsi="Times New Roman" w:cs="Times New Roman"/>
          <w:i/>
          <w:iCs/>
          <w:szCs w:val="24"/>
          <w:lang w:val="lv-LV"/>
        </w:rPr>
        <w:t>Apostolides</w:t>
      </w:r>
      <w:r w:rsidRPr="00E45AA2">
        <w:rPr>
          <w:rFonts w:ascii="Times New Roman" w:hAnsi="Times New Roman" w:cs="Times New Roman"/>
          <w:szCs w:val="24"/>
          <w:lang w:val="lv-LV"/>
        </w:rPr>
        <w:t xml:space="preserve">, </w:t>
      </w:r>
      <w:r w:rsidR="00132267">
        <w:rPr>
          <w:rFonts w:ascii="Times New Roman" w:hAnsi="Times New Roman" w:cs="Times New Roman"/>
          <w:szCs w:val="24"/>
          <w:lang w:val="lv-LV"/>
        </w:rPr>
        <w:t>ECR</w:t>
      </w:r>
      <w:r w:rsidRPr="00E45AA2">
        <w:rPr>
          <w:rFonts w:ascii="Times New Roman" w:hAnsi="Times New Roman" w:cs="Times New Roman"/>
          <w:szCs w:val="24"/>
          <w:lang w:val="lv-LV"/>
        </w:rPr>
        <w:t xml:space="preserve"> I</w:t>
      </w:r>
      <w:r w:rsidRPr="00E45AA2">
        <w:rPr>
          <w:rFonts w:ascii="Times New Roman" w:hAnsi="Times New Roman" w:cs="Times New Roman"/>
          <w:szCs w:val="24"/>
          <w:lang w:val="lv-LV"/>
        </w:rPr>
        <w:noBreakHyphen/>
        <w:t>3571. lpp., 73. punkts).</w:t>
      </w:r>
    </w:p>
    <w:p w:rsidR="0013508E" w:rsidRPr="00E45AA2" w:rsidRDefault="0013508E" w:rsidP="0013508E">
      <w:pPr>
        <w:pStyle w:val="ECHRParaQuote"/>
        <w:rPr>
          <w:rFonts w:ascii="Times New Roman" w:hAnsi="Times New Roman" w:cs="Times New Roman"/>
          <w:szCs w:val="24"/>
          <w:lang w:val="lv-LV" w:eastAsia="fr-FR"/>
        </w:rPr>
      </w:pPr>
      <w:r w:rsidRPr="00E45AA2">
        <w:rPr>
          <w:rFonts w:ascii="Times New Roman" w:hAnsi="Times New Roman" w:cs="Times New Roman"/>
          <w:szCs w:val="24"/>
          <w:lang w:val="lv-LV" w:eastAsia="fr-FR"/>
        </w:rPr>
        <w:t>(...)</w:t>
      </w:r>
    </w:p>
    <w:p w:rsidR="0013508E" w:rsidRPr="00E45AA2" w:rsidRDefault="0013508E" w:rsidP="0013508E">
      <w:pPr>
        <w:pStyle w:val="ECHRParaQuote"/>
        <w:rPr>
          <w:rFonts w:ascii="Times New Roman" w:hAnsi="Times New Roman" w:cs="Times New Roman"/>
          <w:szCs w:val="24"/>
          <w:lang w:val="lv-LV"/>
        </w:rPr>
      </w:pPr>
      <w:bookmarkStart w:id="45" w:name="point46"/>
      <w:r w:rsidRPr="00E45AA2">
        <w:rPr>
          <w:rFonts w:ascii="Times New Roman" w:hAnsi="Times New Roman" w:cs="Times New Roman"/>
          <w:szCs w:val="24"/>
          <w:lang w:val="lv-LV"/>
        </w:rPr>
        <w:t>46</w:t>
      </w:r>
      <w:bookmarkEnd w:id="45"/>
      <w:r w:rsidRPr="00E45AA2">
        <w:rPr>
          <w:rFonts w:ascii="Times New Roman" w:hAnsi="Times New Roman" w:cs="Times New Roman"/>
          <w:szCs w:val="24"/>
          <w:lang w:val="lv-LV"/>
        </w:rPr>
        <w:t>.   Ievērojot visus iepriekš minētos apsvērumus, uz pirmo jautājumu ir jāatbild, ka Regulas Nr. 44/2001 34. panta 2. punkts, uz ko ir atsauce šīs regulas 45. panta 1. punktā, skatīts kopā ar šīs regulas preambulas 16. un 17. apsvērumu, ir jāinterpretē tādējādi, ka, ja atbildētājs pārsūdz lēmumu par izcelsmes dalībvalstī taisīta aizmuguriska sprieduma, kam ir pievienota apliecība, izpild</w:t>
      </w:r>
      <w:r w:rsidR="006B40AA">
        <w:rPr>
          <w:rFonts w:ascii="Times New Roman" w:hAnsi="Times New Roman" w:cs="Times New Roman"/>
          <w:szCs w:val="24"/>
          <w:lang w:val="lv-LV"/>
        </w:rPr>
        <w:t>es</w:t>
      </w:r>
      <w:r w:rsidRPr="00E45AA2">
        <w:rPr>
          <w:rFonts w:ascii="Times New Roman" w:hAnsi="Times New Roman" w:cs="Times New Roman"/>
          <w:szCs w:val="24"/>
          <w:lang w:val="lv-LV"/>
        </w:rPr>
        <w:t xml:space="preserve"> pasludināšanu, </w:t>
      </w:r>
      <w:r w:rsidRPr="00E45AA2">
        <w:rPr>
          <w:rFonts w:ascii="Times New Roman" w:hAnsi="Times New Roman" w:cs="Times New Roman"/>
          <w:szCs w:val="24"/>
          <w:lang w:val="lv-LV"/>
        </w:rPr>
        <w:lastRenderedPageBreak/>
        <w:t>apgalvojot, ka viņam nav izsniegts dokuments, ar ko ir celta prasība, dalībvalsts, kurā ir prasīta atzīšana, tiesai, kurā ir iesniegta minētā pārsūdzība, ir kompetence pārbaudīt informācijas, kas minēta šajā apliecībā, atbilstību pierādījumiem.”</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61</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Tikmēr lietā </w:t>
      </w:r>
      <w:r w:rsidRPr="00E45AA2">
        <w:rPr>
          <w:rFonts w:ascii="Times New Roman" w:hAnsi="Times New Roman" w:cs="Times New Roman"/>
          <w:i/>
          <w:szCs w:val="24"/>
          <w:lang w:val="lv-LV"/>
        </w:rPr>
        <w:t xml:space="preserve">Apostolides pret Orams </w:t>
      </w:r>
      <w:r w:rsidRPr="00E45AA2">
        <w:rPr>
          <w:rFonts w:ascii="Times New Roman" w:hAnsi="Times New Roman" w:cs="Times New Roman"/>
          <w:szCs w:val="24"/>
          <w:lang w:val="lv-LV"/>
        </w:rPr>
        <w:t xml:space="preserve">(Lieta C-420/07, 2009. gada 28. aprīļa spriedums, </w:t>
      </w:r>
      <w:r w:rsidR="004C166C">
        <w:rPr>
          <w:rFonts w:ascii="Times New Roman" w:hAnsi="Times New Roman" w:cs="Times New Roman"/>
          <w:szCs w:val="24"/>
          <w:lang w:val="lv-LV"/>
        </w:rPr>
        <w:t>ECR</w:t>
      </w:r>
      <w:r w:rsidRPr="00E45AA2">
        <w:rPr>
          <w:rFonts w:ascii="Times New Roman" w:hAnsi="Times New Roman" w:cs="Times New Roman"/>
          <w:szCs w:val="24"/>
          <w:lang w:val="lv-LV"/>
        </w:rPr>
        <w:t xml:space="preserve"> I-3571) EST noteica: </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„55.  Ievadā ir jāatgādina, ka Regulas Nr. 44/2001 34. pants ir jāinterpretē šauri, jo tas ir šķērslis viena no minētās regulas pamatmērķa sasniegšanai... It īpaši saistībā ar atsaukšanos uz šīs regulas 34. panta 1. punktā ietverto sabiedriskās kārtības klauzulu šāda atsaukšanās ir pieļaujama tikai izņēmuma gadījumos(...)</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73.   (...) [N]o Regulas Nr. 44/2001 sešpadsmitā līdz astoņpadsmitā apsvēruma izriet, ka nolēmuma atzīšanas vai izpildes pārsūdzēšanas sistēmas mērķis ir līdzsvarot, pirmkārt, savstarpējo uzticēšanos Eiropas Savienībā, kas pamato, ka nolēmumi, kas pieņemti vienā dalībvalstī, citā dalībvalstī principā tiek atzīti un pasludināti par izpildāmiem, un, otrkārt, aizstāvības tiesību ievērošanu, kas paredz, ka atbildētājam par izpildāmības deklarāciju, ja viņš uzskata, ka pastāv kāds no neizpildes iemesliem, ir jābūt tiesībām iesniegt sūdzību, kas tiek izskatīta, uzklausot abas puses.</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74.  Tiesai lietā C</w:t>
      </w:r>
      <w:r w:rsidRPr="00E45AA2">
        <w:rPr>
          <w:rFonts w:ascii="Times New Roman" w:hAnsi="Times New Roman" w:cs="Times New Roman"/>
          <w:szCs w:val="20"/>
          <w:lang w:val="lv-LV"/>
        </w:rPr>
        <w:noBreakHyphen/>
        <w:t>283/05</w:t>
      </w:r>
      <w:r w:rsidRPr="00E45AA2">
        <w:rPr>
          <w:rStyle w:val="apple-converted-space"/>
          <w:rFonts w:ascii="Times New Roman" w:hAnsi="Times New Roman" w:cs="Times New Roman"/>
          <w:szCs w:val="20"/>
          <w:lang w:val="lv-LV"/>
        </w:rPr>
        <w:t> </w:t>
      </w:r>
      <w:r w:rsidRPr="00E45AA2">
        <w:rPr>
          <w:rFonts w:ascii="Times New Roman" w:hAnsi="Times New Roman" w:cs="Times New Roman"/>
          <w:i/>
          <w:iCs/>
          <w:szCs w:val="20"/>
          <w:lang w:val="lv-LV"/>
        </w:rPr>
        <w:t>ASML</w:t>
      </w:r>
      <w:r w:rsidRPr="00E45AA2">
        <w:rPr>
          <w:rStyle w:val="apple-converted-space"/>
          <w:rFonts w:ascii="Times New Roman" w:hAnsi="Times New Roman" w:cs="Times New Roman"/>
          <w:szCs w:val="20"/>
          <w:lang w:val="lv-LV"/>
        </w:rPr>
        <w:t xml:space="preserve"> [2006] </w:t>
      </w:r>
      <w:r w:rsidRPr="00E45AA2">
        <w:rPr>
          <w:rFonts w:ascii="Times New Roman" w:hAnsi="Times New Roman" w:cs="Times New Roman"/>
          <w:szCs w:val="20"/>
          <w:lang w:val="lv-LV"/>
        </w:rPr>
        <w:t>(</w:t>
      </w:r>
      <w:r w:rsidR="00460649">
        <w:rPr>
          <w:rFonts w:ascii="Times New Roman" w:hAnsi="Times New Roman" w:cs="Times New Roman"/>
          <w:szCs w:val="20"/>
          <w:lang w:val="lv-LV"/>
        </w:rPr>
        <w:t>ECR</w:t>
      </w:r>
      <w:r w:rsidRPr="00E45AA2">
        <w:rPr>
          <w:rFonts w:ascii="Times New Roman" w:hAnsi="Times New Roman" w:cs="Times New Roman"/>
          <w:szCs w:val="20"/>
          <w:lang w:val="lv-LV"/>
        </w:rPr>
        <w:t xml:space="preserve"> I</w:t>
      </w:r>
      <w:r w:rsidRPr="00E45AA2">
        <w:rPr>
          <w:rFonts w:ascii="Times New Roman" w:hAnsi="Times New Roman" w:cs="Times New Roman"/>
          <w:szCs w:val="20"/>
          <w:lang w:val="lv-LV"/>
        </w:rPr>
        <w:noBreakHyphen/>
        <w:t>12041)</w:t>
      </w:r>
      <w:r w:rsidR="003A48F0">
        <w:rPr>
          <w:rFonts w:ascii="Times New Roman" w:hAnsi="Times New Roman" w:cs="Times New Roman"/>
          <w:szCs w:val="20"/>
          <w:lang w:val="lv-LV"/>
        </w:rPr>
        <w:t xml:space="preserve"> </w:t>
      </w:r>
      <w:r w:rsidRPr="00E45AA2">
        <w:rPr>
          <w:rFonts w:ascii="Times New Roman" w:hAnsi="Times New Roman" w:cs="Times New Roman"/>
          <w:szCs w:val="20"/>
          <w:lang w:val="lv-LV"/>
        </w:rPr>
        <w:t>ir bijusi iespēja norādīt uz atšķirībām starp Regulas Nr. 44/2001 34. panta 2. punktu un 1968. gada 27. septembra Konvencijas par jurisdikciju un spriedumu izpi</w:t>
      </w:r>
      <w:r w:rsidR="008405C5">
        <w:rPr>
          <w:rFonts w:ascii="Times New Roman" w:hAnsi="Times New Roman" w:cs="Times New Roman"/>
          <w:szCs w:val="20"/>
          <w:lang w:val="lv-LV"/>
        </w:rPr>
        <w:t>ldi civillietās un komerclietās(</w:t>
      </w:r>
      <w:r w:rsidRPr="00E45AA2">
        <w:rPr>
          <w:rFonts w:ascii="Times New Roman" w:hAnsi="Times New Roman" w:cs="Times New Roman"/>
          <w:szCs w:val="20"/>
          <w:lang w:val="lv-LV"/>
        </w:rPr>
        <w:t>...</w:t>
      </w:r>
      <w:r w:rsidR="008405C5">
        <w:rPr>
          <w:rFonts w:ascii="Times New Roman" w:hAnsi="Times New Roman" w:cs="Times New Roman"/>
          <w:szCs w:val="20"/>
          <w:lang w:val="lv-LV"/>
        </w:rPr>
        <w:t>)</w:t>
      </w:r>
      <w:r w:rsidRPr="00E45AA2">
        <w:rPr>
          <w:rFonts w:ascii="Times New Roman" w:hAnsi="Times New Roman" w:cs="Times New Roman"/>
          <w:szCs w:val="20"/>
          <w:lang w:val="lv-LV"/>
        </w:rPr>
        <w:t xml:space="preserve"> </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75.  Minētais 34. panta 2. punkts atšķirībā no 27. panta 2. punkta nepieprasa, lai dokuments par lietas ierosināšanu obligāti būtu izsniegts vai paziņots noteiktā kārtībā, bet gan lai efektīvi būtu ievērotas tiesības uz aizstāvību(...)</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76.  Saskaņā ar Regulas Nr. 44/2001 34. panta 2. punktu un 45. panta 1. punktu var atteikties atzīt vai izpildīt aizmuguriski pieņemtu nolēmumu, ja atbildētājam dokuments par lietas ierosināšanu vai līdzīgs dokuments nav uzrādīts pietiekami laicīgi un tādā veidā, lai viņš varētu nodrošināt sev aizstāvību, izņemot gadījumu, kad atbildētājs nav pārsūdzējis šo nolēmumu tā izcelsmes dalībvalsts tiesā, kad to bija iespējams darīt.</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77.  No šīs redakcijas izriet, ka aizmuguriski pasludināts spriedums pēc dokumenta par lietas ierosināšanu, kas nav uzrādīts atbildētājam pietiekami laicīgi un tādā veidā, lai viņš varētu nodrošināt sev aizstāvību, ir jāatzīst, ja atbildētājs nav pārsūdzējis šo nolēmumu, kad to bija iespējams darīt.</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80.  </w:t>
      </w:r>
      <w:r w:rsidR="00FF0EA7">
        <w:rPr>
          <w:rFonts w:ascii="Times New Roman" w:hAnsi="Times New Roman" w:cs="Times New Roman"/>
          <w:szCs w:val="20"/>
          <w:lang w:val="lv-LV"/>
        </w:rPr>
        <w:t> Ņemot vērā iepriekš minēto, uz (</w:t>
      </w:r>
      <w:r w:rsidRPr="00E45AA2">
        <w:rPr>
          <w:rFonts w:ascii="Times New Roman" w:hAnsi="Times New Roman" w:cs="Times New Roman"/>
          <w:szCs w:val="20"/>
          <w:lang w:val="lv-LV"/>
        </w:rPr>
        <w:t>...</w:t>
      </w:r>
      <w:r w:rsidR="00FF0EA7">
        <w:rPr>
          <w:rFonts w:ascii="Times New Roman" w:hAnsi="Times New Roman" w:cs="Times New Roman"/>
          <w:szCs w:val="20"/>
          <w:lang w:val="lv-LV"/>
        </w:rPr>
        <w:t xml:space="preserve">) </w:t>
      </w:r>
      <w:r w:rsidRPr="00E45AA2">
        <w:rPr>
          <w:rFonts w:ascii="Times New Roman" w:hAnsi="Times New Roman" w:cs="Times New Roman"/>
          <w:szCs w:val="20"/>
          <w:lang w:val="lv-LV"/>
        </w:rPr>
        <w:t>[prejudiciālo] jautājumu ir jāatbild, ka atbilstoši Regulas Nr. 44/2001 34. panta 2. punktam nav iespējams atteikties atzīt vai izpildīt aizmuguriski pasludinātu spriedumu, ja atbildētājs ir varējis pārsūdzēt aizmuguriski pieņemto nolēmumu un ja šī pārsūdzība ir ļāvusi tam norādīt, ka dokuments par lietas ierosināšanu vai līdzīgs dokuments tam nav ticis uzrādīts vai izsniegts pietiekami laicīgi un tādā veidā, lai viņš varētu nodrošināt sev aizstāvību.”</w:t>
      </w:r>
    </w:p>
    <w:p w:rsidR="0013508E" w:rsidRPr="00E45AA2" w:rsidRDefault="0013508E" w:rsidP="00564690">
      <w:pPr>
        <w:pStyle w:val="ECHRHeading3"/>
        <w:numPr>
          <w:ilvl w:val="0"/>
          <w:numId w:val="0"/>
        </w:numPr>
        <w:ind w:left="720" w:hanging="432"/>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 xml:space="preserve">2.  Regula Nr. 1215/2012 (Briseles I bis regula) – jaunā, pārstrādātā versija </w:t>
      </w:r>
    </w:p>
    <w:p w:rsidR="00564690" w:rsidRPr="00E45AA2" w:rsidRDefault="00564690" w:rsidP="00564690">
      <w:pPr>
        <w:pStyle w:val="ECHRPara"/>
        <w:rPr>
          <w:lang w:val="lv-LV"/>
        </w:rPr>
      </w:pPr>
    </w:p>
    <w:p w:rsidR="0013508E" w:rsidRPr="00E45AA2" w:rsidRDefault="0013508E" w:rsidP="0013508E">
      <w:pPr>
        <w:pStyle w:val="ECHRPara"/>
        <w:rPr>
          <w:rFonts w:ascii="Times New Roman" w:hAnsi="Times New Roman" w:cs="Times New Roman"/>
          <w:bCs/>
          <w:szCs w:val="24"/>
          <w:lang w:val="lv-LV"/>
        </w:rPr>
      </w:pPr>
      <w:r w:rsidRPr="00E45AA2">
        <w:rPr>
          <w:rFonts w:ascii="Times New Roman" w:hAnsi="Times New Roman" w:cs="Times New Roman"/>
          <w:szCs w:val="24"/>
          <w:lang w:val="lv-LV"/>
        </w:rPr>
        <w:lastRenderedPageBreak/>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62</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Briseles I regulas pārstrādātā versija (zināma kā „Briseles I </w:t>
      </w:r>
      <w:r w:rsidRPr="00E45AA2">
        <w:rPr>
          <w:rFonts w:ascii="Times New Roman" w:hAnsi="Times New Roman" w:cs="Times New Roman"/>
          <w:i/>
          <w:szCs w:val="24"/>
          <w:lang w:val="lv-LV"/>
        </w:rPr>
        <w:t>bis</w:t>
      </w:r>
      <w:r w:rsidRPr="00E45AA2">
        <w:rPr>
          <w:rFonts w:ascii="Times New Roman" w:hAnsi="Times New Roman" w:cs="Times New Roman"/>
          <w:szCs w:val="24"/>
          <w:lang w:val="lv-LV"/>
        </w:rPr>
        <w:t xml:space="preserve">”), ko ievada Eiropas Parlamenta un Padomes regula (ES) Nr. </w:t>
      </w:r>
      <w:r w:rsidRPr="00E45AA2">
        <w:rPr>
          <w:rFonts w:ascii="Times New Roman" w:hAnsi="Times New Roman" w:cs="Times New Roman"/>
          <w:bCs/>
          <w:szCs w:val="24"/>
          <w:lang w:val="lv-LV"/>
        </w:rPr>
        <w:t xml:space="preserve">1215/2012 (2012. gada 12. decembris) par jurisdikciju un spriedumu atzīšanu un izpildi civillietās un komerclietās (pārstrādātā versija), stājās spēkā 2015. gada 10. janvārī.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63</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Jaunās versijas 39. pants atcēla izpild</w:t>
      </w:r>
      <w:r w:rsidR="006B40AA">
        <w:rPr>
          <w:rFonts w:ascii="Times New Roman" w:hAnsi="Times New Roman" w:cs="Times New Roman"/>
          <w:szCs w:val="24"/>
          <w:lang w:val="lv-LV"/>
        </w:rPr>
        <w:t>es</w:t>
      </w:r>
      <w:r w:rsidRPr="00E45AA2">
        <w:rPr>
          <w:rFonts w:ascii="Times New Roman" w:hAnsi="Times New Roman" w:cs="Times New Roman"/>
          <w:szCs w:val="24"/>
          <w:lang w:val="lv-LV"/>
        </w:rPr>
        <w:t xml:space="preserve"> paziņošanas (</w:t>
      </w:r>
      <w:r w:rsidRPr="00E45AA2">
        <w:rPr>
          <w:rFonts w:ascii="Times New Roman" w:hAnsi="Times New Roman" w:cs="Times New Roman"/>
          <w:i/>
          <w:szCs w:val="24"/>
          <w:lang w:val="lv-LV"/>
        </w:rPr>
        <w:t>exequatur</w:t>
      </w:r>
      <w:r w:rsidRPr="00E45AA2">
        <w:rPr>
          <w:rFonts w:ascii="Times New Roman" w:hAnsi="Times New Roman" w:cs="Times New Roman"/>
          <w:szCs w:val="24"/>
          <w:lang w:val="lv-LV"/>
        </w:rPr>
        <w:t>) procedūru un iedibināja automātiskās izpild</w:t>
      </w:r>
      <w:r w:rsidR="009F7A4C">
        <w:rPr>
          <w:rFonts w:ascii="Times New Roman" w:hAnsi="Times New Roman" w:cs="Times New Roman"/>
          <w:szCs w:val="24"/>
          <w:lang w:val="lv-LV"/>
        </w:rPr>
        <w:t>es</w:t>
      </w:r>
      <w:r w:rsidRPr="00E45AA2">
        <w:rPr>
          <w:rFonts w:ascii="Times New Roman" w:hAnsi="Times New Roman" w:cs="Times New Roman"/>
          <w:szCs w:val="24"/>
          <w:lang w:val="lv-LV"/>
        </w:rPr>
        <w:t xml:space="preserve"> principu attiecībā uz citā dalībvalstī </w:t>
      </w:r>
      <w:r w:rsidR="006B40AA">
        <w:rPr>
          <w:rFonts w:ascii="Times New Roman" w:hAnsi="Times New Roman" w:cs="Times New Roman"/>
          <w:szCs w:val="24"/>
          <w:lang w:val="lv-LV"/>
        </w:rPr>
        <w:t>pieņemtajiem</w:t>
      </w:r>
      <w:r w:rsidRPr="00E45AA2">
        <w:rPr>
          <w:rFonts w:ascii="Times New Roman" w:hAnsi="Times New Roman" w:cs="Times New Roman"/>
          <w:szCs w:val="24"/>
          <w:lang w:val="lv-LV"/>
        </w:rPr>
        <w:t xml:space="preserve"> spriedumiem. Tā nosaka šādi: </w:t>
      </w:r>
    </w:p>
    <w:p w:rsidR="0013508E" w:rsidRPr="00E45AA2" w:rsidRDefault="0013508E" w:rsidP="0013508E">
      <w:pPr>
        <w:pStyle w:val="ECHRParaQuote"/>
        <w:rPr>
          <w:rFonts w:ascii="Times New Roman" w:hAnsi="Times New Roman" w:cs="Times New Roman"/>
          <w:szCs w:val="24"/>
          <w:lang w:val="lv-LV"/>
        </w:rPr>
      </w:pPr>
      <w:r w:rsidRPr="00E45AA2">
        <w:rPr>
          <w:rFonts w:ascii="Times New Roman" w:hAnsi="Times New Roman" w:cs="Times New Roman"/>
          <w:szCs w:val="24"/>
          <w:lang w:val="lv-LV"/>
        </w:rPr>
        <w:t xml:space="preserve">„Dalībvalstī pieņemts spriedums, kas izpildāms minētajā dalībvalstī, ir izpildāms pārējās dalībvalstīs, neprasot izpildāmības deklarāciju.”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64</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Tomēr jaunās versijas 45. panta 1. punkts atkārtoti uzsver Briseles I regulas 34. panta 2. punktā minētos nosacījumus: </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w:t>
      </w:r>
      <w:r w:rsidRPr="00E45AA2">
        <w:rPr>
          <w:rFonts w:ascii="Times New Roman" w:eastAsia="Times New Roman" w:hAnsi="Times New Roman" w:cs="Times New Roman"/>
          <w:szCs w:val="20"/>
          <w:lang w:val="lv-LV" w:eastAsia="lv-LV"/>
        </w:rPr>
        <w:t>Pēc jebkuras ieinteresētās puses pieteikuma sprieduma atzīšana tiek atteikta</w:t>
      </w:r>
      <w:r w:rsidRPr="00E45AA2">
        <w:rPr>
          <w:rFonts w:ascii="Times New Roman" w:hAnsi="Times New Roman" w:cs="Times New Roman"/>
          <w:szCs w:val="20"/>
          <w:lang w:val="lv-LV"/>
        </w:rPr>
        <w:t>:</w:t>
      </w:r>
    </w:p>
    <w:p w:rsidR="0013508E" w:rsidRPr="00E45AA2" w:rsidRDefault="0013508E" w:rsidP="0013508E">
      <w:pPr>
        <w:pStyle w:val="ECHRParaQuote"/>
        <w:rPr>
          <w:rFonts w:ascii="Times New Roman" w:eastAsia="Times New Roman" w:hAnsi="Times New Roman" w:cs="Times New Roman"/>
          <w:szCs w:val="20"/>
          <w:lang w:val="lv-LV" w:eastAsia="lv-LV"/>
        </w:rPr>
      </w:pPr>
      <w:r w:rsidRPr="00E45AA2">
        <w:rPr>
          <w:rFonts w:ascii="Times New Roman" w:hAnsi="Times New Roman" w:cs="Times New Roman"/>
          <w:szCs w:val="20"/>
          <w:lang w:val="lv-LV"/>
        </w:rPr>
        <w:t>(a)  ja šāda atzīšana ir klaji pretrunā tās dalībvalsts sabiedriskajai kārtībai (</w:t>
      </w:r>
      <w:r w:rsidRPr="00F20281">
        <w:rPr>
          <w:rFonts w:ascii="Times New Roman" w:hAnsi="Times New Roman" w:cs="Times New Roman"/>
          <w:i/>
          <w:szCs w:val="20"/>
          <w:lang w:val="lv-LV"/>
        </w:rPr>
        <w:t>ordre public</w:t>
      </w:r>
      <w:r w:rsidRPr="00E45AA2">
        <w:rPr>
          <w:rFonts w:ascii="Times New Roman" w:hAnsi="Times New Roman" w:cs="Times New Roman"/>
          <w:szCs w:val="20"/>
          <w:lang w:val="lv-LV"/>
        </w:rPr>
        <w:t>), kurā atzīšana prasīta;</w:t>
      </w:r>
    </w:p>
    <w:p w:rsidR="0013508E" w:rsidRPr="00E45AA2" w:rsidRDefault="0013508E" w:rsidP="0013508E">
      <w:pPr>
        <w:pStyle w:val="ECHRParaQuote"/>
        <w:rPr>
          <w:rFonts w:ascii="Times New Roman" w:eastAsia="Times New Roman" w:hAnsi="Times New Roman" w:cs="Times New Roman"/>
          <w:szCs w:val="20"/>
          <w:lang w:val="lv-LV" w:eastAsia="lv-LV"/>
        </w:rPr>
      </w:pPr>
      <w:r w:rsidRPr="00E45AA2">
        <w:rPr>
          <w:rFonts w:ascii="Times New Roman" w:hAnsi="Times New Roman" w:cs="Times New Roman"/>
          <w:szCs w:val="20"/>
          <w:lang w:val="lv-LV"/>
        </w:rPr>
        <w:t>(b)  </w:t>
      </w:r>
      <w:r w:rsidRPr="00E45AA2">
        <w:rPr>
          <w:rFonts w:ascii="Times New Roman" w:eastAsia="Times New Roman" w:hAnsi="Times New Roman" w:cs="Times New Roman"/>
          <w:szCs w:val="20"/>
          <w:lang w:val="lv-LV" w:eastAsia="lv-LV"/>
        </w:rPr>
        <w:t>aizmuguriska sprieduma gadījumā, ja atbildētājam netika laikus izsniegts dokuments, ar kuru celta prasība, vai līdzīgs dokuments, lai viņš varētu nodrošināt sev aizstāvību, izņemot gadījumu, ja atbildētājs nav sācis sprieduma pārsūdzēšanas procedūru, kad viņam bija iespējams to darīt;</w:t>
      </w:r>
    </w:p>
    <w:p w:rsidR="0013508E" w:rsidRPr="00E45AA2" w:rsidRDefault="0013508E" w:rsidP="0013508E">
      <w:pPr>
        <w:pStyle w:val="ECHRParaQuote"/>
        <w:rPr>
          <w:rFonts w:ascii="Times New Roman" w:hAnsi="Times New Roman" w:cs="Times New Roman"/>
          <w:szCs w:val="20"/>
          <w:lang w:val="lv-LV"/>
        </w:rPr>
      </w:pPr>
      <w:r w:rsidRPr="00E45AA2">
        <w:rPr>
          <w:rFonts w:ascii="Times New Roman" w:hAnsi="Times New Roman" w:cs="Times New Roman"/>
          <w:szCs w:val="20"/>
          <w:lang w:val="lv-LV"/>
        </w:rPr>
        <w:t>(...)”</w:t>
      </w:r>
    </w:p>
    <w:p w:rsidR="0013508E" w:rsidRPr="00E45AA2" w:rsidRDefault="0013508E" w:rsidP="005E3370">
      <w:pPr>
        <w:pStyle w:val="ECHRHeading2"/>
        <w:numPr>
          <w:ilvl w:val="0"/>
          <w:numId w:val="16"/>
        </w:numPr>
        <w:rPr>
          <w:rFonts w:ascii="Times New Roman" w:hAnsi="Times New Roman" w:cs="Times New Roman"/>
          <w:color w:val="auto"/>
          <w:sz w:val="24"/>
          <w:szCs w:val="24"/>
          <w:lang w:val="lv-LV"/>
        </w:rPr>
      </w:pPr>
      <w:r w:rsidRPr="00E45AA2">
        <w:rPr>
          <w:rFonts w:ascii="Times New Roman" w:hAnsi="Times New Roman" w:cs="Times New Roman"/>
          <w:color w:val="auto"/>
          <w:sz w:val="24"/>
          <w:szCs w:val="24"/>
          <w:lang w:val="lv-LV"/>
        </w:rPr>
        <w:t xml:space="preserve">Noteikumi attiecībā uz tiesas dokumentu izsniegšanu </w:t>
      </w:r>
    </w:p>
    <w:p w:rsidR="00564690" w:rsidRPr="00E45AA2" w:rsidRDefault="00564690" w:rsidP="00564690">
      <w:pPr>
        <w:pStyle w:val="ECHRPara"/>
        <w:ind w:left="720" w:firstLine="0"/>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65</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Pirms 2004. gada 1. maija, kad Kipra un Latvija pievienojās Eiropas Savienībai, tiesas dokumentu starpvalstu izsniegšanas kārtību noteica 1965. gada 15. novembra Hāgas konvencija </w:t>
      </w:r>
      <w:r w:rsidRPr="00E45AA2">
        <w:rPr>
          <w:rFonts w:ascii="Times New Roman" w:hAnsi="Times New Roman" w:cs="Times New Roman"/>
          <w:szCs w:val="24"/>
          <w:shd w:val="clear" w:color="auto" w:fill="FFFFFF"/>
          <w:lang w:val="lv-LV"/>
        </w:rPr>
        <w:t>tiesas un ārpustiesas dokumentu izsniegšanu civillietās vai komerclietās, ko bija ratificējusi gan Kipra (kur tā stājās spēkā 1983. gada 1. jūnijā), gan Latvija (kur tā stājās spēkā 1995. gada 1. novembrī). Šī Konvencija tiek piemērota visās lietās, kur tiesas un ārpustiesas dokumenti tiek sūtīti uz ārvalstīm, izņemot gadījumus, kad personas, kurai jāsaņem attiecīgais dokuments, adrese nav zināma.</w:t>
      </w:r>
    </w:p>
    <w:p w:rsidR="00564690" w:rsidRPr="00E45AA2" w:rsidRDefault="0013508E" w:rsidP="00564690">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66</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Kopš Kipras un Latvijas iestāšanās Eiropas Savienībā 2004. gada 1. maijā tiesas dokumentu starpvalstu izsniegšanas kārtību nosaka EK regula par tiesas un ārpustiesas civillietu vai komerclietu dokumentu izsniegšanu dalībvalstīs</w:t>
      </w:r>
      <w:r w:rsidRPr="00E45AA2">
        <w:rPr>
          <w:rFonts w:ascii="Times New Roman" w:hAnsi="Times New Roman" w:cs="Times New Roman"/>
          <w:bCs/>
          <w:szCs w:val="24"/>
          <w:lang w:val="lv-LV"/>
        </w:rPr>
        <w:t>. Šīs Regulas pirmā versija (2000. gada 29. maija Padomes Regu</w:t>
      </w:r>
      <w:r w:rsidR="00564690" w:rsidRPr="00E45AA2">
        <w:rPr>
          <w:rFonts w:ascii="Times New Roman" w:hAnsi="Times New Roman" w:cs="Times New Roman"/>
          <w:bCs/>
          <w:szCs w:val="24"/>
          <w:lang w:val="lv-LV"/>
        </w:rPr>
        <w:t xml:space="preserve">la (EK) Nr. 1348/2000) tika atcelta un </w:t>
      </w:r>
      <w:r w:rsidRPr="00E45AA2">
        <w:rPr>
          <w:rFonts w:ascii="Times New Roman" w:hAnsi="Times New Roman" w:cs="Times New Roman"/>
          <w:bCs/>
          <w:szCs w:val="24"/>
          <w:lang w:val="lv-LV"/>
        </w:rPr>
        <w:t>2007. gada 30. decembrī aizstāta ar jauno versiju (2007. gada 13. novembra Eiropas Parlamenta un Padomes Regula (EK) Nr. 1393/2007)</w:t>
      </w:r>
      <w:r w:rsidR="00564690" w:rsidRPr="00E45AA2">
        <w:rPr>
          <w:rFonts w:ascii="Times New Roman" w:hAnsi="Times New Roman" w:cs="Times New Roman"/>
          <w:szCs w:val="24"/>
          <w:lang w:val="lv-LV"/>
        </w:rPr>
        <w:t>.</w:t>
      </w:r>
    </w:p>
    <w:p w:rsidR="00564690" w:rsidRDefault="00564690" w:rsidP="00564690">
      <w:pPr>
        <w:pStyle w:val="ECHRPara"/>
        <w:rPr>
          <w:rFonts w:ascii="Times New Roman" w:hAnsi="Times New Roman" w:cs="Times New Roman"/>
          <w:szCs w:val="24"/>
          <w:lang w:val="lv-LV"/>
        </w:rPr>
      </w:pPr>
    </w:p>
    <w:p w:rsidR="00914E5D" w:rsidRPr="00E45AA2" w:rsidRDefault="00914E5D" w:rsidP="007C1ED3">
      <w:pPr>
        <w:pStyle w:val="ECHRPara"/>
        <w:ind w:firstLine="0"/>
        <w:rPr>
          <w:rFonts w:ascii="Times New Roman" w:hAnsi="Times New Roman" w:cs="Times New Roman"/>
          <w:szCs w:val="24"/>
          <w:lang w:val="lv-LV"/>
        </w:rPr>
      </w:pPr>
    </w:p>
    <w:p w:rsidR="0013508E" w:rsidRPr="00E45AA2" w:rsidRDefault="00914E5D" w:rsidP="007C1ED3">
      <w:pPr>
        <w:pStyle w:val="ECHRPara"/>
        <w:ind w:firstLine="0"/>
        <w:rPr>
          <w:rFonts w:ascii="Times New Roman" w:hAnsi="Times New Roman" w:cs="Times New Roman"/>
          <w:szCs w:val="24"/>
          <w:lang w:val="lv-LV"/>
        </w:rPr>
      </w:pPr>
      <w:r>
        <w:rPr>
          <w:rFonts w:ascii="Times New Roman" w:hAnsi="Times New Roman" w:cs="Times New Roman"/>
          <w:szCs w:val="24"/>
          <w:lang w:val="lv-LV"/>
        </w:rPr>
        <w:t>III.  VALSTS</w:t>
      </w:r>
      <w:r w:rsidR="0013508E" w:rsidRPr="00E45AA2">
        <w:rPr>
          <w:rFonts w:ascii="Times New Roman" w:hAnsi="Times New Roman" w:cs="Times New Roman"/>
          <w:szCs w:val="24"/>
          <w:lang w:val="lv-LV"/>
        </w:rPr>
        <w:t>-ATBILDĒTĀJAS ATTIECĪGIE TIESĪBU AKTI</w:t>
      </w:r>
    </w:p>
    <w:p w:rsidR="00564690" w:rsidRPr="00E45AA2" w:rsidRDefault="00564690" w:rsidP="00564690">
      <w:pPr>
        <w:pStyle w:val="ECHRPara"/>
        <w:rPr>
          <w:rFonts w:ascii="Times New Roman" w:hAnsi="Times New Roman" w:cs="Times New Roman"/>
          <w:szCs w:val="24"/>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67</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Lietas apstākļu norises brīdī Latvijas Civilprocesa likuma attiecīgo pantu redakcija ir šāda: </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lastRenderedPageBreak/>
        <w:t xml:space="preserve">8. panta 1. punkts </w:t>
      </w:r>
    </w:p>
    <w:p w:rsidR="0013508E" w:rsidRPr="00E45AA2" w:rsidRDefault="0013508E" w:rsidP="0013508E">
      <w:pPr>
        <w:pStyle w:val="ECHRParaQuote"/>
        <w:rPr>
          <w:rFonts w:ascii="Times New Roman" w:hAnsi="Times New Roman" w:cs="Times New Roman"/>
          <w:szCs w:val="20"/>
          <w:lang w:val="lv-LV" w:bidi="en-US"/>
        </w:rPr>
      </w:pPr>
      <w:r w:rsidRPr="00E45AA2">
        <w:rPr>
          <w:rFonts w:ascii="Times New Roman" w:hAnsi="Times New Roman" w:cs="Times New Roman"/>
          <w:szCs w:val="20"/>
          <w:lang w:val="lv-LV" w:bidi="en-US"/>
        </w:rPr>
        <w:t xml:space="preserve">„Tiesa noskaidro lietas apstākļus, pārbaudot pierādījumus, kuri iegūti likumā noteiktajā kārtībā.” </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9. pants</w:t>
      </w:r>
    </w:p>
    <w:p w:rsidR="0013508E" w:rsidRPr="00E45AA2" w:rsidRDefault="0013508E" w:rsidP="0053451A">
      <w:pPr>
        <w:pStyle w:val="tv213"/>
        <w:spacing w:before="0" w:beforeAutospacing="0" w:after="0" w:afterAutospacing="0"/>
        <w:ind w:firstLine="301"/>
        <w:jc w:val="both"/>
        <w:rPr>
          <w:sz w:val="20"/>
          <w:szCs w:val="20"/>
        </w:rPr>
      </w:pPr>
      <w:r w:rsidRPr="00E45AA2">
        <w:rPr>
          <w:sz w:val="20"/>
          <w:szCs w:val="20"/>
        </w:rPr>
        <w:t xml:space="preserve"> „1. Pusēm ir vienlīdzīgas procesuālās tiesības.</w:t>
      </w:r>
    </w:p>
    <w:p w:rsidR="0013508E" w:rsidRPr="00E45AA2" w:rsidRDefault="0013508E" w:rsidP="0053451A">
      <w:pPr>
        <w:pStyle w:val="tv213"/>
        <w:spacing w:before="0" w:beforeAutospacing="0" w:after="0" w:afterAutospacing="0"/>
        <w:ind w:firstLine="301"/>
        <w:jc w:val="both"/>
        <w:rPr>
          <w:sz w:val="20"/>
          <w:szCs w:val="20"/>
        </w:rPr>
      </w:pPr>
      <w:r w:rsidRPr="00E45AA2">
        <w:rPr>
          <w:sz w:val="20"/>
          <w:szCs w:val="20"/>
        </w:rPr>
        <w:t xml:space="preserve"> 2. Tiesa nodrošina pusēm vienādas iespējas izmantot tām piešķirtās tiesības savu interešu aizsardzībai.”</w:t>
      </w:r>
    </w:p>
    <w:p w:rsidR="0013508E" w:rsidRPr="00E45AA2" w:rsidRDefault="0013508E" w:rsidP="0013508E">
      <w:pPr>
        <w:pStyle w:val="ECHRParaQuote"/>
        <w:rPr>
          <w:rFonts w:ascii="Times New Roman" w:hAnsi="Times New Roman" w:cs="Times New Roman"/>
          <w:szCs w:val="20"/>
          <w:lang w:val="lv-LV" w:bidi="en-US"/>
        </w:rPr>
      </w:pP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230. panta 1. punkts</w:t>
      </w:r>
    </w:p>
    <w:p w:rsidR="0013508E" w:rsidRPr="00E45AA2" w:rsidRDefault="0013508E" w:rsidP="0053451A">
      <w:pPr>
        <w:pStyle w:val="ECHRParaQuote"/>
        <w:spacing w:before="0" w:after="0"/>
        <w:ind w:left="0" w:firstLine="0"/>
        <w:rPr>
          <w:rFonts w:ascii="Times New Roman" w:hAnsi="Times New Roman" w:cs="Times New Roman"/>
          <w:szCs w:val="20"/>
          <w:lang w:val="lv-LV"/>
        </w:rPr>
      </w:pPr>
      <w:r w:rsidRPr="00E45AA2">
        <w:rPr>
          <w:rFonts w:ascii="Times New Roman" w:hAnsi="Times New Roman" w:cs="Times New Roman"/>
          <w:szCs w:val="20"/>
          <w:lang w:val="lv-LV"/>
        </w:rPr>
        <w:t xml:space="preserve">            „Lēmumā [nevis spriedumā pēc būtības] tiesa vai tiesnesis norāda šādu informāciju: </w:t>
      </w:r>
    </w:p>
    <w:p w:rsidR="0013508E" w:rsidRPr="00E45AA2" w:rsidRDefault="0013508E" w:rsidP="0053451A">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w:t>
      </w:r>
    </w:p>
    <w:p w:rsidR="0013508E" w:rsidRPr="00E45AA2" w:rsidRDefault="0013508E" w:rsidP="0053451A">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(7) detalizētu lēmuma pārsūdzēšanas kārtību un termiņus.”</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 xml:space="preserve">637. panta 2. punkts </w:t>
      </w:r>
    </w:p>
    <w:p w:rsidR="0013508E" w:rsidRPr="00E45AA2" w:rsidRDefault="0013508E" w:rsidP="0053451A">
      <w:pPr>
        <w:pStyle w:val="tv213"/>
        <w:spacing w:before="0" w:beforeAutospacing="0" w:after="0" w:afterAutospacing="0" w:line="293" w:lineRule="atLeast"/>
        <w:ind w:left="425" w:firstLine="300"/>
        <w:jc w:val="both"/>
        <w:rPr>
          <w:sz w:val="20"/>
          <w:szCs w:val="20"/>
        </w:rPr>
      </w:pPr>
      <w:r w:rsidRPr="00E45AA2">
        <w:rPr>
          <w:sz w:val="20"/>
          <w:szCs w:val="20"/>
        </w:rPr>
        <w:t>„Ārvalsts tiesas nolēmumu neatzīst tikai tad, ja pastāv viens no šādiem neatzīšanas pamatiem:</w:t>
      </w:r>
    </w:p>
    <w:p w:rsidR="0013508E" w:rsidRPr="00E45AA2" w:rsidRDefault="0013508E" w:rsidP="0053451A">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w:t>
      </w:r>
    </w:p>
    <w:p w:rsidR="0013508E" w:rsidRPr="00E45AA2" w:rsidRDefault="0013508E" w:rsidP="0053451A">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(2) ārvalsts tiesas nolēmums nav stājies likumīgā spēkā;</w:t>
      </w:r>
    </w:p>
    <w:p w:rsidR="0013508E" w:rsidRPr="00E45AA2" w:rsidRDefault="0013508E" w:rsidP="0053451A">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(3) atbildētājam bijusi liegta iespēja aizstāvēt savas tiesības, it īpaši, ja atbildētājam, kurš nav piedalījies lietas izskatīšanā, nav ticis savlaicīgi un pienācīgā kārtā paziņots par ierašanos tiesā, izņemot, ja atbildētājs nav pārsūdzējis šo nolēmumu, lai gan viņam ir bijusi tāda iespēja;</w:t>
      </w:r>
    </w:p>
    <w:p w:rsidR="0013508E" w:rsidRPr="00E45AA2" w:rsidRDefault="0013508E" w:rsidP="0053451A">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w:t>
      </w:r>
    </w:p>
    <w:p w:rsidR="0013508E" w:rsidRPr="00E45AA2" w:rsidRDefault="0013508E" w:rsidP="0053451A">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(6) ārvalsts tiesas nolēmuma atzīšana ir pretrunā ar Latvijas sabiedrisko iekārtu;</w:t>
      </w:r>
    </w:p>
    <w:p w:rsidR="0013508E" w:rsidRPr="00E45AA2" w:rsidRDefault="0013508E" w:rsidP="0053451A">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w:t>
      </w:r>
    </w:p>
    <w:p w:rsidR="0013508E" w:rsidRPr="00E45AA2" w:rsidRDefault="0013508E" w:rsidP="0013508E">
      <w:pPr>
        <w:pStyle w:val="ECHRTitleCentre3"/>
        <w:rPr>
          <w:rFonts w:ascii="Times New Roman" w:hAnsi="Times New Roman" w:cs="Times New Roman"/>
          <w:szCs w:val="20"/>
          <w:lang w:val="lv-LV"/>
        </w:rPr>
      </w:pPr>
      <w:r w:rsidRPr="00E45AA2">
        <w:rPr>
          <w:rFonts w:ascii="Times New Roman" w:hAnsi="Times New Roman" w:cs="Times New Roman"/>
          <w:szCs w:val="20"/>
          <w:lang w:val="lv-LV"/>
        </w:rPr>
        <w:t>644. pants</w:t>
      </w:r>
    </w:p>
    <w:p w:rsidR="0013508E" w:rsidRPr="00E45AA2" w:rsidRDefault="0013508E" w:rsidP="0053451A">
      <w:pPr>
        <w:pStyle w:val="ECHRParaQuote"/>
        <w:spacing w:before="0" w:after="0"/>
        <w:rPr>
          <w:rFonts w:ascii="Times New Roman" w:hAnsi="Times New Roman" w:cs="Times New Roman"/>
          <w:szCs w:val="20"/>
          <w:shd w:val="clear" w:color="auto" w:fill="F1F1F1"/>
          <w:lang w:val="lv-LV"/>
        </w:rPr>
      </w:pPr>
      <w:r w:rsidRPr="00E45AA2">
        <w:rPr>
          <w:rFonts w:ascii="Times New Roman" w:hAnsi="Times New Roman" w:cs="Times New Roman"/>
          <w:szCs w:val="20"/>
          <w:lang w:val="lv-LV"/>
        </w:rPr>
        <w:t>„1. Ārvalsts tiesas nolēmumu, kurš ir izpildāms tā pieņemšanas valstī, pēc tā atzīšanas izpilda likumā noteiktajā kārtībā.  </w:t>
      </w:r>
    </w:p>
    <w:p w:rsidR="0013508E" w:rsidRDefault="0013508E" w:rsidP="0053451A">
      <w:pPr>
        <w:pStyle w:val="ECHRParaQuote"/>
        <w:spacing w:before="0" w:after="0"/>
        <w:rPr>
          <w:rFonts w:ascii="Times New Roman" w:hAnsi="Times New Roman" w:cs="Times New Roman"/>
          <w:szCs w:val="20"/>
          <w:lang w:val="lv-LV"/>
        </w:rPr>
      </w:pPr>
      <w:r w:rsidRPr="00E45AA2">
        <w:rPr>
          <w:rFonts w:ascii="Times New Roman" w:hAnsi="Times New Roman" w:cs="Times New Roman"/>
          <w:szCs w:val="20"/>
          <w:lang w:val="lv-LV"/>
        </w:rPr>
        <w:t xml:space="preserve">2.  Attiecībā uz sprieduma izpildes pasludināšanas kārtību, kas paredzēta Padomes regulā Nr. 44/2001, [šīs] nodaļas noteikumi(...) par ārvalstu tiesas nolēmumu atzīšanu tiek piemēroti, ciktāl to atļauj [Regula Nr. 44/2001].” </w:t>
      </w:r>
    </w:p>
    <w:p w:rsidR="0013508E" w:rsidRPr="007C1ED3" w:rsidRDefault="0013508E" w:rsidP="00564690">
      <w:pPr>
        <w:pStyle w:val="ECHRHeading1"/>
        <w:numPr>
          <w:ilvl w:val="0"/>
          <w:numId w:val="0"/>
        </w:numPr>
        <w:rPr>
          <w:rFonts w:ascii="Times New Roman" w:hAnsi="Times New Roman" w:cs="Times New Roman"/>
          <w:b w:val="0"/>
          <w:color w:val="auto"/>
          <w:sz w:val="24"/>
          <w:szCs w:val="24"/>
          <w:lang w:val="lv-LV"/>
        </w:rPr>
      </w:pPr>
      <w:r w:rsidRPr="007C1ED3">
        <w:rPr>
          <w:rFonts w:ascii="Times New Roman" w:hAnsi="Times New Roman" w:cs="Times New Roman"/>
          <w:b w:val="0"/>
          <w:color w:val="auto"/>
          <w:sz w:val="24"/>
          <w:szCs w:val="24"/>
          <w:lang w:val="lv-LV"/>
        </w:rPr>
        <w:t>IV.   KIPRAS TIESĪBU AKTU ATTIECĪGIE ELEMENTI</w:t>
      </w:r>
    </w:p>
    <w:p w:rsidR="00564690" w:rsidRPr="00E45AA2" w:rsidRDefault="00564690" w:rsidP="00564690">
      <w:pPr>
        <w:pStyle w:val="ECHRPara"/>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68</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Saskaņā ar attiecīgajiem Kipras tiesību aktu noteikumiem, ko iesniedza Kipras valdībā (skat. iepriekš minēto 10. punktu), atbildētājs, pret kuru ir pasludināts aizmugurisks spriedums, var iesniegt prasību atcelt spriedumu (Civilprocesa noteikumu 10. noteikums, 17. rīkojums). Šādas prasības iesniegšanai nav piemērojami nekādi termiņi; tomēr atbildētājam ir jāsniedz pamatots savas neierašanās skaidrojums. Saskaņā ar Kipras tiesu judikatūru atbildētājs var iesniegt atcelšanas prasību divos gadījumos:</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lastRenderedPageBreak/>
        <w:t xml:space="preserve">(a)  ja atbildētājs nav ticis pienācīgi uzaicināts ierasties tiesā, kas pasludinājusi spriedumu. Šādā gadījumā tiesnesim tiek prasīts atcelt aizmugurisko spriedumu; viņam nav tiesību lemt citādi; </w:t>
      </w:r>
    </w:p>
    <w:p w:rsidR="0013508E" w:rsidRPr="00E45AA2" w:rsidRDefault="0013508E" w:rsidP="00564690">
      <w:pPr>
        <w:pStyle w:val="ECHRPara"/>
        <w:rPr>
          <w:rFonts w:ascii="Times New Roman" w:hAnsi="Times New Roman" w:cs="Times New Roman"/>
          <w:szCs w:val="24"/>
          <w:lang w:val="lv-LV"/>
        </w:rPr>
      </w:pPr>
      <w:r w:rsidRPr="00E45AA2">
        <w:rPr>
          <w:rFonts w:ascii="Times New Roman" w:hAnsi="Times New Roman" w:cs="Times New Roman"/>
          <w:szCs w:val="24"/>
          <w:lang w:val="lv-LV"/>
        </w:rPr>
        <w:t xml:space="preserve">(b)  ja atbildētājs ir ticis pienācīgi uzaicināts ierasties, taču iesniedz ar zvērestu apliecinātu dokumentu ar savas neierašanās paskaidrojumu (piemēram, </w:t>
      </w:r>
      <w:r w:rsidR="0053451A" w:rsidRPr="00E45AA2">
        <w:rPr>
          <w:rFonts w:ascii="Times New Roman" w:hAnsi="Times New Roman" w:cs="Times New Roman"/>
          <w:szCs w:val="24"/>
          <w:lang w:val="lv-LV"/>
        </w:rPr>
        <w:t>tādēļ,</w:t>
      </w:r>
      <w:r w:rsidRPr="00E45AA2">
        <w:rPr>
          <w:rFonts w:ascii="Times New Roman" w:hAnsi="Times New Roman" w:cs="Times New Roman"/>
          <w:szCs w:val="24"/>
          <w:lang w:val="lv-LV"/>
        </w:rPr>
        <w:t xml:space="preserve"> ka viņš nezināja par tiesvedību, viņš bija lūdzis advokātam ierasties viņa vārdā, taču advokāts to neizdarīja, vai viņš izdarījis neļaunprātīgu un saprātīgu kļūdu attiecībā uz tiesā ierašanās termiņu).  Šādos gadījumos tiesa </w:t>
      </w:r>
      <w:r w:rsidRPr="00E45AA2">
        <w:rPr>
          <w:rFonts w:ascii="Times New Roman" w:hAnsi="Times New Roman" w:cs="Times New Roman"/>
          <w:i/>
          <w:szCs w:val="24"/>
          <w:lang w:val="lv-LV"/>
        </w:rPr>
        <w:t>var</w:t>
      </w:r>
      <w:r w:rsidRPr="00E45AA2">
        <w:rPr>
          <w:rFonts w:ascii="Times New Roman" w:hAnsi="Times New Roman" w:cs="Times New Roman"/>
          <w:szCs w:val="24"/>
          <w:lang w:val="lv-LV"/>
        </w:rPr>
        <w:t xml:space="preserve"> apmierināt atcelšanas prasību, taču tai </w:t>
      </w:r>
      <w:r w:rsidR="0053451A">
        <w:rPr>
          <w:rFonts w:ascii="Times New Roman" w:hAnsi="Times New Roman" w:cs="Times New Roman"/>
          <w:szCs w:val="24"/>
          <w:lang w:val="lv-LV"/>
        </w:rPr>
        <w:t xml:space="preserve">nav obligāta pienākuma to darīt </w:t>
      </w:r>
      <w:r w:rsidR="00ED47D2">
        <w:rPr>
          <w:rFonts w:ascii="Times New Roman" w:hAnsi="Times New Roman" w:cs="Times New Roman"/>
          <w:szCs w:val="24"/>
          <w:lang w:val="lv-LV"/>
        </w:rPr>
        <w:t>(</w:t>
      </w:r>
      <w:r w:rsidRPr="00E45AA2">
        <w:rPr>
          <w:rFonts w:ascii="Times New Roman" w:hAnsi="Times New Roman" w:cs="Times New Roman"/>
          <w:szCs w:val="24"/>
          <w:lang w:val="lv-LV"/>
        </w:rPr>
        <w:t xml:space="preserve">Augstākās tiesas spriedums lietā </w:t>
      </w:r>
      <w:r w:rsidRPr="00E45AA2">
        <w:rPr>
          <w:rFonts w:ascii="Times New Roman" w:hAnsi="Times New Roman" w:cs="Times New Roman"/>
          <w:i/>
          <w:szCs w:val="24"/>
          <w:lang w:val="lv-LV"/>
        </w:rPr>
        <w:t>Phylactou pret Michael</w:t>
      </w:r>
      <w:r w:rsidRPr="00E45AA2">
        <w:rPr>
          <w:rFonts w:ascii="Times New Roman" w:hAnsi="Times New Roman" w:cs="Times New Roman"/>
          <w:szCs w:val="24"/>
          <w:lang w:val="lv-LV"/>
        </w:rPr>
        <w:t xml:space="preserve"> (1982, 1 A.A.D., 204).</w:t>
      </w:r>
    </w:p>
    <w:p w:rsidR="00564690" w:rsidRPr="00E45AA2" w:rsidRDefault="00564690" w:rsidP="00564690">
      <w:pPr>
        <w:pStyle w:val="ECHRPara"/>
        <w:rPr>
          <w:rFonts w:ascii="Times New Roman" w:hAnsi="Times New Roman" w:cs="Times New Roman"/>
          <w:szCs w:val="24"/>
          <w:lang w:val="lv-LV"/>
        </w:rPr>
      </w:pPr>
    </w:p>
    <w:p w:rsidR="00564690" w:rsidRPr="00E45AA2" w:rsidRDefault="0013508E" w:rsidP="00564690">
      <w:pPr>
        <w:pStyle w:val="ECHRTitle1"/>
        <w:spacing w:before="0" w:after="0"/>
        <w:rPr>
          <w:rFonts w:ascii="Times New Roman" w:hAnsi="Times New Roman" w:cs="Times New Roman"/>
          <w:szCs w:val="28"/>
          <w:lang w:val="lv-LV"/>
        </w:rPr>
      </w:pPr>
      <w:r w:rsidRPr="00E45AA2">
        <w:rPr>
          <w:rFonts w:ascii="Times New Roman" w:hAnsi="Times New Roman" w:cs="Times New Roman"/>
          <w:szCs w:val="28"/>
          <w:lang w:val="lv-LV"/>
        </w:rPr>
        <w:t>JURIDISKAIS ASPEKTS</w:t>
      </w:r>
    </w:p>
    <w:p w:rsidR="00564690" w:rsidRPr="00E45AA2" w:rsidRDefault="00564690" w:rsidP="00564690">
      <w:pPr>
        <w:pStyle w:val="ECHRPara"/>
        <w:rPr>
          <w:lang w:val="lv-LV"/>
        </w:rPr>
      </w:pPr>
    </w:p>
    <w:p w:rsidR="0013508E" w:rsidRPr="00E45AA2" w:rsidRDefault="0013508E" w:rsidP="00564690">
      <w:pPr>
        <w:pStyle w:val="ECHRTitle1"/>
        <w:spacing w:before="0" w:after="0"/>
        <w:rPr>
          <w:rFonts w:ascii="Times New Roman" w:hAnsi="Times New Roman" w:cs="Times New Roman"/>
          <w:sz w:val="24"/>
          <w:szCs w:val="24"/>
          <w:lang w:val="lv-LV"/>
        </w:rPr>
      </w:pPr>
      <w:r w:rsidRPr="00E45AA2">
        <w:rPr>
          <w:rFonts w:ascii="Times New Roman" w:hAnsi="Times New Roman" w:cs="Times New Roman"/>
          <w:sz w:val="24"/>
          <w:szCs w:val="24"/>
          <w:lang w:val="lv-LV"/>
        </w:rPr>
        <w:t xml:space="preserve">IESPĒJAMAIS KONVENCIJAS 6. PANTA 1. PUNKTA PĀRKĀPUMS </w:t>
      </w:r>
    </w:p>
    <w:p w:rsidR="00564690" w:rsidRPr="00E45AA2" w:rsidRDefault="00564690" w:rsidP="00564690">
      <w:pPr>
        <w:pStyle w:val="ECHRPara"/>
        <w:rPr>
          <w:lang w:val="lv-LV"/>
        </w:rPr>
      </w:pPr>
    </w:p>
    <w:p w:rsidR="0013508E" w:rsidRDefault="0013508E" w:rsidP="00564690">
      <w:pPr>
        <w:pStyle w:val="ECHRPara"/>
        <w:rPr>
          <w:rStyle w:val="ECHRParaChar"/>
          <w:rFonts w:ascii="Times New Roman" w:hAnsi="Times New Roman" w:cs="Times New Roman"/>
          <w:szCs w:val="24"/>
          <w:lang w:val="lv-LV"/>
        </w:rPr>
      </w:pPr>
      <w:r w:rsidRPr="00E45AA2">
        <w:rPr>
          <w:rStyle w:val="ECHRParaChar"/>
          <w:rFonts w:ascii="Times New Roman" w:hAnsi="Times New Roman" w:cs="Times New Roman"/>
          <w:szCs w:val="24"/>
          <w:lang w:val="lv-LV"/>
        </w:rPr>
        <w:fldChar w:fldCharType="begin"/>
      </w:r>
      <w:r w:rsidRPr="00E45AA2">
        <w:rPr>
          <w:rStyle w:val="ECHRParaChar"/>
          <w:rFonts w:ascii="Times New Roman" w:hAnsi="Times New Roman" w:cs="Times New Roman"/>
          <w:szCs w:val="24"/>
          <w:lang w:val="lv-LV"/>
        </w:rPr>
        <w:instrText xml:space="preserve"> SEQ level0 \*arabic </w:instrText>
      </w:r>
      <w:r w:rsidRPr="00E45AA2">
        <w:rPr>
          <w:rStyle w:val="ECHRParaChar"/>
          <w:rFonts w:ascii="Times New Roman" w:hAnsi="Times New Roman" w:cs="Times New Roman"/>
          <w:szCs w:val="24"/>
          <w:lang w:val="lv-LV"/>
        </w:rPr>
        <w:fldChar w:fldCharType="separate"/>
      </w:r>
      <w:r w:rsidRPr="00E45AA2">
        <w:rPr>
          <w:rStyle w:val="ECHRParaChar"/>
          <w:rFonts w:ascii="Times New Roman" w:hAnsi="Times New Roman" w:cs="Times New Roman"/>
          <w:noProof/>
          <w:szCs w:val="24"/>
          <w:lang w:val="lv-LV"/>
        </w:rPr>
        <w:t>69</w:t>
      </w:r>
      <w:r w:rsidRPr="00E45AA2">
        <w:rPr>
          <w:rStyle w:val="ECHRParaChar"/>
          <w:rFonts w:ascii="Times New Roman" w:hAnsi="Times New Roman" w:cs="Times New Roman"/>
          <w:szCs w:val="24"/>
          <w:lang w:val="lv-LV"/>
        </w:rPr>
        <w:fldChar w:fldCharType="end"/>
      </w:r>
      <w:r w:rsidRPr="00E45AA2">
        <w:rPr>
          <w:rStyle w:val="ECHRParaChar"/>
          <w:rFonts w:ascii="Times New Roman" w:hAnsi="Times New Roman" w:cs="Times New Roman"/>
          <w:szCs w:val="24"/>
          <w:lang w:val="lv-LV"/>
        </w:rPr>
        <w:t>.  Iesniedzējs apgalvoja, ka viņš ir kļuvis par Konvencijas 6. panta 1. punkta pārkāpuma upuri. Viņš sūdzējās, ka</w:t>
      </w:r>
      <w:r w:rsidR="004A2341">
        <w:rPr>
          <w:rStyle w:val="ECHRParaChar"/>
          <w:rFonts w:ascii="Times New Roman" w:hAnsi="Times New Roman" w:cs="Times New Roman"/>
          <w:szCs w:val="24"/>
          <w:lang w:val="lv-LV"/>
        </w:rPr>
        <w:t>,</w:t>
      </w:r>
      <w:r w:rsidRPr="00E45AA2">
        <w:rPr>
          <w:rStyle w:val="ECHRParaChar"/>
          <w:rFonts w:ascii="Times New Roman" w:hAnsi="Times New Roman" w:cs="Times New Roman"/>
          <w:szCs w:val="24"/>
          <w:lang w:val="lv-LV"/>
        </w:rPr>
        <w:t xml:space="preserve"> izsniedzot sprieduma izpildāmības deklarāciju attiecībā uz 2004. gada 24. maija Limasolas apgabaltiesas spriedumu, kurā, viņaprāt, bijuši acīmredzami trūkumi, jo tikušas pārkāp</w:t>
      </w:r>
      <w:r w:rsidR="004A2341">
        <w:rPr>
          <w:rStyle w:val="ECHRParaChar"/>
          <w:rFonts w:ascii="Times New Roman" w:hAnsi="Times New Roman" w:cs="Times New Roman"/>
          <w:szCs w:val="24"/>
          <w:lang w:val="lv-LV"/>
        </w:rPr>
        <w:t xml:space="preserve">tas viņa aizstāvības tiesības, </w:t>
      </w:r>
      <w:r w:rsidRPr="00E45AA2">
        <w:rPr>
          <w:rStyle w:val="ECHRParaChar"/>
          <w:rFonts w:ascii="Times New Roman" w:hAnsi="Times New Roman" w:cs="Times New Roman"/>
          <w:szCs w:val="24"/>
          <w:lang w:val="lv-LV"/>
        </w:rPr>
        <w:t xml:space="preserve">Latvijas Augstākās tiesas Senāts pārkāpa viņa tiesības uz taisnīgu lietas izskatīšanu. Ciktāl tas attiecas uz šo lietu, 6. panta 1. punkts nosaka: </w:t>
      </w:r>
    </w:p>
    <w:p w:rsidR="00977D31" w:rsidRPr="00E45AA2" w:rsidRDefault="00977D31" w:rsidP="00564690">
      <w:pPr>
        <w:pStyle w:val="ECHRPara"/>
        <w:rPr>
          <w:rStyle w:val="ECHRParaChar"/>
          <w:rFonts w:ascii="Times New Roman" w:hAnsi="Times New Roman" w:cs="Times New Roman"/>
          <w:szCs w:val="24"/>
          <w:lang w:val="lv-LV"/>
        </w:rPr>
      </w:pPr>
    </w:p>
    <w:p w:rsidR="0013508E" w:rsidRPr="00E45AA2" w:rsidRDefault="0013508E" w:rsidP="00564690">
      <w:pPr>
        <w:pStyle w:val="ECHRParaQuote"/>
        <w:spacing w:before="0" w:after="0"/>
        <w:rPr>
          <w:rFonts w:ascii="Times New Roman" w:hAnsi="Times New Roman" w:cs="Times New Roman"/>
          <w:szCs w:val="24"/>
          <w:lang w:val="lv-LV"/>
        </w:rPr>
      </w:pPr>
      <w:r w:rsidRPr="00E45AA2">
        <w:rPr>
          <w:rFonts w:ascii="Times New Roman" w:hAnsi="Times New Roman" w:cs="Times New Roman"/>
          <w:szCs w:val="24"/>
          <w:lang w:val="lv-LV"/>
        </w:rPr>
        <w:t>„Ikvienam ir tiesības, nosakot civilo tiesību un pienākumu (...) pamatotību, uz taisnīgu (...) lietas</w:t>
      </w:r>
      <w:r w:rsidR="0053451A">
        <w:rPr>
          <w:rFonts w:ascii="Times New Roman" w:hAnsi="Times New Roman" w:cs="Times New Roman"/>
          <w:szCs w:val="24"/>
          <w:lang w:val="lv-LV"/>
        </w:rPr>
        <w:t>(</w:t>
      </w:r>
      <w:r w:rsidRPr="00E45AA2">
        <w:rPr>
          <w:rFonts w:ascii="Times New Roman" w:hAnsi="Times New Roman" w:cs="Times New Roman"/>
          <w:szCs w:val="24"/>
          <w:lang w:val="lv-LV"/>
        </w:rPr>
        <w:t>...</w:t>
      </w:r>
      <w:r w:rsidR="0053451A">
        <w:rPr>
          <w:rFonts w:ascii="Times New Roman" w:hAnsi="Times New Roman" w:cs="Times New Roman"/>
          <w:szCs w:val="24"/>
          <w:lang w:val="lv-LV"/>
        </w:rPr>
        <w:t xml:space="preserve">) </w:t>
      </w:r>
      <w:r w:rsidRPr="00E45AA2">
        <w:rPr>
          <w:rFonts w:ascii="Times New Roman" w:hAnsi="Times New Roman" w:cs="Times New Roman"/>
          <w:szCs w:val="24"/>
          <w:lang w:val="lv-LV"/>
        </w:rPr>
        <w:t xml:space="preserve">izskatīšanu (...) tiesā (...)” </w:t>
      </w:r>
    </w:p>
    <w:p w:rsidR="00564690" w:rsidRPr="00E45AA2" w:rsidRDefault="00564690" w:rsidP="00564690">
      <w:pPr>
        <w:pStyle w:val="ECHRHeading2"/>
        <w:numPr>
          <w:ilvl w:val="0"/>
          <w:numId w:val="0"/>
        </w:numPr>
        <w:spacing w:before="0"/>
        <w:rPr>
          <w:rFonts w:ascii="Times New Roman" w:hAnsi="Times New Roman" w:cs="Times New Roman"/>
          <w:color w:val="auto"/>
          <w:sz w:val="24"/>
          <w:szCs w:val="24"/>
          <w:lang w:val="lv-LV"/>
        </w:rPr>
      </w:pPr>
    </w:p>
    <w:p w:rsidR="0013508E" w:rsidRPr="00E45AA2" w:rsidRDefault="0013508E" w:rsidP="005E3370">
      <w:pPr>
        <w:pStyle w:val="ECHRHeading2"/>
        <w:numPr>
          <w:ilvl w:val="0"/>
          <w:numId w:val="17"/>
        </w:numPr>
        <w:spacing w:before="0"/>
        <w:rPr>
          <w:rFonts w:ascii="Times New Roman" w:hAnsi="Times New Roman" w:cs="Times New Roman"/>
          <w:color w:val="auto"/>
          <w:sz w:val="24"/>
          <w:szCs w:val="24"/>
          <w:lang w:val="lv-LV"/>
        </w:rPr>
      </w:pPr>
      <w:r w:rsidRPr="00E45AA2">
        <w:rPr>
          <w:rFonts w:ascii="Times New Roman" w:hAnsi="Times New Roman" w:cs="Times New Roman"/>
          <w:color w:val="auto"/>
          <w:sz w:val="24"/>
          <w:szCs w:val="24"/>
          <w:lang w:val="lv-LV"/>
        </w:rPr>
        <w:t>Palātas spriedums</w:t>
      </w:r>
    </w:p>
    <w:p w:rsidR="00564690" w:rsidRPr="00E45AA2" w:rsidRDefault="00564690" w:rsidP="00564690">
      <w:pPr>
        <w:pStyle w:val="ECHRPara"/>
        <w:ind w:left="360" w:firstLine="0"/>
        <w:rPr>
          <w:lang w:val="lv-LV"/>
        </w:rPr>
      </w:pPr>
    </w:p>
    <w:p w:rsidR="0013508E" w:rsidRPr="00E45AA2" w:rsidRDefault="0013508E" w:rsidP="0013508E">
      <w:pPr>
        <w:pStyle w:val="ECHRPara"/>
        <w:rPr>
          <w:rFonts w:ascii="Times New Roman" w:hAnsi="Times New Roman" w:cs="Times New Roman"/>
          <w:snapToGrid w:val="0"/>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70</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Savu spriedumu Palāta sāka ar apsvērumu, ka, tā kā sūdzība pret Kipru tika atzīta par nepieņemamu sakarā ar termiņa pārsniegšanu (skatīt augstāk atrodamo 4. punktu), Tiesai nav jurisdikcijas noteikt, vai Limasolas apgabaltiesa ir ievērojusi Konvencijas 6. panta 1. punktu. Līdz ar to lietas tvērums tika sašaurināts līdz nepieciešamībai noskaidrot, vai, pieņemot lēmumu par Kipras sprieduma izpildi Latvijā, Latvijas tiesas ir ievērojušas lietas taisnīgas izskatīšanas pamatprincipus minētās normas izpratnē. Šajā sakarā Palāta noteica, ka tas, vai valsts ievēro šos </w:t>
      </w:r>
      <w:r w:rsidR="00977D31">
        <w:rPr>
          <w:rFonts w:ascii="Times New Roman" w:hAnsi="Times New Roman" w:cs="Times New Roman"/>
          <w:szCs w:val="24"/>
          <w:lang w:val="lv-LV"/>
        </w:rPr>
        <w:t>saistošos</w:t>
      </w:r>
      <w:r w:rsidRPr="00E45AA2">
        <w:rPr>
          <w:rFonts w:ascii="Times New Roman" w:hAnsi="Times New Roman" w:cs="Times New Roman"/>
          <w:szCs w:val="24"/>
          <w:lang w:val="lv-LV"/>
        </w:rPr>
        <w:t xml:space="preserve"> pienākumus, kas izriet no dalības Eiropas Savienībā, ir vispārējas intereses jautājums, un ka tas attiecas arī uz Briseles I regulas piemērošanu, balstoties uz „savstarpēj</w:t>
      </w:r>
      <w:r w:rsidR="00407092">
        <w:rPr>
          <w:rFonts w:ascii="Times New Roman" w:hAnsi="Times New Roman" w:cs="Times New Roman"/>
          <w:szCs w:val="24"/>
          <w:lang w:val="lv-LV"/>
        </w:rPr>
        <w:t>o</w:t>
      </w:r>
      <w:r w:rsidRPr="00E45AA2">
        <w:rPr>
          <w:rFonts w:ascii="Times New Roman" w:hAnsi="Times New Roman" w:cs="Times New Roman"/>
          <w:szCs w:val="24"/>
          <w:lang w:val="lv-LV"/>
        </w:rPr>
        <w:t xml:space="preserve"> uzticēšanos tiesvedības pārvaldībā”. Tādēļ Latvijas tiesām bija pienākums nodrošināt Kipras sprieduma atzīšanu un ātru un efektīvu izpildi Latvijā. Turklāt Palāta minēja, ka Eiropas Savienības noteiktā pamattiesību aizsardzība principā ir vienāda ar to, ko nosaka Konvencija (skatīt lietu </w:t>
      </w:r>
      <w:r w:rsidRPr="00E45AA2">
        <w:rPr>
          <w:rFonts w:ascii="Times New Roman" w:hAnsi="Times New Roman" w:cs="Times New Roman"/>
          <w:i/>
          <w:szCs w:val="24"/>
          <w:lang w:val="lv-LV"/>
        </w:rPr>
        <w:t>Bosphorus Hava Yolları Turizm ve Ticaret Anonim Şirketi pret Īriju</w:t>
      </w:r>
      <w:r w:rsidRPr="00E45AA2">
        <w:rPr>
          <w:rFonts w:ascii="Times New Roman" w:hAnsi="Times New Roman" w:cs="Times New Roman"/>
          <w:szCs w:val="24"/>
          <w:lang w:val="lv-LV"/>
        </w:rPr>
        <w:t xml:space="preserve"> [Lielā palāta], Nr. 45036/98, 160.-165. punkts, ECHR 2005</w:t>
      </w:r>
      <w:r w:rsidRPr="00E45AA2">
        <w:rPr>
          <w:rFonts w:ascii="Times New Roman" w:hAnsi="Times New Roman" w:cs="Times New Roman"/>
          <w:szCs w:val="24"/>
          <w:lang w:val="lv-LV"/>
        </w:rPr>
        <w:noBreakHyphen/>
        <w:t>VI</w:t>
      </w:r>
      <w:r w:rsidRPr="00E45AA2">
        <w:rPr>
          <w:rFonts w:ascii="Times New Roman" w:hAnsi="Times New Roman" w:cs="Times New Roman"/>
          <w:snapToGrid w:val="0"/>
          <w:szCs w:val="24"/>
          <w:lang w:val="lv-LV"/>
        </w:rPr>
        <w:t>).</w:t>
      </w:r>
    </w:p>
    <w:p w:rsidR="0013508E" w:rsidRPr="00E45AA2" w:rsidRDefault="0013508E" w:rsidP="0013508E">
      <w:pPr>
        <w:pStyle w:val="ECHRPara"/>
        <w:rPr>
          <w:rFonts w:ascii="Times New Roman" w:hAnsi="Times New Roman" w:cs="Times New Roman"/>
          <w:snapToGrid w:val="0"/>
          <w:szCs w:val="24"/>
          <w:lang w:val="lv-LV"/>
        </w:rPr>
      </w:pPr>
      <w:r w:rsidRPr="00E45AA2">
        <w:rPr>
          <w:rFonts w:ascii="Times New Roman" w:hAnsi="Times New Roman" w:cs="Times New Roman"/>
          <w:snapToGrid w:val="0"/>
          <w:szCs w:val="24"/>
          <w:lang w:val="lv-LV"/>
        </w:rPr>
        <w:lastRenderedPageBreak/>
        <w:fldChar w:fldCharType="begin"/>
      </w:r>
      <w:r w:rsidRPr="00E45AA2">
        <w:rPr>
          <w:rFonts w:ascii="Times New Roman" w:hAnsi="Times New Roman" w:cs="Times New Roman"/>
          <w:snapToGrid w:val="0"/>
          <w:szCs w:val="24"/>
          <w:lang w:val="lv-LV"/>
        </w:rPr>
        <w:instrText xml:space="preserve"> SEQ level0 \*arabic </w:instrText>
      </w:r>
      <w:r w:rsidRPr="00E45AA2">
        <w:rPr>
          <w:rFonts w:ascii="Times New Roman" w:hAnsi="Times New Roman" w:cs="Times New Roman"/>
          <w:snapToGrid w:val="0"/>
          <w:szCs w:val="24"/>
          <w:lang w:val="lv-LV"/>
        </w:rPr>
        <w:fldChar w:fldCharType="separate"/>
      </w:r>
      <w:r w:rsidRPr="00E45AA2">
        <w:rPr>
          <w:rFonts w:ascii="Times New Roman" w:hAnsi="Times New Roman" w:cs="Times New Roman"/>
          <w:noProof/>
          <w:snapToGrid w:val="0"/>
          <w:szCs w:val="24"/>
          <w:lang w:val="lv-LV"/>
        </w:rPr>
        <w:t>71</w:t>
      </w:r>
      <w:r w:rsidRPr="00E45AA2">
        <w:rPr>
          <w:rFonts w:ascii="Times New Roman" w:hAnsi="Times New Roman" w:cs="Times New Roman"/>
          <w:snapToGrid w:val="0"/>
          <w:szCs w:val="24"/>
          <w:lang w:val="lv-LV"/>
        </w:rPr>
        <w:fldChar w:fldCharType="end"/>
      </w:r>
      <w:r w:rsidRPr="00E45AA2">
        <w:rPr>
          <w:rFonts w:ascii="Times New Roman" w:hAnsi="Times New Roman" w:cs="Times New Roman"/>
          <w:snapToGrid w:val="0"/>
          <w:szCs w:val="24"/>
          <w:lang w:val="lv-LV"/>
        </w:rPr>
        <w:t xml:space="preserve">.  Turklāt Palāta uzskatīja, ka, aizņemoties naudu no Kipras uzņēmuma un parakstot </w:t>
      </w:r>
      <w:r w:rsidR="00CF043B">
        <w:rPr>
          <w:rFonts w:ascii="Times New Roman" w:hAnsi="Times New Roman" w:cs="Times New Roman"/>
          <w:snapToGrid w:val="0"/>
          <w:szCs w:val="24"/>
          <w:lang w:val="lv-LV"/>
        </w:rPr>
        <w:t>aizdevuma</w:t>
      </w:r>
      <w:r w:rsidRPr="00E45AA2">
        <w:rPr>
          <w:rFonts w:ascii="Times New Roman" w:hAnsi="Times New Roman" w:cs="Times New Roman"/>
          <w:snapToGrid w:val="0"/>
          <w:szCs w:val="24"/>
          <w:lang w:val="lv-LV"/>
        </w:rPr>
        <w:t xml:space="preserve"> </w:t>
      </w:r>
      <w:r w:rsidR="000D49D4">
        <w:rPr>
          <w:rFonts w:ascii="Times New Roman" w:hAnsi="Times New Roman" w:cs="Times New Roman"/>
          <w:snapToGrid w:val="0"/>
          <w:szCs w:val="24"/>
          <w:lang w:val="lv-LV"/>
        </w:rPr>
        <w:t>apstiprinājuma aktu</w:t>
      </w:r>
      <w:r w:rsidRPr="00E45AA2">
        <w:rPr>
          <w:rFonts w:ascii="Times New Roman" w:hAnsi="Times New Roman" w:cs="Times New Roman"/>
          <w:snapToGrid w:val="0"/>
          <w:szCs w:val="24"/>
          <w:lang w:val="lv-LV"/>
        </w:rPr>
        <w:t xml:space="preserve">, kas pakļauts Kipras tiesību aktiem un Kipras tiesu jurisdikcijai, iesniedzējam vajadzēja iepazīties ar tiesiskajām sekām, kas varētu rasties parāda neatmaksāšanas gadījumā, un ar kārtību, kādā Kiprā notiek tiesvedība. Palāta uzskatīja, ka iesniedzējam bija jāuzņemas atbildība parādīt, ka viņam nav bijis efektīvu tiesiskās aizsardzības līdzekļu savu tiesību aizstāvēšanai Kipras tiesās; taču iesniedzējs to neminēja ne Latvijas Augstākās tiesas Senātā, ne Strasbūras </w:t>
      </w:r>
      <w:r w:rsidR="00F82D7F">
        <w:rPr>
          <w:rFonts w:ascii="Times New Roman" w:hAnsi="Times New Roman" w:cs="Times New Roman"/>
          <w:snapToGrid w:val="0"/>
          <w:szCs w:val="24"/>
          <w:lang w:val="lv-LV"/>
        </w:rPr>
        <w:t>T</w:t>
      </w:r>
      <w:r w:rsidRPr="00E45AA2">
        <w:rPr>
          <w:rFonts w:ascii="Times New Roman" w:hAnsi="Times New Roman" w:cs="Times New Roman"/>
          <w:snapToGrid w:val="0"/>
          <w:szCs w:val="24"/>
          <w:lang w:val="lv-LV"/>
        </w:rPr>
        <w:t xml:space="preserve">iesā. </w:t>
      </w:r>
      <w:r w:rsidRPr="00E45AA2">
        <w:rPr>
          <w:rFonts w:ascii="Times New Roman" w:hAnsi="Times New Roman" w:cs="Times New Roman"/>
          <w:szCs w:val="24"/>
          <w:lang w:val="lv-LV"/>
        </w:rPr>
        <w:t xml:space="preserve">Tādēļ Palāta secināja, ka Augstākā tiesa, noraidot iesniedzēja argumentus un pamatojot šo noraidījumu vienīgi ar faktu, ka viņš nav pārsūdzējis Kipras spriedumu, ir pietiekami ņēmusi vērā Konvencijas 6. panta 1. punktā noteiktās tiesības. </w:t>
      </w:r>
      <w:r w:rsidRPr="00E45AA2">
        <w:rPr>
          <w:rFonts w:ascii="Times New Roman" w:hAnsi="Times New Roman" w:cs="Times New Roman"/>
          <w:snapToGrid w:val="0"/>
          <w:szCs w:val="24"/>
          <w:lang w:val="lv-LV"/>
        </w:rPr>
        <w:t xml:space="preserve">Līdz ar to šajā lietā nav noticis minētās normas pārkāpums. </w:t>
      </w:r>
    </w:p>
    <w:p w:rsidR="00564690" w:rsidRPr="00E45AA2" w:rsidRDefault="0013508E" w:rsidP="00564690">
      <w:pPr>
        <w:pStyle w:val="ECHRPara"/>
        <w:rPr>
          <w:rFonts w:ascii="Times New Roman" w:hAnsi="Times New Roman" w:cs="Times New Roman"/>
          <w:snapToGrid w:val="0"/>
          <w:szCs w:val="24"/>
          <w:lang w:val="lv-LV"/>
        </w:rPr>
      </w:pPr>
      <w:r w:rsidRPr="00E45AA2">
        <w:rPr>
          <w:rFonts w:ascii="Times New Roman" w:hAnsi="Times New Roman" w:cs="Times New Roman"/>
          <w:snapToGrid w:val="0"/>
          <w:szCs w:val="24"/>
          <w:lang w:val="lv-LV"/>
        </w:rPr>
        <w:fldChar w:fldCharType="begin"/>
      </w:r>
      <w:r w:rsidRPr="00E45AA2">
        <w:rPr>
          <w:rFonts w:ascii="Times New Roman" w:hAnsi="Times New Roman" w:cs="Times New Roman"/>
          <w:snapToGrid w:val="0"/>
          <w:szCs w:val="24"/>
          <w:lang w:val="lv-LV"/>
        </w:rPr>
        <w:instrText xml:space="preserve"> SEQ level0 \*arabic </w:instrText>
      </w:r>
      <w:r w:rsidRPr="00E45AA2">
        <w:rPr>
          <w:rFonts w:ascii="Times New Roman" w:hAnsi="Times New Roman" w:cs="Times New Roman"/>
          <w:snapToGrid w:val="0"/>
          <w:szCs w:val="24"/>
          <w:lang w:val="lv-LV"/>
        </w:rPr>
        <w:fldChar w:fldCharType="separate"/>
      </w:r>
      <w:r w:rsidRPr="00E45AA2">
        <w:rPr>
          <w:rFonts w:ascii="Times New Roman" w:hAnsi="Times New Roman" w:cs="Times New Roman"/>
          <w:noProof/>
          <w:snapToGrid w:val="0"/>
          <w:szCs w:val="24"/>
          <w:lang w:val="lv-LV"/>
        </w:rPr>
        <w:t>72</w:t>
      </w:r>
      <w:r w:rsidRPr="00E45AA2">
        <w:rPr>
          <w:rFonts w:ascii="Times New Roman" w:hAnsi="Times New Roman" w:cs="Times New Roman"/>
          <w:snapToGrid w:val="0"/>
          <w:szCs w:val="24"/>
          <w:lang w:val="lv-LV"/>
        </w:rPr>
        <w:fldChar w:fldCharType="end"/>
      </w:r>
      <w:r w:rsidRPr="00E45AA2">
        <w:rPr>
          <w:rFonts w:ascii="Times New Roman" w:hAnsi="Times New Roman" w:cs="Times New Roman"/>
          <w:snapToGrid w:val="0"/>
          <w:szCs w:val="24"/>
          <w:lang w:val="lv-LV"/>
        </w:rPr>
        <w:t>.  Visbeidzot Tiesa nesaskatīja pārkāpumu attiecībā uz citiem iesniedzēja argumentiem</w:t>
      </w:r>
      <w:r w:rsidR="00564690" w:rsidRPr="00E45AA2">
        <w:rPr>
          <w:rFonts w:ascii="Times New Roman" w:hAnsi="Times New Roman" w:cs="Times New Roman"/>
          <w:snapToGrid w:val="0"/>
          <w:szCs w:val="24"/>
          <w:lang w:val="lv-LV"/>
        </w:rPr>
        <w:t xml:space="preserve"> 6. panta 1. punkta kontekstā. </w:t>
      </w:r>
    </w:p>
    <w:p w:rsidR="00564690" w:rsidRPr="00E45AA2" w:rsidRDefault="00564690" w:rsidP="00564690">
      <w:pPr>
        <w:pStyle w:val="ECHRPara"/>
        <w:rPr>
          <w:rFonts w:ascii="Times New Roman" w:hAnsi="Times New Roman" w:cs="Times New Roman"/>
          <w:snapToGrid w:val="0"/>
          <w:szCs w:val="24"/>
          <w:lang w:val="lv-LV"/>
        </w:rPr>
      </w:pPr>
    </w:p>
    <w:p w:rsidR="0013508E" w:rsidRPr="00E45AA2" w:rsidRDefault="0013508E" w:rsidP="00564690">
      <w:pPr>
        <w:pStyle w:val="ECHRPara"/>
        <w:rPr>
          <w:rFonts w:ascii="Times New Roman" w:hAnsi="Times New Roman" w:cs="Times New Roman"/>
          <w:b/>
          <w:snapToGrid w:val="0"/>
          <w:szCs w:val="24"/>
          <w:lang w:val="lv-LV"/>
        </w:rPr>
      </w:pPr>
      <w:r w:rsidRPr="00E45AA2">
        <w:rPr>
          <w:rFonts w:ascii="Times New Roman" w:hAnsi="Times New Roman" w:cs="Times New Roman"/>
          <w:b/>
          <w:szCs w:val="24"/>
          <w:lang w:val="lv-LV"/>
        </w:rPr>
        <w:t>B.  Pušu argumenti</w:t>
      </w:r>
    </w:p>
    <w:p w:rsidR="0013508E" w:rsidRDefault="0013508E" w:rsidP="00564690">
      <w:pPr>
        <w:pStyle w:val="ECHRHeading3"/>
        <w:numPr>
          <w:ilvl w:val="0"/>
          <w:numId w:val="0"/>
        </w:numPr>
        <w:ind w:left="720"/>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1.  Iesniedzējs</w:t>
      </w:r>
    </w:p>
    <w:p w:rsidR="00977D31" w:rsidRPr="00977D31" w:rsidRDefault="00977D31" w:rsidP="00977D31">
      <w:pPr>
        <w:pStyle w:val="ECHRPara"/>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73</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Savā prasībā Lielajai palātai izskatīt lietu un mutvārdu apsvērumos noklausīšanās laikā iesniedzējs izvirzīja šādus argumentus. Sākumā viņš norādīja, ka </w:t>
      </w:r>
      <w:r w:rsidR="00564690" w:rsidRPr="00E45AA2">
        <w:rPr>
          <w:rFonts w:ascii="Times New Roman" w:hAnsi="Times New Roman" w:cs="Times New Roman"/>
          <w:szCs w:val="24"/>
          <w:lang w:val="lv-LV"/>
        </w:rPr>
        <w:t>līdzvērt</w:t>
      </w:r>
      <w:r w:rsidR="007C1ED3">
        <w:rPr>
          <w:rFonts w:ascii="Times New Roman" w:hAnsi="Times New Roman" w:cs="Times New Roman"/>
          <w:szCs w:val="24"/>
          <w:lang w:val="lv-LV"/>
        </w:rPr>
        <w:t>īgā</w:t>
      </w:r>
      <w:r w:rsidR="00564690" w:rsidRPr="00E45AA2">
        <w:rPr>
          <w:rFonts w:ascii="Times New Roman" w:hAnsi="Times New Roman" w:cs="Times New Roman"/>
          <w:szCs w:val="24"/>
          <w:lang w:val="lv-LV"/>
        </w:rPr>
        <w:t>s aizsardzības prezumpcija</w:t>
      </w:r>
      <w:r w:rsidRPr="00E45AA2">
        <w:rPr>
          <w:rFonts w:ascii="Times New Roman" w:hAnsi="Times New Roman" w:cs="Times New Roman"/>
          <w:szCs w:val="24"/>
          <w:lang w:val="lv-LV"/>
        </w:rPr>
        <w:t xml:space="preserve"> („</w:t>
      </w:r>
      <w:r w:rsidRPr="00E45AA2">
        <w:rPr>
          <w:rFonts w:ascii="Times New Roman" w:hAnsi="Times New Roman" w:cs="Times New Roman"/>
          <w:i/>
          <w:szCs w:val="24"/>
          <w:lang w:val="lv-LV"/>
        </w:rPr>
        <w:t xml:space="preserve">Bosphorus </w:t>
      </w:r>
      <w:r w:rsidRPr="00E45AA2">
        <w:rPr>
          <w:rFonts w:ascii="Times New Roman" w:hAnsi="Times New Roman" w:cs="Times New Roman"/>
          <w:szCs w:val="24"/>
          <w:lang w:val="lv-LV"/>
        </w:rPr>
        <w:t>p</w:t>
      </w:r>
      <w:r w:rsidR="00564690" w:rsidRPr="00E45AA2">
        <w:rPr>
          <w:rFonts w:ascii="Times New Roman" w:hAnsi="Times New Roman" w:cs="Times New Roman"/>
          <w:szCs w:val="24"/>
          <w:lang w:val="lv-LV"/>
        </w:rPr>
        <w:t>rezumpcija</w:t>
      </w:r>
      <w:r w:rsidRPr="00E45AA2">
        <w:rPr>
          <w:rFonts w:ascii="Times New Roman" w:hAnsi="Times New Roman" w:cs="Times New Roman"/>
          <w:szCs w:val="24"/>
          <w:lang w:val="lv-LV"/>
        </w:rPr>
        <w:t>”) šajā lietā nebija piemērojam</w:t>
      </w:r>
      <w:r w:rsidR="00D04AC8">
        <w:rPr>
          <w:rFonts w:ascii="Times New Roman" w:hAnsi="Times New Roman" w:cs="Times New Roman"/>
          <w:szCs w:val="24"/>
          <w:lang w:val="lv-LV"/>
        </w:rPr>
        <w:t>a</w:t>
      </w:r>
      <w:r w:rsidRPr="00E45AA2">
        <w:rPr>
          <w:rFonts w:ascii="Times New Roman" w:hAnsi="Times New Roman" w:cs="Times New Roman"/>
          <w:szCs w:val="24"/>
          <w:lang w:val="lv-LV"/>
        </w:rPr>
        <w:t xml:space="preserve"> divu iemeslu dēļ. Pirmkārt, saskaņā ar Briseles I regulu Latvijas augstāko instanču tiesām (Apgabaltiesai un Augstākās tiesas Senātam) nebija pienākuma automātiski atzīt Kipras spriedumu. Gluži pretēji, Regulas 34. un 35. pants piešķīris tām lielu rīcības brīvību pārbaudīt, vai izcelsmes valstī ir ievērotas iesniedzēja procesuālās pamattiesības un vai spriedums Latvijā būtu jāizpilda. Līdz ar to Latvijas ties</w:t>
      </w:r>
      <w:r w:rsidR="000945A5">
        <w:rPr>
          <w:rFonts w:ascii="Times New Roman" w:hAnsi="Times New Roman" w:cs="Times New Roman"/>
          <w:szCs w:val="24"/>
          <w:lang w:val="lv-LV"/>
        </w:rPr>
        <w:t>as</w:t>
      </w:r>
      <w:r w:rsidRPr="00E45AA2">
        <w:rPr>
          <w:rFonts w:ascii="Times New Roman" w:hAnsi="Times New Roman" w:cs="Times New Roman"/>
          <w:szCs w:val="24"/>
          <w:lang w:val="lv-LV"/>
        </w:rPr>
        <w:t xml:space="preserve"> bija atbildīgas par atbilstības Konvencijas 6. panta 1. punktam nodrošināšanu. Turklāt, paziņojot par sprieduma </w:t>
      </w:r>
      <w:r w:rsidR="00F451BA">
        <w:rPr>
          <w:rFonts w:ascii="Times New Roman" w:hAnsi="Times New Roman" w:cs="Times New Roman"/>
          <w:szCs w:val="24"/>
          <w:lang w:val="lv-LV"/>
        </w:rPr>
        <w:t>izpildi</w:t>
      </w:r>
      <w:r w:rsidRPr="00E45AA2">
        <w:rPr>
          <w:rFonts w:ascii="Times New Roman" w:hAnsi="Times New Roman" w:cs="Times New Roman"/>
          <w:szCs w:val="24"/>
          <w:lang w:val="lv-LV"/>
        </w:rPr>
        <w:t xml:space="preserve">, Augstākās tiesas Senāts acīmredzami pārkāpa Regulas 34. panta 2. punktu atbilstoši EST interpretācijai. Šajā sakarā iesniedzējs atsaucās uz EST spriedumu </w:t>
      </w:r>
      <w:r w:rsidRPr="00E45AA2">
        <w:rPr>
          <w:rFonts w:ascii="Times New Roman" w:hAnsi="Times New Roman" w:cs="Times New Roman"/>
          <w:i/>
          <w:szCs w:val="24"/>
          <w:lang w:val="lv-LV"/>
        </w:rPr>
        <w:t xml:space="preserve">Trade Agency </w:t>
      </w:r>
      <w:r w:rsidR="00FE70B0">
        <w:rPr>
          <w:rFonts w:ascii="Times New Roman" w:hAnsi="Times New Roman" w:cs="Times New Roman"/>
          <w:szCs w:val="24"/>
          <w:lang w:val="lv-LV"/>
        </w:rPr>
        <w:t>lietā (skatīt augstāk</w:t>
      </w:r>
      <w:r w:rsidRPr="00E45AA2">
        <w:rPr>
          <w:rFonts w:ascii="Times New Roman" w:hAnsi="Times New Roman" w:cs="Times New Roman"/>
          <w:szCs w:val="24"/>
          <w:lang w:val="lv-LV"/>
        </w:rPr>
        <w:t xml:space="preserve">minēto 60. punktu) un uz turpmākiem Latvijas Augstākās tiesas Senāta nolēmumiem. Divos gadījumos Senāts bija rūpīgi pētījis, vai atbildētāji ir pienācīgi un laicīgi uzaicināti ierasties izcelsmes valsts tiesā. Abos gadījumos atbildētāji nebija mēģinājuši pārsūdzēt attiecīgo spriedumus un Senāts viņiem to nebija pārmetis.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74</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Otrkārt, šī lieta ir jānošķir no </w:t>
      </w:r>
      <w:r w:rsidRPr="00E45AA2">
        <w:rPr>
          <w:rFonts w:ascii="Times New Roman" w:hAnsi="Times New Roman" w:cs="Times New Roman"/>
          <w:i/>
          <w:szCs w:val="24"/>
          <w:lang w:val="lv-LV"/>
        </w:rPr>
        <w:t xml:space="preserve">Bosphorus </w:t>
      </w:r>
      <w:r w:rsidRPr="00E45AA2">
        <w:rPr>
          <w:rFonts w:ascii="Times New Roman" w:hAnsi="Times New Roman" w:cs="Times New Roman"/>
          <w:szCs w:val="24"/>
          <w:lang w:val="lv-LV"/>
        </w:rPr>
        <w:t xml:space="preserve">lietas, jo šajā lietā Augstākās tiesas Senāts nav izpildījis savu pienākumu apsvērt nepieciešamību pieprasīt prejudiciālu nolēmumu no EST. Iesniedzējs atzina, ka viņš nav pieprasījis šādu nolēmumu, taču uzstāja, ka viņam nav bijis iespējas to darīt, jo 2007. gada 31. janvāra tiesas sēdē tikai otrai pusei bija ļauts iesniegt lietā savus argumentus pēc būtības. Līdz ar to Latvijas tiesas </w:t>
      </w:r>
      <w:r w:rsidRPr="00E45AA2">
        <w:rPr>
          <w:rFonts w:ascii="Times New Roman" w:hAnsi="Times New Roman" w:cs="Times New Roman"/>
          <w:szCs w:val="24"/>
          <w:lang w:val="lv-LV"/>
        </w:rPr>
        <w:lastRenderedPageBreak/>
        <w:t xml:space="preserve">nav izmantojušas Eiropas Savienības tiesību sistēmā esošos kontroles mehānismus. Iesniedzējs uzskata, ka, ja Latvijas Augstākā tiesa būtu pieprasījusi no EST prejudiciālu nolēmumu, EST visticamāk būtu tiesīga pārbaudīt, vai iesniedzējs ir ticis pienācīgi informēts par tiesvedību Kipras tiesā un vai viņam ir bijušas vai vēl joprojām ir iespējas pārsūdzēt Kipras spriedumu. Šajā sakarā iesniedzējs atsaucās uz </w:t>
      </w:r>
      <w:r w:rsidRPr="00E45AA2">
        <w:rPr>
          <w:rFonts w:ascii="Times New Roman" w:hAnsi="Times New Roman" w:cs="Times New Roman"/>
          <w:i/>
          <w:szCs w:val="24"/>
          <w:lang w:val="lv-LV"/>
        </w:rPr>
        <w:t>Trade Agency</w:t>
      </w:r>
      <w:r w:rsidRPr="00E45AA2">
        <w:rPr>
          <w:rFonts w:ascii="Times New Roman" w:hAnsi="Times New Roman" w:cs="Times New Roman"/>
          <w:szCs w:val="24"/>
          <w:lang w:val="lv-LV"/>
        </w:rPr>
        <w:t xml:space="preserve"> sprieduma 38. punktu, kas citēts jau iepriekš – 60. punktā. Viņaprāt, šī lieta vairāk līdzinās lietai </w:t>
      </w:r>
      <w:r w:rsidRPr="00E45AA2">
        <w:rPr>
          <w:rFonts w:ascii="Times New Roman" w:hAnsi="Times New Roman" w:cs="Times New Roman"/>
          <w:i/>
          <w:szCs w:val="24"/>
          <w:lang w:val="lv-LV"/>
        </w:rPr>
        <w:t xml:space="preserve">Michaud </w:t>
      </w:r>
      <w:r w:rsidRPr="00E45AA2">
        <w:rPr>
          <w:rFonts w:ascii="Times New Roman" w:hAnsi="Times New Roman" w:cs="Times New Roman"/>
          <w:i/>
          <w:snapToGrid w:val="0"/>
          <w:szCs w:val="24"/>
          <w:lang w:val="lv-LV"/>
        </w:rPr>
        <w:t>pret Franciju</w:t>
      </w:r>
      <w:r w:rsidRPr="00E45AA2">
        <w:rPr>
          <w:rFonts w:ascii="Times New Roman" w:hAnsi="Times New Roman" w:cs="Times New Roman"/>
          <w:snapToGrid w:val="0"/>
          <w:szCs w:val="24"/>
          <w:lang w:val="lv-LV"/>
        </w:rPr>
        <w:t xml:space="preserve"> (Nr.</w:t>
      </w:r>
      <w:r w:rsidRPr="00E45AA2">
        <w:rPr>
          <w:rFonts w:ascii="Times New Roman" w:hAnsi="Times New Roman" w:cs="Times New Roman"/>
          <w:szCs w:val="24"/>
          <w:lang w:val="lv-LV"/>
        </w:rPr>
        <w:t xml:space="preserve"> 12323/11, 112.-115. punkts, </w:t>
      </w:r>
      <w:r w:rsidRPr="00E45AA2">
        <w:rPr>
          <w:rFonts w:ascii="Times New Roman" w:hAnsi="Times New Roman" w:cs="Times New Roman"/>
          <w:snapToGrid w:val="0"/>
          <w:szCs w:val="24"/>
          <w:lang w:val="lv-LV"/>
        </w:rPr>
        <w:t>ECHRECHR, 2012)</w:t>
      </w:r>
      <w:r w:rsidRPr="00E45AA2">
        <w:rPr>
          <w:rFonts w:ascii="Times New Roman" w:hAnsi="Times New Roman" w:cs="Times New Roman"/>
          <w:szCs w:val="24"/>
          <w:lang w:val="lv-LV"/>
        </w:rPr>
        <w:t xml:space="preserve">, kurā Tiesa atklāja, ka </w:t>
      </w:r>
      <w:r w:rsidRPr="00E45AA2">
        <w:rPr>
          <w:rFonts w:ascii="Times New Roman" w:hAnsi="Times New Roman" w:cs="Times New Roman"/>
          <w:i/>
          <w:szCs w:val="24"/>
          <w:lang w:val="lv-LV"/>
        </w:rPr>
        <w:t>Bosphorus</w:t>
      </w:r>
      <w:r w:rsidRPr="00E45AA2">
        <w:rPr>
          <w:rFonts w:ascii="Times New Roman" w:hAnsi="Times New Roman" w:cs="Times New Roman"/>
          <w:szCs w:val="24"/>
          <w:lang w:val="lv-LV"/>
        </w:rPr>
        <w:t xml:space="preserve"> </w:t>
      </w:r>
      <w:r w:rsidR="007658D7" w:rsidRPr="00E45AA2">
        <w:rPr>
          <w:rFonts w:ascii="Times New Roman" w:hAnsi="Times New Roman" w:cs="Times New Roman"/>
          <w:szCs w:val="24"/>
          <w:lang w:val="lv-LV"/>
        </w:rPr>
        <w:t>prezumpcija</w:t>
      </w:r>
      <w:r w:rsidRPr="00E45AA2">
        <w:rPr>
          <w:rFonts w:ascii="Times New Roman" w:hAnsi="Times New Roman" w:cs="Times New Roman"/>
          <w:szCs w:val="24"/>
          <w:lang w:val="lv-LV"/>
        </w:rPr>
        <w:t xml:space="preserve"> nav piemērojam</w:t>
      </w:r>
      <w:r w:rsidR="00660863">
        <w:rPr>
          <w:rFonts w:ascii="Times New Roman" w:hAnsi="Times New Roman" w:cs="Times New Roman"/>
          <w:szCs w:val="24"/>
          <w:lang w:val="lv-LV"/>
        </w:rPr>
        <w:t>a</w:t>
      </w:r>
      <w:r w:rsidRPr="00E45AA2">
        <w:rPr>
          <w:rFonts w:ascii="Times New Roman" w:hAnsi="Times New Roman" w:cs="Times New Roman"/>
          <w:szCs w:val="24"/>
          <w:lang w:val="lv-LV"/>
        </w:rPr>
        <w:t xml:space="preserve"> vairāku iemeslu dēļ, no kuriem viens nupat tika minēts.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75</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Iesniedzējs atzina, ka tādu </w:t>
      </w:r>
      <w:r w:rsidR="004A0B5F">
        <w:rPr>
          <w:rFonts w:ascii="Times New Roman" w:hAnsi="Times New Roman" w:cs="Times New Roman"/>
          <w:szCs w:val="24"/>
          <w:lang w:val="lv-LV"/>
        </w:rPr>
        <w:t>saistošo</w:t>
      </w:r>
      <w:r w:rsidRPr="00E45AA2">
        <w:rPr>
          <w:rFonts w:ascii="Times New Roman" w:hAnsi="Times New Roman" w:cs="Times New Roman"/>
          <w:szCs w:val="24"/>
          <w:lang w:val="lv-LV"/>
        </w:rPr>
        <w:t xml:space="preserve"> pienākumu, kas izriet no dalības Eiropas Savienībā, pildīšana ir vispārēj</w:t>
      </w:r>
      <w:r w:rsidR="00F35889">
        <w:rPr>
          <w:rFonts w:ascii="Times New Roman" w:hAnsi="Times New Roman" w:cs="Times New Roman"/>
          <w:szCs w:val="24"/>
          <w:lang w:val="lv-LV"/>
        </w:rPr>
        <w:t>ās intereses</w:t>
      </w:r>
      <w:r w:rsidRPr="00E45AA2">
        <w:rPr>
          <w:rFonts w:ascii="Times New Roman" w:hAnsi="Times New Roman" w:cs="Times New Roman"/>
          <w:szCs w:val="24"/>
          <w:lang w:val="lv-LV"/>
        </w:rPr>
        <w:t xml:space="preserve"> jautājums. Tomēr būtu kļūdaini un Tiesas noteiktajai judikatūrai neatbilstoši uzskatīt, kā to savā spriedumā izdarījusi Palāta, ka šis apsvērums viens pats veido leģitīmu mērķi, ar ko pietiek, lai varētu attaisnot Konvencijā garantēto tiesību ierobežošanu. Tiesas judikatūrā šis mērķis nekad nav ticis uzskatīts par pietiekamu attaisnojumu gadījumos, kad pārkāptas pamattiesības, ja vien to nepapildināja kādi citi leģitīmi mērķi, piemēram, nozieguma novēršana (iesniedzējs atsaucās uz iepriekš citēto </w:t>
      </w:r>
      <w:r w:rsidRPr="00E45AA2">
        <w:rPr>
          <w:rFonts w:ascii="Times New Roman" w:hAnsi="Times New Roman" w:cs="Times New Roman"/>
          <w:i/>
          <w:szCs w:val="24"/>
          <w:lang w:val="lv-LV"/>
        </w:rPr>
        <w:t>Michaud</w:t>
      </w:r>
      <w:r w:rsidRPr="00E45AA2">
        <w:rPr>
          <w:rFonts w:ascii="Times New Roman" w:hAnsi="Times New Roman" w:cs="Times New Roman"/>
          <w:szCs w:val="24"/>
          <w:lang w:val="lv-LV"/>
        </w:rPr>
        <w:t xml:space="preserve"> lietu) vai citu personu tiesību aizsardzība (viņš atsaucās uz lietu </w:t>
      </w:r>
      <w:r w:rsidRPr="00E45AA2">
        <w:rPr>
          <w:rFonts w:ascii="Times New Roman" w:hAnsi="Times New Roman" w:cs="Times New Roman"/>
          <w:i/>
          <w:szCs w:val="24"/>
          <w:lang w:val="lv-LV"/>
        </w:rPr>
        <w:t>Povse pret Austriju</w:t>
      </w:r>
      <w:r w:rsidRPr="00E45AA2">
        <w:rPr>
          <w:rFonts w:ascii="Times New Roman" w:hAnsi="Times New Roman" w:cs="Times New Roman"/>
          <w:szCs w:val="24"/>
          <w:lang w:val="lv-LV"/>
        </w:rPr>
        <w:t xml:space="preserve"> (lēmums), Nr. 3890/11, 2013. gada 18. jūnijs). Iesniedzējs uzskatīja, ka, </w:t>
      </w:r>
      <w:r w:rsidR="004F79F5">
        <w:rPr>
          <w:rFonts w:ascii="Times New Roman" w:hAnsi="Times New Roman" w:cs="Times New Roman"/>
          <w:szCs w:val="24"/>
          <w:lang w:val="lv-LV"/>
        </w:rPr>
        <w:t>tā kā Briseles I regula neuzliek</w:t>
      </w:r>
      <w:r w:rsidRPr="00E45AA2">
        <w:rPr>
          <w:rFonts w:ascii="Times New Roman" w:hAnsi="Times New Roman" w:cs="Times New Roman"/>
          <w:szCs w:val="24"/>
          <w:lang w:val="lv-LV"/>
        </w:rPr>
        <w:t xml:space="preserve"> pienākumu Latvijas varas iestādēm izpildīt Kipras spriedumu automātiski un bez nosacījumiem, attiecīgā rīcība nebija nepieciešama neviena leģitīma mērķa sasniegšanai.</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76</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Iesniedzējs uzskatīja, ka viņa situācija būtiski atšķiras no tās, kas bija </w:t>
      </w:r>
      <w:r w:rsidRPr="00E45AA2">
        <w:rPr>
          <w:rFonts w:ascii="Times New Roman" w:hAnsi="Times New Roman" w:cs="Times New Roman"/>
          <w:i/>
          <w:szCs w:val="24"/>
          <w:lang w:val="lv-LV"/>
        </w:rPr>
        <w:t xml:space="preserve">Orams </w:t>
      </w:r>
      <w:r w:rsidRPr="00E45AA2">
        <w:rPr>
          <w:rFonts w:ascii="Times New Roman" w:hAnsi="Times New Roman" w:cs="Times New Roman"/>
          <w:szCs w:val="24"/>
          <w:lang w:val="lv-LV"/>
        </w:rPr>
        <w:t>lietā, kura tika iz</w:t>
      </w:r>
      <w:r w:rsidR="00FE70B0">
        <w:rPr>
          <w:rFonts w:ascii="Times New Roman" w:hAnsi="Times New Roman" w:cs="Times New Roman"/>
          <w:szCs w:val="24"/>
          <w:lang w:val="lv-LV"/>
        </w:rPr>
        <w:t>skatīta gan EST (skatīt augstāk</w:t>
      </w:r>
      <w:r w:rsidRPr="00E45AA2">
        <w:rPr>
          <w:rFonts w:ascii="Times New Roman" w:hAnsi="Times New Roman" w:cs="Times New Roman"/>
          <w:szCs w:val="24"/>
          <w:lang w:val="lv-LV"/>
        </w:rPr>
        <w:t xml:space="preserve">minēto 61. punktu), gan Eiropas Cilvēktiesību tiesā (skatīt lietu </w:t>
      </w:r>
      <w:r w:rsidRPr="00E45AA2">
        <w:rPr>
          <w:rFonts w:ascii="Times New Roman" w:hAnsi="Times New Roman" w:cs="Times New Roman"/>
          <w:i/>
          <w:szCs w:val="24"/>
          <w:lang w:val="lv-LV"/>
        </w:rPr>
        <w:t>Orams pret Kipru</w:t>
      </w:r>
      <w:r w:rsidRPr="00E45AA2">
        <w:rPr>
          <w:rFonts w:ascii="Times New Roman" w:hAnsi="Times New Roman" w:cs="Times New Roman"/>
          <w:szCs w:val="24"/>
          <w:lang w:val="lv-LV"/>
        </w:rPr>
        <w:t xml:space="preserve"> (lēmums), Nr. 27841/07, 2010. gada 10. jūnijs). </w:t>
      </w:r>
      <w:r w:rsidRPr="00E45AA2">
        <w:rPr>
          <w:rFonts w:ascii="Times New Roman" w:hAnsi="Times New Roman" w:cs="Times New Roman"/>
          <w:i/>
          <w:szCs w:val="24"/>
          <w:lang w:val="lv-LV"/>
        </w:rPr>
        <w:t xml:space="preserve">Orams </w:t>
      </w:r>
      <w:r w:rsidRPr="00E45AA2">
        <w:rPr>
          <w:rFonts w:ascii="Times New Roman" w:hAnsi="Times New Roman" w:cs="Times New Roman"/>
          <w:szCs w:val="24"/>
          <w:lang w:val="lv-LV"/>
        </w:rPr>
        <w:t xml:space="preserve">lietā iesniedzēji varēja pārsūdzēt </w:t>
      </w:r>
      <w:r w:rsidR="00C97BA6">
        <w:rPr>
          <w:rFonts w:ascii="Times New Roman" w:hAnsi="Times New Roman" w:cs="Times New Roman"/>
          <w:szCs w:val="24"/>
          <w:lang w:val="lv-LV"/>
        </w:rPr>
        <w:t xml:space="preserve">apstrīdētu </w:t>
      </w:r>
      <w:r w:rsidRPr="00E45AA2">
        <w:rPr>
          <w:rFonts w:ascii="Times New Roman" w:hAnsi="Times New Roman" w:cs="Times New Roman"/>
          <w:szCs w:val="24"/>
          <w:lang w:val="lv-LV"/>
        </w:rPr>
        <w:t xml:space="preserve">spriedumu. Viņu advokāts bija informēts par tiesas sēdi Kipras Augstākajā tiesā, kurā šī lieta tika izskatīta, ieradās un izvirzīja savus argumentus klientu lietā. Strasbūrā iesniedzēji sūdzējās vienīgi par to, ka nav bijis rakstiska informējoša paziņojuma, un Tiesa atzina, ka 6. panta 1. punktā noteiktās garantijas neparedz sūtīt rakstisku paziņojumu. Turpretī šajā lietā iesniedzējs nesaņēma dokumentu, ar kuru tika celta prasība.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77</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Turklāt iesniedzējs apgalvoja, ka pēc aizdevuma parāda apmaksas pēc brīvas gribas viņš nevarēja paredzēt, ka pret viņu var tikt celta prasība Kiprā. Latvijas Augstākās tiesas Senātam vajadzēja pietikt ar to, ka Kiprā juridiski un faktiski pastāv iespēja pārsūdzēt apstrīdētu spriedumu, nevis attiecināt uz iesniedzēju visu pierādīšanas pienākumu. Iesniedzējs uzskata, ka viņu nevajadzētu kritizēt par to, ka viņš pārsūdzējis Kipras spriedumu trīs iemeslu dēļ. Pirmkārt, pats spriedums neietvēra nekādas atsauces uz pieejamiem tiesiskās aizsardzības līdzekļiem. Otrkārt, pierādīšanas pienākuma attiecināšana uz iesniedzēju bija pretrunā pieejai, ko EST bija izmantojusi </w:t>
      </w:r>
      <w:r w:rsidRPr="00E45AA2">
        <w:rPr>
          <w:rFonts w:ascii="Times New Roman" w:hAnsi="Times New Roman" w:cs="Times New Roman"/>
          <w:i/>
          <w:szCs w:val="24"/>
          <w:lang w:val="lv-LV"/>
        </w:rPr>
        <w:t xml:space="preserve">ASML </w:t>
      </w:r>
      <w:r w:rsidRPr="00E45AA2">
        <w:rPr>
          <w:rFonts w:ascii="Times New Roman" w:hAnsi="Times New Roman" w:cs="Times New Roman"/>
          <w:szCs w:val="24"/>
          <w:lang w:val="lv-LV"/>
        </w:rPr>
        <w:t xml:space="preserve">spriedumā, saskaņā ar kuru „atbildētājam [bija] iespējams” uzsākt attiecībā uz viņu pieņemta aizmuguriska sprieduma </w:t>
      </w:r>
      <w:r w:rsidRPr="00E45AA2">
        <w:rPr>
          <w:rFonts w:ascii="Times New Roman" w:hAnsi="Times New Roman" w:cs="Times New Roman"/>
          <w:szCs w:val="24"/>
          <w:lang w:val="lv-LV"/>
        </w:rPr>
        <w:lastRenderedPageBreak/>
        <w:t>pārsūdzēšanas procedūru tikai tad, ja viņam bija faktiski zināms tā saturs, jo tas bija izsniegts vai paziņots pietiekami laicīgi, lai viņš varētu nodrošināt sev aizstāvību izcelsme</w:t>
      </w:r>
      <w:r w:rsidR="00FE70B0">
        <w:rPr>
          <w:rFonts w:ascii="Times New Roman" w:hAnsi="Times New Roman" w:cs="Times New Roman"/>
          <w:szCs w:val="24"/>
          <w:lang w:val="lv-LV"/>
        </w:rPr>
        <w:t>s valsts tiesā” (skatīt augstāk</w:t>
      </w:r>
      <w:r w:rsidRPr="00E45AA2">
        <w:rPr>
          <w:rFonts w:ascii="Times New Roman" w:hAnsi="Times New Roman" w:cs="Times New Roman"/>
          <w:szCs w:val="24"/>
          <w:lang w:val="lv-LV"/>
        </w:rPr>
        <w:t>minēto 58. punktu). Treškārt, saskaņā ar Kipras valdības iesniegto informāciju tādas pārsūdzības iespējamība, kas ir iesniegta pēc atļautā termiņa, ir ļoti spekulatīva un lēmums par to ir atstāj</w:t>
      </w:r>
      <w:r w:rsidR="00FE70B0">
        <w:rPr>
          <w:rFonts w:ascii="Times New Roman" w:hAnsi="Times New Roman" w:cs="Times New Roman"/>
          <w:szCs w:val="24"/>
          <w:lang w:val="lv-LV"/>
        </w:rPr>
        <w:t>ams tiesas ziņā (skatīt augstāk</w:t>
      </w:r>
      <w:r w:rsidRPr="00E45AA2">
        <w:rPr>
          <w:rFonts w:ascii="Times New Roman" w:hAnsi="Times New Roman" w:cs="Times New Roman"/>
          <w:szCs w:val="24"/>
          <w:lang w:val="lv-LV"/>
        </w:rPr>
        <w:t xml:space="preserve">minēto 68. punktu). Turklāt, tā kā Rīgas apgabaltiesas 2006. gada 2. oktobrī pasludinātais </w:t>
      </w:r>
      <w:r w:rsidR="00EB4F6E" w:rsidRPr="00E45AA2">
        <w:rPr>
          <w:rFonts w:ascii="Times New Roman" w:hAnsi="Times New Roman" w:cs="Times New Roman"/>
          <w:szCs w:val="24"/>
          <w:lang w:val="lv-LV"/>
        </w:rPr>
        <w:t xml:space="preserve">spriedums, ar kuru tā atteicās </w:t>
      </w:r>
      <w:r w:rsidRPr="00E45AA2">
        <w:rPr>
          <w:rFonts w:ascii="Times New Roman" w:hAnsi="Times New Roman" w:cs="Times New Roman"/>
          <w:szCs w:val="24"/>
          <w:lang w:val="lv-LV"/>
        </w:rPr>
        <w:t>izpildīt spriedumu, bija iesnied</w:t>
      </w:r>
      <w:r w:rsidR="00FE70B0">
        <w:rPr>
          <w:rFonts w:ascii="Times New Roman" w:hAnsi="Times New Roman" w:cs="Times New Roman"/>
          <w:szCs w:val="24"/>
          <w:lang w:val="lv-LV"/>
        </w:rPr>
        <w:t>zējam labvēlīgs (skatīt augstāk</w:t>
      </w:r>
      <w:r w:rsidRPr="00E45AA2">
        <w:rPr>
          <w:rFonts w:ascii="Times New Roman" w:hAnsi="Times New Roman" w:cs="Times New Roman"/>
          <w:szCs w:val="24"/>
          <w:lang w:val="lv-LV"/>
        </w:rPr>
        <w:t xml:space="preserve">minēto 32. punktu), viņam tajā brīdī nebija iemesla mēģināt pārsūdzēt spriedumu Kiprā.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78</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Ņemot vērā minētos argumentus, iesniedzējs uzskatīja, ka, paziņojot Kipras spriedumu par izpildāmu un atsakoties izskatīt iesniedzēja argumentu par to, ka viņš nav ticis pienācīgi informēts par lietas izskatīšanu Kipras tiesā, Latvijas tiesas nav ievērojušas tiesības uz lietas taisnīgu izskatīšanu, tādējādi pārkāpjot Konvencijas 6. panta 1. punktu.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79</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Visbeidzot, vēl joprojām raugoties no 6. panta 1. punkta skatupunkta, iesniedzējs sūdzējās par kārtību, kādā norisinājās 2007. gada 31. janvāra Augstākās tiesas Senāta sēde. Viņš īpaši s</w:t>
      </w:r>
      <w:r w:rsidR="00EB4F6E" w:rsidRPr="00E45AA2">
        <w:rPr>
          <w:rFonts w:ascii="Times New Roman" w:hAnsi="Times New Roman" w:cs="Times New Roman"/>
          <w:szCs w:val="24"/>
          <w:lang w:val="lv-LV"/>
        </w:rPr>
        <w:t xml:space="preserve">ūdzējās, ka nav ticis ievērots </w:t>
      </w:r>
      <w:r w:rsidRPr="00E45AA2">
        <w:rPr>
          <w:rFonts w:ascii="Times New Roman" w:hAnsi="Times New Roman" w:cs="Times New Roman"/>
          <w:szCs w:val="24"/>
          <w:lang w:val="lv-LV"/>
        </w:rPr>
        <w:t xml:space="preserve">pušu līdztiesības princips un ka Senāts ir atteicies viņam izsniegt tiesas sēdes protokola kopiju. </w:t>
      </w:r>
    </w:p>
    <w:p w:rsidR="0013508E" w:rsidRPr="00E45AA2" w:rsidRDefault="0013508E" w:rsidP="00EB4F6E">
      <w:pPr>
        <w:pStyle w:val="ECHRHeading3"/>
        <w:numPr>
          <w:ilvl w:val="0"/>
          <w:numId w:val="0"/>
        </w:numPr>
        <w:ind w:left="720"/>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 xml:space="preserve">2.  Valdība-atbildētāja </w:t>
      </w:r>
    </w:p>
    <w:p w:rsidR="00EB4F6E" w:rsidRPr="00E45AA2" w:rsidRDefault="00EB4F6E" w:rsidP="00EB4F6E">
      <w:pPr>
        <w:pStyle w:val="ECHRPara"/>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80</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Atšķirībā no iesniedzēja valdība-atbildētāja uzskatīja, ka </w:t>
      </w:r>
      <w:r w:rsidRPr="00E45AA2">
        <w:rPr>
          <w:rFonts w:ascii="Times New Roman" w:hAnsi="Times New Roman" w:cs="Times New Roman"/>
          <w:i/>
          <w:szCs w:val="24"/>
          <w:lang w:val="lv-LV"/>
        </w:rPr>
        <w:t xml:space="preserve">Bosphorus </w:t>
      </w:r>
      <w:r w:rsidRPr="00E45AA2">
        <w:rPr>
          <w:rFonts w:ascii="Times New Roman" w:hAnsi="Times New Roman" w:cs="Times New Roman"/>
          <w:szCs w:val="24"/>
          <w:lang w:val="lv-LV"/>
        </w:rPr>
        <w:t>prezu</w:t>
      </w:r>
      <w:r w:rsidR="00F51730" w:rsidRPr="00E45AA2">
        <w:rPr>
          <w:rFonts w:ascii="Times New Roman" w:hAnsi="Times New Roman" w:cs="Times New Roman"/>
          <w:szCs w:val="24"/>
          <w:lang w:val="lv-LV"/>
        </w:rPr>
        <w:t>mpcija šajā lietā ir piemērojama</w:t>
      </w:r>
      <w:r w:rsidRPr="00E45AA2">
        <w:rPr>
          <w:rFonts w:ascii="Times New Roman" w:hAnsi="Times New Roman" w:cs="Times New Roman"/>
          <w:szCs w:val="24"/>
          <w:lang w:val="lv-LV"/>
        </w:rPr>
        <w:t>. Pirmkārt, tā minēja, ka neatzīšanas pamatojums, kas minēts Briseles I regulas 34. panta 2. punktā, nevar tikt interpretēts kā rīcības brīvības piešķiršana tās dalībvalsts tiesai, kurā tiek prasīta sprieduma izpilde, tā kā pamatojums atzīšanas atteikšanai ir skaidri norādīts minētā panta tekstā. Atsaucoties uz paskaidrojuma rakstu par pied</w:t>
      </w:r>
      <w:r w:rsidR="00FE70B0">
        <w:rPr>
          <w:rFonts w:ascii="Times New Roman" w:hAnsi="Times New Roman" w:cs="Times New Roman"/>
          <w:szCs w:val="24"/>
          <w:lang w:val="lv-LV"/>
        </w:rPr>
        <w:t>āvājumu regulai (skatīt augstāk</w:t>
      </w:r>
      <w:r w:rsidRPr="00E45AA2">
        <w:rPr>
          <w:rFonts w:ascii="Times New Roman" w:hAnsi="Times New Roman" w:cs="Times New Roman"/>
          <w:szCs w:val="24"/>
          <w:lang w:val="lv-LV"/>
        </w:rPr>
        <w:t xml:space="preserve">minēto 56. punktu) un uz EST spriedumu lietā </w:t>
      </w:r>
      <w:r w:rsidRPr="00E45AA2">
        <w:rPr>
          <w:rFonts w:ascii="Times New Roman" w:hAnsi="Times New Roman" w:cs="Times New Roman"/>
          <w:i/>
          <w:szCs w:val="24"/>
          <w:lang w:val="lv-LV"/>
        </w:rPr>
        <w:t>Apostolides pret Orams</w:t>
      </w:r>
      <w:r w:rsidR="00FE70B0">
        <w:rPr>
          <w:rFonts w:ascii="Times New Roman" w:hAnsi="Times New Roman" w:cs="Times New Roman"/>
          <w:szCs w:val="24"/>
          <w:lang w:val="lv-LV"/>
        </w:rPr>
        <w:t xml:space="preserve"> (skatīt augstāk</w:t>
      </w:r>
      <w:r w:rsidRPr="00E45AA2">
        <w:rPr>
          <w:rFonts w:ascii="Times New Roman" w:hAnsi="Times New Roman" w:cs="Times New Roman"/>
          <w:szCs w:val="24"/>
          <w:lang w:val="lv-LV"/>
        </w:rPr>
        <w:t xml:space="preserve">minēto 60. punktu), valdība-atbildētāja paskaidroja, ka Eiropas Savienības institūcijas speciāli izvēlējās regulas juridisko formu, lai neatstātu dalībvalstīm nekādu rīcības brīvību. Regulas noteikumi ir autonomi un nevar tikt interpretēti vai piemēroti konkrētās valsts tiesību aktu gaismā; 34. pants bija jāievēro precīzi, jo tas ietver šķērsli viena no regulas pamata mērķu sasniegšanai. Turklāt tiesai, kurai bija jurisdikcija lemt par sprieduma izpildi attiecīgajā dalībvalstī, nebija tiesību pēc savas iniciatīvas pārbaudīt neizpildes iespējamo pamatojumu. Līdz ar to Augstākās tiesas Senātam nebija nekādas rīcības brīvības, lemjot par Limasolas apgabaltiesas sprieduma atzīšanu un izpildi. Tā darot, </w:t>
      </w:r>
      <w:r w:rsidR="00C97BA6">
        <w:rPr>
          <w:rFonts w:ascii="Times New Roman" w:hAnsi="Times New Roman" w:cs="Times New Roman"/>
          <w:szCs w:val="24"/>
          <w:lang w:val="lv-LV"/>
        </w:rPr>
        <w:t>Senāts</w:t>
      </w:r>
      <w:r w:rsidRPr="00E45AA2">
        <w:rPr>
          <w:rFonts w:ascii="Times New Roman" w:hAnsi="Times New Roman" w:cs="Times New Roman"/>
          <w:szCs w:val="24"/>
          <w:lang w:val="lv-LV"/>
        </w:rPr>
        <w:t xml:space="preserve"> </w:t>
      </w:r>
      <w:r w:rsidR="00E82FF1">
        <w:rPr>
          <w:rFonts w:ascii="Times New Roman" w:hAnsi="Times New Roman" w:cs="Times New Roman"/>
          <w:szCs w:val="24"/>
          <w:lang w:val="lv-LV"/>
        </w:rPr>
        <w:t>tikai</w:t>
      </w:r>
      <w:r w:rsidRPr="00E45AA2">
        <w:rPr>
          <w:rFonts w:ascii="Times New Roman" w:hAnsi="Times New Roman" w:cs="Times New Roman"/>
          <w:szCs w:val="24"/>
          <w:lang w:val="lv-LV"/>
        </w:rPr>
        <w:t xml:space="preserve"> precīzi ievēroja savus pienākumus, ko paredz Latvijas dalība Eiropas Savienībā.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81</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Otrkārt, valdība-atbildētāja uzstāja, ka fakts, ka Augstākās tiesas Senāts nebija pilnā mērā izmantojis ES tiesību aktos noteikto kontroles mehānismu, nekļuva par iemeslu </w:t>
      </w:r>
      <w:r w:rsidRPr="00E45AA2">
        <w:rPr>
          <w:rFonts w:ascii="Times New Roman" w:hAnsi="Times New Roman" w:cs="Times New Roman"/>
          <w:i/>
          <w:szCs w:val="24"/>
          <w:lang w:val="lv-LV"/>
        </w:rPr>
        <w:t>Bosphorus</w:t>
      </w:r>
      <w:r w:rsidRPr="00E45AA2">
        <w:rPr>
          <w:rFonts w:ascii="Times New Roman" w:hAnsi="Times New Roman" w:cs="Times New Roman"/>
          <w:szCs w:val="24"/>
          <w:lang w:val="lv-LV"/>
        </w:rPr>
        <w:t xml:space="preserve"> prezumpcijas atspēkošanai. </w:t>
      </w:r>
      <w:r w:rsidRPr="00E45AA2">
        <w:rPr>
          <w:rFonts w:ascii="Times New Roman" w:hAnsi="Times New Roman" w:cs="Times New Roman"/>
          <w:szCs w:val="24"/>
          <w:lang w:val="lv-LV"/>
        </w:rPr>
        <w:lastRenderedPageBreak/>
        <w:t xml:space="preserve">Valdība-atbildētāja </w:t>
      </w:r>
      <w:r w:rsidR="00B46912" w:rsidRPr="00E45AA2">
        <w:rPr>
          <w:rFonts w:ascii="Times New Roman" w:hAnsi="Times New Roman" w:cs="Times New Roman"/>
          <w:szCs w:val="24"/>
          <w:lang w:val="lv-LV"/>
        </w:rPr>
        <w:t xml:space="preserve">uzskatīja, ka šīs prezumpcijas </w:t>
      </w:r>
      <w:r w:rsidRPr="00E45AA2">
        <w:rPr>
          <w:rFonts w:ascii="Times New Roman" w:hAnsi="Times New Roman" w:cs="Times New Roman"/>
          <w:szCs w:val="24"/>
          <w:lang w:val="lv-LV"/>
        </w:rPr>
        <w:t xml:space="preserve">piemērošana nevarētu tikt pakļauta prasībai attiecīgās valsts tiesām pieprasīt prejudiciālu nolēmumu no EST visos gadījumos bez izņēmuma, jo tas nonāktu pretrunā ar sadarbības garu, kam jāvalda attiecībās starp valsts tiesām un EST. </w:t>
      </w:r>
      <w:r w:rsidR="00045D9E">
        <w:rPr>
          <w:rFonts w:ascii="Times New Roman" w:hAnsi="Times New Roman" w:cs="Times New Roman"/>
          <w:szCs w:val="24"/>
          <w:lang w:val="lv-LV"/>
        </w:rPr>
        <w:t>Nacionālās</w:t>
      </w:r>
      <w:r w:rsidRPr="00E45AA2">
        <w:rPr>
          <w:rFonts w:ascii="Times New Roman" w:hAnsi="Times New Roman" w:cs="Times New Roman"/>
          <w:szCs w:val="24"/>
          <w:lang w:val="lv-LV"/>
        </w:rPr>
        <w:t xml:space="preserve"> tiesas lūdz prejudiciālu nolēmumu tikai tādos gadījumos, kad ir šaubas par ES tiesību aktu pareizu interpretēšanu un piemērošanu. Šīm tiesām nav pienākuma to darīt, ja tās uzskata, ka attiecīgais jautājums nav atbilstošs, ka EST jau ir interpretējusi attiecīgo noteikumu vai ka ES tiesību aktu pareiza piemērošana ir tik acīmredzama, ka nav iemesla pamatotām šaubām. Tieši šāda situācija bija vērojama šajā lietā, jo spēkā esošā EST judikatūra ir bijusi pietiekama skaidra attiecībā uz Briseles I regulas 34. panta 2. punkta prasību nozīmi un apmēru. Turklāt, ja iesniedzējs būtu uzskatījis, ka par šo noteikumu ir nepieciešami paskaidrojumi, viņš būtu varējis lūgt Augstākās tiesas Senātam vērsties EST, lai iegūtu prejudiciālu nolēmumu. Fakts, ka tas netika izdarīts, norāda, ka viņš uzskatīja, ka tas nav nepieciešams.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82</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Valdība-atbildētāja piebilda, ka, noraidot iesniedzēja argumentu par to, ka viņš nav ticis pienācīgi informēts par tiesvedību, pamatojot to vienīgi ar faktu, ka viņš nav pārsūdzējis Kipras spriedumu, Augstākās tiesas Senāts rīkojās saskaņā ar Briseles I regulas 34. panta 2. punktu, kā to interpretē EST. Nevienā brīdī iesniedzējs nav apgalvojis, vēl jo mazāk pierādījis nacionālajās tiesās vai Strasbūras tiesā, ka viņš ir vismaz mēģinājis uzsākt pārsūdzības tiesvedību Kiprā. Turklāt bija pamatots iemesls uzskatīt, ka, ņemot vērā sešu mēnešu </w:t>
      </w:r>
      <w:r w:rsidR="00F13D42">
        <w:rPr>
          <w:rFonts w:ascii="Times New Roman" w:hAnsi="Times New Roman" w:cs="Times New Roman"/>
          <w:szCs w:val="24"/>
          <w:lang w:val="lv-LV"/>
        </w:rPr>
        <w:t>laika posmu</w:t>
      </w:r>
      <w:r w:rsidRPr="00E45AA2">
        <w:rPr>
          <w:rFonts w:ascii="Times New Roman" w:hAnsi="Times New Roman" w:cs="Times New Roman"/>
          <w:szCs w:val="24"/>
          <w:lang w:val="lv-LV"/>
        </w:rPr>
        <w:t>, kas pagāja no 2006. gada jūnija (kad iesniedzējs tika iepazīstināts ar Kipras sprieduma saturu) un 2007. gada janvāri (kad Augstākās tiesas Senāts bija izskatījis lietu), iesniedzējam bija pietiekami daudz laika pārsūdzēt spriedumu Kiprā. Šajā sakarā valdība-atbildētāja atsaucās uz Kipras valdības apsvērumiem, no kuriem bija skaidri redzams, ka šāds tiesiskās aizsardzības līdzeklis bija pieejams gan teorētiski, gan praktiski un nebija pakļauts stingram termiņ</w:t>
      </w:r>
      <w:r w:rsidR="00FE70B0">
        <w:rPr>
          <w:rFonts w:ascii="Times New Roman" w:hAnsi="Times New Roman" w:cs="Times New Roman"/>
          <w:szCs w:val="24"/>
          <w:lang w:val="lv-LV"/>
        </w:rPr>
        <w:t>a ierobežojumam (skatīt augstāk</w:t>
      </w:r>
      <w:r w:rsidRPr="00E45AA2">
        <w:rPr>
          <w:rFonts w:ascii="Times New Roman" w:hAnsi="Times New Roman" w:cs="Times New Roman"/>
          <w:szCs w:val="24"/>
          <w:lang w:val="lv-LV"/>
        </w:rPr>
        <w:t xml:space="preserve">minēto 68. punktu). Valdība-atbildētāja apgalvoja, ka Briseles I regulas 34. panta 2. punkts bija balstīts uz pieņēmumu, ka jebkāda veida trūkumi aizmuguriskā spriedumā jānovērš izcelsmes valstī. Ja iesniedzējs būtu pārsūdzējis spriedumu Kipras tiesās, Latvijas Augstākā tiesa būtu varējusi apturēt vai atlikt izpildes procesu saskaņā ar Regulas 37. panta 1. punktu un 46. panta 1. punktu. Nepārsūdzot spriedumu bez nopietna pamatojuma, iesniedzējs neļāva Latvijas tiesām atteikt sprieduma izpildi.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83</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Ņemot vērā faktu, ka iesniedzējs ir bijis investīciju konsultants, valdība-atbildētāja uzskatīja, ka viņam vajadzēja zināt, ka aizdevuma</w:t>
      </w:r>
      <w:r w:rsidR="003A5856" w:rsidRPr="00E45AA2">
        <w:rPr>
          <w:rFonts w:ascii="Times New Roman" w:hAnsi="Times New Roman" w:cs="Times New Roman"/>
          <w:szCs w:val="24"/>
          <w:lang w:val="lv-LV"/>
        </w:rPr>
        <w:t xml:space="preserve"> parāda</w:t>
      </w:r>
      <w:r w:rsidRPr="00E45AA2">
        <w:rPr>
          <w:rFonts w:ascii="Times New Roman" w:hAnsi="Times New Roman" w:cs="Times New Roman"/>
          <w:szCs w:val="24"/>
          <w:lang w:val="lv-LV"/>
        </w:rPr>
        <w:t xml:space="preserve"> neatmaksāšana var kļūt par iemeslu tiesvedībai Kipras tiesās un ka uzaicinājums tiks nosūtīts uz adresi, kas norādīta aizdevuma </w:t>
      </w:r>
      <w:r w:rsidR="00F13D42">
        <w:rPr>
          <w:rFonts w:ascii="Times New Roman" w:hAnsi="Times New Roman" w:cs="Times New Roman"/>
          <w:szCs w:val="24"/>
          <w:lang w:val="lv-LV"/>
        </w:rPr>
        <w:t>apstiprinājuma aktā</w:t>
      </w:r>
      <w:r w:rsidRPr="00E45AA2">
        <w:rPr>
          <w:rFonts w:ascii="Times New Roman" w:hAnsi="Times New Roman" w:cs="Times New Roman"/>
          <w:szCs w:val="24"/>
          <w:lang w:val="lv-LV"/>
        </w:rPr>
        <w:t xml:space="preserve">. Tā kā iesniedzējs nebija iesniedzis savu patieso adresi uzņēmumam, ar kuru viņš noslēdza aizdevuma līgumu), viņa uzvedību, iespējams, varētu raksturot kā tiesību ļaunprātīgu izmantošanu Konvencijas 17. panta nolūkos. Turklāt, tā kā iesniedzējs bija piekritis Kipras tiesību aktu piemērošanai, </w:t>
      </w:r>
      <w:r w:rsidRPr="00E45AA2">
        <w:rPr>
          <w:rFonts w:ascii="Times New Roman" w:hAnsi="Times New Roman" w:cs="Times New Roman"/>
          <w:szCs w:val="24"/>
          <w:lang w:val="lv-LV"/>
        </w:rPr>
        <w:lastRenderedPageBreak/>
        <w:t xml:space="preserve">jāpieņem, ka viņam bija labi zināma Kipras tiesību sistēma, </w:t>
      </w:r>
      <w:r w:rsidR="006B24BF">
        <w:rPr>
          <w:rFonts w:ascii="Times New Roman" w:hAnsi="Times New Roman" w:cs="Times New Roman"/>
          <w:szCs w:val="24"/>
          <w:lang w:val="lv-LV"/>
        </w:rPr>
        <w:t xml:space="preserve">tajā skaitā </w:t>
      </w:r>
      <w:r w:rsidRPr="00E45AA2">
        <w:rPr>
          <w:rFonts w:ascii="Times New Roman" w:hAnsi="Times New Roman" w:cs="Times New Roman"/>
          <w:szCs w:val="24"/>
          <w:lang w:val="lv-LV"/>
        </w:rPr>
        <w:t>pieejam</w:t>
      </w:r>
      <w:r w:rsidR="006B24BF">
        <w:rPr>
          <w:rFonts w:ascii="Times New Roman" w:hAnsi="Times New Roman" w:cs="Times New Roman"/>
          <w:szCs w:val="24"/>
          <w:lang w:val="lv-LV"/>
        </w:rPr>
        <w:t>ie</w:t>
      </w:r>
      <w:r w:rsidR="009F2AB8">
        <w:rPr>
          <w:rFonts w:ascii="Times New Roman" w:hAnsi="Times New Roman" w:cs="Times New Roman"/>
          <w:szCs w:val="24"/>
          <w:lang w:val="lv-LV"/>
        </w:rPr>
        <w:t xml:space="preserve"> tiesiskās aizsardzības līdzekļ</w:t>
      </w:r>
      <w:r w:rsidR="006B24BF">
        <w:rPr>
          <w:rFonts w:ascii="Times New Roman" w:hAnsi="Times New Roman" w:cs="Times New Roman"/>
          <w:szCs w:val="24"/>
          <w:lang w:val="lv-LV"/>
        </w:rPr>
        <w:t>i</w:t>
      </w:r>
      <w:r w:rsidRPr="00E45AA2">
        <w:rPr>
          <w:rFonts w:ascii="Times New Roman" w:hAnsi="Times New Roman" w:cs="Times New Roman"/>
          <w:szCs w:val="24"/>
          <w:lang w:val="lv-LV"/>
        </w:rPr>
        <w:t xml:space="preserve">. Līdz ar to viņa arguments, ka Kipras spriedumā nebija norāžu uz pieejamiem tiesiskās aizsardzības līdzekļiem, nebija pamatots, ņemot vērā, ka ne Briseles I regula, ne Kipras tiesību akti, ne Konvencijas 6. panta 1. punkts neparedz, ka tiesām savos spriedumos jāiekļauj šāda norāde. No tā izriet, ka situācija, par kuru iesniedzējs sūdzējās tiesā, bija radusies viņa paša darbības rezultātā.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84</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Valdība-atbildētāja argumentēja, ka viens no Eiropas Savienības mērķiem ir nodrošināt efektīvu kopējā tirgus funkcionēšanu. Šī mērķa sasniegšana un atbilstība tam, kā arī savstarpēja uzticēšanās tiesvedības pārvaldībai ir vispārējo interešu jautājums, kas ir pietiekami, lai attaisnotu dažus ierobežojumus attiecībā uz tiesībām uz lietas taisnīgu izskatīšanu, it sevišķi tāpēc, ka procesa taisnīgums ir arī viens no ES tiesību aktu pamatprincipiem, ko atzinusi EST. Līdz ar to Briseles I regulas iedibinātā sistēma ievēro tiesības uz lietas taisnīgu izskatīšanu. Attiecīgi, raugoties no </w:t>
      </w:r>
      <w:r w:rsidRPr="00E45AA2">
        <w:rPr>
          <w:rFonts w:ascii="Times New Roman" w:hAnsi="Times New Roman" w:cs="Times New Roman"/>
          <w:i/>
          <w:szCs w:val="24"/>
          <w:lang w:val="lv-LV"/>
        </w:rPr>
        <w:t>Bosphorus</w:t>
      </w:r>
      <w:r w:rsidRPr="00E45AA2">
        <w:rPr>
          <w:rFonts w:ascii="Times New Roman" w:hAnsi="Times New Roman" w:cs="Times New Roman"/>
          <w:szCs w:val="24"/>
          <w:lang w:val="lv-LV"/>
        </w:rPr>
        <w:t xml:space="preserve"> </w:t>
      </w:r>
      <w:r w:rsidR="002C2CEB" w:rsidRPr="00E45AA2">
        <w:rPr>
          <w:rFonts w:ascii="Times New Roman" w:hAnsi="Times New Roman" w:cs="Times New Roman"/>
          <w:szCs w:val="24"/>
          <w:lang w:val="lv-LV"/>
        </w:rPr>
        <w:t>prezumpcijas</w:t>
      </w:r>
      <w:r w:rsidRPr="00E45AA2">
        <w:rPr>
          <w:rFonts w:ascii="Times New Roman" w:hAnsi="Times New Roman" w:cs="Times New Roman"/>
          <w:szCs w:val="24"/>
          <w:lang w:val="lv-LV"/>
        </w:rPr>
        <w:t xml:space="preserve"> skatupunkta, valdība-atbildētāja lūdza tiesu atzīt, ka Augstākās tiesas Senāts </w:t>
      </w:r>
      <w:r w:rsidR="004C020F">
        <w:rPr>
          <w:rFonts w:ascii="Times New Roman" w:hAnsi="Times New Roman" w:cs="Times New Roman"/>
          <w:szCs w:val="24"/>
          <w:lang w:val="lv-LV"/>
        </w:rPr>
        <w:t>ir</w:t>
      </w:r>
      <w:r w:rsidRPr="00E45AA2">
        <w:rPr>
          <w:rFonts w:ascii="Times New Roman" w:hAnsi="Times New Roman" w:cs="Times New Roman"/>
          <w:szCs w:val="24"/>
          <w:lang w:val="lv-LV"/>
        </w:rPr>
        <w:t xml:space="preserve"> pienācīgi ņēmis vērā iesniedzēja tiesības saskaņā ar Konvencijas 6. panta 1. punktu.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85</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Visbeidzot valdība-atbildētāja noraidīja iesniedzēja sūdzību, ka 2007. gada 31. janvārī notikušās sēdes kārtība bij</w:t>
      </w:r>
      <w:r w:rsidR="0002660D">
        <w:rPr>
          <w:rFonts w:ascii="Times New Roman" w:hAnsi="Times New Roman" w:cs="Times New Roman"/>
          <w:szCs w:val="24"/>
          <w:lang w:val="lv-LV"/>
        </w:rPr>
        <w:t>usi</w:t>
      </w:r>
      <w:r w:rsidRPr="00E45AA2">
        <w:rPr>
          <w:rFonts w:ascii="Times New Roman" w:hAnsi="Times New Roman" w:cs="Times New Roman"/>
          <w:szCs w:val="24"/>
          <w:lang w:val="lv-LV"/>
        </w:rPr>
        <w:t xml:space="preserve"> netaisnīga. Valdība-atbildētāja uzskata, ka no Augstākās tiesas sprieduma skaidri redzams, ka iesniedzēja advokātam bija iespēja tiesā mutiski paust savus argumentus. Tiesas sēdes protokols netika sastādīts, jo to šādā gadījumā nepieprasa nacionālie tiesību akti. Turklāt 6. panta 1. punkts nepieprasa </w:t>
      </w:r>
      <w:r w:rsidR="006E38EB">
        <w:rPr>
          <w:rFonts w:ascii="Times New Roman" w:hAnsi="Times New Roman" w:cs="Times New Roman"/>
          <w:szCs w:val="24"/>
          <w:lang w:val="lv-LV"/>
        </w:rPr>
        <w:t>nacionālajām</w:t>
      </w:r>
      <w:r w:rsidRPr="00E45AA2">
        <w:rPr>
          <w:rFonts w:ascii="Times New Roman" w:hAnsi="Times New Roman" w:cs="Times New Roman"/>
          <w:szCs w:val="24"/>
          <w:lang w:val="lv-LV"/>
        </w:rPr>
        <w:t xml:space="preserve"> tiesām sastādīt rakstisku tiesas sēdes protokolu par katru sēdi.</w:t>
      </w:r>
    </w:p>
    <w:p w:rsidR="0013508E" w:rsidRPr="00E45AA2" w:rsidRDefault="0013508E" w:rsidP="004E2811">
      <w:pPr>
        <w:pStyle w:val="ECHRHeading2"/>
        <w:numPr>
          <w:ilvl w:val="0"/>
          <w:numId w:val="0"/>
        </w:numPr>
        <w:rPr>
          <w:rFonts w:ascii="Times New Roman" w:hAnsi="Times New Roman" w:cs="Times New Roman"/>
          <w:color w:val="auto"/>
          <w:sz w:val="24"/>
          <w:szCs w:val="24"/>
          <w:lang w:val="lv-LV"/>
        </w:rPr>
      </w:pPr>
      <w:r w:rsidRPr="00E45AA2">
        <w:rPr>
          <w:rFonts w:ascii="Times New Roman" w:hAnsi="Times New Roman" w:cs="Times New Roman"/>
          <w:color w:val="auto"/>
          <w:sz w:val="24"/>
          <w:szCs w:val="24"/>
          <w:lang w:val="lv-LV"/>
        </w:rPr>
        <w:t>C.  Trešo pušu argumenti</w:t>
      </w:r>
    </w:p>
    <w:p w:rsidR="00E45AA2" w:rsidRPr="00E45AA2" w:rsidRDefault="00E45AA2" w:rsidP="00E45AA2">
      <w:pPr>
        <w:pStyle w:val="ECHRPara"/>
        <w:rPr>
          <w:lang w:val="lv-LV"/>
        </w:rPr>
      </w:pPr>
    </w:p>
    <w:p w:rsidR="0013508E" w:rsidRPr="00E45AA2" w:rsidRDefault="0013508E" w:rsidP="00E45AA2">
      <w:pPr>
        <w:pStyle w:val="ECHRHeading3"/>
        <w:numPr>
          <w:ilvl w:val="0"/>
          <w:numId w:val="0"/>
        </w:numPr>
        <w:spacing w:before="0"/>
        <w:ind w:left="720"/>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1.  Igaunijas valdība</w:t>
      </w:r>
    </w:p>
    <w:p w:rsidR="004E2811" w:rsidRPr="00E45AA2" w:rsidRDefault="004E2811" w:rsidP="00E45AA2">
      <w:pPr>
        <w:pStyle w:val="ECHRPara"/>
        <w:rPr>
          <w:lang w:val="lv-LV"/>
        </w:rPr>
      </w:pPr>
    </w:p>
    <w:p w:rsidR="0013508E" w:rsidRPr="00E45AA2" w:rsidRDefault="0013508E" w:rsidP="00E45AA2">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86</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Igaunijas valdība paskaidroja Briseles I regulas 34. panta (kas piemērojams lietas apstākļu norises laikā) </w:t>
      </w:r>
      <w:r w:rsidRPr="00E45AA2">
        <w:rPr>
          <w:rFonts w:ascii="Times New Roman" w:hAnsi="Times New Roman" w:cs="Times New Roman"/>
          <w:i/>
          <w:szCs w:val="24"/>
          <w:lang w:val="lv-LV"/>
        </w:rPr>
        <w:t>ratio legis</w:t>
      </w:r>
      <w:r w:rsidRPr="00E45AA2">
        <w:rPr>
          <w:rFonts w:ascii="Times New Roman" w:hAnsi="Times New Roman" w:cs="Times New Roman"/>
          <w:szCs w:val="24"/>
          <w:lang w:val="lv-LV"/>
        </w:rPr>
        <w:t xml:space="preserve">. Šis pants ticis rūpīgi izstrādāts un ir panācis līdzsvaru starp aizstāvības tiesību ievērošanu un, vienkāršojot formalitātes, nepieciešamību nodrošināt ātru un mērķtiecīgu no citām dalībvalstīm nākušu civillietu un komerclietu spriedumu atzīšanu un izpildi katrā dalībvalstī. Tas, kādā veidā minētais noteikums ir izstrādāts, neatstāj nekādu rīcības brīvību to dalībvalstu tiesām, kurās tiek prasīta sprieduma izpilde, īpaši kopš brīža, kad apjomīgā un skaidrā EST judikatūra tām ir sniegusi precīzas vadlīnijas attiecībā uz šī noteikuma piemērošanu. Šī iemesla dēļ </w:t>
      </w:r>
      <w:r w:rsidRPr="00E45AA2">
        <w:rPr>
          <w:rFonts w:ascii="Times New Roman" w:hAnsi="Times New Roman" w:cs="Times New Roman"/>
          <w:i/>
          <w:szCs w:val="24"/>
          <w:lang w:val="lv-LV"/>
        </w:rPr>
        <w:t xml:space="preserve">Bosphorus </w:t>
      </w:r>
      <w:r w:rsidRPr="00E45AA2">
        <w:rPr>
          <w:rFonts w:ascii="Times New Roman" w:hAnsi="Times New Roman" w:cs="Times New Roman"/>
          <w:szCs w:val="24"/>
          <w:lang w:val="lv-LV"/>
        </w:rPr>
        <w:t xml:space="preserve">prezumpcijas piemērošana nav pakļauta prasībai, ka dalībvalstu tiesām sistemātiski jālūdz prejudiciāls nolēmums no EST katrā lietā, kad vien ir piemērojams Briseles I regulas 34. panta 2. punkts.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87</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Igaunijas valdība lielu nozīmi piešķīra faktam, ka abas iesaistītās valstis, t.i., Kipra un Latvija, ir Konvencijas puses un ir pakļautas Tiesas jurisdikcijai. Līdz ar to, atšķirībā no lietām, kur izpildāmais spriedums nāk </w:t>
      </w:r>
      <w:r w:rsidRPr="00E45AA2">
        <w:rPr>
          <w:rFonts w:ascii="Times New Roman" w:hAnsi="Times New Roman" w:cs="Times New Roman"/>
          <w:szCs w:val="24"/>
          <w:lang w:val="lv-LV"/>
        </w:rPr>
        <w:lastRenderedPageBreak/>
        <w:t>no trešās valsts, tiesai, kurai tika prasīta izpildāmības deklarācija, nevajadzēja pārliecināties par to, vai tiesvedība izcelsmes valstī kopumā ir atbildusi Konvencijas 6. panta 1. punktam. Tās kontrolei bija jāaprobežojas ar izpild</w:t>
      </w:r>
      <w:r w:rsidR="00F451BA">
        <w:rPr>
          <w:rFonts w:ascii="Times New Roman" w:hAnsi="Times New Roman" w:cs="Times New Roman"/>
          <w:szCs w:val="24"/>
          <w:lang w:val="lv-LV"/>
        </w:rPr>
        <w:t>es</w:t>
      </w:r>
      <w:r w:rsidRPr="00E45AA2">
        <w:rPr>
          <w:rFonts w:ascii="Times New Roman" w:hAnsi="Times New Roman" w:cs="Times New Roman"/>
          <w:szCs w:val="24"/>
          <w:lang w:val="lv-LV"/>
        </w:rPr>
        <w:t xml:space="preserve"> procesa formalitātēm, tā kā atbildētājam bija atļauts izmantot savas no 6. panta 1. punkta izrietošās tiesības izcelsmes valsts tiesās.</w:t>
      </w:r>
    </w:p>
    <w:p w:rsidR="00E45AA2" w:rsidRPr="00E45AA2" w:rsidRDefault="0013508E" w:rsidP="00E45AA2">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88</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Igaunijas valdība minēja argumentu, ka, ja atbildētāji, pret kuriem ir vērsts aizmugurisks spriedums, nav pārsūdzējuši attiecīgo spriedumu izcelsmes valstī pēc tam, kad viņi par to ir uzzinājuši, un nav parādījuši, ka šāds tiesiskās aizsardzības līdzeklis būtu bijis neiespējams vai neefektīvs, tad tās valsts tiesai, kurā tiek prasīta izpilde, nav rīcības brīvības, izskatot pārsūdzību izpild</w:t>
      </w:r>
      <w:r w:rsidR="00F451BA">
        <w:rPr>
          <w:rFonts w:ascii="Times New Roman" w:hAnsi="Times New Roman" w:cs="Times New Roman"/>
          <w:szCs w:val="24"/>
          <w:lang w:val="lv-LV"/>
        </w:rPr>
        <w:t>e</w:t>
      </w:r>
      <w:r w:rsidRPr="00E45AA2">
        <w:rPr>
          <w:rFonts w:ascii="Times New Roman" w:hAnsi="Times New Roman" w:cs="Times New Roman"/>
          <w:szCs w:val="24"/>
          <w:lang w:val="lv-LV"/>
        </w:rPr>
        <w:t xml:space="preserve">s procesa kontekstā, atteikt otras puses prasību par atzīšanu un izpildi. Ņemot vērā Briseles I regulas 34. panta 2. punkta vispārējo jēgu un civilprocesa vispārējos principus, bija pamatoti pierādīšanas pienākumu šajā aspektā uzlikt atbildētājam. Briseles I regulas 34. panta 2. punkts piedāvāja personām aizsardzības standartu, kas ir vienāds ar to, ko piedāvā Konvencijas 6. panta 1. punkts </w:t>
      </w:r>
      <w:r w:rsidRPr="00E45AA2">
        <w:rPr>
          <w:rFonts w:ascii="Times New Roman" w:hAnsi="Times New Roman" w:cs="Times New Roman"/>
          <w:i/>
          <w:szCs w:val="24"/>
          <w:lang w:val="lv-LV"/>
        </w:rPr>
        <w:t xml:space="preserve">Bosphorus </w:t>
      </w:r>
      <w:r w:rsidRPr="00E45AA2">
        <w:rPr>
          <w:rFonts w:ascii="Times New Roman" w:hAnsi="Times New Roman" w:cs="Times New Roman"/>
          <w:szCs w:val="24"/>
          <w:lang w:val="lv-LV"/>
        </w:rPr>
        <w:t>judikatūras nolūkos, tādējādi pieprasot uzrunātajai valstij izpildīt spriedumu</w:t>
      </w:r>
      <w:r w:rsidR="00E45AA2" w:rsidRPr="00E45AA2">
        <w:rPr>
          <w:rFonts w:ascii="Times New Roman" w:hAnsi="Times New Roman" w:cs="Times New Roman"/>
          <w:szCs w:val="24"/>
          <w:lang w:val="lv-LV"/>
        </w:rPr>
        <w:t xml:space="preserve"> tik ātri, cik vien iespējams. </w:t>
      </w:r>
    </w:p>
    <w:p w:rsidR="00E45AA2" w:rsidRPr="00E45AA2" w:rsidRDefault="00E45AA2" w:rsidP="00E45AA2">
      <w:pPr>
        <w:pStyle w:val="ECHRPara"/>
        <w:rPr>
          <w:rFonts w:ascii="Times New Roman" w:hAnsi="Times New Roman" w:cs="Times New Roman"/>
          <w:szCs w:val="24"/>
          <w:lang w:val="lv-LV"/>
        </w:rPr>
      </w:pPr>
    </w:p>
    <w:p w:rsidR="0013508E" w:rsidRPr="00E45AA2" w:rsidRDefault="0013508E" w:rsidP="00E45AA2">
      <w:pPr>
        <w:pStyle w:val="ECHRPara"/>
        <w:rPr>
          <w:rFonts w:ascii="Times New Roman" w:hAnsi="Times New Roman" w:cs="Times New Roman"/>
          <w:i/>
          <w:szCs w:val="24"/>
          <w:lang w:val="lv-LV"/>
        </w:rPr>
      </w:pPr>
      <w:r w:rsidRPr="00E45AA2">
        <w:rPr>
          <w:rFonts w:ascii="Times New Roman" w:hAnsi="Times New Roman" w:cs="Times New Roman"/>
          <w:i/>
          <w:szCs w:val="24"/>
          <w:lang w:val="lv-LV"/>
        </w:rPr>
        <w:t>2.  Eiropas Komisija</w:t>
      </w:r>
    </w:p>
    <w:p w:rsidR="00E45AA2" w:rsidRPr="00E45AA2" w:rsidRDefault="00E45AA2" w:rsidP="00E45AA2">
      <w:pPr>
        <w:pStyle w:val="ECHRPara"/>
        <w:rPr>
          <w:rFonts w:ascii="Times New Roman" w:hAnsi="Times New Roman" w:cs="Times New Roman"/>
          <w:i/>
          <w:szCs w:val="24"/>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89</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Eiropas Komisija norādīja, ka </w:t>
      </w:r>
      <w:r w:rsidRPr="00E45AA2">
        <w:rPr>
          <w:rStyle w:val="st1"/>
          <w:rFonts w:ascii="Times New Roman" w:hAnsi="Times New Roman" w:cs="Times New Roman"/>
          <w:szCs w:val="24"/>
          <w:lang w:val="lv-LV"/>
        </w:rPr>
        <w:t>līdzvērtīgās aizsardzības prezumpcija</w:t>
      </w:r>
      <w:r w:rsidRPr="00E45AA2">
        <w:rPr>
          <w:rFonts w:ascii="Times New Roman" w:hAnsi="Times New Roman" w:cs="Times New Roman"/>
          <w:szCs w:val="24"/>
          <w:lang w:val="lv-LV"/>
        </w:rPr>
        <w:t xml:space="preserve">, kas zināma arī kā </w:t>
      </w:r>
      <w:r w:rsidRPr="00E45AA2">
        <w:rPr>
          <w:rFonts w:ascii="Times New Roman" w:hAnsi="Times New Roman" w:cs="Times New Roman"/>
          <w:i/>
          <w:szCs w:val="24"/>
          <w:lang w:val="lv-LV"/>
        </w:rPr>
        <w:t>Bosphorus</w:t>
      </w:r>
      <w:r w:rsidRPr="00E45AA2">
        <w:rPr>
          <w:rFonts w:ascii="Times New Roman" w:hAnsi="Times New Roman" w:cs="Times New Roman"/>
          <w:szCs w:val="24"/>
          <w:lang w:val="lv-LV"/>
        </w:rPr>
        <w:t xml:space="preserve"> prezumpcija, bija piemērojama šajā lietā. Eiropas Komisija apstiprināja, ka saskaņā ar Briseles I regulas 45. panta 1. punktu tiesa, kurā tiek prasīta sprieduma izpildāmības deklarācija, var noraidīt šo prasību tikai gadījumos, kas noteikti Regulas 34. un 35. pantā. Līdz ar to dalībvalstīm nav nekādas rīcības brīvības lemt par citā valstī pasludināta sprieduma izpild</w:t>
      </w:r>
      <w:r w:rsidR="00F451BA">
        <w:rPr>
          <w:rFonts w:ascii="Times New Roman" w:hAnsi="Times New Roman" w:cs="Times New Roman"/>
          <w:szCs w:val="24"/>
          <w:lang w:val="lv-LV"/>
        </w:rPr>
        <w:t>i</w:t>
      </w:r>
      <w:r w:rsidRPr="00E45AA2">
        <w:rPr>
          <w:rFonts w:ascii="Times New Roman" w:hAnsi="Times New Roman" w:cs="Times New Roman"/>
          <w:szCs w:val="24"/>
          <w:lang w:val="lv-LV"/>
        </w:rPr>
        <w:t>. Šāda rīcība skaidri saskanēja ar starptautiskajām saistībām, kas jāpilda dalībvalstij, kurai tiek prasīta izpilde, kas izriet no šīs valsts dalības Eiropas Savienībā.</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90</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Attiecībā uz šīs lietas faktu, ka, tāpat kā </w:t>
      </w:r>
      <w:r w:rsidRPr="00E45AA2">
        <w:rPr>
          <w:rFonts w:ascii="Times New Roman" w:hAnsi="Times New Roman" w:cs="Times New Roman"/>
          <w:i/>
          <w:szCs w:val="24"/>
          <w:lang w:val="lv-LV"/>
        </w:rPr>
        <w:t xml:space="preserve">Michaud </w:t>
      </w:r>
      <w:r w:rsidRPr="00E45AA2">
        <w:rPr>
          <w:rFonts w:ascii="Times New Roman" w:hAnsi="Times New Roman" w:cs="Times New Roman"/>
          <w:szCs w:val="24"/>
          <w:lang w:val="lv-LV"/>
        </w:rPr>
        <w:t xml:space="preserve">lietā (minēta iepriekš), nacionālās tiesas nelūdza prejudiciālu nolēmumu no EST, Eiropas Komisija pauda viedokli, ka starp abām lietām tomēr pastāv viena būtiska atšķirība. Šajā lietā, atšķirībā no </w:t>
      </w:r>
      <w:r w:rsidRPr="00E45AA2">
        <w:rPr>
          <w:rFonts w:ascii="Times New Roman" w:hAnsi="Times New Roman" w:cs="Times New Roman"/>
          <w:i/>
          <w:szCs w:val="24"/>
          <w:lang w:val="lv-LV"/>
        </w:rPr>
        <w:t>Michaud</w:t>
      </w:r>
      <w:r w:rsidRPr="00E45AA2">
        <w:rPr>
          <w:rFonts w:ascii="Times New Roman" w:hAnsi="Times New Roman" w:cs="Times New Roman"/>
          <w:szCs w:val="24"/>
          <w:lang w:val="lv-LV"/>
        </w:rPr>
        <w:t xml:space="preserve"> lietas, nevar uzskatīt, ka nav ticis izmantots „viss [prejudiciāla nolēmuma] procedūras potenciāls”, jo iesniedzējs nav lūdzis valsts-atbildētājas nacionālās tiesas izskatīt jautājumu par prejudiciāla nolēmuma nepieciešamību un nav pat apšaubījis attiecīgo Eiropas Savienības tiesību aktu noteikumu atbilstību tām Konvencijā paredzētajām tiesībām, kas, atbilstoši tagad tiesā sniegtajiem iesniedzēja skaidrojumiem, ir tikušas pārkāptas. Turklāt Komisija piebilda, ka prejudiciāla nolēmuma pieprasīšana nav tiesiskās aizsardzības līdzeklis, kas izmantojams Konvencijas 35. panta 1. punkta nolūkos. Kopumā Komisija skaidroja, ka </w:t>
      </w:r>
      <w:r w:rsidRPr="00E45AA2">
        <w:rPr>
          <w:rFonts w:ascii="Times New Roman" w:hAnsi="Times New Roman" w:cs="Times New Roman"/>
          <w:i/>
          <w:szCs w:val="24"/>
          <w:lang w:val="lv-LV"/>
        </w:rPr>
        <w:t xml:space="preserve">Bosphorus </w:t>
      </w:r>
      <w:r w:rsidRPr="00E45AA2">
        <w:rPr>
          <w:rFonts w:ascii="Times New Roman" w:hAnsi="Times New Roman" w:cs="Times New Roman"/>
          <w:szCs w:val="24"/>
          <w:lang w:val="lv-LV"/>
        </w:rPr>
        <w:t xml:space="preserve">prezumpcijas piemērošana nevarēja tikt pakļauta prasībai ES dalībvalstu tiesām lūgt prejudiciālu nolēmumu no EST, kad vien tās bija aicinātas piemērot ES tiesību aktu noteikumus. Pat pieņemot, ka ES </w:t>
      </w:r>
      <w:r w:rsidRPr="00E45AA2">
        <w:rPr>
          <w:rFonts w:ascii="Times New Roman" w:hAnsi="Times New Roman" w:cs="Times New Roman"/>
          <w:szCs w:val="24"/>
          <w:lang w:val="lv-LV"/>
        </w:rPr>
        <w:lastRenderedPageBreak/>
        <w:t xml:space="preserve">tiesību akti ietvertu obligātu prasību attiecīgai nacionālajai tiesai lūgt prejudiciālu nolēmumu, par šīs prasības neievērošanu nevajadzētu „sodīt” ar Eiropas Cilvēktiesību tiesas atteikumu piemērot </w:t>
      </w:r>
      <w:r w:rsidRPr="00E45AA2">
        <w:rPr>
          <w:rStyle w:val="st1"/>
          <w:rFonts w:ascii="Times New Roman" w:hAnsi="Times New Roman" w:cs="Times New Roman"/>
          <w:szCs w:val="24"/>
          <w:lang w:val="lv-LV"/>
        </w:rPr>
        <w:t>līdzv</w:t>
      </w:r>
      <w:r w:rsidR="00E45AA2" w:rsidRPr="00E45AA2">
        <w:rPr>
          <w:rStyle w:val="st1"/>
          <w:rFonts w:ascii="Times New Roman" w:hAnsi="Times New Roman" w:cs="Times New Roman"/>
          <w:szCs w:val="24"/>
          <w:lang w:val="lv-LV"/>
        </w:rPr>
        <w:t>ērtīgās aizsardzības prezumpciju</w:t>
      </w:r>
      <w:r w:rsidRPr="00E45AA2">
        <w:rPr>
          <w:rFonts w:ascii="Times New Roman" w:hAnsi="Times New Roman" w:cs="Times New Roman"/>
          <w:szCs w:val="24"/>
          <w:lang w:val="lv-LV"/>
        </w:rPr>
        <w:t xml:space="preserve">.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91</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Eiropas Komisija uzskatīja, ka Briseles I regulas iedibinātās atzīšanas un izpildes mehānismi pēc savas būtības ir savietojami ar tiesībām uz taisnīgu tiesas izskatīšanu, ko paredz Konvencijas 6. panta 1. punkts. Regulas 34. panta 2. punkts bija jālasa kopsakarā ar citiem attiecīgajiem Regulas noteikumiem un ar regulām par tiesas un ārpustiesas civillietu un komerclietu dokumentu izsniegša</w:t>
      </w:r>
      <w:r w:rsidR="00FE70B0">
        <w:rPr>
          <w:rFonts w:ascii="Times New Roman" w:hAnsi="Times New Roman" w:cs="Times New Roman"/>
          <w:szCs w:val="24"/>
          <w:lang w:val="lv-LV"/>
        </w:rPr>
        <w:t>nu dalībvalstīs (skatīt augstāk</w:t>
      </w:r>
      <w:r w:rsidRPr="00E45AA2">
        <w:rPr>
          <w:rFonts w:ascii="Times New Roman" w:hAnsi="Times New Roman" w:cs="Times New Roman"/>
          <w:szCs w:val="24"/>
          <w:lang w:val="lv-LV"/>
        </w:rPr>
        <w:t>minēto 66. punktu). Š</w:t>
      </w:r>
      <w:r w:rsidR="004F6042">
        <w:rPr>
          <w:rFonts w:ascii="Times New Roman" w:hAnsi="Times New Roman" w:cs="Times New Roman"/>
          <w:szCs w:val="24"/>
          <w:lang w:val="lv-LV"/>
        </w:rPr>
        <w:t>o noteikumu piemērošanas sekas ir tādas</w:t>
      </w:r>
      <w:r w:rsidRPr="00E45AA2">
        <w:rPr>
          <w:rFonts w:ascii="Times New Roman" w:hAnsi="Times New Roman" w:cs="Times New Roman"/>
          <w:szCs w:val="24"/>
          <w:lang w:val="lv-LV"/>
        </w:rPr>
        <w:t xml:space="preserve">, ka tiesības uz lietas taisnīgu izskatīšanu tiek garantētas ne tikai sprieduma atzīšanas un izpildes posmā, bet arī jau agrāk – laikā, kad notiek tiesvedība izcelsmes dalībvalstī. Atzīšana un izpilde nav atkarīga no tā, vai dokuments, ar ko celta prasība, tiek izsniegts saskaņā ar formālajām prasībām, bet gan no konkrētas izpētes par to, vai attiecībā uz atbildētāju tika ievērots </w:t>
      </w:r>
      <w:r w:rsidR="009B2958">
        <w:rPr>
          <w:rFonts w:ascii="Times New Roman" w:hAnsi="Times New Roman" w:cs="Times New Roman"/>
          <w:szCs w:val="24"/>
          <w:lang w:val="lv-LV"/>
        </w:rPr>
        <w:t>pušu līdztiesības</w:t>
      </w:r>
      <w:r w:rsidRPr="00E45AA2">
        <w:rPr>
          <w:rFonts w:ascii="Times New Roman" w:hAnsi="Times New Roman" w:cs="Times New Roman"/>
          <w:szCs w:val="24"/>
          <w:lang w:val="lv-LV"/>
        </w:rPr>
        <w:t xml:space="preserve"> princips. Turklāt Komisija minēja, ka Regulas 34. panta 1. punkts paredz, ka atzīšana un izpilde jānoraida, ja „atzīšana [ir] acīmredzami pretrunā sabiedriskajai kārtībai dalībvalstī, kurā [tiek] prasīta atzīšana”. Komisija uzskatīja, ka šī prasība nodrošina vēl augstāku pamattiesību aizsardzības līmeni, tā kā tā neparedz nepieciešamību pārsūdzēt spriedumu izcelsmes valstī.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92</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Komisija argumentēja, ka, interpretējot Briseles I regulas 34. panta 2. punkta nosacījumus, EST ir vēlējusies aizsargāt neieradušos atbildētāju tiesības uz lietas taisnīgu izskatīšanu.  It sevišķi savā spriedumā </w:t>
      </w:r>
      <w:r w:rsidRPr="00E45AA2">
        <w:rPr>
          <w:rFonts w:ascii="Times New Roman" w:hAnsi="Times New Roman" w:cs="Times New Roman"/>
          <w:i/>
          <w:szCs w:val="24"/>
          <w:lang w:val="lv-LV"/>
        </w:rPr>
        <w:t xml:space="preserve">ASML </w:t>
      </w:r>
      <w:r w:rsidRPr="00E45AA2">
        <w:rPr>
          <w:rFonts w:ascii="Times New Roman" w:hAnsi="Times New Roman" w:cs="Times New Roman"/>
          <w:szCs w:val="24"/>
          <w:lang w:val="lv-LV"/>
        </w:rPr>
        <w:t>lietā (minēta augstāk 58. pantā) EST noteica, ka neieradies atbildētājs var tikt uzskatīts par tādu personu, kas var uzsākt tiesvedību, lai pārsūdzētu viņam nelabvēlīgo spriedumu tikai tad, ja viņš ir iepazinies ar šī sprieduma saturu, kas nozīmē, ka šis spriedums ticis viņam nodots. Šajā aspektā nepietiek ar to, ka ir vienkārši zināms par sprieduma esamību. Līdz ar to tiesiskās aizsardzības līdzekļu esamība iz</w:t>
      </w:r>
      <w:r w:rsidR="00977D31">
        <w:rPr>
          <w:rFonts w:ascii="Times New Roman" w:hAnsi="Times New Roman" w:cs="Times New Roman"/>
          <w:szCs w:val="24"/>
          <w:lang w:val="lv-LV"/>
        </w:rPr>
        <w:t xml:space="preserve">celsmes valstī bija jānovērtē, </w:t>
      </w:r>
      <w:r w:rsidRPr="00E45AA2">
        <w:rPr>
          <w:rFonts w:ascii="Times New Roman" w:hAnsi="Times New Roman" w:cs="Times New Roman"/>
          <w:szCs w:val="24"/>
          <w:lang w:val="lv-LV"/>
        </w:rPr>
        <w:t xml:space="preserve">par atskaites punktu nosakot brīdi, kad atbildētājs ir reāli iepazinies ar sprieduma saturu, kas atšķiras no brīža, kad viņš vienkārši uzzinājis par šī sprieduma esamību. Tā ir taisnība, ka Briseles I regulas 43. pants neparedz, ka tiesai, kurā tiek prasīta izpildāmības deklarācija, automātiski jāizvērtē, vai 34. panta 2. punktā uzskaitītie apstākļi ir piemērojami, ieskaitot iespēju pārsūdzēt spriedumu izcelsmes valstī. Tomēr Komisija uzskatīja, ka tas neiespaido atbilstību Konvencija 6. panta 1. punktam, jo principā ne šis noteikums, ne Eiropas Savienības tiesību akti neietekmē pierādījumu pieņemamību un to izvērtēšanu nacionālajās tiesās. </w:t>
      </w:r>
    </w:p>
    <w:p w:rsidR="0013508E" w:rsidRDefault="0013508E" w:rsidP="007C1ED3">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93</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Kopumā Eiropas Komisija uzskatīja, ka Briseles I regula nevis paredz citā dalībvalstī pasludinātu spriedumu „automātisku” atzīšanu un izpildi, bet gan saista atzīšanu un izpildi ar tiesību uz </w:t>
      </w:r>
      <w:r w:rsidR="009B2958">
        <w:rPr>
          <w:rFonts w:ascii="Times New Roman" w:hAnsi="Times New Roman" w:cs="Times New Roman"/>
          <w:szCs w:val="24"/>
          <w:lang w:val="lv-LV"/>
        </w:rPr>
        <w:t>pušu līdztiesības</w:t>
      </w:r>
      <w:r w:rsidRPr="00E45AA2">
        <w:rPr>
          <w:rFonts w:ascii="Times New Roman" w:hAnsi="Times New Roman" w:cs="Times New Roman"/>
          <w:szCs w:val="24"/>
          <w:lang w:val="lv-LV"/>
        </w:rPr>
        <w:t xml:space="preserve"> principa ievērošanu un līdz ar to arī ar tiesību uz lietas taisnīgu izskatīšanu ievērošanu Konvencijas 6. panta 1. punkta izpratnē.  </w:t>
      </w:r>
    </w:p>
    <w:p w:rsidR="007C1ED3" w:rsidRPr="00E45AA2" w:rsidRDefault="007C1ED3" w:rsidP="007C1ED3">
      <w:pPr>
        <w:pStyle w:val="ECHRPara"/>
        <w:rPr>
          <w:rFonts w:ascii="Times New Roman" w:hAnsi="Times New Roman" w:cs="Times New Roman"/>
          <w:szCs w:val="24"/>
          <w:lang w:val="lv-LV"/>
        </w:rPr>
      </w:pPr>
    </w:p>
    <w:p w:rsidR="0013508E" w:rsidRDefault="0013508E" w:rsidP="007C1ED3">
      <w:pPr>
        <w:pStyle w:val="ECHRHeading3"/>
        <w:numPr>
          <w:ilvl w:val="0"/>
          <w:numId w:val="0"/>
        </w:numPr>
        <w:spacing w:before="0"/>
        <w:ind w:left="720"/>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lastRenderedPageBreak/>
        <w:t>3.   AIRE centrs</w:t>
      </w:r>
    </w:p>
    <w:p w:rsidR="00E45AA2" w:rsidRPr="00E45AA2" w:rsidRDefault="00E45AA2" w:rsidP="007C1ED3">
      <w:pPr>
        <w:pStyle w:val="ECHRPara"/>
        <w:rPr>
          <w:lang w:val="lv-LV"/>
        </w:rPr>
      </w:pPr>
    </w:p>
    <w:p w:rsidR="0013508E" w:rsidRPr="00E45AA2" w:rsidRDefault="0013508E" w:rsidP="007C1ED3">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94</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AIRE centrs (</w:t>
      </w:r>
      <w:r w:rsidRPr="00E45AA2">
        <w:rPr>
          <w:rFonts w:ascii="Times New Roman" w:hAnsi="Times New Roman" w:cs="Times New Roman"/>
          <w:i/>
          <w:szCs w:val="24"/>
          <w:lang w:val="lv-LV"/>
        </w:rPr>
        <w:t>Eiropas Konsultēšanas centrs individuālo tiesību jautājumos</w:t>
      </w:r>
      <w:r w:rsidRPr="00E45AA2">
        <w:rPr>
          <w:rFonts w:ascii="Times New Roman" w:hAnsi="Times New Roman" w:cs="Times New Roman"/>
          <w:szCs w:val="24"/>
          <w:lang w:val="lv-LV"/>
        </w:rPr>
        <w:t xml:space="preserve">) uzsvēra nepieciešamību saglabāt tiesības uz lietas taisnīgu izskatīšanu spriedumu atzīšanas un izpildes procesa kontekstā Eiropas Savienības ietvaros, kā arī nacionālo tiesu pienākumu nodrošināt šo tiesību ievērošanu. Tiesa, kas izskata pārsūdzību pret ārvalstu sprieduma atzīšanu un izpildi, nedrīkst vērst savu uzmanību tikai uz atbilstību formālajām prasībām, ko nosaka Briseles I regulas 34. panta 2. punkts vai (pēc 2015. gada 10. jūnija) Briseles I </w:t>
      </w:r>
      <w:r w:rsidRPr="00E45AA2">
        <w:rPr>
          <w:rFonts w:ascii="Times New Roman" w:hAnsi="Times New Roman" w:cs="Times New Roman"/>
          <w:i/>
          <w:szCs w:val="24"/>
          <w:lang w:val="lv-LV"/>
        </w:rPr>
        <w:t>bis</w:t>
      </w:r>
      <w:r w:rsidRPr="00E45AA2">
        <w:rPr>
          <w:rFonts w:ascii="Times New Roman" w:hAnsi="Times New Roman" w:cs="Times New Roman"/>
          <w:szCs w:val="24"/>
          <w:lang w:val="lv-LV"/>
        </w:rPr>
        <w:t xml:space="preserve"> regulas 45. panta 1. punkts. Gluži pretēji, ja izcelsmes valstī ir tikušas pārkāptas tiesības uz aizstāvību, tiesa varētu un tai vajadzētu piemērot Briseles I regulas 34. panta 1. punktu vai Briseles I </w:t>
      </w:r>
      <w:r w:rsidRPr="00E45AA2">
        <w:rPr>
          <w:rFonts w:ascii="Times New Roman" w:hAnsi="Times New Roman" w:cs="Times New Roman"/>
          <w:i/>
          <w:szCs w:val="24"/>
          <w:lang w:val="lv-LV"/>
        </w:rPr>
        <w:t>bis</w:t>
      </w:r>
      <w:r w:rsidRPr="00E45AA2">
        <w:rPr>
          <w:rFonts w:ascii="Times New Roman" w:hAnsi="Times New Roman" w:cs="Times New Roman"/>
          <w:szCs w:val="24"/>
          <w:lang w:val="lv-LV"/>
        </w:rPr>
        <w:t xml:space="preserve"> regulas 45. panta 1. punktu, saskaņā ar kuru prasība pēc atzīšanas un izpildes ir jānoraida, ja „atzīšana [ir] acīmredzami pretrunā sabiedriskajai kārtībai dalībvalstī, kurā [tiek] prasīta atzīšana”. AIRE centrs uzskatīja, ka, ja tiesa tā nedara, tā izdara acīmredzamu kļūdu Eiropas Savienības tiesību aktu interpretēšanā. Citiem vārdiem sakot, tiesa, kas izskatīja pārsūdzību, drīkstēja atteikt sprieduma izpildi, ja šis spriedums pārkāpa tiesības uz aizstāvību.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95</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Turklāt AIRE centrs minēja, ka </w:t>
      </w:r>
      <w:r w:rsidR="006675B2">
        <w:rPr>
          <w:rFonts w:ascii="Times New Roman" w:hAnsi="Times New Roman" w:cs="Times New Roman"/>
          <w:szCs w:val="24"/>
          <w:lang w:val="lv-LV"/>
        </w:rPr>
        <w:t>T</w:t>
      </w:r>
      <w:r w:rsidRPr="00E45AA2">
        <w:rPr>
          <w:rFonts w:ascii="Times New Roman" w:hAnsi="Times New Roman" w:cs="Times New Roman"/>
          <w:szCs w:val="24"/>
          <w:lang w:val="lv-LV"/>
        </w:rPr>
        <w:t xml:space="preserve">iesai vajadzētu pārskatīt savu pašreizējo pieeju attiecībā uz </w:t>
      </w:r>
      <w:r w:rsidRPr="00E45AA2">
        <w:rPr>
          <w:rFonts w:ascii="Times New Roman" w:hAnsi="Times New Roman" w:cs="Times New Roman"/>
          <w:i/>
          <w:szCs w:val="24"/>
          <w:lang w:val="lv-LV"/>
        </w:rPr>
        <w:t xml:space="preserve">Bosphorus </w:t>
      </w:r>
      <w:r w:rsidRPr="00E45AA2">
        <w:rPr>
          <w:rFonts w:ascii="Times New Roman" w:hAnsi="Times New Roman" w:cs="Times New Roman"/>
          <w:szCs w:val="24"/>
          <w:lang w:val="lv-LV"/>
        </w:rPr>
        <w:t xml:space="preserve">prezumpciju, it sevišķi runājot par nostāju, ko EST ieņēma </w:t>
      </w:r>
      <w:r w:rsidRPr="00E45AA2">
        <w:rPr>
          <w:rFonts w:ascii="Times New Roman" w:hAnsi="Times New Roman" w:cs="Times New Roman"/>
          <w:i/>
          <w:szCs w:val="24"/>
          <w:lang w:val="lv-LV"/>
        </w:rPr>
        <w:t xml:space="preserve">Melloni </w:t>
      </w:r>
      <w:r w:rsidRPr="00E45AA2">
        <w:rPr>
          <w:rFonts w:ascii="Times New Roman" w:hAnsi="Times New Roman" w:cs="Times New Roman"/>
          <w:szCs w:val="24"/>
          <w:lang w:val="lv-LV"/>
        </w:rPr>
        <w:t>spriedumā u</w:t>
      </w:r>
      <w:r w:rsidR="00FE70B0">
        <w:rPr>
          <w:rFonts w:ascii="Times New Roman" w:hAnsi="Times New Roman" w:cs="Times New Roman"/>
          <w:szCs w:val="24"/>
          <w:lang w:val="lv-LV"/>
        </w:rPr>
        <w:t>n Atzinumā 2/13 (skatīt augstāk</w:t>
      </w:r>
      <w:r w:rsidRPr="00E45AA2">
        <w:rPr>
          <w:rFonts w:ascii="Times New Roman" w:hAnsi="Times New Roman" w:cs="Times New Roman"/>
          <w:szCs w:val="24"/>
          <w:lang w:val="lv-LV"/>
        </w:rPr>
        <w:t>minēto 47. un 49. punktu). Centrs īpaši uzsvēra, ka Atzinuma 2/13 secinājumi, it sevišķi 192. punkts, ir klajā pretrunā Konvencijā noteikt</w:t>
      </w:r>
      <w:r w:rsidR="006675B2">
        <w:rPr>
          <w:rFonts w:ascii="Times New Roman" w:hAnsi="Times New Roman" w:cs="Times New Roman"/>
          <w:szCs w:val="24"/>
          <w:lang w:val="lv-LV"/>
        </w:rPr>
        <w:t>ajam</w:t>
      </w:r>
      <w:r w:rsidRPr="00E45AA2">
        <w:rPr>
          <w:rFonts w:ascii="Times New Roman" w:hAnsi="Times New Roman" w:cs="Times New Roman"/>
          <w:szCs w:val="24"/>
          <w:lang w:val="lv-LV"/>
        </w:rPr>
        <w:t xml:space="preserve"> cilvēktiesību aizsardzības princip</w:t>
      </w:r>
      <w:r w:rsidR="006675B2">
        <w:rPr>
          <w:rFonts w:ascii="Times New Roman" w:hAnsi="Times New Roman" w:cs="Times New Roman"/>
          <w:szCs w:val="24"/>
          <w:lang w:val="lv-LV"/>
        </w:rPr>
        <w:t>am</w:t>
      </w:r>
      <w:r w:rsidRPr="00E45AA2">
        <w:rPr>
          <w:rFonts w:ascii="Times New Roman" w:hAnsi="Times New Roman" w:cs="Times New Roman"/>
          <w:szCs w:val="24"/>
          <w:lang w:val="lv-LV"/>
        </w:rPr>
        <w:t>.</w:t>
      </w:r>
    </w:p>
    <w:p w:rsidR="0013508E" w:rsidRPr="00E45AA2" w:rsidRDefault="0013508E" w:rsidP="00E45AA2">
      <w:pPr>
        <w:pStyle w:val="ECHRHeading2"/>
        <w:numPr>
          <w:ilvl w:val="0"/>
          <w:numId w:val="0"/>
        </w:numPr>
        <w:rPr>
          <w:rFonts w:ascii="Times New Roman" w:hAnsi="Times New Roman" w:cs="Times New Roman"/>
          <w:color w:val="auto"/>
          <w:sz w:val="24"/>
          <w:szCs w:val="24"/>
          <w:lang w:val="lv-LV"/>
        </w:rPr>
      </w:pPr>
      <w:r w:rsidRPr="00E45AA2">
        <w:rPr>
          <w:rFonts w:ascii="Times New Roman" w:hAnsi="Times New Roman" w:cs="Times New Roman"/>
          <w:color w:val="auto"/>
          <w:sz w:val="24"/>
          <w:szCs w:val="24"/>
          <w:lang w:val="lv-LV"/>
        </w:rPr>
        <w:t>D.  Tiesas novērtējums</w:t>
      </w:r>
    </w:p>
    <w:p w:rsidR="0013508E" w:rsidRDefault="0013508E" w:rsidP="00E45AA2">
      <w:pPr>
        <w:pStyle w:val="ECHRHeading3"/>
        <w:numPr>
          <w:ilvl w:val="0"/>
          <w:numId w:val="0"/>
        </w:numPr>
        <w:ind w:left="720"/>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1.  Sākotnējie apsvērumi</w:t>
      </w:r>
    </w:p>
    <w:p w:rsidR="00E45AA2" w:rsidRPr="00E45AA2" w:rsidRDefault="00E45AA2" w:rsidP="00E45AA2">
      <w:pPr>
        <w:pStyle w:val="ECHRPara"/>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96</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xml:space="preserve">. Sākumā Tiesa atgādina, ka, runājot par strīdiem, kuru iznākums ir izšķirošs attiecībā uz personas civiltiesībām, </w:t>
      </w:r>
      <w:r w:rsidR="00DB0C05">
        <w:rPr>
          <w:rFonts w:ascii="Times New Roman" w:eastAsiaTheme="minorHAnsi" w:hAnsi="Times New Roman" w:cs="Times New Roman"/>
          <w:szCs w:val="24"/>
          <w:lang w:val="lv-LV"/>
        </w:rPr>
        <w:t>ārvalstu</w:t>
      </w:r>
      <w:r w:rsidRPr="00E45AA2">
        <w:rPr>
          <w:rFonts w:ascii="Times New Roman" w:eastAsiaTheme="minorHAnsi" w:hAnsi="Times New Roman" w:cs="Times New Roman"/>
          <w:szCs w:val="24"/>
          <w:lang w:val="lv-LV"/>
        </w:rPr>
        <w:t xml:space="preserve"> gal</w:t>
      </w:r>
      <w:r w:rsidR="00256422">
        <w:rPr>
          <w:rFonts w:ascii="Times New Roman" w:eastAsiaTheme="minorHAnsi" w:hAnsi="Times New Roman" w:cs="Times New Roman"/>
          <w:szCs w:val="24"/>
          <w:lang w:val="lv-LV"/>
        </w:rPr>
        <w:t>īgu</w:t>
      </w:r>
      <w:r w:rsidRPr="00E45AA2">
        <w:rPr>
          <w:rFonts w:ascii="Times New Roman" w:eastAsiaTheme="minorHAnsi" w:hAnsi="Times New Roman" w:cs="Times New Roman"/>
          <w:szCs w:val="24"/>
          <w:lang w:val="lv-LV"/>
        </w:rPr>
        <w:t xml:space="preserve"> spriedumu izpildei ir piemērojams Konvencijas 6. panta 1. punkts </w:t>
      </w:r>
      <w:r w:rsidRPr="00E45AA2">
        <w:rPr>
          <w:rFonts w:ascii="Times New Roman" w:hAnsi="Times New Roman" w:cs="Times New Roman"/>
          <w:szCs w:val="24"/>
          <w:lang w:val="lv-LV"/>
        </w:rPr>
        <w:t xml:space="preserve">(skatīt </w:t>
      </w:r>
      <w:r w:rsidRPr="00E45AA2">
        <w:rPr>
          <w:rFonts w:ascii="Times New Roman" w:hAnsi="Times New Roman" w:cs="Times New Roman"/>
          <w:i/>
          <w:szCs w:val="24"/>
          <w:lang w:val="lv-LV"/>
        </w:rPr>
        <w:t>McDonald pret Franciju</w:t>
      </w:r>
      <w:r w:rsidRPr="00E45AA2">
        <w:rPr>
          <w:rFonts w:ascii="Times New Roman" w:hAnsi="Times New Roman" w:cs="Times New Roman"/>
          <w:szCs w:val="24"/>
          <w:lang w:val="lv-LV"/>
        </w:rPr>
        <w:t xml:space="preserve"> (lēmums), Nr. 18648/04,  2008. gada 29. aprīlis; </w:t>
      </w:r>
      <w:r w:rsidRPr="00E45AA2">
        <w:rPr>
          <w:rFonts w:ascii="Times New Roman" w:hAnsi="Times New Roman" w:cs="Times New Roman"/>
          <w:i/>
          <w:szCs w:val="24"/>
          <w:lang w:val="lv-LV"/>
        </w:rPr>
        <w:t xml:space="preserve">Saccoccia pret Austriju, </w:t>
      </w:r>
      <w:r w:rsidRPr="00E45AA2">
        <w:rPr>
          <w:rFonts w:ascii="Times New Roman" w:hAnsi="Times New Roman" w:cs="Times New Roman"/>
          <w:szCs w:val="24"/>
          <w:lang w:val="lv-LV"/>
        </w:rPr>
        <w:t xml:space="preserve">No. 69917/01, 60.-62. punkts, 2008. gada 18. decembris; </w:t>
      </w:r>
      <w:r w:rsidRPr="00E45AA2">
        <w:rPr>
          <w:rFonts w:ascii="Times New Roman" w:hAnsi="Times New Roman" w:cs="Times New Roman"/>
          <w:i/>
          <w:szCs w:val="24"/>
          <w:lang w:val="lv-LV"/>
        </w:rPr>
        <w:t>Sholokhov pret Armēniju un Moldovas Republiku</w:t>
      </w:r>
      <w:r w:rsidRPr="00E45AA2">
        <w:rPr>
          <w:rFonts w:ascii="Times New Roman" w:hAnsi="Times New Roman" w:cs="Times New Roman"/>
          <w:szCs w:val="24"/>
          <w:lang w:val="lv-LV"/>
        </w:rPr>
        <w:t xml:space="preserve">, Nr. 40358/05, 66. punkts, 2012. gada 31. jūlijs). Nav strīda par to, ka Limasolas apgabaltiesas 2004. gada 24. maija spriedums, kas uzliek iesniedzējam par pienākumu samaksāt </w:t>
      </w:r>
      <w:r w:rsidR="002F022E">
        <w:rPr>
          <w:rFonts w:ascii="Times New Roman" w:hAnsi="Times New Roman" w:cs="Times New Roman"/>
          <w:szCs w:val="24"/>
          <w:lang w:val="lv-LV"/>
        </w:rPr>
        <w:t xml:space="preserve">aizdevumu </w:t>
      </w:r>
      <w:r w:rsidRPr="00E45AA2">
        <w:rPr>
          <w:rFonts w:ascii="Times New Roman" w:hAnsi="Times New Roman" w:cs="Times New Roman"/>
          <w:szCs w:val="24"/>
          <w:lang w:val="lv-LV"/>
        </w:rPr>
        <w:t xml:space="preserve">kopā ar attiecīgajiem procentu maksājumiem, kā arī tiesas izdevumus un izmaksas, attiecas uz iesniedzēja „civilajām” </w:t>
      </w:r>
      <w:r w:rsidR="00C87F27" w:rsidRPr="00E45AA2">
        <w:rPr>
          <w:rFonts w:ascii="Times New Roman" w:hAnsi="Times New Roman" w:cs="Times New Roman"/>
          <w:szCs w:val="24"/>
          <w:lang w:val="lv-LV"/>
        </w:rPr>
        <w:t>tiesībām</w:t>
      </w:r>
      <w:r w:rsidRPr="00E45AA2">
        <w:rPr>
          <w:rFonts w:ascii="Times New Roman" w:hAnsi="Times New Roman" w:cs="Times New Roman"/>
          <w:szCs w:val="24"/>
          <w:lang w:val="lv-LV"/>
        </w:rPr>
        <w:t xml:space="preserve">. Tādēļ šajā lietā ir piemērojams 6. panta 1. punkts.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97</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2004. gada 24. maija spriedumu pasludināja Kipras tiesa, un Latvijas tiesas pieņēma lēmumu par šī sprieduma izpildi Latvijā. Līdz ar to iesniedzēja iesniegumā izklāstītā sūdzība saskaņā ar Konvencijas 6. pantu attiecās uz tiesvedību gan Ki</w:t>
      </w:r>
      <w:r w:rsidR="009B14E0">
        <w:rPr>
          <w:rFonts w:ascii="Times New Roman" w:hAnsi="Times New Roman" w:cs="Times New Roman"/>
          <w:szCs w:val="24"/>
          <w:lang w:val="lv-LV"/>
        </w:rPr>
        <w:t xml:space="preserve">prā, gan Latvijā. Attiecībā uz </w:t>
      </w:r>
      <w:r w:rsidRPr="00E45AA2">
        <w:rPr>
          <w:rFonts w:ascii="Times New Roman" w:hAnsi="Times New Roman" w:cs="Times New Roman"/>
          <w:szCs w:val="24"/>
          <w:lang w:val="lv-LV"/>
        </w:rPr>
        <w:t xml:space="preserve">tiesvedību Kiprā, </w:t>
      </w:r>
      <w:r w:rsidRPr="00E45AA2">
        <w:rPr>
          <w:rFonts w:ascii="Times New Roman" w:hAnsi="Times New Roman" w:cs="Times New Roman"/>
          <w:szCs w:val="24"/>
          <w:lang w:val="lv-LV"/>
        </w:rPr>
        <w:lastRenderedPageBreak/>
        <w:t>iesniedzējs sūdzējās, ka tikušas pārkāptas viņa tiesības uz aizstāvību; savukārt, runājot par tiesvedību Latvijā, viņš sūdzējās, ka tiesas atzinušas par likumīgu Kiprā notikušo tiesvedību, nosakot sprieduma atzīšanu un izpildi. Tomēr Tiesa atzina sūdzību pret Kipru par nepieņemamu izskatīšanai, jo tā tikusi iesniegta novēloti (2010. gada 3. marta lēmums par daļēju pieņemamī</w:t>
      </w:r>
      <w:r w:rsidR="00FE70B0">
        <w:rPr>
          <w:rFonts w:ascii="Times New Roman" w:hAnsi="Times New Roman" w:cs="Times New Roman"/>
          <w:szCs w:val="24"/>
          <w:lang w:val="lv-LV"/>
        </w:rPr>
        <w:t>bu izskatīšanai, skatīt augstāk</w:t>
      </w:r>
      <w:r w:rsidRPr="00E45AA2">
        <w:rPr>
          <w:rFonts w:ascii="Times New Roman" w:hAnsi="Times New Roman" w:cs="Times New Roman"/>
          <w:szCs w:val="24"/>
          <w:lang w:val="lv-LV"/>
        </w:rPr>
        <w:t xml:space="preserve">minēto 4. punktu). Tādēļ pašreizējā tiesvedības posmā iesniegums attiecas vienīgi uz Latviju. Līdz ar to Tiesai nav </w:t>
      </w:r>
      <w:r w:rsidRPr="00E45AA2">
        <w:rPr>
          <w:rFonts w:ascii="Times New Roman" w:hAnsi="Times New Roman" w:cs="Times New Roman"/>
          <w:i/>
          <w:szCs w:val="24"/>
          <w:lang w:val="lv-LV"/>
        </w:rPr>
        <w:t xml:space="preserve">ratione personae </w:t>
      </w:r>
      <w:r w:rsidRPr="00E45AA2">
        <w:rPr>
          <w:rFonts w:ascii="Times New Roman" w:hAnsi="Times New Roman" w:cs="Times New Roman"/>
          <w:szCs w:val="24"/>
          <w:lang w:val="lv-LV"/>
        </w:rPr>
        <w:t xml:space="preserve">jurisdikcijas formāli lemt par to, vai Limasolas apgabaltiesa ir ievērojusi 6. panta 1. punkta prasības. Tomēr tai jāizvērtē, vai, </w:t>
      </w:r>
      <w:r w:rsidR="003D306C">
        <w:rPr>
          <w:rFonts w:ascii="Times New Roman" w:hAnsi="Times New Roman" w:cs="Times New Roman"/>
          <w:szCs w:val="24"/>
          <w:lang w:val="lv-LV"/>
        </w:rPr>
        <w:t>pasludinot</w:t>
      </w:r>
      <w:r w:rsidRPr="00E45AA2">
        <w:rPr>
          <w:rFonts w:ascii="Times New Roman" w:hAnsi="Times New Roman" w:cs="Times New Roman"/>
          <w:szCs w:val="24"/>
          <w:lang w:val="lv-LV"/>
        </w:rPr>
        <w:t xml:space="preserve"> Kipras spriedumu par izpildāmu, Latvijas tiesas rīkojās saskaņā ar minēto noteikumu (skatīt, </w:t>
      </w:r>
      <w:r w:rsidRPr="00E45AA2">
        <w:rPr>
          <w:rFonts w:ascii="Times New Roman" w:hAnsi="Times New Roman" w:cs="Times New Roman"/>
          <w:i/>
          <w:szCs w:val="24"/>
          <w:lang w:val="lv-LV"/>
        </w:rPr>
        <w:t>mutatis mutandis</w:t>
      </w:r>
      <w:r w:rsidRPr="00E45AA2">
        <w:rPr>
          <w:rFonts w:ascii="Times New Roman" w:hAnsi="Times New Roman" w:cs="Times New Roman"/>
          <w:szCs w:val="24"/>
          <w:lang w:val="lv-LV"/>
        </w:rPr>
        <w:t xml:space="preserve">, </w:t>
      </w:r>
      <w:r w:rsidRPr="00E45AA2">
        <w:rPr>
          <w:rFonts w:ascii="Times New Roman" w:hAnsi="Times New Roman" w:cs="Times New Roman"/>
          <w:i/>
          <w:szCs w:val="24"/>
          <w:lang w:val="lv-LV"/>
        </w:rPr>
        <w:t>Pellegrini pret Itāliju</w:t>
      </w:r>
      <w:r w:rsidRPr="00E45AA2">
        <w:rPr>
          <w:rFonts w:ascii="Times New Roman" w:hAnsi="Times New Roman" w:cs="Times New Roman"/>
          <w:szCs w:val="24"/>
          <w:lang w:val="lv-LV"/>
        </w:rPr>
        <w:t>, Nr. 30882/96, 40.</w:t>
      </w:r>
      <w:r w:rsidRPr="00E45AA2">
        <w:rPr>
          <w:rFonts w:ascii="Times New Roman" w:hAnsi="Times New Roman" w:cs="Times New Roman"/>
          <w:szCs w:val="24"/>
          <w:lang w:val="lv-LV"/>
        </w:rPr>
        <w:noBreakHyphen/>
        <w:t>41. punkts, ECHR, 2001</w:t>
      </w:r>
      <w:r w:rsidRPr="00E45AA2">
        <w:rPr>
          <w:rFonts w:ascii="Times New Roman" w:hAnsi="Times New Roman" w:cs="Times New Roman"/>
          <w:szCs w:val="24"/>
          <w:lang w:val="lv-LV"/>
        </w:rPr>
        <w:noBreakHyphen/>
        <w:t xml:space="preserve">VIII). To darot, Tiesa nedrīkst neņemt vērā attiecīgos Kipras tiesvedības aspektus. </w:t>
      </w:r>
    </w:p>
    <w:p w:rsidR="0013508E" w:rsidRPr="00E45AA2" w:rsidRDefault="0013508E" w:rsidP="0013508E">
      <w:pPr>
        <w:pStyle w:val="ECHRPara"/>
        <w:rPr>
          <w:rFonts w:ascii="Times New Roman" w:hAnsi="Times New Roman" w:cs="Times New Roman"/>
          <w:szCs w:val="24"/>
          <w:lang w:val="lv-LV" w:eastAsia="fr-FR"/>
        </w:rPr>
      </w:pPr>
      <w:r w:rsidRPr="00E45AA2">
        <w:rPr>
          <w:rFonts w:ascii="Times New Roman" w:hAnsi="Times New Roman" w:cs="Times New Roman"/>
          <w:szCs w:val="24"/>
          <w:lang w:val="lv-LV" w:eastAsia="fr-FR"/>
        </w:rPr>
        <w:fldChar w:fldCharType="begin"/>
      </w:r>
      <w:r w:rsidRPr="00E45AA2">
        <w:rPr>
          <w:rFonts w:ascii="Times New Roman" w:hAnsi="Times New Roman" w:cs="Times New Roman"/>
          <w:szCs w:val="24"/>
          <w:lang w:val="lv-LV" w:eastAsia="fr-FR"/>
        </w:rPr>
        <w:instrText xml:space="preserve"> SEQ level0 \*arabic </w:instrText>
      </w:r>
      <w:r w:rsidRPr="00E45AA2">
        <w:rPr>
          <w:rFonts w:ascii="Times New Roman" w:hAnsi="Times New Roman" w:cs="Times New Roman"/>
          <w:szCs w:val="24"/>
          <w:lang w:val="lv-LV" w:eastAsia="fr-FR"/>
        </w:rPr>
        <w:fldChar w:fldCharType="separate"/>
      </w:r>
      <w:r w:rsidRPr="00E45AA2">
        <w:rPr>
          <w:rFonts w:ascii="Times New Roman" w:hAnsi="Times New Roman" w:cs="Times New Roman"/>
          <w:noProof/>
          <w:szCs w:val="24"/>
          <w:lang w:val="lv-LV" w:eastAsia="fr-FR"/>
        </w:rPr>
        <w:t>98</w:t>
      </w:r>
      <w:r w:rsidRPr="00E45AA2">
        <w:rPr>
          <w:rFonts w:ascii="Times New Roman" w:hAnsi="Times New Roman" w:cs="Times New Roman"/>
          <w:szCs w:val="24"/>
          <w:lang w:val="lv-LV" w:eastAsia="fr-FR"/>
        </w:rPr>
        <w:fldChar w:fldCharType="end"/>
      </w:r>
      <w:r w:rsidRPr="00E45AA2">
        <w:rPr>
          <w:rFonts w:ascii="Times New Roman" w:hAnsi="Times New Roman" w:cs="Times New Roman"/>
          <w:szCs w:val="24"/>
          <w:lang w:val="lv-LV" w:eastAsia="fr-FR"/>
        </w:rPr>
        <w:t>.  Tiesa uzskata, ka lēmumu izpildīt ārvalstu spriedumu nevar uzskatīt par atbilstošu Konvencijas 6. panta 1. punktam, ja tas ir ticis pieņemts, nedodot zaudējušajai pusei iespēju efektīvi pamatot savu sūdzību pret tādas tiesvedības netaisnīgumu, kas novedusi pie šāda sprieduma, vai tas būtu izcelsmes valstī, vai uzrunātajā valstī. Sav</w:t>
      </w:r>
      <w:r w:rsidR="00667A18">
        <w:rPr>
          <w:rFonts w:ascii="Times New Roman" w:hAnsi="Times New Roman" w:cs="Times New Roman"/>
          <w:szCs w:val="24"/>
          <w:lang w:val="lv-LV" w:eastAsia="fr-FR"/>
        </w:rPr>
        <w:t>os</w:t>
      </w:r>
      <w:r w:rsidRPr="00E45AA2">
        <w:rPr>
          <w:rFonts w:ascii="Times New Roman" w:hAnsi="Times New Roman" w:cs="Times New Roman"/>
          <w:szCs w:val="24"/>
          <w:lang w:val="lv-LV" w:eastAsia="fr-FR"/>
        </w:rPr>
        <w:t xml:space="preserve"> trešās puses </w:t>
      </w:r>
      <w:r w:rsidR="00667A18">
        <w:rPr>
          <w:rFonts w:ascii="Times New Roman" w:hAnsi="Times New Roman" w:cs="Times New Roman"/>
          <w:szCs w:val="24"/>
          <w:lang w:val="lv-LV" w:eastAsia="fr-FR"/>
        </w:rPr>
        <w:t>apsvērumos</w:t>
      </w:r>
      <w:r w:rsidRPr="00E45AA2">
        <w:rPr>
          <w:rFonts w:ascii="Times New Roman" w:hAnsi="Times New Roman" w:cs="Times New Roman"/>
          <w:szCs w:val="24"/>
          <w:lang w:val="lv-LV" w:eastAsia="fr-FR"/>
        </w:rPr>
        <w:t xml:space="preserve"> Igaunijas valdība uzsvēra, ka ir svarīgi nošķirt tāda sprieduma izpildi, kas nāk no Konvencijas dalībvalsts, no sprieduma, ko pasludinājušas tādas valsts kompetentās iestādes, kas nav Konvencijas dalībvalsts. Pirmajā gadījumā, kur pastāv prezumpcija, ka puses var nodrošināt Konvencijā noteikto tiesību aizsardzību sprieduma izcelsmes valstī, uzrunātās dalībvalsts nacionālās tiesas kontrolei būtu jābūt ierobežotākai nek</w:t>
      </w:r>
      <w:r w:rsidR="00FE70B0">
        <w:rPr>
          <w:rFonts w:ascii="Times New Roman" w:hAnsi="Times New Roman" w:cs="Times New Roman"/>
          <w:szCs w:val="24"/>
          <w:lang w:val="lv-LV" w:eastAsia="fr-FR"/>
        </w:rPr>
        <w:t>ā otrā gadījumā (skatīt augstāk</w:t>
      </w:r>
      <w:r w:rsidRPr="00E45AA2">
        <w:rPr>
          <w:rFonts w:ascii="Times New Roman" w:hAnsi="Times New Roman" w:cs="Times New Roman"/>
          <w:szCs w:val="24"/>
          <w:lang w:val="lv-LV" w:eastAsia="fr-FR"/>
        </w:rPr>
        <w:t>minēto 87. punktu). Tiesa atzīmē, ka tā nekad iepriekš nav tikusi aicināta izskatīt lietas taisnīgas izskatīšanas garantiju ievērošanu savstarpējas atzīšanas kontekstā, balstoties uz Eiropas Savienības tiesību aktiem. Tomēr tā vienmēr ir pielietojusi vispārējo principu, ar kuru tiesa, kas izskata prasību pēc ār</w:t>
      </w:r>
      <w:r w:rsidR="002F63AB">
        <w:rPr>
          <w:rFonts w:ascii="Times New Roman" w:hAnsi="Times New Roman" w:cs="Times New Roman"/>
          <w:szCs w:val="24"/>
          <w:lang w:val="lv-LV" w:eastAsia="fr-FR"/>
        </w:rPr>
        <w:t>valstu</w:t>
      </w:r>
      <w:r w:rsidRPr="00E45AA2">
        <w:rPr>
          <w:rFonts w:ascii="Times New Roman" w:hAnsi="Times New Roman" w:cs="Times New Roman"/>
          <w:szCs w:val="24"/>
          <w:lang w:val="lv-LV" w:eastAsia="fr-FR"/>
        </w:rPr>
        <w:t xml:space="preserve"> sprieduma atzīšanas un izpildes, nevar apmierināt šo prasību, pirms tam neveicot šī sprieduma pārbaudi, ņemot vērā lietas taisnīgas izskatīšanas garantijas; šīs kontroles intensitāte var atšķirties atkarībā no lietas rakstura (skatīt, </w:t>
      </w:r>
      <w:r w:rsidRPr="00E45AA2">
        <w:rPr>
          <w:rFonts w:ascii="Times New Roman" w:hAnsi="Times New Roman" w:cs="Times New Roman"/>
          <w:i/>
          <w:szCs w:val="24"/>
          <w:lang w:val="lv-LV" w:eastAsia="fr-FR"/>
        </w:rPr>
        <w:t>mutatis mutandis</w:t>
      </w:r>
      <w:r w:rsidRPr="00E45AA2">
        <w:rPr>
          <w:rFonts w:ascii="Times New Roman" w:hAnsi="Times New Roman" w:cs="Times New Roman"/>
          <w:szCs w:val="24"/>
          <w:lang w:val="lv-LV" w:eastAsia="fr-FR"/>
        </w:rPr>
        <w:t xml:space="preserve">, </w:t>
      </w:r>
      <w:r w:rsidRPr="00E45AA2">
        <w:rPr>
          <w:rFonts w:ascii="Times New Roman" w:hAnsi="Times New Roman" w:cs="Times New Roman"/>
          <w:i/>
          <w:szCs w:val="24"/>
          <w:lang w:val="lv-LV"/>
        </w:rPr>
        <w:t>Drozd un Janousek pret Franciju un Spāniju</w:t>
      </w:r>
      <w:r w:rsidRPr="00E45AA2">
        <w:rPr>
          <w:rFonts w:ascii="Times New Roman" w:hAnsi="Times New Roman" w:cs="Times New Roman"/>
          <w:szCs w:val="24"/>
          <w:lang w:val="lv-LV"/>
        </w:rPr>
        <w:t xml:space="preserve">, 1992. gada 26. jūnijs, 110. punkts, A sērija, Nr. 240, un </w:t>
      </w:r>
      <w:r w:rsidRPr="00E45AA2">
        <w:rPr>
          <w:rFonts w:ascii="Times New Roman" w:hAnsi="Times New Roman" w:cs="Times New Roman"/>
          <w:i/>
          <w:szCs w:val="24"/>
          <w:lang w:val="lv-LV"/>
        </w:rPr>
        <w:t xml:space="preserve">Pellegrini, </w:t>
      </w:r>
      <w:r w:rsidRPr="00E45AA2">
        <w:rPr>
          <w:rFonts w:ascii="Times New Roman" w:hAnsi="Times New Roman" w:cs="Times New Roman"/>
          <w:szCs w:val="24"/>
          <w:lang w:val="lv-LV"/>
        </w:rPr>
        <w:t>minēts iepriekš, 40. punkts</w:t>
      </w:r>
      <w:r w:rsidRPr="00E45AA2">
        <w:rPr>
          <w:rFonts w:ascii="Times New Roman" w:hAnsi="Times New Roman" w:cs="Times New Roman"/>
          <w:szCs w:val="24"/>
          <w:lang w:val="lv-LV" w:eastAsia="fr-FR"/>
        </w:rPr>
        <w:t xml:space="preserve">). Šajā lietā, ņemot vērā tās apstākļus, Tiesai jānosaka, vai Latvijas Augstākās tiesas Senāta īstenotā kontrole bijusi pietiekama, lai atbilstu 6. panta 1. punktam. </w:t>
      </w:r>
    </w:p>
    <w:p w:rsidR="0013508E" w:rsidRPr="00E45AA2" w:rsidRDefault="0013508E" w:rsidP="0013508E">
      <w:pPr>
        <w:pStyle w:val="ECHRPara"/>
        <w:rPr>
          <w:rFonts w:ascii="Times New Roman" w:hAnsi="Times New Roman" w:cs="Times New Roman"/>
          <w:snapToGrid w:val="0"/>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99</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Tiesa uzsver, ka saskaņā ar Konvencijas 19. pantu tās vienīgais pienākums ir nodrošināt to saistību ievērošanu, ko uzņēmušās Konvencijas dalībvalstis. Īpaši jāuzsver, ka tās funkcija nav risināt faktiskas vai likumiskas kļūdas, ko, iespējams, izdarījusi nacionālā tiesa, </w:t>
      </w:r>
      <w:r w:rsidR="00F62EEA">
        <w:rPr>
          <w:rFonts w:ascii="Times New Roman" w:hAnsi="Times New Roman" w:cs="Times New Roman"/>
          <w:szCs w:val="24"/>
          <w:lang w:val="lv-LV"/>
        </w:rPr>
        <w:t>iz</w:t>
      </w:r>
      <w:r w:rsidRPr="00E45AA2">
        <w:rPr>
          <w:rFonts w:ascii="Times New Roman" w:hAnsi="Times New Roman" w:cs="Times New Roman"/>
          <w:szCs w:val="24"/>
          <w:lang w:val="lv-LV"/>
        </w:rPr>
        <w:t xml:space="preserve">vērtējot pierādījumus, ja vien tādā veidā nav pārkāptas ar Konvenciju noteiktās tiesības un brīvības (skatīt, līdz ar daudziem citiem attiecināmiem dokumentiem, lietu </w:t>
      </w:r>
      <w:r w:rsidRPr="00E45AA2">
        <w:rPr>
          <w:rFonts w:ascii="Times New Roman" w:hAnsi="Times New Roman" w:cs="Times New Roman"/>
          <w:i/>
          <w:iCs/>
          <w:spacing w:val="-2"/>
          <w:szCs w:val="24"/>
          <w:lang w:val="lv-LV"/>
        </w:rPr>
        <w:t>García Ruiz pret Spāniju</w:t>
      </w:r>
      <w:r w:rsidRPr="00E45AA2">
        <w:rPr>
          <w:rFonts w:ascii="Times New Roman" w:hAnsi="Times New Roman" w:cs="Times New Roman"/>
          <w:szCs w:val="24"/>
          <w:lang w:val="lv-LV"/>
        </w:rPr>
        <w:t xml:space="preserve"> [Lielā palāta], Nr. 30544/96, 28. punkts, ECHR, 1999-I). Tiesa pati nevar novērtēt faktus, kas likuši </w:t>
      </w:r>
      <w:r w:rsidRPr="00E45AA2">
        <w:rPr>
          <w:rFonts w:ascii="Times New Roman" w:hAnsi="Times New Roman" w:cs="Times New Roman"/>
          <w:szCs w:val="24"/>
          <w:lang w:val="lv-LV"/>
        </w:rPr>
        <w:lastRenderedPageBreak/>
        <w:t xml:space="preserve">nacionālajai tiesai pieņemt kādu lēmumu; pretējā gadījumā tā rīkotos kā ceturtās instances tiesa un pārkāptu savas kompetences robežas (skatīt lietu </w:t>
      </w:r>
      <w:r w:rsidRPr="00E45AA2">
        <w:rPr>
          <w:rFonts w:ascii="Times New Roman" w:hAnsi="Times New Roman" w:cs="Times New Roman"/>
          <w:i/>
          <w:szCs w:val="24"/>
          <w:lang w:val="lv-LV"/>
        </w:rPr>
        <w:t xml:space="preserve">Centro Europa 7 </w:t>
      </w:r>
      <w:r w:rsidRPr="00E45AA2">
        <w:rPr>
          <w:rFonts w:ascii="Times New Roman" w:hAnsi="Times New Roman" w:cs="Times New Roman"/>
          <w:i/>
          <w:snapToGrid w:val="0"/>
          <w:szCs w:val="24"/>
          <w:lang w:val="lv-LV"/>
        </w:rPr>
        <w:t xml:space="preserve">S.r.l. </w:t>
      </w:r>
      <w:r w:rsidRPr="00E45AA2">
        <w:rPr>
          <w:rFonts w:ascii="Times New Roman" w:hAnsi="Times New Roman" w:cs="Times New Roman"/>
          <w:i/>
          <w:szCs w:val="24"/>
          <w:lang w:val="lv-LV"/>
        </w:rPr>
        <w:t xml:space="preserve">un Di Stefano pret Itāliju </w:t>
      </w:r>
      <w:r w:rsidRPr="00E45AA2">
        <w:rPr>
          <w:rFonts w:ascii="Times New Roman" w:hAnsi="Times New Roman" w:cs="Times New Roman"/>
          <w:szCs w:val="24"/>
          <w:lang w:val="lv-LV"/>
        </w:rPr>
        <w:t>[Lielā palāta], Nr. 38433/09</w:t>
      </w:r>
      <w:r w:rsidRPr="00E45AA2">
        <w:rPr>
          <w:rFonts w:ascii="Times New Roman" w:hAnsi="Times New Roman" w:cs="Times New Roman"/>
          <w:snapToGrid w:val="0"/>
          <w:szCs w:val="24"/>
          <w:lang w:val="lv-LV"/>
        </w:rPr>
        <w:t xml:space="preserve">, 197. punkts, ECHR, 2012). Līdz ar to tai nav jurisdikcijas lemt par faktiem, kas attiecas uz iesniedzēja sūdzību par to, ka viņš ir atmaksājis </w:t>
      </w:r>
      <w:r w:rsidR="00ED3846">
        <w:rPr>
          <w:rFonts w:ascii="Times New Roman" w:hAnsi="Times New Roman" w:cs="Times New Roman"/>
          <w:snapToGrid w:val="0"/>
          <w:szCs w:val="24"/>
          <w:lang w:val="lv-LV"/>
        </w:rPr>
        <w:t>aizdevumu</w:t>
      </w:r>
      <w:r w:rsidRPr="00E45AA2">
        <w:rPr>
          <w:rFonts w:ascii="Times New Roman" w:hAnsi="Times New Roman" w:cs="Times New Roman"/>
          <w:snapToGrid w:val="0"/>
          <w:szCs w:val="24"/>
          <w:lang w:val="lv-LV"/>
        </w:rPr>
        <w:t xml:space="preserve">, pirms pret viņu tika </w:t>
      </w:r>
      <w:r w:rsidR="00ED3846">
        <w:rPr>
          <w:rFonts w:ascii="Times New Roman" w:hAnsi="Times New Roman" w:cs="Times New Roman"/>
          <w:snapToGrid w:val="0"/>
          <w:szCs w:val="24"/>
          <w:lang w:val="lv-LV"/>
        </w:rPr>
        <w:t>uz</w:t>
      </w:r>
      <w:r w:rsidRPr="00E45AA2">
        <w:rPr>
          <w:rFonts w:ascii="Times New Roman" w:hAnsi="Times New Roman" w:cs="Times New Roman"/>
          <w:snapToGrid w:val="0"/>
          <w:szCs w:val="24"/>
          <w:lang w:val="lv-LV"/>
        </w:rPr>
        <w:t>s</w:t>
      </w:r>
      <w:r w:rsidR="00FE70B0">
        <w:rPr>
          <w:rFonts w:ascii="Times New Roman" w:hAnsi="Times New Roman" w:cs="Times New Roman"/>
          <w:snapToGrid w:val="0"/>
          <w:szCs w:val="24"/>
          <w:lang w:val="lv-LV"/>
        </w:rPr>
        <w:t>ākta tiesvedība (skatīt augstāk</w:t>
      </w:r>
      <w:r w:rsidRPr="00E45AA2">
        <w:rPr>
          <w:rFonts w:ascii="Times New Roman" w:hAnsi="Times New Roman" w:cs="Times New Roman"/>
          <w:snapToGrid w:val="0"/>
          <w:szCs w:val="24"/>
          <w:lang w:val="lv-LV"/>
        </w:rPr>
        <w:t xml:space="preserve">minēto 15. un 17. punktu).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100</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Turklāt Tiesa atzīmē, ka Kipras sprieduma atzīšana un izpilde notika saskaņā ar </w:t>
      </w:r>
      <w:r w:rsidRPr="00E45AA2">
        <w:rPr>
          <w:rStyle w:val="Strong"/>
          <w:rFonts w:ascii="Times New Roman" w:hAnsi="Times New Roman" w:cs="Times New Roman"/>
          <w:b w:val="0"/>
          <w:szCs w:val="24"/>
          <w:bdr w:val="none" w:sz="0" w:space="0" w:color="auto" w:frame="1"/>
          <w:shd w:val="clear" w:color="auto" w:fill="FFFFFF"/>
          <w:lang w:val="lv-LV"/>
        </w:rPr>
        <w:t xml:space="preserve">Padomes Regulu (EK) Nr. 44/2001 (2000. gada 22. decembris) par jurisdikciju un spriedumu atzīšanu un izpildi civillietās un komerclietās </w:t>
      </w:r>
      <w:r w:rsidRPr="00E45AA2">
        <w:rPr>
          <w:rFonts w:ascii="Times New Roman" w:hAnsi="Times New Roman" w:cs="Times New Roman"/>
          <w:szCs w:val="24"/>
          <w:lang w:val="lv-LV"/>
        </w:rPr>
        <w:t xml:space="preserve">(pazīstama kā Briseles I regula), kas attiecīgajā laikā bija piemērojama. Iesniedzējs izteica viedokli, ka Augstākās tiesas Senāts ir pārkāpis šīs Regulas 34. panta 2. punktu un attiecīgo Latvija Civilprocesa likuma noteikumu. Tiesa uzsver, ka tā nav kompetenta formāli </w:t>
      </w:r>
      <w:r w:rsidR="005A4222">
        <w:rPr>
          <w:rFonts w:ascii="Times New Roman" w:hAnsi="Times New Roman" w:cs="Times New Roman"/>
          <w:szCs w:val="24"/>
          <w:lang w:val="lv-LV"/>
        </w:rPr>
        <w:t>lemt</w:t>
      </w:r>
      <w:r w:rsidRPr="00E45AA2">
        <w:rPr>
          <w:rFonts w:ascii="Times New Roman" w:hAnsi="Times New Roman" w:cs="Times New Roman"/>
          <w:szCs w:val="24"/>
          <w:lang w:val="lv-LV"/>
        </w:rPr>
        <w:t xml:space="preserve"> par atbilstību nacionālajiem tiesību aktiem, citiem starptautiskiem līgumiem vai Eiropas Savienības tiesību aktiem (skatīt, piemēram, lietu </w:t>
      </w:r>
      <w:r w:rsidRPr="00E45AA2">
        <w:rPr>
          <w:rFonts w:ascii="Times New Roman" w:hAnsi="Times New Roman" w:cs="Times New Roman"/>
          <w:i/>
          <w:szCs w:val="24"/>
          <w:lang w:val="lv-LV"/>
        </w:rPr>
        <w:t>S. J. pret Luksemburgu</w:t>
      </w:r>
      <w:r w:rsidRPr="00E45AA2">
        <w:rPr>
          <w:rFonts w:ascii="Times New Roman" w:hAnsi="Times New Roman" w:cs="Times New Roman"/>
          <w:szCs w:val="24"/>
          <w:lang w:val="lv-LV"/>
        </w:rPr>
        <w:t xml:space="preserve">, Nr. 34471/04, 52. punkts, 2008. gada 4. marts, un lietu </w:t>
      </w:r>
      <w:r w:rsidRPr="00E45AA2">
        <w:rPr>
          <w:rFonts w:ascii="Times New Roman" w:hAnsi="Times New Roman" w:cs="Times New Roman"/>
          <w:i/>
          <w:szCs w:val="24"/>
          <w:lang w:val="lv-LV"/>
        </w:rPr>
        <w:t>Jeunesse pret Nīderlandi </w:t>
      </w:r>
      <w:r w:rsidRPr="00E45AA2">
        <w:rPr>
          <w:rFonts w:ascii="Times New Roman" w:hAnsi="Times New Roman" w:cs="Times New Roman"/>
          <w:szCs w:val="24"/>
          <w:lang w:val="lv-LV"/>
        </w:rPr>
        <w:t>[Lielā palāta], Nr. 12738/10,</w:t>
      </w:r>
      <w:r w:rsidRPr="00E45AA2">
        <w:rPr>
          <w:rFonts w:ascii="Times New Roman" w:hAnsi="Times New Roman" w:cs="Times New Roman"/>
          <w:snapToGrid w:val="0"/>
          <w:szCs w:val="24"/>
          <w:lang w:val="lv-LV"/>
        </w:rPr>
        <w:t xml:space="preserve"> 110. punkts, 2014. gada 3. oktobris). Briseles I regulas noteikumu interpretēšana un piemērošana, pirmkārt, ir EST uzdevums, </w:t>
      </w:r>
      <w:r w:rsidRPr="00E45AA2">
        <w:rPr>
          <w:rFonts w:ascii="Times New Roman" w:hAnsi="Times New Roman" w:cs="Times New Roman"/>
          <w:szCs w:val="24"/>
          <w:lang w:val="lv-LV"/>
        </w:rPr>
        <w:t xml:space="preserve">runājot par prejudiciāla nolēmuma pieprasīšanu, un, otrkārt, nacionālo tiesu uzdevums, ciktāl tas atbilst šo tiesu kā Eiropas Savienības tiesu kompetencei, proti, kad tās izpilda Regulu saskaņā ar EST sniegto interpretāciju. Eiropas </w:t>
      </w:r>
      <w:r w:rsidR="005A4222">
        <w:rPr>
          <w:rFonts w:ascii="Times New Roman" w:hAnsi="Times New Roman" w:cs="Times New Roman"/>
          <w:szCs w:val="24"/>
          <w:lang w:val="lv-LV"/>
        </w:rPr>
        <w:t>Cilvēktiesību tiesas kompetencē ietilpst tikai atbilstības</w:t>
      </w:r>
      <w:r w:rsidRPr="00E45AA2">
        <w:rPr>
          <w:rFonts w:ascii="Times New Roman" w:hAnsi="Times New Roman" w:cs="Times New Roman"/>
          <w:szCs w:val="24"/>
          <w:lang w:val="lv-LV"/>
        </w:rPr>
        <w:t xml:space="preserve"> Konvencijas prasībām</w:t>
      </w:r>
      <w:r w:rsidR="005A4222">
        <w:rPr>
          <w:rFonts w:ascii="Times New Roman" w:hAnsi="Times New Roman" w:cs="Times New Roman"/>
          <w:szCs w:val="24"/>
          <w:lang w:val="lv-LV"/>
        </w:rPr>
        <w:t xml:space="preserve"> kontrole</w:t>
      </w:r>
      <w:r w:rsidRPr="00E45AA2">
        <w:rPr>
          <w:rFonts w:ascii="Times New Roman" w:hAnsi="Times New Roman" w:cs="Times New Roman"/>
          <w:szCs w:val="24"/>
          <w:lang w:val="lv-LV"/>
        </w:rPr>
        <w:t>, šajā gadījumā atbilstīb</w:t>
      </w:r>
      <w:r w:rsidR="005A4222">
        <w:rPr>
          <w:rFonts w:ascii="Times New Roman" w:hAnsi="Times New Roman" w:cs="Times New Roman"/>
          <w:szCs w:val="24"/>
          <w:lang w:val="lv-LV"/>
        </w:rPr>
        <w:t>a</w:t>
      </w:r>
      <w:r w:rsidRPr="00E45AA2">
        <w:rPr>
          <w:rFonts w:ascii="Times New Roman" w:hAnsi="Times New Roman" w:cs="Times New Roman"/>
          <w:szCs w:val="24"/>
          <w:lang w:val="lv-LV"/>
        </w:rPr>
        <w:t xml:space="preserve"> 6. panta 1. punktam. Līdz ar to, tā kā nav </w:t>
      </w:r>
      <w:r w:rsidR="005A4222">
        <w:rPr>
          <w:rFonts w:ascii="Times New Roman" w:hAnsi="Times New Roman" w:cs="Times New Roman"/>
          <w:szCs w:val="24"/>
          <w:lang w:val="lv-LV"/>
        </w:rPr>
        <w:t>konstatēta</w:t>
      </w:r>
      <w:r w:rsidRPr="00E45AA2">
        <w:rPr>
          <w:rFonts w:ascii="Times New Roman" w:hAnsi="Times New Roman" w:cs="Times New Roman"/>
          <w:szCs w:val="24"/>
          <w:lang w:val="lv-LV"/>
        </w:rPr>
        <w:t xml:space="preserve"> patvaļīga rīcība, kas pati par sevi radītu jautājumu 6. panta 1. punkta </w:t>
      </w:r>
      <w:r w:rsidR="005A4222">
        <w:rPr>
          <w:rFonts w:ascii="Times New Roman" w:hAnsi="Times New Roman" w:cs="Times New Roman"/>
          <w:szCs w:val="24"/>
          <w:lang w:val="lv-LV"/>
        </w:rPr>
        <w:t>izpratnē</w:t>
      </w:r>
      <w:r w:rsidRPr="00E45AA2">
        <w:rPr>
          <w:rFonts w:ascii="Times New Roman" w:hAnsi="Times New Roman" w:cs="Times New Roman"/>
          <w:szCs w:val="24"/>
          <w:lang w:val="lv-LV"/>
        </w:rPr>
        <w:t>, Tiesai nav uzdevuma spriest par to, vai Latvijas Augstākās tiesas Senāts ir pareizi piemērojis Briseles I regulas 34. panta 2. punktu vai jebkāda cita Eiropas Savienības tiesību akta noteikumu.</w:t>
      </w:r>
    </w:p>
    <w:p w:rsidR="0013508E" w:rsidRPr="00E45AA2" w:rsidRDefault="0013508E" w:rsidP="00E45AA2">
      <w:pPr>
        <w:pStyle w:val="ECHRHeading3"/>
        <w:numPr>
          <w:ilvl w:val="0"/>
          <w:numId w:val="0"/>
        </w:numPr>
        <w:ind w:left="720" w:hanging="432"/>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2.  </w:t>
      </w:r>
      <w:r w:rsidRPr="00E45AA2">
        <w:rPr>
          <w:rStyle w:val="st1"/>
          <w:rFonts w:ascii="Times New Roman" w:hAnsi="Times New Roman" w:cs="Times New Roman"/>
          <w:b w:val="0"/>
          <w:i/>
          <w:color w:val="auto"/>
          <w:szCs w:val="24"/>
          <w:lang w:val="lv-LV"/>
        </w:rPr>
        <w:t>Līdzvērtīgās aizsardzības prezumpcija</w:t>
      </w:r>
      <w:r w:rsidRPr="00E45AA2" w:rsidDel="00B82232">
        <w:rPr>
          <w:rFonts w:ascii="Times New Roman" w:hAnsi="Times New Roman" w:cs="Times New Roman"/>
          <w:b w:val="0"/>
          <w:i/>
          <w:color w:val="auto"/>
          <w:szCs w:val="24"/>
          <w:lang w:val="lv-LV"/>
        </w:rPr>
        <w:t xml:space="preserve"> </w:t>
      </w:r>
      <w:r w:rsidRPr="00E45AA2">
        <w:rPr>
          <w:rFonts w:ascii="Times New Roman" w:hAnsi="Times New Roman" w:cs="Times New Roman"/>
          <w:b w:val="0"/>
          <w:i/>
          <w:color w:val="auto"/>
          <w:szCs w:val="24"/>
          <w:lang w:val="lv-LV"/>
        </w:rPr>
        <w:t>(Bosphorus prezumpcija)</w:t>
      </w:r>
    </w:p>
    <w:p w:rsidR="004766EB" w:rsidRDefault="0013508E" w:rsidP="004766EB">
      <w:pPr>
        <w:pStyle w:val="ECHRHeading4"/>
        <w:numPr>
          <w:ilvl w:val="0"/>
          <w:numId w:val="0"/>
        </w:numPr>
        <w:ind w:left="864"/>
        <w:rPr>
          <w:rStyle w:val="st1"/>
          <w:rFonts w:ascii="Times New Roman" w:hAnsi="Times New Roman" w:cs="Times New Roman"/>
          <w:i w:val="0"/>
          <w:color w:val="auto"/>
          <w:sz w:val="22"/>
          <w:szCs w:val="24"/>
          <w:lang w:val="lv-LV"/>
        </w:rPr>
      </w:pPr>
      <w:r w:rsidRPr="004766EB">
        <w:rPr>
          <w:rFonts w:ascii="Times New Roman" w:eastAsiaTheme="minorHAnsi" w:hAnsi="Times New Roman" w:cs="Times New Roman"/>
          <w:i w:val="0"/>
          <w:color w:val="auto"/>
          <w:sz w:val="22"/>
          <w:szCs w:val="24"/>
          <w:lang w:val="lv-LV"/>
        </w:rPr>
        <w:t>(a)  </w:t>
      </w:r>
      <w:r w:rsidRPr="004766EB">
        <w:rPr>
          <w:rStyle w:val="st1"/>
          <w:rFonts w:ascii="Times New Roman" w:hAnsi="Times New Roman" w:cs="Times New Roman"/>
          <w:i w:val="0"/>
          <w:color w:val="auto"/>
          <w:sz w:val="22"/>
          <w:szCs w:val="24"/>
          <w:lang w:val="lv-LV"/>
        </w:rPr>
        <w:t xml:space="preserve">Līdzvērtīgās aizsardzības prezumpcijas tvērums </w:t>
      </w:r>
    </w:p>
    <w:p w:rsidR="004766EB" w:rsidRPr="004766EB" w:rsidRDefault="004766EB" w:rsidP="004766EB">
      <w:pPr>
        <w:pStyle w:val="ECHRPara"/>
        <w:rPr>
          <w:lang w:val="lv-LV"/>
        </w:rPr>
      </w:pPr>
    </w:p>
    <w:p w:rsidR="0013508E" w:rsidRPr="00E45AA2" w:rsidRDefault="0013508E" w:rsidP="0013508E">
      <w:pPr>
        <w:pStyle w:val="ECHRPara"/>
        <w:rPr>
          <w:rFonts w:ascii="Times New Roman" w:eastAsiaTheme="minorHAnsi"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101</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xml:space="preserve">.  Tiesa atgādina, ka, piemērojot Eiropas Savienības tiesību aktus, līgumslēdzējas valstīm ir saistības, ko tās labprātīgi uzņēmās, pievienojoties Konvencijai. Tomēr šīs saistības ir jāizvērtē, ņemot vērā prezumpciju, ko Tiesa iedibināja </w:t>
      </w:r>
      <w:r w:rsidRPr="00E45AA2">
        <w:rPr>
          <w:rFonts w:ascii="Times New Roman" w:eastAsiaTheme="minorHAnsi" w:hAnsi="Times New Roman" w:cs="Times New Roman"/>
          <w:i/>
          <w:szCs w:val="24"/>
          <w:lang w:val="lv-LV"/>
        </w:rPr>
        <w:t xml:space="preserve">Bosphorus </w:t>
      </w:r>
      <w:r w:rsidRPr="00E45AA2">
        <w:rPr>
          <w:rFonts w:ascii="Times New Roman" w:eastAsiaTheme="minorHAnsi" w:hAnsi="Times New Roman" w:cs="Times New Roman"/>
          <w:szCs w:val="24"/>
          <w:lang w:val="lv-LV"/>
        </w:rPr>
        <w:t xml:space="preserve">spriedumā un attīstīja </w:t>
      </w:r>
      <w:r w:rsidRPr="00E45AA2">
        <w:rPr>
          <w:rFonts w:ascii="Times New Roman" w:eastAsiaTheme="minorHAnsi" w:hAnsi="Times New Roman" w:cs="Times New Roman"/>
          <w:i/>
          <w:szCs w:val="24"/>
          <w:lang w:val="lv-LV"/>
        </w:rPr>
        <w:t xml:space="preserve">Michaud </w:t>
      </w:r>
      <w:r w:rsidRPr="00E45AA2">
        <w:rPr>
          <w:rFonts w:ascii="Times New Roman" w:eastAsiaTheme="minorHAnsi" w:hAnsi="Times New Roman" w:cs="Times New Roman"/>
          <w:szCs w:val="24"/>
          <w:lang w:val="lv-LV"/>
        </w:rPr>
        <w:t xml:space="preserve">lietā (abi minēti iepriekš; skatīt arī lietu </w:t>
      </w:r>
      <w:r w:rsidRPr="00E45AA2">
        <w:rPr>
          <w:rFonts w:ascii="Times New Roman" w:hAnsi="Times New Roman" w:cs="Times New Roman"/>
          <w:i/>
          <w:szCs w:val="24"/>
          <w:lang w:val="lv-LV"/>
        </w:rPr>
        <w:t xml:space="preserve">M.S.S. pret Beļģiju un Grieķiju </w:t>
      </w:r>
      <w:r w:rsidRPr="00E45AA2">
        <w:rPr>
          <w:rFonts w:ascii="Times New Roman" w:hAnsi="Times New Roman" w:cs="Times New Roman"/>
          <w:szCs w:val="24"/>
          <w:lang w:val="lv-LV"/>
        </w:rPr>
        <w:t>[Lielā palāta], Nr. 30696/09, 338</w:t>
      </w:r>
      <w:r w:rsidR="00FE70B0">
        <w:rPr>
          <w:rFonts w:ascii="Times New Roman" w:hAnsi="Times New Roman" w:cs="Times New Roman"/>
          <w:szCs w:val="24"/>
          <w:lang w:val="lv-LV"/>
        </w:rPr>
        <w:t>. punkts, ECHR 2011, un augstāk</w:t>
      </w:r>
      <w:r w:rsidRPr="00E45AA2">
        <w:rPr>
          <w:rFonts w:ascii="Times New Roman" w:hAnsi="Times New Roman" w:cs="Times New Roman"/>
          <w:szCs w:val="24"/>
          <w:lang w:val="lv-LV"/>
        </w:rPr>
        <w:t xml:space="preserve">minēto </w:t>
      </w:r>
      <w:r w:rsidRPr="00E45AA2">
        <w:rPr>
          <w:rFonts w:ascii="Times New Roman" w:hAnsi="Times New Roman" w:cs="Times New Roman"/>
          <w:i/>
          <w:szCs w:val="24"/>
          <w:lang w:val="lv-LV"/>
        </w:rPr>
        <w:t>Povse</w:t>
      </w:r>
      <w:r w:rsidRPr="00E45AA2">
        <w:rPr>
          <w:rFonts w:ascii="Times New Roman" w:hAnsi="Times New Roman" w:cs="Times New Roman"/>
          <w:szCs w:val="24"/>
          <w:lang w:val="lv-LV"/>
        </w:rPr>
        <w:t xml:space="preserve"> lietu, 76. punkts)</w:t>
      </w:r>
      <w:r w:rsidRPr="00E45AA2">
        <w:rPr>
          <w:rFonts w:ascii="Times New Roman" w:eastAsiaTheme="minorHAnsi" w:hAnsi="Times New Roman" w:cs="Times New Roman"/>
          <w:szCs w:val="24"/>
          <w:lang w:val="lv-LV"/>
        </w:rPr>
        <w:t xml:space="preserve">. </w:t>
      </w:r>
      <w:r w:rsidRPr="00E45AA2">
        <w:rPr>
          <w:rFonts w:ascii="Times New Roman" w:eastAsiaTheme="minorHAnsi" w:hAnsi="Times New Roman" w:cs="Times New Roman"/>
          <w:i/>
          <w:szCs w:val="24"/>
          <w:lang w:val="lv-LV"/>
        </w:rPr>
        <w:t>Michaud</w:t>
      </w:r>
      <w:r w:rsidRPr="00E45AA2">
        <w:rPr>
          <w:rFonts w:ascii="Times New Roman" w:eastAsiaTheme="minorHAnsi" w:hAnsi="Times New Roman" w:cs="Times New Roman"/>
          <w:szCs w:val="24"/>
          <w:lang w:val="lv-LV"/>
        </w:rPr>
        <w:t xml:space="preserve"> lietā Tiesa apkopoja informāciju par tās judikatūru attiecībā uz šo prezumpciju: </w:t>
      </w:r>
    </w:p>
    <w:p w:rsidR="0013508E" w:rsidRPr="00E45AA2" w:rsidRDefault="0013508E" w:rsidP="0013508E">
      <w:pPr>
        <w:pStyle w:val="ECHRParaQuote"/>
        <w:rPr>
          <w:rFonts w:ascii="Times New Roman" w:eastAsia="Times New Roman" w:hAnsi="Times New Roman" w:cs="Times New Roman"/>
          <w:szCs w:val="24"/>
          <w:lang w:val="lv-LV" w:eastAsia="fr-FR"/>
        </w:rPr>
      </w:pPr>
      <w:r w:rsidRPr="00E45AA2">
        <w:rPr>
          <w:rFonts w:ascii="Times New Roman" w:eastAsia="Times New Roman" w:hAnsi="Times New Roman" w:cs="Times New Roman"/>
          <w:szCs w:val="24"/>
          <w:lang w:val="lv-LV" w:eastAsia="fr-FR"/>
        </w:rPr>
        <w:t xml:space="preserve">“102.  Tiesa uzsver, ka pilnīga līgumslēdzēju valstu atbrīvošana no atbildības, kas izriet no Konvencijas, liekot tām vienkārši ievērot savas saistības kā tādas starptautiskas organizācijas dalībniecēm, kurai tās ir nodevušas daļu no savas </w:t>
      </w:r>
      <w:r w:rsidRPr="00E45AA2">
        <w:rPr>
          <w:rFonts w:ascii="Times New Roman" w:eastAsia="Times New Roman" w:hAnsi="Times New Roman" w:cs="Times New Roman"/>
          <w:szCs w:val="24"/>
          <w:lang w:val="lv-LV" w:eastAsia="fr-FR"/>
        </w:rPr>
        <w:lastRenderedPageBreak/>
        <w:t>suverenitātes, neatbilst Konvencijas mērķim un būtībai. Tādā veidā Konvencijas sniegtās garantijas varētu tikt brīvprātīgi ierobežotas vai atceltas, tādējādi atņemot Konvencijai tās kategoriskumu un apdraudot tās piedāvāto drošības līdzekļu praktisko un efektīvo raksturu. Citiem vārdiem sakot, Puses paliek atbildīgas saskaņā ar Konvenciju par līdzekļiem, ko tās izmanto, lai ievērotu savus starptautiskos saistošos pienākumus, pat ja šie pienākumi izriet no šo Pušu dalības starptautiskā organizācijā, kurai tās ir nodevušas daļu no sava</w:t>
      </w:r>
      <w:r w:rsidR="00FE70B0">
        <w:rPr>
          <w:rFonts w:ascii="Times New Roman" w:eastAsia="Times New Roman" w:hAnsi="Times New Roman" w:cs="Times New Roman"/>
          <w:szCs w:val="24"/>
          <w:lang w:val="lv-LV" w:eastAsia="fr-FR"/>
        </w:rPr>
        <w:t>s suverenitātes (skatīt augstāk</w:t>
      </w:r>
      <w:r w:rsidRPr="00E45AA2">
        <w:rPr>
          <w:rFonts w:ascii="Times New Roman" w:eastAsia="Times New Roman" w:hAnsi="Times New Roman" w:cs="Times New Roman"/>
          <w:szCs w:val="24"/>
          <w:lang w:val="lv-LV" w:eastAsia="fr-FR"/>
        </w:rPr>
        <w:t xml:space="preserve">minēto </w:t>
      </w:r>
      <w:r w:rsidRPr="00E45AA2">
        <w:rPr>
          <w:rFonts w:ascii="Times New Roman" w:eastAsia="Times New Roman" w:hAnsi="Times New Roman" w:cs="Times New Roman"/>
          <w:i/>
          <w:szCs w:val="24"/>
          <w:lang w:val="lv-LV" w:eastAsia="fr-FR"/>
        </w:rPr>
        <w:t>Bosphorus</w:t>
      </w:r>
      <w:r w:rsidRPr="00E45AA2">
        <w:rPr>
          <w:rFonts w:ascii="Times New Roman" w:eastAsia="Times New Roman" w:hAnsi="Times New Roman" w:cs="Times New Roman"/>
          <w:szCs w:val="24"/>
          <w:lang w:val="lv-LV" w:eastAsia="fr-FR"/>
        </w:rPr>
        <w:t xml:space="preserve"> lietu, 154. punktu).</w:t>
      </w:r>
    </w:p>
    <w:p w:rsidR="0013508E" w:rsidRPr="00E45AA2" w:rsidRDefault="0013508E" w:rsidP="0013508E">
      <w:pPr>
        <w:pStyle w:val="ECHRParaQuote"/>
        <w:rPr>
          <w:rFonts w:ascii="Times New Roman" w:eastAsia="Times New Roman" w:hAnsi="Times New Roman" w:cs="Times New Roman"/>
          <w:szCs w:val="24"/>
          <w:lang w:val="lv-LV" w:eastAsia="fr-FR"/>
        </w:rPr>
      </w:pPr>
      <w:r w:rsidRPr="00E45AA2">
        <w:rPr>
          <w:rFonts w:ascii="Times New Roman" w:eastAsia="Times New Roman" w:hAnsi="Times New Roman" w:cs="Times New Roman"/>
          <w:szCs w:val="24"/>
          <w:lang w:val="lv-LV" w:eastAsia="fr-FR"/>
        </w:rPr>
        <w:t xml:space="preserve">103.  Tomēr ir taisnība, ka Tiesa ir arī noteikusi, ka darbība, kas veikta saskaņā ar šiem pienākumiem, ir attaisnojama, ja attiecīgā organizācija aizsargā pamattiesības </w:t>
      </w:r>
      <w:r w:rsidR="00334BEF" w:rsidRPr="00E45AA2">
        <w:rPr>
          <w:rFonts w:ascii="Times New Roman" w:eastAsia="Times New Roman" w:hAnsi="Times New Roman" w:cs="Times New Roman"/>
          <w:szCs w:val="24"/>
          <w:lang w:val="lv-LV" w:eastAsia="fr-FR"/>
        </w:rPr>
        <w:t xml:space="preserve">gan </w:t>
      </w:r>
      <w:r w:rsidRPr="00E45AA2">
        <w:rPr>
          <w:rFonts w:ascii="Times New Roman" w:eastAsia="Times New Roman" w:hAnsi="Times New Roman" w:cs="Times New Roman"/>
          <w:szCs w:val="24"/>
          <w:lang w:val="lv-LV" w:eastAsia="fr-FR"/>
        </w:rPr>
        <w:t xml:space="preserve">attiecībā uz piedāvātajām materiālajām garantijām, gan uz to ievērošanas kontroles mehānismiem tādā veidā, kas ir uzskatāms vismaz par vienlīdzīgu – t.i., nevis identisku, bet līdzīgu – tam, ko nodrošina Konvencija (tiek saprasts, ka jebkurš šādas „līdzvērtības” gadījums var nebūt galīgs un var tikt pārskatīts attiecīgu pamattiesību aizsardzības izmaiņu kontekstā). Ja tiek uzskatīts, ka organizācija ir sniegusi līdzvērtīgu aizsardzību, prezumpcija paredz, ka valsts </w:t>
      </w:r>
      <w:r w:rsidR="00334BEF">
        <w:rPr>
          <w:rFonts w:ascii="Times New Roman" w:eastAsia="Times New Roman" w:hAnsi="Times New Roman" w:cs="Times New Roman"/>
          <w:szCs w:val="24"/>
          <w:lang w:val="lv-LV" w:eastAsia="fr-FR"/>
        </w:rPr>
        <w:t xml:space="preserve">ir </w:t>
      </w:r>
      <w:r w:rsidRPr="00E45AA2">
        <w:rPr>
          <w:rFonts w:ascii="Times New Roman" w:eastAsia="Times New Roman" w:hAnsi="Times New Roman" w:cs="Times New Roman"/>
          <w:szCs w:val="24"/>
          <w:lang w:val="lv-LV" w:eastAsia="fr-FR"/>
        </w:rPr>
        <w:t>ievērojusi Konvencijas prasības, ja tā ir tikai pildījusi savus saistošos pienākumus, kas izriet no šīs valsts dalības attiecīgajā organizācijā.</w:t>
      </w:r>
    </w:p>
    <w:p w:rsidR="0013508E" w:rsidRPr="00E45AA2" w:rsidRDefault="0013508E" w:rsidP="0013508E">
      <w:pPr>
        <w:pStyle w:val="ECHRParaQuote"/>
        <w:rPr>
          <w:rFonts w:ascii="Times New Roman" w:eastAsia="Times New Roman" w:hAnsi="Times New Roman" w:cs="Times New Roman"/>
          <w:szCs w:val="24"/>
          <w:lang w:val="lv-LV" w:eastAsia="fr-FR"/>
        </w:rPr>
      </w:pPr>
      <w:r w:rsidRPr="00E45AA2">
        <w:rPr>
          <w:rFonts w:ascii="Times New Roman" w:eastAsia="Times New Roman" w:hAnsi="Times New Roman" w:cs="Times New Roman"/>
          <w:szCs w:val="24"/>
          <w:lang w:val="lv-LV" w:eastAsia="fr-FR"/>
        </w:rPr>
        <w:t xml:space="preserve">Tomēr valsts paliek pilnā mērā atbildīga saskaņā ar Konvenciju par visām darbībām, kas neietilpst tās starptautiskajos saistošajos pienākumos, it sevišķi, ja valstij ir bijusi </w:t>
      </w:r>
      <w:r w:rsidR="00FE70B0">
        <w:rPr>
          <w:rFonts w:ascii="Times New Roman" w:eastAsia="Times New Roman" w:hAnsi="Times New Roman" w:cs="Times New Roman"/>
          <w:szCs w:val="24"/>
          <w:lang w:val="lv-LV" w:eastAsia="fr-FR"/>
        </w:rPr>
        <w:t>rīcības brīvība (skatīt augstāk</w:t>
      </w:r>
      <w:r w:rsidRPr="00E45AA2">
        <w:rPr>
          <w:rFonts w:ascii="Times New Roman" w:eastAsia="Times New Roman" w:hAnsi="Times New Roman" w:cs="Times New Roman"/>
          <w:szCs w:val="24"/>
          <w:lang w:val="lv-LV" w:eastAsia="fr-FR"/>
        </w:rPr>
        <w:t xml:space="preserve">minēto lietu </w:t>
      </w:r>
      <w:r w:rsidRPr="00E45AA2">
        <w:rPr>
          <w:rFonts w:ascii="Times New Roman" w:eastAsia="Times New Roman" w:hAnsi="Times New Roman" w:cs="Times New Roman"/>
          <w:i/>
          <w:szCs w:val="24"/>
          <w:lang w:val="lv-LV" w:eastAsia="fr-FR"/>
        </w:rPr>
        <w:t>M.S.S. pret Beļģiju un Grieķiju</w:t>
      </w:r>
      <w:r w:rsidRPr="00E45AA2">
        <w:rPr>
          <w:rFonts w:ascii="Times New Roman" w:eastAsia="Times New Roman" w:hAnsi="Times New Roman" w:cs="Times New Roman"/>
          <w:szCs w:val="24"/>
          <w:lang w:val="lv-LV" w:eastAsia="fr-FR"/>
        </w:rPr>
        <w:t xml:space="preserve">, 338. punktu). Turklāt jebkura šāda prezumpcija var tikt atspēkota, ja konkrētās lietas apstākļos tiek uzskatīts, ka Konvencijā noteikto tiesību aizsardzībā ir bijuši </w:t>
      </w:r>
      <w:r w:rsidR="001128DE">
        <w:rPr>
          <w:rFonts w:ascii="Times New Roman" w:eastAsia="Times New Roman" w:hAnsi="Times New Roman" w:cs="Times New Roman"/>
          <w:szCs w:val="24"/>
          <w:lang w:val="lv-LV" w:eastAsia="fr-FR"/>
        </w:rPr>
        <w:t xml:space="preserve">acīmredzami </w:t>
      </w:r>
      <w:r w:rsidRPr="00E45AA2">
        <w:rPr>
          <w:rFonts w:ascii="Times New Roman" w:eastAsia="Times New Roman" w:hAnsi="Times New Roman" w:cs="Times New Roman"/>
          <w:szCs w:val="24"/>
          <w:lang w:val="lv-LV" w:eastAsia="fr-FR"/>
        </w:rPr>
        <w:t xml:space="preserve">trūkumi. Šādos gadījumos starptautiskās sadarbības interešu nozīmi pārsver Konvencijas kā „konstitucionāla Eiropas sabiedriskās kārtības instrumenta” loma cilvēktiesību jomā (skatīt iepriekš minēto </w:t>
      </w:r>
      <w:r w:rsidRPr="00E45AA2">
        <w:rPr>
          <w:rFonts w:ascii="Times New Roman" w:eastAsia="Times New Roman" w:hAnsi="Times New Roman" w:cs="Times New Roman"/>
          <w:i/>
          <w:szCs w:val="24"/>
          <w:lang w:val="lv-LV" w:eastAsia="fr-FR"/>
        </w:rPr>
        <w:t>Bosphorus</w:t>
      </w:r>
      <w:r w:rsidRPr="00E45AA2">
        <w:rPr>
          <w:rFonts w:ascii="Times New Roman" w:eastAsia="Times New Roman" w:hAnsi="Times New Roman" w:cs="Times New Roman"/>
          <w:szCs w:val="24"/>
          <w:lang w:val="lv-LV" w:eastAsia="fr-FR"/>
        </w:rPr>
        <w:t xml:space="preserve"> lietu, 152.-158. punktu, kā arī, citu starpā, iepriekš minēto lietu </w:t>
      </w:r>
      <w:r w:rsidRPr="00E45AA2">
        <w:rPr>
          <w:rFonts w:ascii="Times New Roman" w:eastAsia="Times New Roman" w:hAnsi="Times New Roman" w:cs="Times New Roman"/>
          <w:i/>
          <w:szCs w:val="24"/>
          <w:lang w:val="lv-LV" w:eastAsia="fr-FR"/>
        </w:rPr>
        <w:t>M.S.S. pret Beļģiju un Grieķiju,</w:t>
      </w:r>
      <w:r w:rsidRPr="00E45AA2">
        <w:rPr>
          <w:rFonts w:ascii="Times New Roman" w:eastAsia="Times New Roman" w:hAnsi="Times New Roman" w:cs="Times New Roman"/>
          <w:szCs w:val="24"/>
          <w:lang w:val="lv-LV" w:eastAsia="fr-FR"/>
        </w:rPr>
        <w:t xml:space="preserve"> 338.-340. punktu).</w:t>
      </w:r>
    </w:p>
    <w:p w:rsidR="0013508E" w:rsidRPr="00E45AA2" w:rsidRDefault="007C1ED3" w:rsidP="0013508E">
      <w:pPr>
        <w:pStyle w:val="ECHRParaQuote"/>
        <w:rPr>
          <w:rFonts w:ascii="Times New Roman" w:eastAsia="Times New Roman" w:hAnsi="Times New Roman" w:cs="Times New Roman"/>
          <w:szCs w:val="24"/>
          <w:lang w:val="lv-LV" w:eastAsia="fr-FR"/>
        </w:rPr>
      </w:pPr>
      <w:r>
        <w:rPr>
          <w:rFonts w:ascii="Times New Roman" w:eastAsia="Times New Roman" w:hAnsi="Times New Roman" w:cs="Times New Roman"/>
          <w:szCs w:val="24"/>
          <w:lang w:val="lv-LV" w:eastAsia="fr-FR"/>
        </w:rPr>
        <w:t>104.  Līdzvērtīgā</w:t>
      </w:r>
      <w:r w:rsidR="0013508E" w:rsidRPr="00E45AA2">
        <w:rPr>
          <w:rFonts w:ascii="Times New Roman" w:eastAsia="Times New Roman" w:hAnsi="Times New Roman" w:cs="Times New Roman"/>
          <w:szCs w:val="24"/>
          <w:lang w:val="lv-LV" w:eastAsia="fr-FR"/>
        </w:rPr>
        <w:t>s aizsardzības prezumpcijas galvenais mērķis ir it īpaši nodrošināt, ka dalībvalsts nenonāk dilemmas priekšā brīdī, kad tai jāievēro saistošie pienākumi, kas izriet no tās dalības tādā starptautiskā organizācijā, kas nav pievienojusies Konvencijai un kurai tā ir nodevusi daļu savas suverenitātes, lai attiecībā pret Konvenciju attaisnotu savu no šādas dalības izrietošu rīcību vai bezdarbību. Šī prezumpcija palīdz arī noteikt, kuros gadījumos Tiesa var starptautiskas sadarbības interesēs samazināt savas pārraudzības lomas intensitāti, ko tai uztic Konvencijas 19. pants, attiecībā uz no Konvencijas izrietošo dalībvalstu saistību ievērošanu, runājot par to, kā dalībvalstis ievēro savas ar Konvenciju noteiktās saistības. No šiem mērķiem izriet, ka Tiesa pieņem šādu kārtību vienīgi gadījumos, kad tiesībām un drošības garantijām, ko tā aizsargā, tiek nodrošināta tāda aizsardzība, kas pielīdzināma pašas Tiesas sniegtajai aizsardzībai. Ja tas netiek izdarīts, valsts izvairītos no jebkuras starptautiskās pārbaudes par tās rīcības atbilstību Konvencijas prasībām.”</w:t>
      </w:r>
    </w:p>
    <w:p w:rsidR="0013508E" w:rsidRPr="00E45AA2" w:rsidRDefault="0013508E" w:rsidP="0013508E">
      <w:pPr>
        <w:pStyle w:val="ECHRPara"/>
        <w:rPr>
          <w:rFonts w:ascii="Times New Roman" w:eastAsia="Times New Roman" w:hAnsi="Times New Roman" w:cs="Times New Roman"/>
          <w:szCs w:val="24"/>
          <w:lang w:val="lv-LV" w:eastAsia="fr-FR"/>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102</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Agrākā ES „pirmā pī</w:t>
      </w:r>
      <w:r w:rsidR="00FE70B0">
        <w:rPr>
          <w:rFonts w:ascii="Times New Roman" w:eastAsiaTheme="minorHAnsi" w:hAnsi="Times New Roman" w:cs="Times New Roman"/>
          <w:szCs w:val="24"/>
          <w:lang w:val="lv-LV"/>
        </w:rPr>
        <w:t>lāra” kontekstā (skatīt augstāk</w:t>
      </w:r>
      <w:r w:rsidRPr="00E45AA2">
        <w:rPr>
          <w:rFonts w:ascii="Times New Roman" w:eastAsiaTheme="minorHAnsi" w:hAnsi="Times New Roman" w:cs="Times New Roman"/>
          <w:szCs w:val="24"/>
          <w:lang w:val="lv-LV"/>
        </w:rPr>
        <w:t xml:space="preserve">minēto </w:t>
      </w:r>
      <w:r w:rsidRPr="00E45AA2">
        <w:rPr>
          <w:rFonts w:ascii="Times New Roman" w:eastAsiaTheme="minorHAnsi" w:hAnsi="Times New Roman" w:cs="Times New Roman"/>
          <w:i/>
          <w:szCs w:val="24"/>
          <w:lang w:val="lv-LV"/>
        </w:rPr>
        <w:t>Bosphorus</w:t>
      </w:r>
      <w:r w:rsidRPr="00E45AA2">
        <w:rPr>
          <w:rFonts w:ascii="Times New Roman" w:eastAsiaTheme="minorHAnsi" w:hAnsi="Times New Roman" w:cs="Times New Roman"/>
          <w:szCs w:val="24"/>
          <w:lang w:val="lv-LV"/>
        </w:rPr>
        <w:t xml:space="preserve"> lietu, 72. punktu) Tiesa noteica, ka Eiropas Savienības tiesību sistēmas nodrošinātās pamattiesības principā ir līdzvērtīgas tām, ko sniedz Konvencija. Nonākot pie šāda secinājuma, tā, pirmkārt, noteica, ka Eiropas Savienība nodrošina materiālo garantiju līdzvērtīgu aizsardzību, šajā sakarā ņemot vērā arī to, ka attiecīgajā laika posmā pamattiesības jau bija Kopienas tiesību aktu likumības nosacījums un ka EST, sniedzot savus novērtējumus, lielā mērā atsaucās uz Konvencijas noteikumiem un Strasbūras jurisdikciju </w:t>
      </w:r>
      <w:r w:rsidRPr="00E45AA2">
        <w:rPr>
          <w:rFonts w:ascii="Times New Roman" w:eastAsia="Times New Roman" w:hAnsi="Times New Roman" w:cs="Times New Roman"/>
          <w:szCs w:val="24"/>
          <w:lang w:val="lv-LV" w:eastAsia="fr-FR"/>
        </w:rPr>
        <w:lastRenderedPageBreak/>
        <w:t>(</w:t>
      </w:r>
      <w:r w:rsidR="00FE70B0">
        <w:rPr>
          <w:rFonts w:ascii="Times New Roman" w:eastAsiaTheme="minorHAnsi" w:hAnsi="Times New Roman" w:cs="Times New Roman"/>
          <w:szCs w:val="24"/>
          <w:lang w:val="lv-LV"/>
        </w:rPr>
        <w:t>skatīt augstāk</w:t>
      </w:r>
      <w:r w:rsidRPr="00E45AA2">
        <w:rPr>
          <w:rFonts w:ascii="Times New Roman" w:eastAsiaTheme="minorHAnsi" w:hAnsi="Times New Roman" w:cs="Times New Roman"/>
          <w:szCs w:val="24"/>
          <w:lang w:val="lv-LV"/>
        </w:rPr>
        <w:t xml:space="preserve">minēto </w:t>
      </w:r>
      <w:r w:rsidRPr="00E45AA2">
        <w:rPr>
          <w:rFonts w:ascii="Times New Roman" w:eastAsiaTheme="minorHAnsi" w:hAnsi="Times New Roman" w:cs="Times New Roman"/>
          <w:i/>
          <w:szCs w:val="24"/>
          <w:lang w:val="lv-LV"/>
        </w:rPr>
        <w:t>Bosphorus</w:t>
      </w:r>
      <w:r w:rsidRPr="00E45AA2">
        <w:rPr>
          <w:rFonts w:ascii="Times New Roman" w:eastAsia="Times New Roman" w:hAnsi="Times New Roman" w:cs="Times New Roman"/>
          <w:szCs w:val="24"/>
          <w:lang w:val="lv-LV" w:eastAsia="fr-FR"/>
        </w:rPr>
        <w:t xml:space="preserve"> lietu, 159. punktu). Šis uzskats ticis </w:t>
      </w:r>
      <w:r w:rsidRPr="00E45AA2">
        <w:rPr>
          <w:rFonts w:ascii="Times New Roman" w:eastAsia="Times New Roman" w:hAnsi="Times New Roman" w:cs="Times New Roman"/>
          <w:i/>
          <w:szCs w:val="24"/>
          <w:lang w:val="lv-LV" w:eastAsia="fr-FR"/>
        </w:rPr>
        <w:t xml:space="preserve">a fortiori </w:t>
      </w:r>
      <w:r w:rsidRPr="00E45AA2">
        <w:rPr>
          <w:rFonts w:ascii="Times New Roman" w:eastAsia="Times New Roman" w:hAnsi="Times New Roman" w:cs="Times New Roman"/>
          <w:szCs w:val="24"/>
          <w:lang w:val="lv-LV" w:eastAsia="fr-FR"/>
        </w:rPr>
        <w:t xml:space="preserve">piemērots kopš 2009. gada 1. decembra, t.i., datuma, kad stājās spēkā Eiropas Savienības līguma 6. pants (grozīts), kas piešķir Eiropas Savienības Pamattiesību hartai tādu pašu </w:t>
      </w:r>
      <w:r w:rsidR="00334BEF">
        <w:rPr>
          <w:rFonts w:ascii="Times New Roman" w:eastAsia="Times New Roman" w:hAnsi="Times New Roman" w:cs="Times New Roman"/>
          <w:szCs w:val="24"/>
          <w:lang w:val="lv-LV" w:eastAsia="fr-FR"/>
        </w:rPr>
        <w:t>vērtību</w:t>
      </w:r>
      <w:r w:rsidRPr="00E45AA2">
        <w:rPr>
          <w:rFonts w:ascii="Times New Roman" w:eastAsia="Times New Roman" w:hAnsi="Times New Roman" w:cs="Times New Roman"/>
          <w:szCs w:val="24"/>
          <w:lang w:val="lv-LV" w:eastAsia="fr-FR"/>
        </w:rPr>
        <w:t xml:space="preserve"> kā Līgumiem un sniedz pamattiesībām, kā tās nodrošina Konvencija un kā tās izriet no Eiropas Savienības konstitucionālajām tradīcijām, Eiropas Savienības tiesību aktu vispārējo p</w:t>
      </w:r>
      <w:r w:rsidR="00FE70B0">
        <w:rPr>
          <w:rFonts w:ascii="Times New Roman" w:eastAsia="Times New Roman" w:hAnsi="Times New Roman" w:cs="Times New Roman"/>
          <w:szCs w:val="24"/>
          <w:lang w:val="lv-LV" w:eastAsia="fr-FR"/>
        </w:rPr>
        <w:t>rincipu statusu (skatīt augstāk</w:t>
      </w:r>
      <w:r w:rsidRPr="00E45AA2">
        <w:rPr>
          <w:rFonts w:ascii="Times New Roman" w:eastAsia="Times New Roman" w:hAnsi="Times New Roman" w:cs="Times New Roman"/>
          <w:szCs w:val="24"/>
          <w:lang w:val="lv-LV" w:eastAsia="fr-FR"/>
        </w:rPr>
        <w:t xml:space="preserve">minēto </w:t>
      </w:r>
      <w:r w:rsidRPr="00E45AA2">
        <w:rPr>
          <w:rFonts w:ascii="Times New Roman" w:eastAsia="Times New Roman" w:hAnsi="Times New Roman" w:cs="Times New Roman"/>
          <w:i/>
          <w:szCs w:val="24"/>
          <w:lang w:val="lv-LV" w:eastAsia="fr-FR"/>
        </w:rPr>
        <w:t>Michaud</w:t>
      </w:r>
      <w:r w:rsidRPr="00E45AA2">
        <w:rPr>
          <w:rFonts w:ascii="Times New Roman" w:eastAsia="Times New Roman" w:hAnsi="Times New Roman" w:cs="Times New Roman"/>
          <w:szCs w:val="24"/>
          <w:lang w:val="lv-LV" w:eastAsia="fr-FR"/>
        </w:rPr>
        <w:t xml:space="preserve"> lietu,106. punktu).</w:t>
      </w:r>
    </w:p>
    <w:p w:rsidR="0013508E" w:rsidRPr="00E45AA2" w:rsidRDefault="0013508E" w:rsidP="0013508E">
      <w:pPr>
        <w:pStyle w:val="ECHRPara"/>
        <w:rPr>
          <w:rFonts w:ascii="Times New Roman" w:eastAsia="Times New Roman" w:hAnsi="Times New Roman" w:cs="Times New Roman"/>
          <w:szCs w:val="24"/>
          <w:lang w:val="lv-LV" w:eastAsia="fr-FR"/>
        </w:rPr>
      </w:pPr>
      <w:r w:rsidRPr="00E45AA2">
        <w:rPr>
          <w:rFonts w:ascii="Times New Roman" w:eastAsia="Times New Roman" w:hAnsi="Times New Roman" w:cs="Times New Roman"/>
          <w:szCs w:val="24"/>
          <w:lang w:val="lv-LV" w:eastAsia="fr-FR"/>
        </w:rPr>
        <w:fldChar w:fldCharType="begin"/>
      </w:r>
      <w:r w:rsidRPr="00E45AA2">
        <w:rPr>
          <w:rFonts w:ascii="Times New Roman" w:eastAsia="Times New Roman" w:hAnsi="Times New Roman" w:cs="Times New Roman"/>
          <w:szCs w:val="24"/>
          <w:lang w:val="lv-LV" w:eastAsia="fr-FR"/>
        </w:rPr>
        <w:instrText xml:space="preserve"> SEQ level0 \*arabic </w:instrText>
      </w:r>
      <w:r w:rsidRPr="00E45AA2">
        <w:rPr>
          <w:rFonts w:ascii="Times New Roman" w:eastAsia="Times New Roman" w:hAnsi="Times New Roman" w:cs="Times New Roman"/>
          <w:szCs w:val="24"/>
          <w:lang w:val="lv-LV" w:eastAsia="fr-FR"/>
        </w:rPr>
        <w:fldChar w:fldCharType="separate"/>
      </w:r>
      <w:r w:rsidRPr="00E45AA2">
        <w:rPr>
          <w:rFonts w:ascii="Times New Roman" w:eastAsia="Times New Roman" w:hAnsi="Times New Roman" w:cs="Times New Roman"/>
          <w:noProof/>
          <w:szCs w:val="24"/>
          <w:lang w:val="lv-LV" w:eastAsia="fr-FR"/>
        </w:rPr>
        <w:t>103</w:t>
      </w:r>
      <w:r w:rsidRPr="00E45AA2">
        <w:rPr>
          <w:rFonts w:ascii="Times New Roman" w:eastAsia="Times New Roman" w:hAnsi="Times New Roman" w:cs="Times New Roman"/>
          <w:szCs w:val="24"/>
          <w:lang w:val="lv-LV" w:eastAsia="fr-FR"/>
        </w:rPr>
        <w:fldChar w:fldCharType="end"/>
      </w:r>
      <w:r w:rsidRPr="00E45AA2">
        <w:rPr>
          <w:rFonts w:ascii="Times New Roman" w:eastAsia="Times New Roman" w:hAnsi="Times New Roman" w:cs="Times New Roman"/>
          <w:szCs w:val="24"/>
          <w:lang w:val="lv-LV" w:eastAsia="fr-FR"/>
        </w:rPr>
        <w:t xml:space="preserve">.  Tiesa uzskatīja, ka aizsardzība pēc būtības, ko piedāvā ES tiesību akti, ir līdzvērtīga, ņemot vērā Pamattiesību hartas 52. panta 3. punktu, saskaņā ar kuru, ciktāl Hartā ietvertās tiesības atbilst Konvencijas garantētajām tiesībām, to nozīme un tvērums ir tāds pats, neskatoties uz ES tiesību aktu iespējām nodrošināt plašāku aizsardzību (skatīt iepriekš minēto </w:t>
      </w:r>
      <w:r w:rsidRPr="00E45AA2">
        <w:rPr>
          <w:rFonts w:ascii="Times New Roman" w:eastAsia="Times New Roman" w:hAnsi="Times New Roman" w:cs="Times New Roman"/>
          <w:i/>
          <w:szCs w:val="24"/>
          <w:lang w:val="lv-LV" w:eastAsia="fr-FR"/>
        </w:rPr>
        <w:t>Bosphorus</w:t>
      </w:r>
      <w:r w:rsidRPr="00E45AA2">
        <w:rPr>
          <w:rFonts w:ascii="Times New Roman" w:eastAsia="Times New Roman" w:hAnsi="Times New Roman" w:cs="Times New Roman"/>
          <w:szCs w:val="24"/>
          <w:lang w:val="lv-LV" w:eastAsia="fr-FR"/>
        </w:rPr>
        <w:t xml:space="preserve"> lietu, 80. punkt</w:t>
      </w:r>
      <w:r w:rsidR="007C1ED3">
        <w:rPr>
          <w:rFonts w:ascii="Times New Roman" w:eastAsia="Times New Roman" w:hAnsi="Times New Roman" w:cs="Times New Roman"/>
          <w:szCs w:val="24"/>
          <w:lang w:val="lv-LV" w:eastAsia="fr-FR"/>
        </w:rPr>
        <w:t xml:space="preserve">u). Izvērtējot, vai konkrētajā </w:t>
      </w:r>
      <w:r w:rsidRPr="00E45AA2">
        <w:rPr>
          <w:rFonts w:ascii="Times New Roman" w:eastAsia="Times New Roman" w:hAnsi="Times New Roman" w:cs="Times New Roman"/>
          <w:szCs w:val="24"/>
          <w:lang w:val="lv-LV" w:eastAsia="fr-FR"/>
        </w:rPr>
        <w:t>lietā vēl joprojām var uzskatīt, ka ES tiesību aktu piedāvātā aizsardzība ir līdzvērtīga tai, ko nodrošina Konvencija, Tiesa īpaši ņem vērā nepieciešamību pēc atbilstības Pamattiesību hartas 52. panta 3. punkta noteikumam, ņemot vērā, ka līdz ar Lisabona</w:t>
      </w:r>
      <w:r w:rsidR="00977D31">
        <w:rPr>
          <w:rFonts w:ascii="Times New Roman" w:eastAsia="Times New Roman" w:hAnsi="Times New Roman" w:cs="Times New Roman"/>
          <w:szCs w:val="24"/>
          <w:lang w:val="lv-LV" w:eastAsia="fr-FR"/>
        </w:rPr>
        <w:t xml:space="preserve">s līguma </w:t>
      </w:r>
      <w:r w:rsidR="00334BEF">
        <w:rPr>
          <w:rFonts w:ascii="Times New Roman" w:eastAsia="Times New Roman" w:hAnsi="Times New Roman" w:cs="Times New Roman"/>
          <w:szCs w:val="24"/>
          <w:lang w:val="lv-LV" w:eastAsia="fr-FR"/>
        </w:rPr>
        <w:t xml:space="preserve">spēkā </w:t>
      </w:r>
      <w:r w:rsidR="00977D31">
        <w:rPr>
          <w:rFonts w:ascii="Times New Roman" w:eastAsia="Times New Roman" w:hAnsi="Times New Roman" w:cs="Times New Roman"/>
          <w:szCs w:val="24"/>
          <w:lang w:val="lv-LV" w:eastAsia="fr-FR"/>
        </w:rPr>
        <w:t>stāšanos (skatīt</w:t>
      </w:r>
      <w:r w:rsidR="00FE70B0">
        <w:rPr>
          <w:rFonts w:ascii="Times New Roman" w:eastAsia="Times New Roman" w:hAnsi="Times New Roman" w:cs="Times New Roman"/>
          <w:szCs w:val="24"/>
          <w:lang w:val="lv-LV" w:eastAsia="fr-FR"/>
        </w:rPr>
        <w:t xml:space="preserve"> augstāk</w:t>
      </w:r>
      <w:r w:rsidRPr="00E45AA2">
        <w:rPr>
          <w:rFonts w:ascii="Times New Roman" w:eastAsia="Times New Roman" w:hAnsi="Times New Roman" w:cs="Times New Roman"/>
          <w:szCs w:val="24"/>
          <w:lang w:val="lv-LV" w:eastAsia="fr-FR"/>
        </w:rPr>
        <w:t xml:space="preserve">minēto 37. punktu) Hartai tika piešķirts tāds pats juridiskais spēks kā Līgumiem. </w:t>
      </w:r>
    </w:p>
    <w:p w:rsidR="0013508E" w:rsidRPr="00E45AA2" w:rsidRDefault="0013508E" w:rsidP="0013508E">
      <w:pPr>
        <w:pStyle w:val="ECHRPara"/>
        <w:rPr>
          <w:rFonts w:ascii="Times New Roman" w:eastAsiaTheme="minorHAnsi"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104</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Otrkārt, Tiesa ir atzinusi, ka Eiropas Savienības tiesību aktos noteiktais mehānisms pamattiesību ievērošanas uzraudzībai, ja vien tiek izmantots viss tā potenciāls, arī sniedz aizsardzību, kas pielīdzināma tai, ko nodrošina Konvencija. Šajā aspektā Tiesa lielu nozīmi piešķīrusi EST lomai un pilnvarām, neskatoties uz to, ka individuāla piekļuve šai tiesai ir daudz ierobežotāka nekā piekļuve Strasbūras tiesai saskaņā ar Konvencijas 34. pantu (skatīt spriedumu </w:t>
      </w:r>
      <w:r w:rsidRPr="00E45AA2">
        <w:rPr>
          <w:rFonts w:ascii="Times New Roman" w:eastAsiaTheme="minorHAnsi" w:hAnsi="Times New Roman" w:cs="Times New Roman"/>
          <w:i/>
          <w:szCs w:val="24"/>
          <w:lang w:val="lv-LV"/>
        </w:rPr>
        <w:t>Bosphorus</w:t>
      </w:r>
      <w:r w:rsidRPr="00E45AA2">
        <w:rPr>
          <w:rFonts w:ascii="Times New Roman" w:eastAsiaTheme="minorHAnsi" w:hAnsi="Times New Roman" w:cs="Times New Roman"/>
          <w:szCs w:val="24"/>
          <w:lang w:val="lv-LV"/>
        </w:rPr>
        <w:t xml:space="preserve"> lietā, 160.-165. punktu, un </w:t>
      </w:r>
      <w:r w:rsidRPr="00E45AA2">
        <w:rPr>
          <w:rFonts w:ascii="Times New Roman" w:eastAsiaTheme="minorHAnsi" w:hAnsi="Times New Roman" w:cs="Times New Roman"/>
          <w:i/>
          <w:szCs w:val="24"/>
          <w:lang w:val="lv-LV"/>
        </w:rPr>
        <w:t>Michaud</w:t>
      </w:r>
      <w:r w:rsidRPr="00E45AA2">
        <w:rPr>
          <w:rFonts w:ascii="Times New Roman" w:eastAsiaTheme="minorHAnsi" w:hAnsi="Times New Roman" w:cs="Times New Roman"/>
          <w:szCs w:val="24"/>
          <w:lang w:val="lv-LV"/>
        </w:rPr>
        <w:t xml:space="preserve"> lietā, 106.-111. punktu, abi minēti iepriekš).</w:t>
      </w:r>
    </w:p>
    <w:p w:rsidR="0013508E" w:rsidRPr="00FB4B06" w:rsidRDefault="0013508E" w:rsidP="00E45AA2">
      <w:pPr>
        <w:pStyle w:val="ECHRHeading4"/>
        <w:numPr>
          <w:ilvl w:val="0"/>
          <w:numId w:val="0"/>
        </w:numPr>
        <w:ind w:left="864" w:hanging="144"/>
        <w:rPr>
          <w:rFonts w:ascii="Times New Roman" w:hAnsi="Times New Roman" w:cs="Times New Roman"/>
          <w:i w:val="0"/>
          <w:color w:val="auto"/>
          <w:sz w:val="22"/>
          <w:szCs w:val="24"/>
          <w:lang w:val="lv-LV"/>
        </w:rPr>
      </w:pPr>
      <w:r w:rsidRPr="00FB4B06">
        <w:rPr>
          <w:rFonts w:ascii="Times New Roman" w:hAnsi="Times New Roman" w:cs="Times New Roman"/>
          <w:i w:val="0"/>
          <w:color w:val="auto"/>
          <w:sz w:val="22"/>
          <w:szCs w:val="24"/>
          <w:lang w:val="lv-LV"/>
        </w:rPr>
        <w:t>(b)  </w:t>
      </w:r>
      <w:r w:rsidRPr="00FB4B06">
        <w:rPr>
          <w:rStyle w:val="st1"/>
          <w:rFonts w:ascii="Times New Roman" w:hAnsi="Times New Roman" w:cs="Times New Roman"/>
          <w:i w:val="0"/>
          <w:color w:val="auto"/>
          <w:sz w:val="22"/>
          <w:szCs w:val="24"/>
          <w:lang w:val="lv-LV"/>
        </w:rPr>
        <w:t>Līdzvērtīgās aizsardzības prezumpcijas</w:t>
      </w:r>
      <w:r w:rsidRPr="00FB4B06" w:rsidDel="00976F05">
        <w:rPr>
          <w:rFonts w:ascii="Times New Roman" w:hAnsi="Times New Roman" w:cs="Times New Roman"/>
          <w:i w:val="0"/>
          <w:color w:val="auto"/>
          <w:sz w:val="22"/>
          <w:szCs w:val="24"/>
          <w:lang w:val="lv-LV"/>
        </w:rPr>
        <w:t xml:space="preserve"> </w:t>
      </w:r>
      <w:r w:rsidRPr="00FB4B06">
        <w:rPr>
          <w:rFonts w:ascii="Times New Roman" w:hAnsi="Times New Roman" w:cs="Times New Roman"/>
          <w:i w:val="0"/>
          <w:color w:val="auto"/>
          <w:sz w:val="22"/>
          <w:szCs w:val="24"/>
          <w:lang w:val="lv-LV"/>
        </w:rPr>
        <w:t xml:space="preserve">piemērošana šajā lietā </w:t>
      </w:r>
    </w:p>
    <w:p w:rsidR="00E45AA2" w:rsidRPr="00E45AA2" w:rsidRDefault="00E45AA2" w:rsidP="00E45AA2">
      <w:pPr>
        <w:pStyle w:val="ECHRPara"/>
        <w:rPr>
          <w:lang w:val="lv-LV"/>
        </w:rPr>
      </w:pPr>
    </w:p>
    <w:p w:rsidR="0013508E" w:rsidRPr="00E45AA2" w:rsidRDefault="0013508E" w:rsidP="0013508E">
      <w:pPr>
        <w:pStyle w:val="ECHRPara"/>
        <w:rPr>
          <w:rFonts w:ascii="Times New Roman" w:eastAsiaTheme="minorHAnsi"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105</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xml:space="preserve">.  Tiesa uzsver, ka </w:t>
      </w:r>
      <w:r w:rsidRPr="00E45AA2">
        <w:rPr>
          <w:rStyle w:val="st1"/>
          <w:rFonts w:ascii="Times New Roman" w:hAnsi="Times New Roman" w:cs="Times New Roman"/>
          <w:szCs w:val="24"/>
          <w:lang w:val="lv-LV"/>
        </w:rPr>
        <w:t>līdzvērtīgās aizsardzības prezumpcijas</w:t>
      </w:r>
      <w:r w:rsidRPr="00E45AA2" w:rsidDel="00976F05">
        <w:rPr>
          <w:rFonts w:ascii="Times New Roman" w:hAnsi="Times New Roman" w:cs="Times New Roman"/>
          <w:szCs w:val="24"/>
          <w:lang w:val="lv-LV"/>
        </w:rPr>
        <w:t xml:space="preserve"> </w:t>
      </w:r>
      <w:r w:rsidRPr="00E45AA2">
        <w:rPr>
          <w:rFonts w:ascii="Times New Roman" w:eastAsiaTheme="minorHAnsi" w:hAnsi="Times New Roman" w:cs="Times New Roman"/>
          <w:szCs w:val="24"/>
          <w:lang w:val="lv-LV"/>
        </w:rPr>
        <w:t xml:space="preserve">piemērošana Eiropas Savienības tiesību sistēmā ir pakļauta diviem apstākļiem, kas ir noteikti iepriekš minētās </w:t>
      </w:r>
      <w:r w:rsidRPr="00E45AA2">
        <w:rPr>
          <w:rFonts w:ascii="Times New Roman" w:eastAsiaTheme="minorHAnsi" w:hAnsi="Times New Roman" w:cs="Times New Roman"/>
          <w:i/>
          <w:szCs w:val="24"/>
          <w:lang w:val="lv-LV"/>
        </w:rPr>
        <w:t xml:space="preserve">Michaud </w:t>
      </w:r>
      <w:r w:rsidRPr="00E45AA2">
        <w:rPr>
          <w:rFonts w:ascii="Times New Roman" w:eastAsiaTheme="minorHAnsi" w:hAnsi="Times New Roman" w:cs="Times New Roman"/>
          <w:szCs w:val="24"/>
          <w:lang w:val="lv-LV"/>
        </w:rPr>
        <w:t>lietas spriedumā. Šie apstākļi ir šādi: jebkādas valsts kompetento iestāžu rīcības brīvības izslēgšana un Eiropas Savienības tiesību aktos noteiktā uzraudzības mehānisma potenciāla pilnīga izmantošana (turpat, 113.</w:t>
      </w:r>
      <w:r w:rsidRPr="00E45AA2">
        <w:rPr>
          <w:rFonts w:ascii="Times New Roman" w:eastAsiaTheme="minorHAnsi" w:hAnsi="Times New Roman" w:cs="Times New Roman"/>
          <w:szCs w:val="24"/>
          <w:lang w:val="lv-LV"/>
        </w:rPr>
        <w:noBreakHyphen/>
        <w:t xml:space="preserve">15. punkts). Tādēļ Tiesai ir jāpārliecinās, vai šajā lietā ir ievēroti abi minētie principi. </w:t>
      </w:r>
    </w:p>
    <w:p w:rsidR="0013508E" w:rsidRPr="00E45AA2" w:rsidRDefault="0013508E" w:rsidP="0013508E">
      <w:pPr>
        <w:pStyle w:val="ECHRPara"/>
        <w:rPr>
          <w:rFonts w:ascii="Times New Roman" w:hAnsi="Times New Roman" w:cs="Times New Roman"/>
          <w:szCs w:val="24"/>
          <w:shd w:val="clear" w:color="auto" w:fill="FFFFFF"/>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106</w:t>
      </w:r>
      <w:r w:rsidRPr="00E45AA2">
        <w:rPr>
          <w:rFonts w:ascii="Times New Roman" w:hAnsi="Times New Roman" w:cs="Times New Roman"/>
          <w:szCs w:val="24"/>
          <w:lang w:val="lv-LV"/>
        </w:rPr>
        <w:fldChar w:fldCharType="end"/>
      </w:r>
      <w:r w:rsidR="00FB4B06">
        <w:rPr>
          <w:rFonts w:ascii="Times New Roman" w:hAnsi="Times New Roman" w:cs="Times New Roman"/>
          <w:szCs w:val="24"/>
          <w:lang w:val="lv-LV"/>
        </w:rPr>
        <w:t>.  Attiecībā uz pirmo apstākli</w:t>
      </w:r>
      <w:r w:rsidRPr="00E45AA2">
        <w:rPr>
          <w:rFonts w:ascii="Times New Roman" w:hAnsi="Times New Roman" w:cs="Times New Roman"/>
          <w:szCs w:val="24"/>
          <w:lang w:val="lv-LV"/>
        </w:rPr>
        <w:t xml:space="preserve"> Tiesa sākumā atzīmē, ka norma, kuru piemēroja Augstākās tiesas Senāts, bija minēta Regulā, kas ir tieši un pilnā apmērā piemērojama dalībvalstīs, nevis </w:t>
      </w:r>
      <w:r w:rsidR="00FB4B06">
        <w:rPr>
          <w:rFonts w:ascii="Times New Roman" w:hAnsi="Times New Roman" w:cs="Times New Roman"/>
          <w:szCs w:val="24"/>
          <w:lang w:val="lv-LV"/>
        </w:rPr>
        <w:t>d</w:t>
      </w:r>
      <w:r w:rsidRPr="00E45AA2">
        <w:rPr>
          <w:rFonts w:ascii="Times New Roman" w:hAnsi="Times New Roman" w:cs="Times New Roman"/>
          <w:szCs w:val="24"/>
          <w:lang w:val="lv-LV"/>
        </w:rPr>
        <w:t>irektīvā, kas būtu bijusi saistoša valstij, runājot par sasniedzamo rezultātu, bet būtu ļāvusi valstij izvēlēties līdzekļus un veidu šī rezultāta sasniegšanai</w:t>
      </w:r>
      <w:r w:rsidR="00FE70B0">
        <w:rPr>
          <w:rFonts w:ascii="Times New Roman" w:hAnsi="Times New Roman" w:cs="Times New Roman"/>
          <w:szCs w:val="24"/>
          <w:lang w:val="lv-LV"/>
        </w:rPr>
        <w:t xml:space="preserve"> (no otras puses skatīt augstāk</w:t>
      </w:r>
      <w:r w:rsidRPr="00E45AA2">
        <w:rPr>
          <w:rFonts w:ascii="Times New Roman" w:hAnsi="Times New Roman" w:cs="Times New Roman"/>
          <w:szCs w:val="24"/>
          <w:lang w:val="lv-LV"/>
        </w:rPr>
        <w:t xml:space="preserve">minēto </w:t>
      </w:r>
      <w:r w:rsidRPr="00E45AA2">
        <w:rPr>
          <w:rFonts w:ascii="Times New Roman" w:hAnsi="Times New Roman" w:cs="Times New Roman"/>
          <w:i/>
          <w:szCs w:val="24"/>
          <w:lang w:val="lv-LV"/>
        </w:rPr>
        <w:t>Michaud</w:t>
      </w:r>
      <w:r w:rsidRPr="00E45AA2">
        <w:rPr>
          <w:rFonts w:ascii="Times New Roman" w:hAnsi="Times New Roman" w:cs="Times New Roman"/>
          <w:szCs w:val="24"/>
          <w:lang w:val="lv-LV"/>
        </w:rPr>
        <w:t xml:space="preserve"> lietu, 113. punktu). Attiecībā uz konkrēto normu, kas piemērota šajā lietā, proti, Briseles I regulas 34. panta 2. punktu, Tiesa atzīmē, ka ārvalstu sprieduma atzīšanas vai izpildes noraidīšanai ir ļoti precīzas robežas un priekšnoteikumi, proti, </w:t>
      </w:r>
      <w:r w:rsidRPr="00E45AA2">
        <w:rPr>
          <w:rFonts w:ascii="Times New Roman" w:hAnsi="Times New Roman" w:cs="Times New Roman"/>
          <w:szCs w:val="24"/>
          <w:shd w:val="clear" w:color="auto" w:fill="FFFFFF"/>
          <w:lang w:val="lv-LV"/>
        </w:rPr>
        <w:t xml:space="preserve">„atbildētājam dokuments, ar </w:t>
      </w:r>
      <w:r w:rsidRPr="00E45AA2">
        <w:rPr>
          <w:rFonts w:ascii="Times New Roman" w:hAnsi="Times New Roman" w:cs="Times New Roman"/>
          <w:szCs w:val="24"/>
          <w:shd w:val="clear" w:color="auto" w:fill="FFFFFF"/>
          <w:lang w:val="lv-LV"/>
        </w:rPr>
        <w:lastRenderedPageBreak/>
        <w:t>kuru ierosināta lieta, nav uzrādīts pietiekami laicīgi, lai viņš varētu nodrošināt sev aizstāvību</w:t>
      </w:r>
      <w:r w:rsidRPr="00E45AA2">
        <w:rPr>
          <w:rFonts w:ascii="Times New Roman" w:hAnsi="Times New Roman" w:cs="Times New Roman"/>
          <w:szCs w:val="24"/>
          <w:lang w:val="lv-LV"/>
        </w:rPr>
        <w:t>, izņemot gadījumu, kad atbildētājs nav uzsācis pārsūdzēšanas procedūru, lai gan viņam bija iespējams to darīt”. No EST interpretācijas, kas sniegta diezgan plašā judikatū</w:t>
      </w:r>
      <w:r w:rsidR="00FE70B0">
        <w:rPr>
          <w:rFonts w:ascii="Times New Roman" w:hAnsi="Times New Roman" w:cs="Times New Roman"/>
          <w:szCs w:val="24"/>
          <w:lang w:val="lv-LV"/>
        </w:rPr>
        <w:t>ras skaidrojumā (skatīt augstāk</w:t>
      </w:r>
      <w:r w:rsidRPr="00E45AA2">
        <w:rPr>
          <w:rFonts w:ascii="Times New Roman" w:hAnsi="Times New Roman" w:cs="Times New Roman"/>
          <w:szCs w:val="24"/>
          <w:lang w:val="lv-LV"/>
        </w:rPr>
        <w:t>minēto 57.- 61. punktu), ir skaidrs, ka šis noteikums nepiedāvāja nekādu rīcības brīvību tiesai, kurā tika lūgts paziņojums par izpildi. Tādēļ Tiesa secina, ka Latvijas Augstākās tiesas Senātam nebija nekādas rīcības brīvības šajā lietā.</w:t>
      </w:r>
    </w:p>
    <w:p w:rsidR="0013508E" w:rsidRPr="00E45AA2" w:rsidRDefault="0013508E" w:rsidP="0013508E">
      <w:pPr>
        <w:pStyle w:val="ECHRPara"/>
        <w:rPr>
          <w:rFonts w:ascii="Times New Roman"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107</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Šī iemesla dēļ šī lieta i</w:t>
      </w:r>
      <w:r w:rsidR="00FE70B0">
        <w:rPr>
          <w:rFonts w:ascii="Times New Roman" w:eastAsiaTheme="minorHAnsi" w:hAnsi="Times New Roman" w:cs="Times New Roman"/>
          <w:szCs w:val="24"/>
          <w:lang w:val="lv-LV"/>
        </w:rPr>
        <w:t>r nošķirama no augstāk</w:t>
      </w:r>
      <w:r w:rsidR="00F55176">
        <w:rPr>
          <w:rFonts w:ascii="Times New Roman" w:eastAsiaTheme="minorHAnsi" w:hAnsi="Times New Roman" w:cs="Times New Roman"/>
          <w:szCs w:val="24"/>
          <w:lang w:val="lv-LV"/>
        </w:rPr>
        <w:t xml:space="preserve">minētās </w:t>
      </w:r>
      <w:r w:rsidRPr="00E45AA2">
        <w:rPr>
          <w:rFonts w:ascii="Times New Roman" w:eastAsiaTheme="minorHAnsi" w:hAnsi="Times New Roman" w:cs="Times New Roman"/>
          <w:i/>
          <w:szCs w:val="24"/>
          <w:lang w:val="lv-LV"/>
        </w:rPr>
        <w:t>M.S.S.</w:t>
      </w:r>
      <w:r w:rsidRPr="00E45AA2">
        <w:rPr>
          <w:rFonts w:ascii="Times New Roman" w:eastAsiaTheme="minorHAnsi" w:hAnsi="Times New Roman" w:cs="Times New Roman"/>
          <w:szCs w:val="24"/>
          <w:lang w:val="lv-LV"/>
        </w:rPr>
        <w:t xml:space="preserve"> lietas, kurā, izskatot jautājumu par Beļģijas atbildību, kas izriet no Konvencijas, Tiesa atzīmēja, ka saskaņā ar piemērojamās Regulas (Dublinas II regulas) noteikumiem Beļģijas varas iestād</w:t>
      </w:r>
      <w:r w:rsidR="00151A74">
        <w:rPr>
          <w:rFonts w:ascii="Times New Roman" w:eastAsiaTheme="minorHAnsi" w:hAnsi="Times New Roman" w:cs="Times New Roman"/>
          <w:szCs w:val="24"/>
          <w:lang w:val="lv-LV"/>
        </w:rPr>
        <w:t xml:space="preserve">ēm bija </w:t>
      </w:r>
      <w:r w:rsidRPr="00E45AA2">
        <w:rPr>
          <w:rFonts w:ascii="Times New Roman" w:eastAsiaTheme="minorHAnsi" w:hAnsi="Times New Roman" w:cs="Times New Roman"/>
          <w:szCs w:val="24"/>
          <w:lang w:val="lv-LV"/>
        </w:rPr>
        <w:t>rīcības brīvīb</w:t>
      </w:r>
      <w:r w:rsidR="00151A74">
        <w:rPr>
          <w:rFonts w:ascii="Times New Roman" w:eastAsiaTheme="minorHAnsi" w:hAnsi="Times New Roman" w:cs="Times New Roman"/>
          <w:szCs w:val="24"/>
          <w:lang w:val="lv-LV"/>
        </w:rPr>
        <w:t>a</w:t>
      </w:r>
      <w:r w:rsidRPr="00E45AA2">
        <w:rPr>
          <w:rFonts w:ascii="Times New Roman" w:eastAsiaTheme="minorHAnsi" w:hAnsi="Times New Roman" w:cs="Times New Roman"/>
          <w:szCs w:val="24"/>
          <w:lang w:val="lv-LV"/>
        </w:rPr>
        <w:t xml:space="preserve"> izlemt, vai </w:t>
      </w:r>
      <w:r w:rsidR="00151A74">
        <w:rPr>
          <w:rFonts w:ascii="Times New Roman" w:eastAsiaTheme="minorHAnsi" w:hAnsi="Times New Roman" w:cs="Times New Roman"/>
          <w:szCs w:val="24"/>
          <w:lang w:val="lv-LV"/>
        </w:rPr>
        <w:t>piemērot</w:t>
      </w:r>
      <w:r w:rsidRPr="00E45AA2">
        <w:rPr>
          <w:rFonts w:ascii="Times New Roman" w:eastAsiaTheme="minorHAnsi" w:hAnsi="Times New Roman" w:cs="Times New Roman"/>
          <w:szCs w:val="24"/>
          <w:lang w:val="lv-LV"/>
        </w:rPr>
        <w:t xml:space="preserve"> pantu par „suverenitāti”, kas tām ļāva pārbaudīt patvēruma iespējas piemērošanu un nesūtīt iesniedzēju atpakaļ uz Grieķiju, ja tās uzskatīja, ka Grieķijas varas iestādes visticamāk nepildīs savas no Konvencijas izrietošās saistības (339.-340. punkts)</w:t>
      </w:r>
      <w:r w:rsidRPr="00E45AA2">
        <w:rPr>
          <w:rFonts w:ascii="Times New Roman" w:hAnsi="Times New Roman" w:cs="Times New Roman"/>
          <w:szCs w:val="24"/>
          <w:lang w:val="lv-LV"/>
        </w:rPr>
        <w:t>. Savukārt Briseles I regulas 34. panta 2. punkts nav piešķīris valstīm šādu rīcības brīvību novērtējuma sniegšanai.</w:t>
      </w:r>
    </w:p>
    <w:p w:rsidR="0013508E" w:rsidRPr="00E45AA2" w:rsidRDefault="0013508E" w:rsidP="0013508E">
      <w:pPr>
        <w:pStyle w:val="ECHRPara"/>
        <w:rPr>
          <w:rFonts w:ascii="Times New Roman" w:eastAsiaTheme="minorHAnsi"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108</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Sav</w:t>
      </w:r>
      <w:r w:rsidR="008E30C2">
        <w:rPr>
          <w:rFonts w:ascii="Times New Roman" w:eastAsiaTheme="minorHAnsi" w:hAnsi="Times New Roman" w:cs="Times New Roman"/>
          <w:szCs w:val="24"/>
          <w:lang w:val="lv-LV"/>
        </w:rPr>
        <w:t>os</w:t>
      </w:r>
      <w:r w:rsidRPr="00E45AA2">
        <w:rPr>
          <w:rFonts w:ascii="Times New Roman" w:eastAsiaTheme="minorHAnsi" w:hAnsi="Times New Roman" w:cs="Times New Roman"/>
          <w:szCs w:val="24"/>
          <w:lang w:val="lv-LV"/>
        </w:rPr>
        <w:t xml:space="preserve"> trešās puses </w:t>
      </w:r>
      <w:r w:rsidR="008E30C2">
        <w:rPr>
          <w:rFonts w:ascii="Times New Roman" w:eastAsiaTheme="minorHAnsi" w:hAnsi="Times New Roman" w:cs="Times New Roman"/>
          <w:szCs w:val="24"/>
          <w:lang w:val="lv-LV"/>
        </w:rPr>
        <w:t>apsvērumos</w:t>
      </w:r>
      <w:r w:rsidRPr="00E45AA2">
        <w:rPr>
          <w:rFonts w:ascii="Times New Roman" w:eastAsiaTheme="minorHAnsi" w:hAnsi="Times New Roman" w:cs="Times New Roman"/>
          <w:szCs w:val="24"/>
          <w:lang w:val="lv-LV"/>
        </w:rPr>
        <w:t xml:space="preserve"> </w:t>
      </w:r>
      <w:r w:rsidRPr="00E45AA2">
        <w:rPr>
          <w:rFonts w:ascii="Times New Roman" w:eastAsiaTheme="minorHAnsi" w:hAnsi="Times New Roman" w:cs="Times New Roman"/>
          <w:i/>
          <w:szCs w:val="24"/>
          <w:lang w:val="lv-LV"/>
        </w:rPr>
        <w:t>AIRE</w:t>
      </w:r>
      <w:r w:rsidRPr="00E45AA2">
        <w:rPr>
          <w:rFonts w:ascii="Times New Roman" w:eastAsiaTheme="minorHAnsi" w:hAnsi="Times New Roman" w:cs="Times New Roman"/>
          <w:szCs w:val="24"/>
          <w:lang w:val="lv-LV"/>
        </w:rPr>
        <w:t xml:space="preserve"> centrs minēja, ka Latvijas Augstākās tiesas Senāts varēja un tam vajadzēja ņemt vērā Briseles I regulas 34. panta 1. punktu, saskaņā ar kuru izpildāmības deklarācijas pieprasījums ir jānoraida, ja „</w:t>
      </w:r>
      <w:r w:rsidRPr="00E45AA2">
        <w:rPr>
          <w:rFonts w:ascii="Times New Roman" w:hAnsi="Times New Roman" w:cs="Times New Roman"/>
          <w:szCs w:val="24"/>
          <w:lang w:val="lv-LV"/>
        </w:rPr>
        <w:t>šāda atzīšana ir acīmredzami pretrunā tās dalībvalsts sabiedriskajai kārtībai, kurā atzīšana prasīta</w:t>
      </w:r>
      <w:r w:rsidRPr="00E45AA2">
        <w:rPr>
          <w:rFonts w:ascii="Times New Roman" w:eastAsiaTheme="minorHAnsi" w:hAnsi="Times New Roman" w:cs="Times New Roman"/>
          <w:szCs w:val="24"/>
          <w:lang w:val="lv-LV"/>
        </w:rPr>
        <w:t xml:space="preserve">”. Saskaņā ar </w:t>
      </w:r>
      <w:r w:rsidRPr="00E45AA2">
        <w:rPr>
          <w:rFonts w:ascii="Times New Roman" w:eastAsiaTheme="minorHAnsi" w:hAnsi="Times New Roman" w:cs="Times New Roman"/>
          <w:i/>
          <w:szCs w:val="24"/>
          <w:lang w:val="lv-LV"/>
        </w:rPr>
        <w:t>AIRE</w:t>
      </w:r>
      <w:r w:rsidRPr="00E45AA2">
        <w:rPr>
          <w:rFonts w:ascii="Times New Roman" w:eastAsiaTheme="minorHAnsi" w:hAnsi="Times New Roman" w:cs="Times New Roman"/>
          <w:szCs w:val="24"/>
          <w:lang w:val="lv-LV"/>
        </w:rPr>
        <w:t xml:space="preserve"> centra teikto šis noteikums piešķīra Latvijas tiesai zināmu </w:t>
      </w:r>
      <w:r w:rsidR="00FE70B0">
        <w:rPr>
          <w:rFonts w:ascii="Times New Roman" w:eastAsiaTheme="minorHAnsi" w:hAnsi="Times New Roman" w:cs="Times New Roman"/>
          <w:szCs w:val="24"/>
          <w:lang w:val="lv-LV"/>
        </w:rPr>
        <w:t>rīcības brīvību (skatīt augstāk</w:t>
      </w:r>
      <w:r w:rsidRPr="00E45AA2">
        <w:rPr>
          <w:rFonts w:ascii="Times New Roman" w:eastAsiaTheme="minorHAnsi" w:hAnsi="Times New Roman" w:cs="Times New Roman"/>
          <w:szCs w:val="24"/>
          <w:lang w:val="lv-LV"/>
        </w:rPr>
        <w:t xml:space="preserve">minēto 94. punktu). Tomēr iesniedzēja argumenti Augstākajā tiesā aprobežojās ar 34. panta 2. punkta piemērošanu. Tādēļ Tiesa savu analīzi aprobežos ar iesniedzēja sūdzībām, kas </w:t>
      </w:r>
      <w:r w:rsidR="00CE43B7">
        <w:rPr>
          <w:rFonts w:ascii="Times New Roman" w:eastAsiaTheme="minorHAnsi" w:hAnsi="Times New Roman" w:cs="Times New Roman"/>
          <w:szCs w:val="24"/>
          <w:lang w:val="lv-LV"/>
        </w:rPr>
        <w:t xml:space="preserve">ir </w:t>
      </w:r>
      <w:r w:rsidR="00F55176">
        <w:rPr>
          <w:rFonts w:ascii="Times New Roman" w:eastAsiaTheme="minorHAnsi" w:hAnsi="Times New Roman" w:cs="Times New Roman"/>
          <w:szCs w:val="24"/>
          <w:lang w:val="lv-LV"/>
        </w:rPr>
        <w:t>iesniegtas</w:t>
      </w:r>
      <w:r w:rsidRPr="00E45AA2">
        <w:rPr>
          <w:rFonts w:ascii="Times New Roman" w:eastAsiaTheme="minorHAnsi" w:hAnsi="Times New Roman" w:cs="Times New Roman"/>
          <w:szCs w:val="24"/>
          <w:lang w:val="lv-LV"/>
        </w:rPr>
        <w:t xml:space="preserve"> Augstākajā tiesā, un koncentrēsies uz konkrētās tiesvedības kontekstu. Tiesa uzskata, ka tās uzdevums nav noteikt, vai būtu bijis jāpiemēro cits Briseles I regulas noteikums. </w:t>
      </w:r>
    </w:p>
    <w:p w:rsidR="0013508E" w:rsidRPr="00E45AA2" w:rsidRDefault="0013508E" w:rsidP="0013508E">
      <w:pPr>
        <w:pStyle w:val="ECHRPara"/>
        <w:rPr>
          <w:rFonts w:ascii="Times New Roman" w:hAnsi="Times New Roman" w:cs="Times New Roman"/>
          <w:szCs w:val="24"/>
          <w:lang w:val="lv-LV" w:eastAsia="fr-FR"/>
        </w:rPr>
      </w:pPr>
      <w:r w:rsidRPr="00E45AA2">
        <w:rPr>
          <w:rFonts w:ascii="Times New Roman" w:hAnsi="Times New Roman" w:cs="Times New Roman"/>
          <w:szCs w:val="24"/>
          <w:lang w:val="lv-LV" w:eastAsia="fr-FR"/>
        </w:rPr>
        <w:fldChar w:fldCharType="begin"/>
      </w:r>
      <w:r w:rsidRPr="00E45AA2">
        <w:rPr>
          <w:rFonts w:ascii="Times New Roman" w:hAnsi="Times New Roman" w:cs="Times New Roman"/>
          <w:szCs w:val="24"/>
          <w:lang w:val="lv-LV" w:eastAsia="fr-FR"/>
        </w:rPr>
        <w:instrText xml:space="preserve"> SEQ level0 \*arabic </w:instrText>
      </w:r>
      <w:r w:rsidRPr="00E45AA2">
        <w:rPr>
          <w:rFonts w:ascii="Times New Roman" w:hAnsi="Times New Roman" w:cs="Times New Roman"/>
          <w:szCs w:val="24"/>
          <w:lang w:val="lv-LV" w:eastAsia="fr-FR"/>
        </w:rPr>
        <w:fldChar w:fldCharType="separate"/>
      </w:r>
      <w:r w:rsidRPr="00E45AA2">
        <w:rPr>
          <w:rFonts w:ascii="Times New Roman" w:hAnsi="Times New Roman" w:cs="Times New Roman"/>
          <w:noProof/>
          <w:szCs w:val="24"/>
          <w:lang w:val="lv-LV" w:eastAsia="fr-FR"/>
        </w:rPr>
        <w:t>109</w:t>
      </w:r>
      <w:r w:rsidRPr="00E45AA2">
        <w:rPr>
          <w:rFonts w:ascii="Times New Roman" w:hAnsi="Times New Roman" w:cs="Times New Roman"/>
          <w:szCs w:val="24"/>
          <w:lang w:val="lv-LV" w:eastAsia="fr-FR"/>
        </w:rPr>
        <w:fldChar w:fldCharType="end"/>
      </w:r>
      <w:r w:rsidRPr="00E45AA2">
        <w:rPr>
          <w:rFonts w:ascii="Times New Roman" w:hAnsi="Times New Roman" w:cs="Times New Roman"/>
          <w:szCs w:val="24"/>
          <w:lang w:val="lv-LV" w:eastAsia="fr-FR"/>
        </w:rPr>
        <w:t xml:space="preserve">.  Attiecībā uz otru apstākli, proti, par </w:t>
      </w:r>
      <w:r w:rsidRPr="00E45AA2">
        <w:rPr>
          <w:rFonts w:ascii="Times New Roman" w:eastAsiaTheme="minorHAnsi" w:hAnsi="Times New Roman" w:cs="Times New Roman"/>
          <w:szCs w:val="24"/>
          <w:lang w:val="lv-LV"/>
        </w:rPr>
        <w:t>Eiropas Savienības tiesību aktos noteiktā uzraudzības mehānisma potenciāla pilnīgu izmantošanu, Ties</w:t>
      </w:r>
      <w:r w:rsidR="00FE70B0">
        <w:rPr>
          <w:rFonts w:ascii="Times New Roman" w:eastAsiaTheme="minorHAnsi" w:hAnsi="Times New Roman" w:cs="Times New Roman"/>
          <w:szCs w:val="24"/>
          <w:lang w:val="lv-LV"/>
        </w:rPr>
        <w:t>a, pirmkārt, atzīmē, ka augstāk</w:t>
      </w:r>
      <w:r w:rsidRPr="00E45AA2">
        <w:rPr>
          <w:rFonts w:ascii="Times New Roman" w:eastAsiaTheme="minorHAnsi" w:hAnsi="Times New Roman" w:cs="Times New Roman"/>
          <w:szCs w:val="24"/>
          <w:lang w:val="lv-LV"/>
        </w:rPr>
        <w:t xml:space="preserve">minētajā </w:t>
      </w:r>
      <w:r w:rsidRPr="00E45AA2">
        <w:rPr>
          <w:rFonts w:ascii="Times New Roman" w:hAnsi="Times New Roman" w:cs="Times New Roman"/>
          <w:i/>
          <w:szCs w:val="24"/>
          <w:lang w:val="lv-LV" w:eastAsia="fr-FR"/>
        </w:rPr>
        <w:t xml:space="preserve">Bosphorus </w:t>
      </w:r>
      <w:r w:rsidRPr="00E45AA2">
        <w:rPr>
          <w:rFonts w:ascii="Times New Roman" w:hAnsi="Times New Roman" w:cs="Times New Roman"/>
          <w:szCs w:val="24"/>
          <w:lang w:val="lv-LV" w:eastAsia="fr-FR"/>
        </w:rPr>
        <w:t xml:space="preserve">spriedumā tika atzīts, ka kopumā Eiropas Savienībā izmantotie uzraudzības mehānismi nodrošina tādu aizsardzības līmeni, kas ir līdzvērtīgs Konvencijas sniegtajiem mehānismiem (turpat, 160.-164. punkts). Pievēršoties šīs lietas specifiskajiem apstākļiem, Tiesa atzīmē, ka Augstākās tiesas Senāts nepieprasīja prejudiciālu nolēmumu no EST attiecībā uz Regulas 34. panta 2. punkta interpretāciju un piemērošanu. Tomēr Tiesa uzskata, ka šis otrais apstāklis būtu jāpielieto bez pārspīlēta formālisma un būtu jāņem vērā attiecīgā uzraudzības mehānisma specifiskās īpašības. Tiesa uzskata, ka nebūtu lietderīgi </w:t>
      </w:r>
      <w:r w:rsidRPr="00E45AA2">
        <w:rPr>
          <w:rFonts w:ascii="Times New Roman" w:hAnsi="Times New Roman" w:cs="Times New Roman"/>
          <w:i/>
          <w:szCs w:val="24"/>
          <w:lang w:val="lv-LV" w:eastAsia="fr-FR"/>
        </w:rPr>
        <w:t>Bosphorus</w:t>
      </w:r>
      <w:r w:rsidRPr="00E45AA2">
        <w:rPr>
          <w:rFonts w:ascii="Times New Roman" w:hAnsi="Times New Roman" w:cs="Times New Roman"/>
          <w:szCs w:val="24"/>
          <w:lang w:val="lv-LV" w:eastAsia="fr-FR"/>
        </w:rPr>
        <w:t xml:space="preserve"> prezumpcijas piemērošanu pakļaut prasībai, ka nacionālajām tiesām jāpieprasa nolēmums no EST visos gadījumos bez izņēmuma, ie</w:t>
      </w:r>
      <w:r w:rsidR="00B16A05">
        <w:rPr>
          <w:rFonts w:ascii="Times New Roman" w:hAnsi="Times New Roman" w:cs="Times New Roman"/>
          <w:szCs w:val="24"/>
          <w:lang w:val="lv-LV" w:eastAsia="fr-FR"/>
        </w:rPr>
        <w:t>s</w:t>
      </w:r>
      <w:r w:rsidRPr="00E45AA2">
        <w:rPr>
          <w:rFonts w:ascii="Times New Roman" w:hAnsi="Times New Roman" w:cs="Times New Roman"/>
          <w:szCs w:val="24"/>
          <w:lang w:val="lv-LV" w:eastAsia="fr-FR"/>
        </w:rPr>
        <w:t xml:space="preserve">kaitot gadījumus, kad nerodas patiesas un nopietnas šaubas par ES tiesību aktos noteikto pamattiesību aizsardzību, vai gadījumus, kur </w:t>
      </w:r>
      <w:r w:rsidRPr="00E45AA2">
        <w:rPr>
          <w:rFonts w:ascii="Times New Roman" w:hAnsi="Times New Roman" w:cs="Times New Roman"/>
          <w:szCs w:val="24"/>
          <w:lang w:val="lv-LV" w:eastAsia="fr-FR"/>
        </w:rPr>
        <w:lastRenderedPageBreak/>
        <w:t xml:space="preserve">EST jau precīzi ir noteikusi, kā jāinterpretē piemērojamie ES tiesību aktu noteikumi, lai tie būtu savietojami ar pamattiesībām.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110</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Tiesa uzskata, ka citā kontekstā tā ir noteikusi, ka nacionālajām tiesām, </w:t>
      </w:r>
      <w:r w:rsidR="00CE43B7">
        <w:rPr>
          <w:rFonts w:ascii="Times New Roman" w:hAnsi="Times New Roman" w:cs="Times New Roman"/>
          <w:szCs w:val="24"/>
          <w:lang w:val="lv-LV"/>
        </w:rPr>
        <w:t>kuru</w:t>
      </w:r>
      <w:r w:rsidRPr="00E45AA2">
        <w:rPr>
          <w:rFonts w:ascii="Times New Roman" w:hAnsi="Times New Roman" w:cs="Times New Roman"/>
          <w:szCs w:val="24"/>
          <w:lang w:val="lv-LV"/>
        </w:rPr>
        <w:t xml:space="preserve"> spriedumiem nacionālajo</w:t>
      </w:r>
      <w:r w:rsidR="000042F8">
        <w:rPr>
          <w:rFonts w:ascii="Times New Roman" w:hAnsi="Times New Roman" w:cs="Times New Roman"/>
          <w:szCs w:val="24"/>
          <w:lang w:val="lv-LV"/>
        </w:rPr>
        <w:t>s tiesību aktos nav tiesiskā</w:t>
      </w:r>
      <w:r w:rsidRPr="00E45AA2">
        <w:rPr>
          <w:rFonts w:ascii="Times New Roman" w:hAnsi="Times New Roman" w:cs="Times New Roman"/>
          <w:szCs w:val="24"/>
          <w:lang w:val="lv-LV"/>
        </w:rPr>
        <w:t xml:space="preserve">s aizsardzības līdzekļu, jāpamato atteikšanās vērsties EST pēc prejudiciāla nolēmuma, ņemot vērā izņēmumus, uz kuriem norāda EST judikatūra. Līdz ar to nacionālajām tiesām ir jāsniedz iemesli, kāpēc tās uzskata, ka nav nepieciešams iegūt prejudiciālu nolēmumu (skatīt lietu </w:t>
      </w:r>
      <w:r w:rsidRPr="00E45AA2">
        <w:rPr>
          <w:rFonts w:ascii="Times New Roman" w:hAnsi="Times New Roman" w:cs="Times New Roman"/>
          <w:i/>
          <w:szCs w:val="24"/>
          <w:lang w:val="lv-LV"/>
        </w:rPr>
        <w:t>Ullens de Schooten un Rezabek pret Beļģiju</w:t>
      </w:r>
      <w:r w:rsidRPr="00E45AA2">
        <w:rPr>
          <w:rFonts w:ascii="Times New Roman" w:hAnsi="Times New Roman" w:cs="Times New Roman"/>
          <w:szCs w:val="24"/>
          <w:lang w:val="lv-LV"/>
        </w:rPr>
        <w:t xml:space="preserve">, Nr. 3989/07 un 38353/07, 62. punkts, 2011. gada 20. septembris, kā arī  lietu </w:t>
      </w:r>
      <w:r w:rsidRPr="00E45AA2">
        <w:rPr>
          <w:rFonts w:ascii="Times New Roman" w:hAnsi="Times New Roman" w:cs="Times New Roman"/>
          <w:i/>
          <w:szCs w:val="24"/>
          <w:lang w:val="lv-LV"/>
        </w:rPr>
        <w:t>Dhahbi pret Itāliju</w:t>
      </w:r>
      <w:r w:rsidRPr="00E45AA2">
        <w:rPr>
          <w:rFonts w:ascii="Times New Roman" w:hAnsi="Times New Roman" w:cs="Times New Roman"/>
          <w:szCs w:val="24"/>
          <w:lang w:val="lv-LV"/>
        </w:rPr>
        <w:t xml:space="preserve">, Nr. 17120/09, 31.-34. punkts, 2014. gada 8. aprīlis). Tiesa uzsver, ka tās šajā sakarā īstenotās kontroles mērķis ir pārliecināties, vai atteikšanās izskatīt jautājumu par prejudiciālu nolēmumu pēc savas būtības ir uzskatāms par Konvencijas 6. panta 1. punkta pārkāpumu; to darot, Tiesa ņem vērā pieeju, kas iedibināta EST judikatūrā. Tādēļ šī kontrole atšķiras no tās, ko Tiesa veic, kad, kā šajā gadījumā, tā izskata lēmumu nepieprasīt prejudiciālu nolēmumu kā daļu no tās kopējā novērtējuma par Eiropas Savienības tiesību aktos noteikto pamattiesību aizsardzības līmeni. Tiesa veic šo novērtējumu saskaņā ar </w:t>
      </w:r>
      <w:r w:rsidRPr="00E45AA2">
        <w:rPr>
          <w:rFonts w:ascii="Times New Roman" w:hAnsi="Times New Roman" w:cs="Times New Roman"/>
          <w:i/>
          <w:szCs w:val="24"/>
          <w:lang w:val="lv-LV"/>
        </w:rPr>
        <w:t>Michaud</w:t>
      </w:r>
      <w:r w:rsidRPr="00E45AA2">
        <w:rPr>
          <w:rFonts w:ascii="Times New Roman" w:hAnsi="Times New Roman" w:cs="Times New Roman"/>
          <w:szCs w:val="24"/>
          <w:lang w:val="lv-LV"/>
        </w:rPr>
        <w:t xml:space="preserve"> lietā iedibināto judikatūru, lai noteiktu,</w:t>
      </w:r>
      <w:r w:rsidR="001923F0">
        <w:rPr>
          <w:rFonts w:ascii="Times New Roman" w:hAnsi="Times New Roman" w:cs="Times New Roman"/>
          <w:szCs w:val="24"/>
          <w:lang w:val="lv-LV"/>
        </w:rPr>
        <w:t xml:space="preserve"> vai tā var piemērot līdzvērtīgā</w:t>
      </w:r>
      <w:r w:rsidRPr="00E45AA2">
        <w:rPr>
          <w:rFonts w:ascii="Times New Roman" w:hAnsi="Times New Roman" w:cs="Times New Roman"/>
          <w:szCs w:val="24"/>
          <w:lang w:val="lv-LV"/>
        </w:rPr>
        <w:t xml:space="preserve">s aizsardzības prezumpciju apstrīdētajam lēmumam; prezumpcija, ko Tiesa piemēro saskaņā ar apstākļiem, ko tā pati ir noteikusi.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111</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Līdz ar to Tiesa uzskata, ka jautājums par to, vai </w:t>
      </w:r>
      <w:r w:rsidRPr="00E45AA2">
        <w:rPr>
          <w:rFonts w:ascii="Times New Roman" w:eastAsiaTheme="minorHAnsi" w:hAnsi="Times New Roman" w:cs="Times New Roman"/>
          <w:szCs w:val="24"/>
          <w:lang w:val="lv-LV"/>
        </w:rPr>
        <w:t xml:space="preserve">Eiropas Savienības tiesību aktos noteiktā uzraudzības mehānisma potenciāls ir pilnīgi izmantots, un, precīzāk, vai fakts, ka nacionālā tiesa, kas izskatīja lietu, nepieprasīja </w:t>
      </w:r>
      <w:r w:rsidRPr="00E45AA2">
        <w:rPr>
          <w:rFonts w:ascii="Times New Roman" w:hAnsi="Times New Roman" w:cs="Times New Roman"/>
          <w:szCs w:val="24"/>
          <w:lang w:val="lv-LV"/>
        </w:rPr>
        <w:t>prejudiciālu spriedumu no EST, ir piet</w:t>
      </w:r>
      <w:r w:rsidR="001923F0">
        <w:rPr>
          <w:rFonts w:ascii="Times New Roman" w:hAnsi="Times New Roman" w:cs="Times New Roman"/>
          <w:szCs w:val="24"/>
          <w:lang w:val="lv-LV"/>
        </w:rPr>
        <w:t>iekams, lai izslēgtu līdzvērtīgā</w:t>
      </w:r>
      <w:r w:rsidRPr="00E45AA2">
        <w:rPr>
          <w:rFonts w:ascii="Times New Roman" w:hAnsi="Times New Roman" w:cs="Times New Roman"/>
          <w:szCs w:val="24"/>
          <w:lang w:val="lv-LV"/>
        </w:rPr>
        <w:t>s aizsardzības apsvēruma piemērošanas iespēju, būtu jāvērtē katras liet</w:t>
      </w:r>
      <w:r w:rsidR="002057F3">
        <w:rPr>
          <w:rFonts w:ascii="Times New Roman" w:hAnsi="Times New Roman" w:cs="Times New Roman"/>
          <w:szCs w:val="24"/>
          <w:lang w:val="lv-LV"/>
        </w:rPr>
        <w:t xml:space="preserve">as specifisko apstākļu gaismā. </w:t>
      </w:r>
      <w:r w:rsidRPr="00E45AA2">
        <w:rPr>
          <w:rFonts w:ascii="Times New Roman" w:hAnsi="Times New Roman" w:cs="Times New Roman"/>
          <w:szCs w:val="24"/>
          <w:lang w:val="lv-LV"/>
        </w:rPr>
        <w:t xml:space="preserve">Šajā lietā Tiesa atzīst, ka iesniedzējs neizvirzīja nevienu specifisku argumentu par Briseles I regulas 34. panta 2. punkta interpretāciju un tā savietojamību ar pamattiesībām, kas ļautu pamatot, ka prejudiciālais nolēmums no EST bija jāpieprasa. Šo nostāju apliecina fakts, ka iesniedzējs šajā sakarā neiesniedza Latvijas Augstākās tiesas Senātā nevienu lūgumu. Līdz ar to šī lieta ir skaidri nošķirama no iepriekš minētās </w:t>
      </w:r>
      <w:r w:rsidRPr="00E45AA2">
        <w:rPr>
          <w:rFonts w:ascii="Times New Roman" w:eastAsiaTheme="minorHAnsi" w:hAnsi="Times New Roman" w:cs="Times New Roman"/>
          <w:i/>
          <w:szCs w:val="24"/>
          <w:lang w:val="lv-LV"/>
        </w:rPr>
        <w:t>Michaud</w:t>
      </w:r>
      <w:r w:rsidRPr="00E45AA2">
        <w:rPr>
          <w:rFonts w:ascii="Times New Roman" w:eastAsiaTheme="minorHAnsi" w:hAnsi="Times New Roman" w:cs="Times New Roman"/>
          <w:szCs w:val="24"/>
          <w:lang w:val="lv-LV"/>
        </w:rPr>
        <w:t xml:space="preserve"> lietas, kurā nacionālā tiesa noraidīja iesniedzēja prasību lūgt prejudiciālu nolēmumu no EST, lai gan EST nekad iepriekš nav izskatījusi jautājumu par Konvencijas savietojamību ar apstrīdēto Eiropas Savienības tiesību aktu noteikumu (turpat, 114. punkts). Tātad fakts, ka netika izsniegts prejudiciāls nolēmums, šajā lietā nav izšķirošs faktors. Līdz ar to ir uzskatāms, ka otrs apstāklis </w:t>
      </w:r>
      <w:r w:rsidRPr="00E45AA2">
        <w:rPr>
          <w:rFonts w:ascii="Times New Roman" w:eastAsiaTheme="minorHAnsi" w:hAnsi="Times New Roman" w:cs="Times New Roman"/>
          <w:i/>
          <w:szCs w:val="24"/>
          <w:lang w:val="lv-LV"/>
        </w:rPr>
        <w:t xml:space="preserve">Bosphorus </w:t>
      </w:r>
      <w:r w:rsidRPr="00E45AA2">
        <w:rPr>
          <w:rFonts w:ascii="Times New Roman" w:eastAsiaTheme="minorHAnsi" w:hAnsi="Times New Roman" w:cs="Times New Roman"/>
          <w:szCs w:val="24"/>
          <w:lang w:val="lv-LV"/>
        </w:rPr>
        <w:t xml:space="preserve">prezumpcijas piemērošanai ticis apmierināts.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fldChar w:fldCharType="begin"/>
      </w:r>
      <w:r w:rsidRPr="00E45AA2">
        <w:rPr>
          <w:rFonts w:ascii="Times New Roman" w:hAnsi="Times New Roman" w:cs="Times New Roman"/>
          <w:szCs w:val="24"/>
          <w:lang w:val="lv-LV"/>
        </w:rPr>
        <w:instrText xml:space="preserve"> SEQ level0 \*arabic </w:instrText>
      </w:r>
      <w:r w:rsidRPr="00E45AA2">
        <w:rPr>
          <w:rFonts w:ascii="Times New Roman" w:hAnsi="Times New Roman" w:cs="Times New Roman"/>
          <w:szCs w:val="24"/>
          <w:lang w:val="lv-LV"/>
        </w:rPr>
        <w:fldChar w:fldCharType="separate"/>
      </w:r>
      <w:r w:rsidRPr="00E45AA2">
        <w:rPr>
          <w:rFonts w:ascii="Times New Roman" w:hAnsi="Times New Roman" w:cs="Times New Roman"/>
          <w:noProof/>
          <w:szCs w:val="24"/>
          <w:lang w:val="lv-LV"/>
        </w:rPr>
        <w:t>112</w:t>
      </w:r>
      <w:r w:rsidRPr="00E45AA2">
        <w:rPr>
          <w:rFonts w:ascii="Times New Roman" w:hAnsi="Times New Roman" w:cs="Times New Roman"/>
          <w:szCs w:val="24"/>
          <w:lang w:val="lv-LV"/>
        </w:rPr>
        <w:fldChar w:fldCharType="end"/>
      </w:r>
      <w:r w:rsidRPr="00E45AA2">
        <w:rPr>
          <w:rFonts w:ascii="Times New Roman" w:hAnsi="Times New Roman" w:cs="Times New Roman"/>
          <w:szCs w:val="24"/>
          <w:lang w:val="lv-LV"/>
        </w:rPr>
        <w:t xml:space="preserve">.  Ņemot vērā iepriekš minētos argumentus, Tiesa secina, ka </w:t>
      </w:r>
      <w:r w:rsidR="002057F3">
        <w:rPr>
          <w:rFonts w:ascii="Times New Roman" w:hAnsi="Times New Roman" w:cs="Times New Roman"/>
          <w:szCs w:val="24"/>
          <w:lang w:val="lv-LV"/>
        </w:rPr>
        <w:t>līdzvērtīgās aizsardzības prezumpcija</w:t>
      </w:r>
      <w:r w:rsidR="00715404">
        <w:rPr>
          <w:rFonts w:ascii="Times New Roman" w:hAnsi="Times New Roman" w:cs="Times New Roman"/>
          <w:szCs w:val="24"/>
          <w:lang w:val="lv-LV"/>
        </w:rPr>
        <w:t xml:space="preserve"> šajā lietā ir piemērojama</w:t>
      </w:r>
      <w:r w:rsidRPr="00E45AA2">
        <w:rPr>
          <w:rFonts w:ascii="Times New Roman" w:hAnsi="Times New Roman" w:cs="Times New Roman"/>
          <w:szCs w:val="24"/>
          <w:lang w:val="lv-LV"/>
        </w:rPr>
        <w:t xml:space="preserve">, jo Augstākās tiesas Senāts tikai izpildīja Latvijai saistošos pienākumus, kas izriet no tās dalības Eiropas Savienībā (skatīt, </w:t>
      </w:r>
      <w:r w:rsidRPr="00E45AA2">
        <w:rPr>
          <w:rFonts w:ascii="Times New Roman" w:hAnsi="Times New Roman" w:cs="Times New Roman"/>
          <w:i/>
          <w:szCs w:val="24"/>
          <w:lang w:val="lv-LV"/>
        </w:rPr>
        <w:t>mutatis mutandis</w:t>
      </w:r>
      <w:r w:rsidR="00FE70B0">
        <w:rPr>
          <w:rFonts w:ascii="Times New Roman" w:hAnsi="Times New Roman" w:cs="Times New Roman"/>
          <w:szCs w:val="24"/>
          <w:lang w:val="lv-LV"/>
        </w:rPr>
        <w:t>, augstāk</w:t>
      </w:r>
      <w:r w:rsidRPr="00E45AA2">
        <w:rPr>
          <w:rFonts w:ascii="Times New Roman" w:hAnsi="Times New Roman" w:cs="Times New Roman"/>
          <w:szCs w:val="24"/>
          <w:lang w:val="lv-LV"/>
        </w:rPr>
        <w:t xml:space="preserve">minēto </w:t>
      </w:r>
      <w:r w:rsidRPr="00E45AA2">
        <w:rPr>
          <w:rFonts w:ascii="Times New Roman" w:hAnsi="Times New Roman" w:cs="Times New Roman"/>
          <w:i/>
          <w:szCs w:val="24"/>
          <w:lang w:val="lv-LV"/>
        </w:rPr>
        <w:t>Povse</w:t>
      </w:r>
      <w:r w:rsidRPr="00E45AA2">
        <w:rPr>
          <w:rFonts w:ascii="Times New Roman" w:hAnsi="Times New Roman" w:cs="Times New Roman"/>
          <w:szCs w:val="24"/>
          <w:lang w:val="lv-LV"/>
        </w:rPr>
        <w:t xml:space="preserve"> lietu, 78. punktu). Līdz ar to Tiesas uzdevums bija vienīgi pārliecināties, vai šajā lietā Konvencijā garantēto tiesību aizsardzībā </w:t>
      </w:r>
      <w:r w:rsidRPr="00E45AA2">
        <w:rPr>
          <w:rFonts w:ascii="Times New Roman" w:hAnsi="Times New Roman" w:cs="Times New Roman"/>
          <w:szCs w:val="24"/>
          <w:lang w:val="lv-LV"/>
        </w:rPr>
        <w:lastRenderedPageBreak/>
        <w:t xml:space="preserve">bijuši </w:t>
      </w:r>
      <w:r w:rsidR="00851C68">
        <w:rPr>
          <w:rFonts w:ascii="Times New Roman" w:hAnsi="Times New Roman" w:cs="Times New Roman"/>
          <w:szCs w:val="24"/>
          <w:lang w:val="lv-LV"/>
        </w:rPr>
        <w:t>acīmredzami</w:t>
      </w:r>
      <w:r w:rsidRPr="00E45AA2">
        <w:rPr>
          <w:rFonts w:ascii="Times New Roman" w:hAnsi="Times New Roman" w:cs="Times New Roman"/>
          <w:szCs w:val="24"/>
          <w:lang w:val="lv-LV"/>
        </w:rPr>
        <w:t xml:space="preserve"> trūkumi, kas ļautu atspēkot šīs prezumpcijas piemērojamību. Šajā gadījumā starptautiskās sadarbības intereses tiek pakļautas Konvencijas „kā Eiropas sabiedriskās kārtības konstitucionāla instrumenta” ievērošanai cilvēktiesību jomā (skatīt lietu </w:t>
      </w:r>
      <w:r w:rsidRPr="00E45AA2">
        <w:rPr>
          <w:rFonts w:ascii="Times New Roman" w:hAnsi="Times New Roman" w:cs="Times New Roman"/>
          <w:i/>
          <w:szCs w:val="24"/>
          <w:lang w:val="lv-LV"/>
        </w:rPr>
        <w:t>Bosphorus</w:t>
      </w:r>
      <w:r w:rsidRPr="00E45AA2">
        <w:rPr>
          <w:rFonts w:ascii="Times New Roman" w:hAnsi="Times New Roman" w:cs="Times New Roman"/>
          <w:szCs w:val="24"/>
          <w:lang w:val="lv-LV"/>
        </w:rPr>
        <w:t xml:space="preserve">, 156. punktu, kā arī </w:t>
      </w:r>
      <w:r w:rsidRPr="00E45AA2">
        <w:rPr>
          <w:rFonts w:ascii="Times New Roman" w:hAnsi="Times New Roman" w:cs="Times New Roman"/>
          <w:i/>
          <w:szCs w:val="24"/>
          <w:lang w:val="lv-LV"/>
        </w:rPr>
        <w:t>Michaud</w:t>
      </w:r>
      <w:r w:rsidRPr="00E45AA2">
        <w:rPr>
          <w:rFonts w:ascii="Times New Roman" w:hAnsi="Times New Roman" w:cs="Times New Roman"/>
          <w:szCs w:val="24"/>
          <w:lang w:val="lv-LV"/>
        </w:rPr>
        <w:t xml:space="preserve"> lietu, 103. punktu, abas minētas iepriekš). Izskatot šo jautājumu, Tiesai ir jāņem vērā gan Briseles I regulas 34. panta 2. punkts, gan specifiskie apstākļi, kuros minētais punkts šajā lietā ticis piemērots. </w:t>
      </w:r>
    </w:p>
    <w:p w:rsidR="0013508E" w:rsidRPr="00E45AA2" w:rsidRDefault="0013508E" w:rsidP="00E45AA2">
      <w:pPr>
        <w:pStyle w:val="ECHRHeading3"/>
        <w:numPr>
          <w:ilvl w:val="0"/>
          <w:numId w:val="0"/>
        </w:numPr>
        <w:ind w:left="720" w:hanging="432"/>
        <w:rPr>
          <w:rFonts w:ascii="Times New Roman" w:hAnsi="Times New Roman" w:cs="Times New Roman"/>
          <w:b w:val="0"/>
          <w:i/>
          <w:color w:val="auto"/>
          <w:szCs w:val="24"/>
          <w:lang w:val="lv-LV"/>
        </w:rPr>
      </w:pPr>
      <w:r w:rsidRPr="00E45AA2">
        <w:rPr>
          <w:rFonts w:ascii="Times New Roman" w:hAnsi="Times New Roman" w:cs="Times New Roman"/>
          <w:b w:val="0"/>
          <w:i/>
          <w:color w:val="auto"/>
          <w:szCs w:val="24"/>
          <w:lang w:val="lv-LV"/>
        </w:rPr>
        <w:t>3.  Pieņēmums, ka Konvencijas garantēto tiesību aiz</w:t>
      </w:r>
      <w:r w:rsidR="00E45AA2">
        <w:rPr>
          <w:rFonts w:ascii="Times New Roman" w:hAnsi="Times New Roman" w:cs="Times New Roman"/>
          <w:b w:val="0"/>
          <w:i/>
          <w:color w:val="auto"/>
          <w:szCs w:val="24"/>
          <w:lang w:val="lv-LV"/>
        </w:rPr>
        <w:t>sardzībā bijuši acīmredzami</w:t>
      </w:r>
      <w:r w:rsidRPr="00E45AA2">
        <w:rPr>
          <w:rFonts w:ascii="Times New Roman" w:hAnsi="Times New Roman" w:cs="Times New Roman"/>
          <w:b w:val="0"/>
          <w:i/>
          <w:color w:val="auto"/>
          <w:szCs w:val="24"/>
          <w:lang w:val="lv-LV"/>
        </w:rPr>
        <w:t xml:space="preserve"> trūkumi</w:t>
      </w:r>
    </w:p>
    <w:p w:rsidR="0013508E" w:rsidRPr="00A7295F" w:rsidRDefault="0013508E" w:rsidP="00E45AA2">
      <w:pPr>
        <w:pStyle w:val="ECHRHeading4"/>
        <w:numPr>
          <w:ilvl w:val="0"/>
          <w:numId w:val="0"/>
        </w:numPr>
        <w:ind w:left="864"/>
        <w:rPr>
          <w:rFonts w:ascii="Times New Roman" w:eastAsiaTheme="minorHAnsi" w:hAnsi="Times New Roman" w:cs="Times New Roman"/>
          <w:i w:val="0"/>
          <w:color w:val="auto"/>
          <w:sz w:val="20"/>
          <w:szCs w:val="20"/>
          <w:lang w:val="lv-LV"/>
        </w:rPr>
      </w:pPr>
      <w:r w:rsidRPr="00A7295F">
        <w:rPr>
          <w:rFonts w:ascii="Times New Roman" w:eastAsiaTheme="minorHAnsi" w:hAnsi="Times New Roman" w:cs="Times New Roman"/>
          <w:i w:val="0"/>
          <w:color w:val="auto"/>
          <w:sz w:val="20"/>
          <w:szCs w:val="20"/>
          <w:lang w:val="lv-LV"/>
        </w:rPr>
        <w:t>(a) Vispārējas piezīmes par savstarpēj</w:t>
      </w:r>
      <w:r w:rsidR="001922F8">
        <w:rPr>
          <w:rFonts w:ascii="Times New Roman" w:eastAsiaTheme="minorHAnsi" w:hAnsi="Times New Roman" w:cs="Times New Roman"/>
          <w:i w:val="0"/>
          <w:color w:val="auto"/>
          <w:sz w:val="20"/>
          <w:szCs w:val="20"/>
          <w:lang w:val="lv-LV"/>
        </w:rPr>
        <w:t>o</w:t>
      </w:r>
      <w:r w:rsidRPr="00A7295F">
        <w:rPr>
          <w:rFonts w:ascii="Times New Roman" w:eastAsiaTheme="minorHAnsi" w:hAnsi="Times New Roman" w:cs="Times New Roman"/>
          <w:i w:val="0"/>
          <w:color w:val="auto"/>
          <w:sz w:val="20"/>
          <w:szCs w:val="20"/>
          <w:lang w:val="lv-LV"/>
        </w:rPr>
        <w:t xml:space="preserve"> atzīšanu  </w:t>
      </w:r>
    </w:p>
    <w:p w:rsidR="00A7295F" w:rsidRPr="00A7295F" w:rsidRDefault="00A7295F" w:rsidP="00A7295F">
      <w:pPr>
        <w:pStyle w:val="ECHRPara"/>
        <w:rPr>
          <w:lang w:val="lv-LV"/>
        </w:rPr>
      </w:pPr>
    </w:p>
    <w:p w:rsidR="0013508E" w:rsidRPr="00E45AA2" w:rsidRDefault="0013508E" w:rsidP="0013508E">
      <w:pPr>
        <w:pStyle w:val="ECHRPara"/>
        <w:rPr>
          <w:rFonts w:ascii="Times New Roman"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113</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Kopumā Tiesa uzskata, ka Brisele I regu</w:t>
      </w:r>
      <w:r w:rsidR="00460619">
        <w:rPr>
          <w:rFonts w:ascii="Times New Roman" w:eastAsiaTheme="minorHAnsi" w:hAnsi="Times New Roman" w:cs="Times New Roman"/>
          <w:szCs w:val="24"/>
          <w:lang w:val="lv-LV"/>
        </w:rPr>
        <w:t>la daļēji balstās uz savstarpējā</w:t>
      </w:r>
      <w:r w:rsidRPr="00E45AA2">
        <w:rPr>
          <w:rFonts w:ascii="Times New Roman" w:eastAsiaTheme="minorHAnsi" w:hAnsi="Times New Roman" w:cs="Times New Roman"/>
          <w:szCs w:val="24"/>
          <w:lang w:val="lv-LV"/>
        </w:rPr>
        <w:t xml:space="preserve">s atzīšanas mehānismiem, kuru pašu </w:t>
      </w:r>
      <w:r w:rsidR="007C3183">
        <w:rPr>
          <w:rFonts w:ascii="Times New Roman" w:eastAsiaTheme="minorHAnsi" w:hAnsi="Times New Roman" w:cs="Times New Roman"/>
          <w:szCs w:val="24"/>
          <w:lang w:val="lv-LV"/>
        </w:rPr>
        <w:t>pamatā ir savstarpējā</w:t>
      </w:r>
      <w:r w:rsidRPr="00E45AA2">
        <w:rPr>
          <w:rFonts w:ascii="Times New Roman" w:eastAsiaTheme="minorHAnsi" w:hAnsi="Times New Roman" w:cs="Times New Roman"/>
          <w:szCs w:val="24"/>
          <w:lang w:val="lv-LV"/>
        </w:rPr>
        <w:t>s uzticēšanās princips Eiropas Savienības dalībvalstu vidū. Briseles I regulas preambulā noteikts, ka pieeja, kas ir Regulas pamatā, ir „savstarpēj</w:t>
      </w:r>
      <w:r w:rsidR="008D4DA1">
        <w:rPr>
          <w:rFonts w:ascii="Times New Roman" w:eastAsiaTheme="minorHAnsi" w:hAnsi="Times New Roman" w:cs="Times New Roman"/>
          <w:szCs w:val="24"/>
          <w:lang w:val="lv-LV"/>
        </w:rPr>
        <w:t>ā</w:t>
      </w:r>
      <w:r w:rsidRPr="00E45AA2">
        <w:rPr>
          <w:rFonts w:ascii="Times New Roman" w:eastAsiaTheme="minorHAnsi" w:hAnsi="Times New Roman" w:cs="Times New Roman"/>
          <w:szCs w:val="24"/>
          <w:lang w:val="lv-LV"/>
        </w:rPr>
        <w:t xml:space="preserve"> uzticēšanās tiesvedības pārvaldībai” Eiropas Savienībā, kas paredz, ka „</w:t>
      </w:r>
      <w:r w:rsidRPr="00E45AA2">
        <w:rPr>
          <w:rFonts w:ascii="Times New Roman" w:hAnsi="Times New Roman" w:cs="Times New Roman"/>
          <w:szCs w:val="24"/>
          <w:lang w:val="lv-LV"/>
        </w:rPr>
        <w:t>deklarācija, ka spriedums ir izpildāms, faktiski būtu jāizdod automātiski pēc formālas sniegto dokumentu pārbaudes, nepastāvot nekādai iespējai tiesai pēc savas iniciatīvas atsaukties uz kādu no neizpild</w:t>
      </w:r>
      <w:r w:rsidR="00F451BA">
        <w:rPr>
          <w:rFonts w:ascii="Times New Roman" w:hAnsi="Times New Roman" w:cs="Times New Roman"/>
          <w:szCs w:val="24"/>
          <w:lang w:val="lv-LV"/>
        </w:rPr>
        <w:t>es</w:t>
      </w:r>
      <w:r w:rsidRPr="00E45AA2">
        <w:rPr>
          <w:rFonts w:ascii="Times New Roman" w:hAnsi="Times New Roman" w:cs="Times New Roman"/>
          <w:szCs w:val="24"/>
          <w:lang w:val="lv-LV"/>
        </w:rPr>
        <w:t xml:space="preserve"> iemesliem, kas norādīti šajā Regulā” (skatīt augstāk atrodamo 54. punktu). Tiesa patur prātā savstarpējās atzīšanas mehānismu nozīmi, veidojot LESD 67. pantā minēto brīvības, drošības un taisnīguma telpu, kā arī savstarpējo uzticēšanos, kas šādas telpas veidošanā ir nepieciešama. Kā noteikts LESD 81. panta 1. punktā un </w:t>
      </w:r>
      <w:r w:rsidR="00460619">
        <w:rPr>
          <w:rFonts w:ascii="Times New Roman" w:hAnsi="Times New Roman" w:cs="Times New Roman"/>
          <w:szCs w:val="24"/>
          <w:lang w:val="lv-LV"/>
        </w:rPr>
        <w:t>82. panta 1. punktā, savstarpējā</w:t>
      </w:r>
      <w:r w:rsidRPr="00E45AA2">
        <w:rPr>
          <w:rFonts w:ascii="Times New Roman" w:hAnsi="Times New Roman" w:cs="Times New Roman"/>
          <w:szCs w:val="24"/>
          <w:lang w:val="lv-LV"/>
        </w:rPr>
        <w:t xml:space="preserve">s spriedumu atzīšanas mērķis ir vienkāršot efektīvu tiesu iestāžu sadarbību civillietās un krimināllietās. Tiesa atkārtoti uzsvēra savu apņemšanos darboties starptautiskā un Eiropas līmeņa sadarbības labā (skatīt, līdz ar citiem attiecināmiem dokumentiem, lietu </w:t>
      </w:r>
      <w:r w:rsidRPr="00E45AA2">
        <w:rPr>
          <w:rFonts w:ascii="Times New Roman" w:hAnsi="Times New Roman" w:cs="Times New Roman"/>
          <w:i/>
          <w:szCs w:val="24"/>
          <w:lang w:val="lv-LV"/>
        </w:rPr>
        <w:t xml:space="preserve">Waite un Kennedy pret Vāciju </w:t>
      </w:r>
      <w:r w:rsidRPr="00E45AA2">
        <w:rPr>
          <w:rFonts w:ascii="Times New Roman" w:hAnsi="Times New Roman" w:cs="Times New Roman"/>
          <w:szCs w:val="24"/>
          <w:lang w:val="lv-LV"/>
        </w:rPr>
        <w:t>[Lielā palāta], Nr. 26083/94, 63. un 72. punk</w:t>
      </w:r>
      <w:r w:rsidR="00FE70B0">
        <w:rPr>
          <w:rFonts w:ascii="Times New Roman" w:hAnsi="Times New Roman" w:cs="Times New Roman"/>
          <w:szCs w:val="24"/>
          <w:lang w:val="lv-LV"/>
        </w:rPr>
        <w:t>ts, ECHR 1999</w:t>
      </w:r>
      <w:r w:rsidR="00FE70B0">
        <w:rPr>
          <w:rFonts w:ascii="Times New Roman" w:hAnsi="Times New Roman" w:cs="Times New Roman"/>
          <w:szCs w:val="24"/>
          <w:lang w:val="lv-LV"/>
        </w:rPr>
        <w:noBreakHyphen/>
        <w:t>I, kā arī augstāk</w:t>
      </w:r>
      <w:r w:rsidRPr="00E45AA2">
        <w:rPr>
          <w:rFonts w:ascii="Times New Roman" w:hAnsi="Times New Roman" w:cs="Times New Roman"/>
          <w:szCs w:val="24"/>
          <w:lang w:val="lv-LV"/>
        </w:rPr>
        <w:t xml:space="preserve">minēto </w:t>
      </w:r>
      <w:r w:rsidRPr="00E45AA2">
        <w:rPr>
          <w:rFonts w:ascii="Times New Roman" w:hAnsi="Times New Roman" w:cs="Times New Roman"/>
          <w:i/>
          <w:szCs w:val="24"/>
          <w:lang w:val="lv-LV"/>
        </w:rPr>
        <w:t>Bosphorus</w:t>
      </w:r>
      <w:r w:rsidRPr="00E45AA2">
        <w:rPr>
          <w:rFonts w:ascii="Times New Roman" w:hAnsi="Times New Roman" w:cs="Times New Roman"/>
          <w:szCs w:val="24"/>
          <w:lang w:val="lv-LV"/>
        </w:rPr>
        <w:t xml:space="preserve"> lietu, 150. punktu). Līdz ar to Tiesa uzskata, ka brīvības, drošības un taisnīgas telpas veidošana Eiropā un tam nepieciešamo līdzekļu izmantošana ir pilnā mērā leģitīma, raugoties no Konvencijas skatupunkta. </w:t>
      </w:r>
    </w:p>
    <w:p w:rsidR="0013508E" w:rsidRPr="00E45AA2" w:rsidRDefault="0013508E" w:rsidP="0013508E">
      <w:pPr>
        <w:pStyle w:val="ECHRPara"/>
        <w:rPr>
          <w:rFonts w:ascii="Times New Roman" w:eastAsiaTheme="minorHAnsi"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114</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Tomēr metodes, kas tiek izmantotas šādas telpas radīšanai, nedrīkst pārkāpt to personu pamattiesībās, ko ietekmē izveidotie mehānismi, kā to apstiprina LESD 67. panta 1. punkt</w:t>
      </w:r>
      <w:r w:rsidR="00460619">
        <w:rPr>
          <w:rFonts w:ascii="Times New Roman" w:eastAsiaTheme="minorHAnsi" w:hAnsi="Times New Roman" w:cs="Times New Roman"/>
          <w:szCs w:val="24"/>
          <w:lang w:val="lv-LV"/>
        </w:rPr>
        <w:t>s. Tomēr ir skaidri redzams, ka</w:t>
      </w:r>
      <w:r w:rsidRPr="00E45AA2">
        <w:rPr>
          <w:rFonts w:ascii="Times New Roman" w:eastAsiaTheme="minorHAnsi" w:hAnsi="Times New Roman" w:cs="Times New Roman"/>
          <w:szCs w:val="24"/>
          <w:lang w:val="lv-LV"/>
        </w:rPr>
        <w:t xml:space="preserve"> veids, kā dažas izmantotās metodes tiek lietotas efektivitātes mērķa sasniegšanai, panāk to, ka pamattiesību ievērošanas kontrole ir cieši reglamentēta un pat ierobežota. Nesen EST savā Atzinumā 2/13 paziņoja, ka „</w:t>
      </w:r>
      <w:r w:rsidRPr="00E45AA2">
        <w:rPr>
          <w:rFonts w:ascii="Times New Roman" w:hAnsi="Times New Roman" w:cs="Times New Roman"/>
          <w:szCs w:val="24"/>
          <w:lang w:val="lv-LV"/>
        </w:rPr>
        <w:t xml:space="preserve">dalībvalstīm, īstenojot Savienības tiesības, saskaņā ar šīm pašām tiesībām var tikt prasīts pieņemt, ka pārējās dalībvalstis ievēro pamattiesības, kas nozīmē, ka tās nevar (...), izņemot ārkārtas gadījumus, pārbaudīt, vai šī cita dalībvalsts konkrētā gadījumā patiešām ir ievērojusi Savienībā garantētās </w:t>
      </w:r>
      <w:r w:rsidRPr="00E45AA2">
        <w:rPr>
          <w:rFonts w:ascii="Times New Roman" w:hAnsi="Times New Roman" w:cs="Times New Roman"/>
          <w:szCs w:val="24"/>
          <w:lang w:val="lv-LV"/>
        </w:rPr>
        <w:lastRenderedPageBreak/>
        <w:t>pamatt</w:t>
      </w:r>
      <w:r w:rsidR="00FE70B0">
        <w:rPr>
          <w:rFonts w:ascii="Times New Roman" w:hAnsi="Times New Roman" w:cs="Times New Roman"/>
          <w:szCs w:val="24"/>
          <w:lang w:val="lv-LV"/>
        </w:rPr>
        <w:t>iesības” (skatīt augstāk</w:t>
      </w:r>
      <w:r w:rsidRPr="00E45AA2">
        <w:rPr>
          <w:rFonts w:ascii="Times New Roman" w:hAnsi="Times New Roman" w:cs="Times New Roman"/>
          <w:szCs w:val="24"/>
          <w:lang w:val="lv-LV"/>
        </w:rPr>
        <w:t>minēto 49. punktu).</w:t>
      </w:r>
      <w:r w:rsidRPr="00E45AA2">
        <w:rPr>
          <w:rFonts w:ascii="Times New Roman" w:eastAsiaTheme="minorHAnsi" w:hAnsi="Times New Roman" w:cs="Times New Roman"/>
          <w:szCs w:val="24"/>
          <w:lang w:val="lv-LV"/>
        </w:rPr>
        <w:t xml:space="preserve"> Līdz izņēmuma gadījumu līmenim ierobežojot tās valsts rīcības brīvību, kurā tiek lūgts pārskatīt, vai izcelsmes valsts spriedumā ir ievērotas pamattiesības, praktiski sākas pretrunas ar Konvencijā noteikto prasību, saskaņā ar kuru uzrunātās valsts tiesai jābūt vismaz tiesībām veikt kontroli, kas ir samērīga ar iespējamā pamattiesību pārkāpumu smagumu izcelsmes valstī, lai nodrošinātu, ka šo tiesību aizsardzībā nav izteiktu trūkumu. </w:t>
      </w:r>
    </w:p>
    <w:p w:rsidR="0013508E" w:rsidRPr="00E45AA2" w:rsidRDefault="0013508E" w:rsidP="0013508E">
      <w:pPr>
        <w:pStyle w:val="ECHRPara"/>
        <w:rPr>
          <w:rFonts w:ascii="Times New Roman" w:eastAsiaTheme="minorHAnsi"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115</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Turklāt Tiesa novēro, ka, ja valsts atbildīgās iestādes izmanto Eiropas Savienības tiesību aktus un tām šajā aspektā nav rīcības brīv</w:t>
      </w:r>
      <w:r w:rsidR="001F01CB">
        <w:rPr>
          <w:rFonts w:ascii="Times New Roman" w:eastAsiaTheme="minorHAnsi" w:hAnsi="Times New Roman" w:cs="Times New Roman"/>
          <w:szCs w:val="24"/>
          <w:lang w:val="lv-LV"/>
        </w:rPr>
        <w:t>ības, ir piemērojama līdzvērtīgā</w:t>
      </w:r>
      <w:r w:rsidRPr="00E45AA2">
        <w:rPr>
          <w:rFonts w:ascii="Times New Roman" w:eastAsiaTheme="minorHAnsi" w:hAnsi="Times New Roman" w:cs="Times New Roman"/>
          <w:szCs w:val="24"/>
          <w:lang w:val="lv-LV"/>
        </w:rPr>
        <w:t xml:space="preserve">s aizsardzības prezumpcija, kas izteikta </w:t>
      </w:r>
      <w:r w:rsidRPr="00E45AA2">
        <w:rPr>
          <w:rFonts w:ascii="Times New Roman" w:eastAsiaTheme="minorHAnsi" w:hAnsi="Times New Roman" w:cs="Times New Roman"/>
          <w:i/>
          <w:szCs w:val="24"/>
          <w:lang w:val="lv-LV"/>
        </w:rPr>
        <w:t xml:space="preserve">Bosphorus </w:t>
      </w:r>
      <w:r w:rsidRPr="00E45AA2">
        <w:rPr>
          <w:rFonts w:ascii="Times New Roman" w:eastAsiaTheme="minorHAnsi" w:hAnsi="Times New Roman" w:cs="Times New Roman"/>
          <w:szCs w:val="24"/>
          <w:lang w:val="lv-LV"/>
        </w:rPr>
        <w:t xml:space="preserve">spriedumā. Šis ir gadījums, kad savstarpējās atzīšanas mehānismi pieprasa prezumēt, ka pamattiesību ievērošana citā valstī ir bijusi pietiekama. Līdz ar to šajā jautājumā </w:t>
      </w:r>
      <w:r w:rsidR="00460619">
        <w:rPr>
          <w:rFonts w:ascii="Times New Roman" w:eastAsiaTheme="minorHAnsi" w:hAnsi="Times New Roman" w:cs="Times New Roman"/>
          <w:szCs w:val="24"/>
          <w:lang w:val="lv-LV"/>
        </w:rPr>
        <w:t>nacionāla</w:t>
      </w:r>
      <w:r w:rsidR="00CD1CBE">
        <w:rPr>
          <w:rFonts w:ascii="Times New Roman" w:eastAsiaTheme="minorHAnsi" w:hAnsi="Times New Roman" w:cs="Times New Roman"/>
          <w:szCs w:val="24"/>
          <w:lang w:val="lv-LV"/>
        </w:rPr>
        <w:t>ja</w:t>
      </w:r>
      <w:r w:rsidR="00460619">
        <w:rPr>
          <w:rFonts w:ascii="Times New Roman" w:eastAsiaTheme="minorHAnsi" w:hAnsi="Times New Roman" w:cs="Times New Roman"/>
          <w:szCs w:val="24"/>
          <w:lang w:val="lv-LV"/>
        </w:rPr>
        <w:t>i</w:t>
      </w:r>
      <w:r w:rsidRPr="00E45AA2">
        <w:rPr>
          <w:rFonts w:ascii="Times New Roman" w:eastAsiaTheme="minorHAnsi" w:hAnsi="Times New Roman" w:cs="Times New Roman"/>
          <w:szCs w:val="24"/>
          <w:lang w:val="lv-LV"/>
        </w:rPr>
        <w:t xml:space="preserve"> tiesai nav rīcības brīvības, kā rezultātā automātiski tiek piemērota </w:t>
      </w:r>
      <w:r w:rsidRPr="00E45AA2">
        <w:rPr>
          <w:rFonts w:ascii="Times New Roman" w:eastAsiaTheme="minorHAnsi" w:hAnsi="Times New Roman" w:cs="Times New Roman"/>
          <w:i/>
          <w:szCs w:val="24"/>
          <w:lang w:val="lv-LV"/>
        </w:rPr>
        <w:t>Bosphorus</w:t>
      </w:r>
      <w:r w:rsidRPr="00E45AA2">
        <w:rPr>
          <w:rFonts w:ascii="Times New Roman" w:eastAsiaTheme="minorHAnsi" w:hAnsi="Times New Roman" w:cs="Times New Roman"/>
          <w:szCs w:val="24"/>
          <w:lang w:val="lv-LV"/>
        </w:rPr>
        <w:t xml:space="preserve"> prezumpcija par līdzvērtīgu aizsardzību. Tiesa uzsver, ka tas paradoksālā kārtā rada divkāršus ierobežojumus nacionālajai tiesai, kad runa ir par pamattiesību ievērošanas kontroli, kam </w:t>
      </w:r>
      <w:r w:rsidR="001E2DAC">
        <w:rPr>
          <w:rFonts w:ascii="Times New Roman" w:eastAsiaTheme="minorHAnsi" w:hAnsi="Times New Roman" w:cs="Times New Roman"/>
          <w:szCs w:val="24"/>
          <w:lang w:val="lv-LV"/>
        </w:rPr>
        <w:t xml:space="preserve">par iemeslu ir </w:t>
      </w:r>
      <w:r w:rsidRPr="00E45AA2">
        <w:rPr>
          <w:rFonts w:ascii="Times New Roman" w:eastAsiaTheme="minorHAnsi" w:hAnsi="Times New Roman" w:cs="Times New Roman"/>
          <w:szCs w:val="24"/>
          <w:lang w:val="lv-LV"/>
        </w:rPr>
        <w:t xml:space="preserve">sekas, ko rada prezumpcija, uz kuru balstās savstarpējā atzīšana, un </w:t>
      </w:r>
      <w:r w:rsidRPr="00E45AA2">
        <w:rPr>
          <w:rFonts w:ascii="Times New Roman" w:eastAsiaTheme="minorHAnsi" w:hAnsi="Times New Roman" w:cs="Times New Roman"/>
          <w:i/>
          <w:szCs w:val="24"/>
          <w:lang w:val="lv-LV"/>
        </w:rPr>
        <w:t xml:space="preserve">Bosphorus </w:t>
      </w:r>
      <w:r w:rsidRPr="00E45AA2">
        <w:rPr>
          <w:rFonts w:ascii="Times New Roman" w:eastAsiaTheme="minorHAnsi" w:hAnsi="Times New Roman" w:cs="Times New Roman"/>
          <w:szCs w:val="24"/>
          <w:lang w:val="lv-LV"/>
        </w:rPr>
        <w:t xml:space="preserve">prezumpcija par līdzvērtīgu aizsardzību. </w:t>
      </w:r>
    </w:p>
    <w:p w:rsidR="0013508E" w:rsidRPr="00E45AA2" w:rsidRDefault="0013508E" w:rsidP="0013508E">
      <w:pPr>
        <w:pStyle w:val="ECHRPara"/>
        <w:rPr>
          <w:rFonts w:ascii="Times New Roman" w:eastAsiaTheme="minorHAnsi" w:hAnsi="Times New Roman" w:cs="Times New Roman"/>
          <w:bCs/>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116</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xml:space="preserve">.   </w:t>
      </w:r>
      <w:r w:rsidRPr="00E45AA2">
        <w:rPr>
          <w:rFonts w:ascii="Times New Roman" w:eastAsiaTheme="minorHAnsi" w:hAnsi="Times New Roman" w:cs="Times New Roman"/>
          <w:i/>
          <w:szCs w:val="24"/>
          <w:lang w:val="lv-LV"/>
        </w:rPr>
        <w:t xml:space="preserve">Bosphorus </w:t>
      </w:r>
      <w:r w:rsidRPr="00E45AA2">
        <w:rPr>
          <w:rFonts w:ascii="Times New Roman" w:eastAsiaTheme="minorHAnsi" w:hAnsi="Times New Roman" w:cs="Times New Roman"/>
          <w:szCs w:val="24"/>
          <w:lang w:val="lv-LV"/>
        </w:rPr>
        <w:t>spriedumā Tiesa atgādināja, ka Konvencija ir „Eiropas sabiedriskās kārtības konstitucionāls instruments” (turpat, 156. punkts). Līdz ar to gadīju</w:t>
      </w:r>
      <w:r w:rsidR="007C1ED3">
        <w:rPr>
          <w:rFonts w:ascii="Times New Roman" w:eastAsiaTheme="minorHAnsi" w:hAnsi="Times New Roman" w:cs="Times New Roman"/>
          <w:szCs w:val="24"/>
          <w:lang w:val="lv-LV"/>
        </w:rPr>
        <w:t>mā, ja tiek ievēroti līdzvērtīgā</w:t>
      </w:r>
      <w:r w:rsidRPr="00E45AA2">
        <w:rPr>
          <w:rFonts w:ascii="Times New Roman" w:eastAsiaTheme="minorHAnsi" w:hAnsi="Times New Roman" w:cs="Times New Roman"/>
          <w:szCs w:val="24"/>
          <w:lang w:val="lv-LV"/>
        </w:rPr>
        <w:t>s aizsardzības prezumpcijas piemēr</w:t>
      </w:r>
      <w:r w:rsidR="00FE70B0">
        <w:rPr>
          <w:rFonts w:ascii="Times New Roman" w:eastAsiaTheme="minorHAnsi" w:hAnsi="Times New Roman" w:cs="Times New Roman"/>
          <w:szCs w:val="24"/>
          <w:lang w:val="lv-LV"/>
        </w:rPr>
        <w:t>ošanas apstākļi (skatīt augstāk</w:t>
      </w:r>
      <w:r w:rsidRPr="00E45AA2">
        <w:rPr>
          <w:rFonts w:ascii="Times New Roman" w:eastAsiaTheme="minorHAnsi" w:hAnsi="Times New Roman" w:cs="Times New Roman"/>
          <w:szCs w:val="24"/>
          <w:lang w:val="lv-LV"/>
        </w:rPr>
        <w:t>minēto 105.-106. punktu), Tiesai ir</w:t>
      </w:r>
      <w:r w:rsidR="00165316">
        <w:rPr>
          <w:rFonts w:ascii="Times New Roman" w:eastAsiaTheme="minorHAnsi" w:hAnsi="Times New Roman" w:cs="Times New Roman"/>
          <w:szCs w:val="24"/>
          <w:lang w:val="lv-LV"/>
        </w:rPr>
        <w:t xml:space="preserve"> jāpietiek ar to, ka savstarpējā</w:t>
      </w:r>
      <w:r w:rsidRPr="00E45AA2">
        <w:rPr>
          <w:rFonts w:ascii="Times New Roman" w:eastAsiaTheme="minorHAnsi" w:hAnsi="Times New Roman" w:cs="Times New Roman"/>
          <w:szCs w:val="24"/>
          <w:lang w:val="lv-LV"/>
        </w:rPr>
        <w:t xml:space="preserve">s atzīšanas mehānismi nepieļauj robu vai specifisku situāciju, kā rezultātā būtu novērojami </w:t>
      </w:r>
      <w:r w:rsidR="00851C68">
        <w:rPr>
          <w:rFonts w:ascii="Times New Roman" w:eastAsiaTheme="minorHAnsi" w:hAnsi="Times New Roman" w:cs="Times New Roman"/>
          <w:szCs w:val="24"/>
          <w:lang w:val="lv-LV"/>
        </w:rPr>
        <w:t>acīmredzami</w:t>
      </w:r>
      <w:r w:rsidRPr="00E45AA2">
        <w:rPr>
          <w:rFonts w:ascii="Times New Roman" w:eastAsiaTheme="minorHAnsi" w:hAnsi="Times New Roman" w:cs="Times New Roman"/>
          <w:szCs w:val="24"/>
          <w:lang w:val="lv-LV"/>
        </w:rPr>
        <w:t xml:space="preserve"> trūkumi Konvencijā noteikto cilvēktiesību aizsardzībā. Šādi Tiesa komplementaritātes garā ņem vērā veidu, kā šie mehānismi darbojas un it sevišķi efektivitātes mērķi, kura sasniegšanai šie mehānismi ir radīti. Neskatoties uz to, Tiesai ir jāpārbauda, vai savstarpējās atzīšanas princips nav piemērots automātiski un mehāniski (skatīt, </w:t>
      </w:r>
      <w:r w:rsidRPr="00E45AA2">
        <w:rPr>
          <w:rFonts w:ascii="Times New Roman" w:eastAsiaTheme="minorHAnsi" w:hAnsi="Times New Roman" w:cs="Times New Roman"/>
          <w:i/>
          <w:szCs w:val="24"/>
          <w:lang w:val="lv-LV"/>
        </w:rPr>
        <w:t>mutatis mutandis</w:t>
      </w:r>
      <w:r w:rsidRPr="00E45AA2">
        <w:rPr>
          <w:rFonts w:ascii="Times New Roman" w:eastAsiaTheme="minorHAnsi" w:hAnsi="Times New Roman" w:cs="Times New Roman"/>
          <w:szCs w:val="24"/>
          <w:lang w:val="lv-LV"/>
        </w:rPr>
        <w:t xml:space="preserve">, lietu </w:t>
      </w:r>
      <w:r w:rsidRPr="00E45AA2">
        <w:rPr>
          <w:rFonts w:ascii="Times New Roman" w:eastAsiaTheme="minorHAnsi" w:hAnsi="Times New Roman" w:cs="Times New Roman"/>
          <w:i/>
          <w:szCs w:val="24"/>
          <w:lang w:val="lv-LV"/>
        </w:rPr>
        <w:t xml:space="preserve">X pret Latviju </w:t>
      </w:r>
      <w:r w:rsidRPr="00E45AA2">
        <w:rPr>
          <w:rFonts w:ascii="Times New Roman" w:eastAsiaTheme="minorHAnsi" w:hAnsi="Times New Roman" w:cs="Times New Roman"/>
          <w:szCs w:val="24"/>
          <w:lang w:val="lv-LV"/>
        </w:rPr>
        <w:t xml:space="preserve">[Lielā palāta], Nr. 27853/09, 98.un 107. punkts, ECHR, 2013), nodarot kaitējumu pamattiesībām, kas, kā uzsver arī EST, šajā kontekstā ir jāņem vērā </w:t>
      </w:r>
      <w:r w:rsidRPr="00E45AA2">
        <w:rPr>
          <w:rFonts w:ascii="Times New Roman" w:eastAsiaTheme="minorHAnsi" w:hAnsi="Times New Roman" w:cs="Times New Roman"/>
          <w:bCs/>
          <w:szCs w:val="24"/>
          <w:lang w:val="lv-LV"/>
        </w:rPr>
        <w:t xml:space="preserve">(skatīt, piemēram, tās spriedumu lietā </w:t>
      </w:r>
      <w:r w:rsidRPr="00E45AA2">
        <w:rPr>
          <w:rFonts w:ascii="Times New Roman" w:eastAsiaTheme="minorHAnsi" w:hAnsi="Times New Roman" w:cs="Times New Roman"/>
          <w:bCs/>
          <w:i/>
          <w:szCs w:val="24"/>
          <w:lang w:val="lv-LV"/>
        </w:rPr>
        <w:t>Alpha Bank Cyprus Ltd</w:t>
      </w:r>
      <w:r w:rsidRPr="00E45AA2">
        <w:rPr>
          <w:rFonts w:ascii="Times New Roman" w:eastAsiaTheme="minorHAnsi" w:hAnsi="Times New Roman" w:cs="Times New Roman"/>
          <w:bCs/>
          <w:szCs w:val="24"/>
          <w:lang w:val="lv-LV"/>
        </w:rPr>
        <w:t xml:space="preserve">, citēts augstāk – 48. punktā). Šajā garā, kur tādas nacionālās tiesas, kas vienlaikus ir gan Konvencijas līgumslēdzēja, gan Eiropas Savienības dalībvalsts, tiek aicinātas piemērot Eiropas Savienības tiesību aktos noteikto savstarpējās atzīšanas mehānismu, tām pilnā mērā jāļauj darboties šim mehānismam, ja Konvencijas tiesību aizsardzībā nav novēroti </w:t>
      </w:r>
      <w:r w:rsidR="009218BC">
        <w:rPr>
          <w:rFonts w:ascii="Times New Roman" w:eastAsiaTheme="minorHAnsi" w:hAnsi="Times New Roman" w:cs="Times New Roman"/>
          <w:bCs/>
          <w:szCs w:val="24"/>
          <w:lang w:val="lv-LV"/>
        </w:rPr>
        <w:t xml:space="preserve">acīmredzami </w:t>
      </w:r>
      <w:r w:rsidRPr="00E45AA2">
        <w:rPr>
          <w:rFonts w:ascii="Times New Roman" w:eastAsiaTheme="minorHAnsi" w:hAnsi="Times New Roman" w:cs="Times New Roman"/>
          <w:bCs/>
          <w:szCs w:val="24"/>
          <w:lang w:val="lv-LV"/>
        </w:rPr>
        <w:t xml:space="preserve">trūkumi. Taču, ja nacionālajā tiesā tiek </w:t>
      </w:r>
      <w:r w:rsidR="00F82309">
        <w:rPr>
          <w:rFonts w:ascii="Times New Roman" w:eastAsiaTheme="minorHAnsi" w:hAnsi="Times New Roman" w:cs="Times New Roman"/>
          <w:bCs/>
          <w:szCs w:val="24"/>
          <w:lang w:val="lv-LV"/>
        </w:rPr>
        <w:t>iesniegta</w:t>
      </w:r>
      <w:r w:rsidRPr="00E45AA2">
        <w:rPr>
          <w:rFonts w:ascii="Times New Roman" w:eastAsiaTheme="minorHAnsi" w:hAnsi="Times New Roman" w:cs="Times New Roman"/>
          <w:bCs/>
          <w:szCs w:val="24"/>
          <w:lang w:val="lv-LV"/>
        </w:rPr>
        <w:t xml:space="preserve"> nopietna un pamatota sūdzība par to, ka Konvencijā noteikto tiesību aizsardzībā ir bijuši </w:t>
      </w:r>
      <w:r w:rsidR="009218BC">
        <w:rPr>
          <w:rFonts w:ascii="Times New Roman" w:eastAsiaTheme="minorHAnsi" w:hAnsi="Times New Roman" w:cs="Times New Roman"/>
          <w:bCs/>
          <w:szCs w:val="24"/>
          <w:lang w:val="lv-LV"/>
        </w:rPr>
        <w:t>acīmredzami</w:t>
      </w:r>
      <w:r w:rsidRPr="00E45AA2">
        <w:rPr>
          <w:rFonts w:ascii="Times New Roman" w:eastAsiaTheme="minorHAnsi" w:hAnsi="Times New Roman" w:cs="Times New Roman"/>
          <w:bCs/>
          <w:szCs w:val="24"/>
          <w:lang w:val="lv-LV"/>
        </w:rPr>
        <w:t xml:space="preserve"> trūkumi un ka šo situāciju nevar risināt ar Eiropas Savienības tiesību aktiem, nacionālās tiesas nevar izvairīties no nepieciešamības izskatīt šo sūdzību, kā šādas atteikšanās vienīgo pamatojumu minot faktu, ka tās piemēro ES tiesību aktus.</w:t>
      </w:r>
    </w:p>
    <w:p w:rsidR="0013508E" w:rsidRPr="00912020" w:rsidRDefault="0013508E" w:rsidP="00F81837">
      <w:pPr>
        <w:pStyle w:val="ECHRHeading4"/>
        <w:numPr>
          <w:ilvl w:val="0"/>
          <w:numId w:val="0"/>
        </w:numPr>
        <w:ind w:left="864"/>
        <w:rPr>
          <w:rFonts w:ascii="Times New Roman" w:eastAsiaTheme="minorHAnsi" w:hAnsi="Times New Roman" w:cs="Times New Roman"/>
          <w:i w:val="0"/>
          <w:color w:val="auto"/>
          <w:sz w:val="22"/>
          <w:szCs w:val="24"/>
          <w:lang w:val="lv-LV"/>
        </w:rPr>
      </w:pPr>
      <w:r w:rsidRPr="00912020">
        <w:rPr>
          <w:rFonts w:ascii="Times New Roman" w:eastAsiaTheme="minorHAnsi" w:hAnsi="Times New Roman" w:cs="Times New Roman"/>
          <w:i w:val="0"/>
          <w:color w:val="auto"/>
          <w:sz w:val="22"/>
          <w:szCs w:val="24"/>
          <w:lang w:val="lv-LV"/>
        </w:rPr>
        <w:lastRenderedPageBreak/>
        <w:t xml:space="preserve">(b)  Vai šajā lietā pamattiesību aizsardzībā bija </w:t>
      </w:r>
      <w:r w:rsidR="00F81837" w:rsidRPr="00912020">
        <w:rPr>
          <w:rFonts w:ascii="Times New Roman" w:eastAsiaTheme="minorHAnsi" w:hAnsi="Times New Roman" w:cs="Times New Roman"/>
          <w:i w:val="0"/>
          <w:color w:val="auto"/>
          <w:sz w:val="22"/>
          <w:szCs w:val="24"/>
          <w:lang w:val="lv-LV"/>
        </w:rPr>
        <w:t xml:space="preserve">acīmredzami </w:t>
      </w:r>
      <w:r w:rsidRPr="00912020">
        <w:rPr>
          <w:rFonts w:ascii="Times New Roman" w:eastAsiaTheme="minorHAnsi" w:hAnsi="Times New Roman" w:cs="Times New Roman"/>
          <w:i w:val="0"/>
          <w:color w:val="auto"/>
          <w:sz w:val="22"/>
          <w:szCs w:val="24"/>
          <w:lang w:val="lv-LV"/>
        </w:rPr>
        <w:t xml:space="preserve">trūkumi </w:t>
      </w:r>
    </w:p>
    <w:p w:rsidR="00F81837" w:rsidRPr="00F81837" w:rsidRDefault="00F81837" w:rsidP="00F81837">
      <w:pPr>
        <w:pStyle w:val="ECHRPara"/>
        <w:rPr>
          <w:lang w:val="lv-LV"/>
        </w:rPr>
      </w:pPr>
    </w:p>
    <w:p w:rsidR="0013508E" w:rsidRPr="00E45AA2" w:rsidRDefault="0013508E" w:rsidP="0013508E">
      <w:pPr>
        <w:pStyle w:val="ECHRPara"/>
        <w:rPr>
          <w:rFonts w:ascii="Times New Roman" w:eastAsiaTheme="minorHAnsi"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117</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xml:space="preserve">.  Tagad Tiesai jāmēģina noskaidrot, vai pamattiesību aizsardzībā, ko šajā lietā sniedza Latvijas Augstākās tiesas Senāts, bija </w:t>
      </w:r>
      <w:r w:rsidR="006B1EC4">
        <w:rPr>
          <w:rFonts w:ascii="Times New Roman" w:eastAsiaTheme="minorHAnsi" w:hAnsi="Times New Roman" w:cs="Times New Roman"/>
          <w:szCs w:val="24"/>
          <w:lang w:val="lv-LV"/>
        </w:rPr>
        <w:t>acīmredzami</w:t>
      </w:r>
      <w:r w:rsidRPr="00E45AA2">
        <w:rPr>
          <w:rFonts w:ascii="Times New Roman" w:eastAsiaTheme="minorHAnsi" w:hAnsi="Times New Roman" w:cs="Times New Roman"/>
          <w:szCs w:val="24"/>
          <w:lang w:val="lv-LV"/>
        </w:rPr>
        <w:t xml:space="preserve"> tr</w:t>
      </w:r>
      <w:r w:rsidR="007C1ED3">
        <w:rPr>
          <w:rFonts w:ascii="Times New Roman" w:eastAsiaTheme="minorHAnsi" w:hAnsi="Times New Roman" w:cs="Times New Roman"/>
          <w:szCs w:val="24"/>
          <w:lang w:val="lv-LV"/>
        </w:rPr>
        <w:t>ūkumi, kas atspēkotu līdzvērtīgā</w:t>
      </w:r>
      <w:r w:rsidRPr="00E45AA2">
        <w:rPr>
          <w:rFonts w:ascii="Times New Roman" w:eastAsiaTheme="minorHAnsi" w:hAnsi="Times New Roman" w:cs="Times New Roman"/>
          <w:szCs w:val="24"/>
          <w:lang w:val="lv-LV"/>
        </w:rPr>
        <w:t xml:space="preserve">s aizsardzības prezumpcijas piemērojamību, runājot gan par piemēroto Eiropas Savienības tiesību aktu noteikumu, gan par tā piemērošanu konkrētajā iesniedzēja lietā.  </w:t>
      </w:r>
    </w:p>
    <w:p w:rsidR="0013508E" w:rsidRPr="00E45AA2" w:rsidRDefault="0013508E" w:rsidP="0013508E">
      <w:pPr>
        <w:pStyle w:val="ECHRPara"/>
        <w:rPr>
          <w:rFonts w:ascii="Times New Roman" w:hAnsi="Times New Roman" w:cs="Times New Roman"/>
          <w:snapToGrid w:val="0"/>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118</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xml:space="preserve">.  Tiesa uzskata, ka prasība izmantot tiesiskās aizsardzības līdzekļus, kas izriet no Briseles I regulas 34. panta 2. punktā noteiktā mehānisma, kā to interpretē EST (atbildētājam vajadzēja izmantot jebkurus tiesiskās aizsardzības līdzekļus, kas bija pieejami izcelsmes valstī, lai viņš varētu sūdzēties par to, ka viņam netika izsniegts dokuments, ar ko celta prasība tiesā), pati par sevi nav problemātiska, runājot par Konvencijas 6. panta 1. punktā sniegtajām garantijām. Tas ir priekšnoteikums, kura mērķis ir nodrošināt pareizu tiesvedības pārvaldību procesuālas ekonomijas garā un kurš balstās uz pieeju, kas līdzīga tai, kuras pamatā ir valsts tiesiskās aizsardzības līdzekļu izmantošana saskaņā ar Konvencijas 35. panta 1. punktu. Šī pieeja ietver divus aspektus. Pirmkārt, valstis tiek atbrīvotas no pienākuma atbildēt starptautiskas institūcijas priekšā par savu rīcību pirms tam, kad tām radās iespējas labot lietas ar savas valsts tiesību sistēmas palīdzību, un, otrkārt, tiek pieņemts, ka valsts sistēmā ir pieejams efektīvs tiesiskās aizsardzības līdzeklis attiecībā uz iespējamo pārkāpumu (skatīt, </w:t>
      </w:r>
      <w:r w:rsidRPr="00E45AA2">
        <w:rPr>
          <w:rFonts w:ascii="Times New Roman" w:eastAsiaTheme="minorHAnsi" w:hAnsi="Times New Roman" w:cs="Times New Roman"/>
          <w:i/>
          <w:szCs w:val="24"/>
          <w:lang w:val="lv-LV"/>
        </w:rPr>
        <w:t>mutatis mutandis</w:t>
      </w:r>
      <w:r w:rsidRPr="00E45AA2">
        <w:rPr>
          <w:rFonts w:ascii="Times New Roman" w:eastAsiaTheme="minorHAnsi" w:hAnsi="Times New Roman" w:cs="Times New Roman"/>
          <w:szCs w:val="24"/>
          <w:lang w:val="lv-LV"/>
        </w:rPr>
        <w:t xml:space="preserve">, lietu </w:t>
      </w:r>
      <w:r w:rsidRPr="00E45AA2">
        <w:rPr>
          <w:rFonts w:ascii="Times New Roman" w:hAnsi="Times New Roman" w:cs="Times New Roman"/>
          <w:i/>
          <w:szCs w:val="24"/>
          <w:lang w:val="lv-LV"/>
        </w:rPr>
        <w:t xml:space="preserve">Akdivar un citi pret Turciju, </w:t>
      </w:r>
      <w:r w:rsidRPr="00E45AA2">
        <w:rPr>
          <w:rFonts w:ascii="Times New Roman" w:hAnsi="Times New Roman" w:cs="Times New Roman"/>
          <w:szCs w:val="24"/>
          <w:lang w:val="lv-LV"/>
        </w:rPr>
        <w:t xml:space="preserve">1996. gada 16. septembris, 65. punkts, </w:t>
      </w:r>
      <w:r w:rsidRPr="00E45AA2">
        <w:rPr>
          <w:rFonts w:ascii="Times New Roman" w:hAnsi="Times New Roman" w:cs="Times New Roman"/>
          <w:i/>
          <w:szCs w:val="24"/>
          <w:lang w:val="lv-LV"/>
        </w:rPr>
        <w:t xml:space="preserve">Ziņojumu par spriedumiem un lēmumiem </w:t>
      </w:r>
      <w:r w:rsidRPr="00E45AA2">
        <w:rPr>
          <w:rFonts w:ascii="Times New Roman" w:hAnsi="Times New Roman" w:cs="Times New Roman"/>
          <w:szCs w:val="24"/>
          <w:lang w:val="lv-LV"/>
        </w:rPr>
        <w:t>1996</w:t>
      </w:r>
      <w:r w:rsidRPr="00E45AA2">
        <w:rPr>
          <w:rFonts w:ascii="Times New Roman" w:hAnsi="Times New Roman" w:cs="Times New Roman"/>
          <w:szCs w:val="24"/>
          <w:lang w:val="lv-LV"/>
        </w:rPr>
        <w:noBreakHyphen/>
        <w:t xml:space="preserve">IV, kā arī lietu </w:t>
      </w:r>
      <w:r w:rsidRPr="00E45AA2">
        <w:rPr>
          <w:rFonts w:ascii="Times New Roman" w:hAnsi="Times New Roman" w:cs="Times New Roman"/>
          <w:i/>
          <w:szCs w:val="24"/>
          <w:lang w:val="lv-LV"/>
        </w:rPr>
        <w:t xml:space="preserve">Sargsyan pret Azerbaidžānu </w:t>
      </w:r>
      <w:r w:rsidRPr="00E45AA2">
        <w:rPr>
          <w:rFonts w:ascii="Times New Roman" w:hAnsi="Times New Roman" w:cs="Times New Roman"/>
          <w:szCs w:val="24"/>
          <w:lang w:val="lv-LV"/>
        </w:rPr>
        <w:t>[Lielā palāta], Nr. 40167/06</w:t>
      </w:r>
      <w:r w:rsidRPr="00E45AA2">
        <w:rPr>
          <w:rFonts w:ascii="Times New Roman" w:hAnsi="Times New Roman" w:cs="Times New Roman"/>
          <w:snapToGrid w:val="0"/>
          <w:szCs w:val="24"/>
          <w:lang w:val="lv-LV"/>
        </w:rPr>
        <w:t xml:space="preserve">, 115. punkts, ECHR, 2015). Tādējādi Tiesa </w:t>
      </w:r>
      <w:r w:rsidR="006D0EE3">
        <w:rPr>
          <w:rFonts w:ascii="Times New Roman" w:hAnsi="Times New Roman" w:cs="Times New Roman"/>
          <w:snapToGrid w:val="0"/>
          <w:szCs w:val="24"/>
          <w:lang w:val="lv-LV"/>
        </w:rPr>
        <w:t>nesaskata</w:t>
      </w:r>
      <w:r w:rsidRPr="00E45AA2">
        <w:rPr>
          <w:rFonts w:ascii="Times New Roman" w:hAnsi="Times New Roman" w:cs="Times New Roman"/>
          <w:snapToGrid w:val="0"/>
          <w:szCs w:val="24"/>
          <w:lang w:val="lv-LV"/>
        </w:rPr>
        <w:t xml:space="preserve"> norādes uz to, ka sniegtajā aizsardzībā šajā sakarā būtu bijuši </w:t>
      </w:r>
      <w:r w:rsidR="00CB4314">
        <w:rPr>
          <w:rFonts w:ascii="Times New Roman" w:hAnsi="Times New Roman" w:cs="Times New Roman"/>
          <w:snapToGrid w:val="0"/>
          <w:szCs w:val="24"/>
          <w:lang w:val="lv-LV"/>
        </w:rPr>
        <w:t>acīmredzami</w:t>
      </w:r>
      <w:r w:rsidRPr="00E45AA2">
        <w:rPr>
          <w:rFonts w:ascii="Times New Roman" w:hAnsi="Times New Roman" w:cs="Times New Roman"/>
          <w:snapToGrid w:val="0"/>
          <w:szCs w:val="24"/>
          <w:lang w:val="lv-LV"/>
        </w:rPr>
        <w:t xml:space="preserve"> trūkumi. </w:t>
      </w:r>
    </w:p>
    <w:p w:rsidR="0013508E" w:rsidRPr="00E45AA2" w:rsidRDefault="0013508E" w:rsidP="0013508E">
      <w:pPr>
        <w:pStyle w:val="ECHRPara"/>
        <w:rPr>
          <w:rFonts w:ascii="Times New Roman" w:hAnsi="Times New Roman" w:cs="Times New Roman"/>
          <w:snapToGrid w:val="0"/>
          <w:szCs w:val="24"/>
          <w:lang w:val="lv-LV"/>
        </w:rPr>
      </w:pPr>
      <w:r w:rsidRPr="00E45AA2">
        <w:rPr>
          <w:rFonts w:ascii="Times New Roman" w:hAnsi="Times New Roman" w:cs="Times New Roman"/>
          <w:snapToGrid w:val="0"/>
          <w:szCs w:val="24"/>
          <w:lang w:val="lv-LV"/>
        </w:rPr>
        <w:fldChar w:fldCharType="begin"/>
      </w:r>
      <w:r w:rsidRPr="00E45AA2">
        <w:rPr>
          <w:rFonts w:ascii="Times New Roman" w:hAnsi="Times New Roman" w:cs="Times New Roman"/>
          <w:snapToGrid w:val="0"/>
          <w:szCs w:val="24"/>
          <w:lang w:val="lv-LV"/>
        </w:rPr>
        <w:instrText xml:space="preserve"> SEQ level0 \*arabic </w:instrText>
      </w:r>
      <w:r w:rsidRPr="00E45AA2">
        <w:rPr>
          <w:rFonts w:ascii="Times New Roman" w:hAnsi="Times New Roman" w:cs="Times New Roman"/>
          <w:snapToGrid w:val="0"/>
          <w:szCs w:val="24"/>
          <w:lang w:val="lv-LV"/>
        </w:rPr>
        <w:fldChar w:fldCharType="separate"/>
      </w:r>
      <w:r w:rsidRPr="00E45AA2">
        <w:rPr>
          <w:rFonts w:ascii="Times New Roman" w:hAnsi="Times New Roman" w:cs="Times New Roman"/>
          <w:noProof/>
          <w:snapToGrid w:val="0"/>
          <w:szCs w:val="24"/>
          <w:lang w:val="lv-LV"/>
        </w:rPr>
        <w:t>119</w:t>
      </w:r>
      <w:r w:rsidRPr="00E45AA2">
        <w:rPr>
          <w:rFonts w:ascii="Times New Roman" w:hAnsi="Times New Roman" w:cs="Times New Roman"/>
          <w:snapToGrid w:val="0"/>
          <w:szCs w:val="24"/>
          <w:lang w:val="lv-LV"/>
        </w:rPr>
        <w:fldChar w:fldCharType="end"/>
      </w:r>
      <w:r w:rsidRPr="00E45AA2">
        <w:rPr>
          <w:rFonts w:ascii="Times New Roman" w:hAnsi="Times New Roman" w:cs="Times New Roman"/>
          <w:snapToGrid w:val="0"/>
          <w:szCs w:val="24"/>
          <w:lang w:val="lv-LV"/>
        </w:rPr>
        <w:t xml:space="preserve">.  Tomēr Tiesa uzsver, ka </w:t>
      </w:r>
      <w:r w:rsidR="00B3394F">
        <w:rPr>
          <w:rFonts w:ascii="Times New Roman" w:hAnsi="Times New Roman" w:cs="Times New Roman"/>
          <w:snapToGrid w:val="0"/>
          <w:szCs w:val="24"/>
          <w:lang w:val="lv-LV"/>
        </w:rPr>
        <w:t>pušu līdztiesības</w:t>
      </w:r>
      <w:r w:rsidRPr="00E45AA2">
        <w:rPr>
          <w:rFonts w:ascii="Times New Roman" w:hAnsi="Times New Roman" w:cs="Times New Roman"/>
          <w:snapToGrid w:val="0"/>
          <w:szCs w:val="24"/>
          <w:lang w:val="lv-LV"/>
        </w:rPr>
        <w:t xml:space="preserve"> princips un vienlīdzības princips, kas ir cieši saistīti, ir pamata sastāvdaļas „taisnīgas lietas izskatīšanas” jēdzienam Konvencijas 6. panta 1. punkta izpratnē. </w:t>
      </w:r>
      <w:r w:rsidRPr="00E45AA2">
        <w:rPr>
          <w:rFonts w:ascii="Times New Roman" w:hAnsi="Times New Roman" w:cs="Times New Roman"/>
          <w:szCs w:val="24"/>
          <w:lang w:val="lv-LV"/>
        </w:rPr>
        <w:t xml:space="preserve">Tās pieprasa „taisnīgu līdzsvaru” starp pusēm, t.i., katrai pusei ir jābūt saprātīgai iespējai sniegt savus argumentus tādos apstākļos, kas viņu nenostāda būtiski neizdevīgākos apstākļos, salīdzinot ar viņa oponentu vai oponentiem </w:t>
      </w:r>
      <w:r w:rsidRPr="00E45AA2">
        <w:rPr>
          <w:rFonts w:ascii="Times New Roman" w:hAnsi="Times New Roman" w:cs="Times New Roman"/>
          <w:snapToGrid w:val="0"/>
          <w:szCs w:val="24"/>
          <w:lang w:val="lv-LV"/>
        </w:rPr>
        <w:t xml:space="preserve">(skatīt, piemēram, lietu </w:t>
      </w:r>
      <w:r w:rsidRPr="00E45AA2">
        <w:rPr>
          <w:rFonts w:ascii="Times New Roman" w:hAnsi="Times New Roman" w:cs="Times New Roman"/>
          <w:i/>
          <w:snapToGrid w:val="0"/>
          <w:szCs w:val="24"/>
          <w:lang w:val="lv-LV"/>
        </w:rPr>
        <w:t>Gorraiz Lizarraga un citi pret Spāniju</w:t>
      </w:r>
      <w:r w:rsidRPr="00E45AA2">
        <w:rPr>
          <w:rFonts w:ascii="Times New Roman" w:hAnsi="Times New Roman" w:cs="Times New Roman"/>
          <w:snapToGrid w:val="0"/>
          <w:szCs w:val="24"/>
          <w:lang w:val="lv-LV"/>
        </w:rPr>
        <w:t xml:space="preserve">, Nr. 62543/00, 56. punkts, ECHR, 2004-III). </w:t>
      </w:r>
      <w:r w:rsidRPr="00E45AA2">
        <w:rPr>
          <w:rFonts w:ascii="Times New Roman" w:hAnsi="Times New Roman" w:cs="Times New Roman"/>
          <w:szCs w:val="24"/>
          <w:lang w:val="lv-LV"/>
        </w:rPr>
        <w:t xml:space="preserve">Šie principi, kas attiecas uz visiem procesuālo tiesību aspektiem </w:t>
      </w:r>
      <w:r w:rsidR="00E02334">
        <w:rPr>
          <w:rFonts w:ascii="Times New Roman" w:hAnsi="Times New Roman" w:cs="Times New Roman"/>
          <w:szCs w:val="24"/>
          <w:lang w:val="lv-LV"/>
        </w:rPr>
        <w:t>l</w:t>
      </w:r>
      <w:r w:rsidRPr="00E45AA2">
        <w:rPr>
          <w:rFonts w:ascii="Times New Roman" w:hAnsi="Times New Roman" w:cs="Times New Roman"/>
          <w:szCs w:val="24"/>
          <w:lang w:val="lv-LV"/>
        </w:rPr>
        <w:t xml:space="preserve">īgumslēdzējās valstīs, ir piemērojami arī attiecībā uz tiesas dokumentu izsniegšanu iesaistītajām pusēm </w:t>
      </w:r>
      <w:r w:rsidRPr="00E45AA2">
        <w:rPr>
          <w:rFonts w:ascii="Times New Roman" w:hAnsi="Times New Roman" w:cs="Times New Roman"/>
          <w:snapToGrid w:val="0"/>
          <w:szCs w:val="24"/>
          <w:lang w:val="lv-LV"/>
        </w:rPr>
        <w:t xml:space="preserve">(skatīt lietu </w:t>
      </w:r>
      <w:r w:rsidRPr="00E45AA2">
        <w:rPr>
          <w:rFonts w:ascii="Times New Roman" w:hAnsi="Times New Roman" w:cs="Times New Roman"/>
          <w:i/>
          <w:snapToGrid w:val="0"/>
          <w:szCs w:val="24"/>
          <w:lang w:val="lv-LV"/>
        </w:rPr>
        <w:t>Miholapa pret Latviju</w:t>
      </w:r>
      <w:r w:rsidRPr="00E45AA2">
        <w:rPr>
          <w:rFonts w:ascii="Times New Roman" w:hAnsi="Times New Roman" w:cs="Times New Roman"/>
          <w:snapToGrid w:val="0"/>
          <w:szCs w:val="24"/>
          <w:lang w:val="lv-LV"/>
        </w:rPr>
        <w:t xml:space="preserve">, Nr. 61655/00, 23. punkts, 2007. gada 31. maijs, kā arī lietu </w:t>
      </w:r>
      <w:r w:rsidRPr="00E45AA2">
        <w:rPr>
          <w:rFonts w:ascii="Times New Roman" w:hAnsi="Times New Roman" w:cs="Times New Roman"/>
          <w:i/>
          <w:snapToGrid w:val="0"/>
          <w:szCs w:val="24"/>
          <w:lang w:val="lv-LV"/>
        </w:rPr>
        <w:t>Övüş pret Turciju</w:t>
      </w:r>
      <w:r w:rsidRPr="00E45AA2">
        <w:rPr>
          <w:rFonts w:ascii="Times New Roman" w:hAnsi="Times New Roman" w:cs="Times New Roman"/>
          <w:snapToGrid w:val="0"/>
          <w:szCs w:val="24"/>
          <w:lang w:val="lv-LV"/>
        </w:rPr>
        <w:t>, Nr. 42981/04, 47. punkts, 2009. gada 13. oktobris), lai gan 6. panta 1. punkts nevar tikt interpretēts kā tāds, kas nosaka specifisk</w:t>
      </w:r>
      <w:r w:rsidR="009D298B">
        <w:rPr>
          <w:rFonts w:ascii="Times New Roman" w:hAnsi="Times New Roman" w:cs="Times New Roman"/>
          <w:snapToGrid w:val="0"/>
          <w:szCs w:val="24"/>
          <w:lang w:val="lv-LV"/>
        </w:rPr>
        <w:t>u</w:t>
      </w:r>
      <w:r w:rsidRPr="00E45AA2">
        <w:rPr>
          <w:rFonts w:ascii="Times New Roman" w:hAnsi="Times New Roman" w:cs="Times New Roman"/>
          <w:snapToGrid w:val="0"/>
          <w:szCs w:val="24"/>
          <w:lang w:val="lv-LV"/>
        </w:rPr>
        <w:t xml:space="preserve"> dokumentu izsniegšanas veidu</w:t>
      </w:r>
      <w:r w:rsidR="00E02334">
        <w:rPr>
          <w:rFonts w:ascii="Times New Roman" w:hAnsi="Times New Roman" w:cs="Times New Roman"/>
          <w:snapToGrid w:val="0"/>
          <w:szCs w:val="24"/>
          <w:lang w:val="lv-LV"/>
        </w:rPr>
        <w:t xml:space="preserve"> </w:t>
      </w:r>
      <w:r w:rsidR="009D298B">
        <w:rPr>
          <w:rFonts w:ascii="Times New Roman" w:hAnsi="Times New Roman" w:cs="Times New Roman"/>
          <w:snapToGrid w:val="0"/>
          <w:szCs w:val="24"/>
          <w:lang w:val="lv-LV"/>
        </w:rPr>
        <w:t>(skatīt augstāk</w:t>
      </w:r>
      <w:r w:rsidRPr="00E45AA2">
        <w:rPr>
          <w:rFonts w:ascii="Times New Roman" w:hAnsi="Times New Roman" w:cs="Times New Roman"/>
          <w:snapToGrid w:val="0"/>
          <w:szCs w:val="24"/>
          <w:lang w:val="lv-LV"/>
        </w:rPr>
        <w:t xml:space="preserve">minēto lēmumu </w:t>
      </w:r>
      <w:r w:rsidRPr="00E45AA2">
        <w:rPr>
          <w:rFonts w:ascii="Times New Roman" w:hAnsi="Times New Roman" w:cs="Times New Roman"/>
          <w:i/>
          <w:snapToGrid w:val="0"/>
          <w:szCs w:val="24"/>
          <w:lang w:val="lv-LV"/>
        </w:rPr>
        <w:t>Orams</w:t>
      </w:r>
      <w:r w:rsidRPr="00E45AA2">
        <w:rPr>
          <w:rFonts w:ascii="Times New Roman" w:hAnsi="Times New Roman" w:cs="Times New Roman"/>
          <w:snapToGrid w:val="0"/>
          <w:szCs w:val="24"/>
          <w:lang w:val="lv-LV"/>
        </w:rPr>
        <w:t xml:space="preserve"> lietā).</w:t>
      </w:r>
    </w:p>
    <w:p w:rsidR="0013508E" w:rsidRPr="00E45AA2" w:rsidRDefault="0013508E" w:rsidP="0013508E">
      <w:pPr>
        <w:pStyle w:val="ECHRPara"/>
        <w:rPr>
          <w:rFonts w:ascii="Times New Roman" w:hAnsi="Times New Roman" w:cs="Times New Roman"/>
          <w:snapToGrid w:val="0"/>
          <w:szCs w:val="24"/>
          <w:lang w:val="lv-LV"/>
        </w:rPr>
      </w:pPr>
      <w:r w:rsidRPr="00E45AA2">
        <w:rPr>
          <w:rFonts w:ascii="Times New Roman" w:hAnsi="Times New Roman" w:cs="Times New Roman"/>
          <w:snapToGrid w:val="0"/>
          <w:szCs w:val="24"/>
          <w:lang w:val="lv-LV"/>
        </w:rPr>
        <w:fldChar w:fldCharType="begin"/>
      </w:r>
      <w:r w:rsidRPr="00E45AA2">
        <w:rPr>
          <w:rFonts w:ascii="Times New Roman" w:hAnsi="Times New Roman" w:cs="Times New Roman"/>
          <w:snapToGrid w:val="0"/>
          <w:szCs w:val="24"/>
          <w:lang w:val="lv-LV"/>
        </w:rPr>
        <w:instrText xml:space="preserve"> SEQ level0 \*arabic </w:instrText>
      </w:r>
      <w:r w:rsidRPr="00E45AA2">
        <w:rPr>
          <w:rFonts w:ascii="Times New Roman" w:hAnsi="Times New Roman" w:cs="Times New Roman"/>
          <w:snapToGrid w:val="0"/>
          <w:szCs w:val="24"/>
          <w:lang w:val="lv-LV"/>
        </w:rPr>
        <w:fldChar w:fldCharType="separate"/>
      </w:r>
      <w:r w:rsidRPr="00E45AA2">
        <w:rPr>
          <w:rFonts w:ascii="Times New Roman" w:hAnsi="Times New Roman" w:cs="Times New Roman"/>
          <w:noProof/>
          <w:snapToGrid w:val="0"/>
          <w:szCs w:val="24"/>
          <w:lang w:val="lv-LV"/>
        </w:rPr>
        <w:t>120</w:t>
      </w:r>
      <w:r w:rsidRPr="00E45AA2">
        <w:rPr>
          <w:rFonts w:ascii="Times New Roman" w:hAnsi="Times New Roman" w:cs="Times New Roman"/>
          <w:snapToGrid w:val="0"/>
          <w:szCs w:val="24"/>
          <w:lang w:val="lv-LV"/>
        </w:rPr>
        <w:fldChar w:fldCharType="end"/>
      </w:r>
      <w:r w:rsidRPr="00E45AA2">
        <w:rPr>
          <w:rFonts w:ascii="Times New Roman" w:hAnsi="Times New Roman" w:cs="Times New Roman"/>
          <w:snapToGrid w:val="0"/>
          <w:szCs w:val="24"/>
          <w:lang w:val="lv-LV"/>
        </w:rPr>
        <w:t xml:space="preserve">.  Pievēršoties šai lietai, Tiesa atzīmē, ka iesniedzējs Latvijas tiesās īpaši uzsvēra, ka viņš netika </w:t>
      </w:r>
      <w:r w:rsidR="005942FE">
        <w:rPr>
          <w:rFonts w:ascii="Times New Roman" w:hAnsi="Times New Roman" w:cs="Times New Roman"/>
          <w:snapToGrid w:val="0"/>
          <w:szCs w:val="24"/>
          <w:lang w:val="lv-LV"/>
        </w:rPr>
        <w:t>savlaicīgi</w:t>
      </w:r>
      <w:r w:rsidRPr="00E45AA2">
        <w:rPr>
          <w:rFonts w:ascii="Times New Roman" w:hAnsi="Times New Roman" w:cs="Times New Roman"/>
          <w:snapToGrid w:val="0"/>
          <w:szCs w:val="24"/>
          <w:lang w:val="lv-LV"/>
        </w:rPr>
        <w:t xml:space="preserve"> informēts par nepieciešamību ierasties Limasolas apgabaltiesā un par uzņēmuma </w:t>
      </w:r>
      <w:r w:rsidRPr="00E45AA2">
        <w:rPr>
          <w:rFonts w:ascii="Times New Roman" w:hAnsi="Times New Roman" w:cs="Times New Roman"/>
          <w:i/>
          <w:snapToGrid w:val="0"/>
          <w:szCs w:val="24"/>
          <w:lang w:val="lv-LV"/>
        </w:rPr>
        <w:t xml:space="preserve">F.H. Ltd. </w:t>
      </w:r>
      <w:r w:rsidRPr="00E45AA2">
        <w:rPr>
          <w:rFonts w:ascii="Times New Roman" w:hAnsi="Times New Roman" w:cs="Times New Roman"/>
          <w:snapToGrid w:val="0"/>
          <w:szCs w:val="24"/>
          <w:lang w:val="lv-LV"/>
        </w:rPr>
        <w:t xml:space="preserve">prasību, kā </w:t>
      </w:r>
      <w:r w:rsidRPr="00E45AA2">
        <w:rPr>
          <w:rFonts w:ascii="Times New Roman" w:hAnsi="Times New Roman" w:cs="Times New Roman"/>
          <w:snapToGrid w:val="0"/>
          <w:szCs w:val="24"/>
          <w:lang w:val="lv-LV"/>
        </w:rPr>
        <w:lastRenderedPageBreak/>
        <w:t>rezultātā viņš nespēja organizēt savu aizstāvību. Tādēļ viņš uzsvēra, ka vajadzēja noraidīt apstrīdētā sprieduma atzīšanu saskaņā ar Briseles I regulas 34. punkta 2. punktu. Iesniedzējs apgalvoja, ka uzaicinājums i</w:t>
      </w:r>
      <w:r w:rsidR="001B5DA6">
        <w:rPr>
          <w:rFonts w:ascii="Times New Roman" w:hAnsi="Times New Roman" w:cs="Times New Roman"/>
          <w:snapToGrid w:val="0"/>
          <w:szCs w:val="24"/>
          <w:lang w:val="lv-LV"/>
        </w:rPr>
        <w:t>erasties tika nosūtīts uz adres</w:t>
      </w:r>
      <w:r w:rsidRPr="00E45AA2">
        <w:rPr>
          <w:rFonts w:ascii="Times New Roman" w:hAnsi="Times New Roman" w:cs="Times New Roman"/>
          <w:snapToGrid w:val="0"/>
          <w:szCs w:val="24"/>
          <w:lang w:val="lv-LV"/>
        </w:rPr>
        <w:t xml:space="preserve">i, kur viņš </w:t>
      </w:r>
      <w:r w:rsidR="001B5DA6">
        <w:rPr>
          <w:rFonts w:ascii="Times New Roman" w:hAnsi="Times New Roman" w:cs="Times New Roman"/>
          <w:snapToGrid w:val="0"/>
          <w:szCs w:val="24"/>
          <w:lang w:val="lv-LV"/>
        </w:rPr>
        <w:t>ne</w:t>
      </w:r>
      <w:r w:rsidRPr="00E45AA2">
        <w:rPr>
          <w:rFonts w:ascii="Times New Roman" w:hAnsi="Times New Roman" w:cs="Times New Roman"/>
          <w:snapToGrid w:val="0"/>
          <w:szCs w:val="24"/>
          <w:lang w:val="lv-LV"/>
        </w:rPr>
        <w:t xml:space="preserve">bija fiziski sasniedzams, lai gan Kipras un Latvijas advokāti, kas pārstāvēja prasītāja uzņēmumu, lieliski zināja viņa darbavietas adresi Rīgā un viegli būtu varējusi uzzināt arī viņa </w:t>
      </w:r>
      <w:r w:rsidR="001B5DA6">
        <w:rPr>
          <w:rFonts w:ascii="Times New Roman" w:hAnsi="Times New Roman" w:cs="Times New Roman"/>
          <w:snapToGrid w:val="0"/>
          <w:szCs w:val="24"/>
          <w:lang w:val="lv-LV"/>
        </w:rPr>
        <w:t>mājas</w:t>
      </w:r>
      <w:r w:rsidR="009D298B">
        <w:rPr>
          <w:rFonts w:ascii="Times New Roman" w:hAnsi="Times New Roman" w:cs="Times New Roman"/>
          <w:snapToGrid w:val="0"/>
          <w:szCs w:val="24"/>
          <w:lang w:val="lv-LV"/>
        </w:rPr>
        <w:t xml:space="preserve"> adresi (skatīt augstāk</w:t>
      </w:r>
      <w:r w:rsidRPr="00E45AA2">
        <w:rPr>
          <w:rFonts w:ascii="Times New Roman" w:hAnsi="Times New Roman" w:cs="Times New Roman"/>
          <w:snapToGrid w:val="0"/>
          <w:szCs w:val="24"/>
          <w:lang w:val="lv-LV"/>
        </w:rPr>
        <w:t xml:space="preserve">minēto 30. punktu). Tādēļ viņš Latvijas tiesās izvirzīja pārliecinošus argumentus, norādot uz procesuāla trūkuma esamību, kas, </w:t>
      </w:r>
      <w:r w:rsidRPr="00E45AA2">
        <w:rPr>
          <w:rFonts w:ascii="Times New Roman" w:hAnsi="Times New Roman" w:cs="Times New Roman"/>
          <w:i/>
          <w:snapToGrid w:val="0"/>
          <w:szCs w:val="24"/>
          <w:lang w:val="lv-LV"/>
        </w:rPr>
        <w:t>a priori</w:t>
      </w:r>
      <w:r w:rsidRPr="00E45AA2">
        <w:rPr>
          <w:rFonts w:ascii="Times New Roman" w:hAnsi="Times New Roman" w:cs="Times New Roman"/>
          <w:snapToGrid w:val="0"/>
          <w:szCs w:val="24"/>
          <w:lang w:val="lv-LV"/>
        </w:rPr>
        <w:t xml:space="preserve">, ir pretrunā Konvencijas 6. panta 1. punktam un izslēdz Kipras sprieduma izpildes iespēju Latvijā. </w:t>
      </w:r>
    </w:p>
    <w:p w:rsidR="0013508E" w:rsidRPr="00E45AA2" w:rsidRDefault="0013508E" w:rsidP="0013508E">
      <w:pPr>
        <w:pStyle w:val="ECHRPara"/>
        <w:rPr>
          <w:rFonts w:ascii="Times New Roman" w:hAnsi="Times New Roman" w:cs="Times New Roman"/>
          <w:snapToGrid w:val="0"/>
          <w:szCs w:val="24"/>
          <w:lang w:val="lv-LV"/>
        </w:rPr>
      </w:pPr>
      <w:r w:rsidRPr="00E45AA2">
        <w:rPr>
          <w:rFonts w:ascii="Times New Roman" w:hAnsi="Times New Roman" w:cs="Times New Roman"/>
          <w:snapToGrid w:val="0"/>
          <w:szCs w:val="24"/>
          <w:lang w:val="lv-LV"/>
        </w:rPr>
        <w:fldChar w:fldCharType="begin"/>
      </w:r>
      <w:r w:rsidRPr="00E45AA2">
        <w:rPr>
          <w:rFonts w:ascii="Times New Roman" w:hAnsi="Times New Roman" w:cs="Times New Roman"/>
          <w:snapToGrid w:val="0"/>
          <w:szCs w:val="24"/>
          <w:lang w:val="lv-LV"/>
        </w:rPr>
        <w:instrText xml:space="preserve"> SEQ level0 \*arabic </w:instrText>
      </w:r>
      <w:r w:rsidRPr="00E45AA2">
        <w:rPr>
          <w:rFonts w:ascii="Times New Roman" w:hAnsi="Times New Roman" w:cs="Times New Roman"/>
          <w:snapToGrid w:val="0"/>
          <w:szCs w:val="24"/>
          <w:lang w:val="lv-LV"/>
        </w:rPr>
        <w:fldChar w:fldCharType="separate"/>
      </w:r>
      <w:r w:rsidRPr="00E45AA2">
        <w:rPr>
          <w:rFonts w:ascii="Times New Roman" w:hAnsi="Times New Roman" w:cs="Times New Roman"/>
          <w:noProof/>
          <w:snapToGrid w:val="0"/>
          <w:szCs w:val="24"/>
          <w:lang w:val="lv-LV"/>
        </w:rPr>
        <w:t>121</w:t>
      </w:r>
      <w:r w:rsidRPr="00E45AA2">
        <w:rPr>
          <w:rFonts w:ascii="Times New Roman" w:hAnsi="Times New Roman" w:cs="Times New Roman"/>
          <w:snapToGrid w:val="0"/>
          <w:szCs w:val="24"/>
          <w:lang w:val="lv-LV"/>
        </w:rPr>
        <w:fldChar w:fldCharType="end"/>
      </w:r>
      <w:r w:rsidR="009D298B">
        <w:rPr>
          <w:rFonts w:ascii="Times New Roman" w:hAnsi="Times New Roman" w:cs="Times New Roman"/>
          <w:snapToGrid w:val="0"/>
          <w:szCs w:val="24"/>
          <w:lang w:val="lv-LV"/>
        </w:rPr>
        <w:t>.  Augstāk</w:t>
      </w:r>
      <w:r w:rsidRPr="00E45AA2">
        <w:rPr>
          <w:rFonts w:ascii="Times New Roman" w:hAnsi="Times New Roman" w:cs="Times New Roman"/>
          <w:snapToGrid w:val="0"/>
          <w:szCs w:val="24"/>
          <w:lang w:val="lv-LV"/>
        </w:rPr>
        <w:t xml:space="preserve">minēto vispārējo principu kontekstā Tiesa atzīmē, ka tiesas procesā Augstākās tiesas Senātā iesniedzējs sūdzējās, ka viņš nebija saņēmis uzaicinājumu un nebija informēts par Kipras spriedumu. To darot, viņš atsaucās uz neatzīšanas iemesliem, kas minēti Briseles I regulas 34. panta 2. punktā. </w:t>
      </w:r>
      <w:r w:rsidRPr="00E45AA2">
        <w:rPr>
          <w:rFonts w:ascii="Times New Roman" w:eastAsiaTheme="minorHAnsi" w:hAnsi="Times New Roman" w:cs="Times New Roman"/>
          <w:szCs w:val="24"/>
          <w:lang w:val="lv-LV"/>
        </w:rPr>
        <w:t xml:space="preserve">Šis noteikums skaidri nosaka, ka šos iemeslus var izmantot tikai gadījumā, ja iepriekš ir uzsākta tiesvedība, lai pārsūdzētu attiecīgo spriedumu, ciktāl tas ir iespējams. Fakts, ka iesniedzējs atsaucās uz šo pantu, lai gan nebija pārsūdzējis spriedumu, radīja jautājumu par šī tiesiskās aizsardzības līdzekļa pieejamību Kiprā, ņemot vērā šīs lietas apstākļus. Šādā situācijā Senātam nebija tiesību vienkārši kritizēt iesniedzēju, kā tas bija darījis savā 2007. gada 31. janvāra spriedumā, par attiecīgā sprieduma nepārsūdzēšanu un neizteikties par pierādīšanas pienākumu attiecībā uz tiesiskās aizsardzības līdzekļa pieejamību izcelsmes valstī; Konvencijas 6. panta 1. punkts, tāpat kā Briseles I regulas 34. panta 2. punkts, </w:t>
      </w:r>
      <w:r w:rsidRPr="00E45AA2">
        <w:rPr>
          <w:rFonts w:ascii="Times New Roman" w:eastAsiaTheme="minorHAnsi" w:hAnsi="Times New Roman" w:cs="Times New Roman"/>
          <w:i/>
          <w:iCs/>
          <w:szCs w:val="24"/>
          <w:lang w:val="lv-LV"/>
        </w:rPr>
        <w:t>in fine</w:t>
      </w:r>
      <w:r w:rsidRPr="00E45AA2">
        <w:rPr>
          <w:rFonts w:ascii="Times New Roman" w:eastAsiaTheme="minorHAnsi" w:hAnsi="Times New Roman" w:cs="Times New Roman"/>
          <w:szCs w:val="24"/>
          <w:lang w:val="lv-LV"/>
        </w:rPr>
        <w:t>, pieprasīja pārbaudīt, vai šis apstāklis ticis ievērots, bet, ja apstāklis nav ievērots, Tiesa nedrīkstēja atteikties izskatīt iesniedzēja sūdzību. Tiesa uzskata, ka šī iemesla dēļ pierādīšanas pienākuma noteikšana, kas, kā uzsvēra E</w:t>
      </w:r>
      <w:r w:rsidR="009D298B">
        <w:rPr>
          <w:rFonts w:ascii="Times New Roman" w:eastAsiaTheme="minorHAnsi" w:hAnsi="Times New Roman" w:cs="Times New Roman"/>
          <w:szCs w:val="24"/>
          <w:lang w:val="lv-LV"/>
        </w:rPr>
        <w:t>iropas Komisija (skatīt augstāk</w:t>
      </w:r>
      <w:r w:rsidRPr="00E45AA2">
        <w:rPr>
          <w:rFonts w:ascii="Times New Roman" w:eastAsiaTheme="minorHAnsi" w:hAnsi="Times New Roman" w:cs="Times New Roman"/>
          <w:szCs w:val="24"/>
          <w:lang w:val="lv-LV"/>
        </w:rPr>
        <w:t xml:space="preserve">minēto 92. punktu), nav pakļauta Eiropas Savienības tiesību aktiem, šajā gadījumā bija izšķiroša. Tādēļ būtu vajadzējis izskatīt šo aspektu lietas iztiesāšanas gaitā, kas ļautu izdarīt pamatotus secinājumus. Taču Augstākā tiesa automātiski pieņēma, vai nu ka pierādīšana ir atbildētāja pienākums, vai arī ka šāds tiesiskās aizsardzības līdzeklis iesniedzējam bija faktiski pieejams. Šī pieeja, kas atspoguļo burtisku un automātisku Briseles I regulas 34. panta 2. punkta piemērošanu, teorētiski varētu likt secināt, ka sniegtajā aizsardzībā bijis izteikts trūkums, kas atspēko prezumpciju par 6. panta 1. punktā garantēto tiesību līdzvērtīgu aizsardzību. Tomēr konkrētajos šī iesnieguma apstākļos Tiesa neuzskata, ka šis ir tas gadījums, lai gan ir jāizsaka nožēla par šo trūkumu. </w:t>
      </w:r>
    </w:p>
    <w:p w:rsidR="0013508E" w:rsidRPr="00E45AA2" w:rsidRDefault="0013508E" w:rsidP="0013508E">
      <w:pPr>
        <w:pStyle w:val="ECHRPara"/>
        <w:rPr>
          <w:rFonts w:ascii="Times New Roman" w:hAnsi="Times New Roman" w:cs="Times New Roman"/>
          <w:snapToGrid w:val="0"/>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122</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xml:space="preserve">.  No informācijas, ko sniedza Kipras valdība pēc Lielās palātas pieprasījuma un ko puses neapstrīdēja, ir skaidrs, ka Kipras tiesību akti sniedza pilnīgi reālistisku iespēju iesniedzējam pēc tam, kad viņš bija uzzinājis par sprieduma esamību, pārsūdzēt spriedumu, neskatoties uz laiku, kas bija pagājis kopš tā pasludināšanas. Saskaņā ar Kipras tiesisko regulējumu un judikatūru, ja </w:t>
      </w:r>
      <w:r w:rsidRPr="00E45AA2">
        <w:rPr>
          <w:rFonts w:ascii="Times New Roman" w:hAnsi="Times New Roman" w:cs="Times New Roman"/>
          <w:szCs w:val="24"/>
          <w:lang w:val="lv-LV"/>
        </w:rPr>
        <w:t xml:space="preserve">atbildētājs, pret kuru ir pasludināts aizmugurisks spriedums, iesniedz prasību atcelt spriedumu un pamatoti </w:t>
      </w:r>
      <w:r w:rsidRPr="00E45AA2">
        <w:rPr>
          <w:rFonts w:ascii="Times New Roman" w:hAnsi="Times New Roman" w:cs="Times New Roman"/>
          <w:szCs w:val="24"/>
          <w:lang w:val="lv-LV"/>
        </w:rPr>
        <w:lastRenderedPageBreak/>
        <w:t xml:space="preserve">uzskata, ka viņš nav ticis </w:t>
      </w:r>
      <w:r w:rsidR="007265DA">
        <w:rPr>
          <w:rFonts w:ascii="Times New Roman" w:hAnsi="Times New Roman" w:cs="Times New Roman"/>
          <w:szCs w:val="24"/>
          <w:lang w:val="lv-LV"/>
        </w:rPr>
        <w:t>savlaicīgi</w:t>
      </w:r>
      <w:r w:rsidRPr="00E45AA2">
        <w:rPr>
          <w:rFonts w:ascii="Times New Roman" w:hAnsi="Times New Roman" w:cs="Times New Roman"/>
          <w:szCs w:val="24"/>
          <w:lang w:val="lv-LV"/>
        </w:rPr>
        <w:t xml:space="preserve"> uzaicināts uz tiesu, kas pasludināja spriedumu, tiesai, kas izskata iesniegumu, ir pienākums – nevis tikai tiesības - atcelt aizmug</w:t>
      </w:r>
      <w:r w:rsidR="009D298B">
        <w:rPr>
          <w:rFonts w:ascii="Times New Roman" w:hAnsi="Times New Roman" w:cs="Times New Roman"/>
          <w:szCs w:val="24"/>
          <w:lang w:val="lv-LV"/>
        </w:rPr>
        <w:t>urisko spriedumu (skatīt augstāk</w:t>
      </w:r>
      <w:r w:rsidRPr="00E45AA2">
        <w:rPr>
          <w:rFonts w:ascii="Times New Roman" w:hAnsi="Times New Roman" w:cs="Times New Roman"/>
          <w:szCs w:val="24"/>
          <w:lang w:val="lv-LV"/>
        </w:rPr>
        <w:t>minēto 68. punkts). Līdz ar to Tiesu nepārliecina iesniedzēja arguments, ka šāda procedūra nebūtu devusi rezultātus. Tiesa ir konsekventi pieturējusies pie tā, ka, ja pastāv jebkādas šaubas par to, vai sniegtais tiesiskās aizsardzības līdzeklis piedāvā reālas iespējas sasniegt labvēlīgu rezultātu, šis aspekts ir j</w:t>
      </w:r>
      <w:r w:rsidR="00D66B20">
        <w:rPr>
          <w:rFonts w:ascii="Times New Roman" w:hAnsi="Times New Roman" w:cs="Times New Roman"/>
          <w:szCs w:val="24"/>
          <w:lang w:val="lv-LV"/>
        </w:rPr>
        <w:t xml:space="preserve">āizskata nacionālajām </w:t>
      </w:r>
      <w:r w:rsidRPr="00E45AA2">
        <w:rPr>
          <w:rFonts w:ascii="Times New Roman" w:hAnsi="Times New Roman" w:cs="Times New Roman"/>
          <w:szCs w:val="24"/>
          <w:lang w:val="lv-LV"/>
        </w:rPr>
        <w:t>tiesām (sk</w:t>
      </w:r>
      <w:r w:rsidR="009D298B">
        <w:rPr>
          <w:rFonts w:ascii="Times New Roman" w:hAnsi="Times New Roman" w:cs="Times New Roman"/>
          <w:szCs w:val="24"/>
          <w:lang w:val="lv-LV"/>
        </w:rPr>
        <w:t>atīt, piemēram, augstāk</w:t>
      </w:r>
      <w:r w:rsidRPr="00E45AA2">
        <w:rPr>
          <w:rFonts w:ascii="Times New Roman" w:hAnsi="Times New Roman" w:cs="Times New Roman"/>
          <w:szCs w:val="24"/>
          <w:lang w:val="lv-LV"/>
        </w:rPr>
        <w:t xml:space="preserve">minēto lietu </w:t>
      </w:r>
      <w:r w:rsidRPr="00E45AA2">
        <w:rPr>
          <w:rFonts w:ascii="Times New Roman" w:hAnsi="Times New Roman" w:cs="Times New Roman"/>
          <w:i/>
          <w:szCs w:val="24"/>
          <w:lang w:val="lv-LV"/>
        </w:rPr>
        <w:t>Akdivar un citi</w:t>
      </w:r>
      <w:r w:rsidRPr="00E45AA2">
        <w:rPr>
          <w:rFonts w:ascii="Times New Roman" w:hAnsi="Times New Roman" w:cs="Times New Roman"/>
          <w:szCs w:val="24"/>
          <w:lang w:val="lv-LV"/>
        </w:rPr>
        <w:t xml:space="preserve">, 71. punktu, kā arī lietu </w:t>
      </w:r>
      <w:r w:rsidRPr="00E45AA2">
        <w:rPr>
          <w:rFonts w:ascii="Times New Roman" w:hAnsi="Times New Roman" w:cs="Times New Roman"/>
          <w:i/>
          <w:szCs w:val="24"/>
          <w:lang w:val="lv-LV"/>
        </w:rPr>
        <w:t>Naydenov pret Bulgāriju</w:t>
      </w:r>
      <w:r w:rsidRPr="00E45AA2">
        <w:rPr>
          <w:rFonts w:ascii="Times New Roman" w:hAnsi="Times New Roman" w:cs="Times New Roman"/>
          <w:szCs w:val="24"/>
          <w:lang w:val="lv-LV"/>
        </w:rPr>
        <w:t>, Nr. 17353/03</w:t>
      </w:r>
      <w:r w:rsidRPr="00E45AA2">
        <w:rPr>
          <w:rFonts w:ascii="Times New Roman" w:hAnsi="Times New Roman" w:cs="Times New Roman"/>
          <w:snapToGrid w:val="0"/>
          <w:szCs w:val="24"/>
          <w:lang w:val="lv-LV"/>
        </w:rPr>
        <w:t xml:space="preserve">, 50. punktu, 2009. gada 26. novembris). Šajā lietā Tiesa uzskata, ka laika posmā starp 2006. gada 16. jūniju (datumu, kad iesniedzējs varēja piekļūt visiem lietas materiāliem pirmās instances tiesas telpās un iepazīties ar Kipras sprieduma saturu) un 2007. gada 31. janvāri (datumu, kad notika Augstākās tiesas Senāta sēde) iesniedzējam bija pietiekami daudz laika, lai izmantotu tiesiskās aizsardzības līdzekli Kipras tiesās. Tomēr vienīgi iesniedzējam zināmu iemeslu dēļ viņš to </w:t>
      </w:r>
      <w:r w:rsidR="00A30A97">
        <w:rPr>
          <w:rFonts w:ascii="Times New Roman" w:hAnsi="Times New Roman" w:cs="Times New Roman"/>
          <w:snapToGrid w:val="0"/>
          <w:szCs w:val="24"/>
          <w:lang w:val="lv-LV"/>
        </w:rPr>
        <w:t>nav mēģinājis</w:t>
      </w:r>
      <w:r w:rsidRPr="00E45AA2">
        <w:rPr>
          <w:rFonts w:ascii="Times New Roman" w:hAnsi="Times New Roman" w:cs="Times New Roman"/>
          <w:snapToGrid w:val="0"/>
          <w:szCs w:val="24"/>
          <w:lang w:val="lv-LV"/>
        </w:rPr>
        <w:t xml:space="preserve"> darīt.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napToGrid w:val="0"/>
          <w:szCs w:val="24"/>
          <w:lang w:val="lv-LV"/>
        </w:rPr>
        <w:fldChar w:fldCharType="begin"/>
      </w:r>
      <w:r w:rsidRPr="00E45AA2">
        <w:rPr>
          <w:rFonts w:ascii="Times New Roman" w:hAnsi="Times New Roman" w:cs="Times New Roman"/>
          <w:snapToGrid w:val="0"/>
          <w:szCs w:val="24"/>
          <w:lang w:val="lv-LV"/>
        </w:rPr>
        <w:instrText xml:space="preserve"> SEQ level0 \*arabic </w:instrText>
      </w:r>
      <w:r w:rsidRPr="00E45AA2">
        <w:rPr>
          <w:rFonts w:ascii="Times New Roman" w:hAnsi="Times New Roman" w:cs="Times New Roman"/>
          <w:snapToGrid w:val="0"/>
          <w:szCs w:val="24"/>
          <w:lang w:val="lv-LV"/>
        </w:rPr>
        <w:fldChar w:fldCharType="separate"/>
      </w:r>
      <w:r w:rsidRPr="00E45AA2">
        <w:rPr>
          <w:rFonts w:ascii="Times New Roman" w:hAnsi="Times New Roman" w:cs="Times New Roman"/>
          <w:noProof/>
          <w:snapToGrid w:val="0"/>
          <w:szCs w:val="24"/>
          <w:lang w:val="lv-LV"/>
        </w:rPr>
        <w:t>123</w:t>
      </w:r>
      <w:r w:rsidRPr="00E45AA2">
        <w:rPr>
          <w:rFonts w:ascii="Times New Roman" w:hAnsi="Times New Roman" w:cs="Times New Roman"/>
          <w:snapToGrid w:val="0"/>
          <w:szCs w:val="24"/>
          <w:lang w:val="lv-LV"/>
        </w:rPr>
        <w:fldChar w:fldCharType="end"/>
      </w:r>
      <w:r w:rsidRPr="00E45AA2">
        <w:rPr>
          <w:rFonts w:ascii="Times New Roman" w:hAnsi="Times New Roman" w:cs="Times New Roman"/>
          <w:snapToGrid w:val="0"/>
          <w:szCs w:val="24"/>
          <w:lang w:val="lv-LV"/>
        </w:rPr>
        <w:t>.  Fakts, ka Kipras spriedumā nebija atsauces uz pieejamajiem tiesiskās aizsardzības līdzekļiem, neietekmē Tiesas secinājumus. Ir taisnība, ka Latvijas Civilprocesa likuma 230. panta 1. punkts nosaka, ka tiesām savu lēmumu tekstā ir jānorāda detalizēta informācija par šo tiesu spriedumu pārsūdzēšanas kārtī</w:t>
      </w:r>
      <w:r w:rsidR="009D298B">
        <w:rPr>
          <w:rFonts w:ascii="Times New Roman" w:hAnsi="Times New Roman" w:cs="Times New Roman"/>
          <w:snapToGrid w:val="0"/>
          <w:szCs w:val="24"/>
          <w:lang w:val="lv-LV"/>
        </w:rPr>
        <w:t>bu un termiņiem (skatīt augstāk</w:t>
      </w:r>
      <w:r w:rsidRPr="00E45AA2">
        <w:rPr>
          <w:rFonts w:ascii="Times New Roman" w:hAnsi="Times New Roman" w:cs="Times New Roman"/>
          <w:snapToGrid w:val="0"/>
          <w:szCs w:val="24"/>
          <w:lang w:val="lv-LV"/>
        </w:rPr>
        <w:t xml:space="preserve">minēto 67. pantu). Tomēr, lai gan šāda prasība ir apsveicama, ciktāl tā nodrošina papildu drošību, kas atvieglo tiesvedības dalībnieku tiesību ievērošanu, tās esamība nav izsecināma no Konvencijas 6. panta 1. punkta </w:t>
      </w:r>
      <w:r w:rsidRPr="00E45AA2">
        <w:rPr>
          <w:rFonts w:ascii="Times New Roman" w:hAnsi="Times New Roman" w:cs="Times New Roman"/>
          <w:szCs w:val="24"/>
          <w:lang w:val="lv-LV"/>
        </w:rPr>
        <w:t xml:space="preserve">(skatīt lietu </w:t>
      </w:r>
      <w:r w:rsidRPr="00E45AA2">
        <w:rPr>
          <w:rFonts w:ascii="Times New Roman" w:hAnsi="Times New Roman" w:cs="Times New Roman"/>
          <w:i/>
          <w:szCs w:val="24"/>
          <w:lang w:val="lv-LV"/>
        </w:rPr>
        <w:t xml:space="preserve">Société Guérin Automobiles pret 15 Eiropas Savienības dalībvalstīm </w:t>
      </w:r>
      <w:r w:rsidRPr="00E45AA2">
        <w:rPr>
          <w:rFonts w:ascii="Times New Roman" w:hAnsi="Times New Roman" w:cs="Times New Roman"/>
          <w:szCs w:val="24"/>
          <w:lang w:val="lv-LV"/>
        </w:rPr>
        <w:t xml:space="preserve">(lēmums), Nr. 51717/99, 2000. gada 4. jūlijs). Tādēļ tas bija paša iesniedzēja pienākums (nepieciešamības gadījumā, vēršoties pēc konsultācijas) iegūt informāciju par Kiprā pieejamajiem tiesiskās aizsardzības līdzekļiem pēc tam, kad viņš bija uzzinājis par attiecīgo spriedumu.  </w:t>
      </w:r>
    </w:p>
    <w:p w:rsidR="0013508E" w:rsidRPr="00E45AA2" w:rsidRDefault="0013508E" w:rsidP="0013508E">
      <w:pPr>
        <w:pStyle w:val="ECHRPara"/>
        <w:rPr>
          <w:rFonts w:ascii="Times New Roman" w:eastAsiaTheme="minorHAnsi"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124</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xml:space="preserve">.  Šajā aspektā Tiesa piekrīt valdībai-atbildētājai, ka iesniedzējam, kas bija investīciju konsultants, vajadzēja zināt par viņa parakstītā aizdevuma </w:t>
      </w:r>
      <w:r w:rsidR="00D71DF7">
        <w:rPr>
          <w:rFonts w:ascii="Times New Roman" w:eastAsiaTheme="minorHAnsi" w:hAnsi="Times New Roman" w:cs="Times New Roman"/>
          <w:szCs w:val="24"/>
          <w:lang w:val="lv-LV"/>
        </w:rPr>
        <w:t>apstiprinājuma akta</w:t>
      </w:r>
      <w:r w:rsidRPr="00E45AA2">
        <w:rPr>
          <w:rFonts w:ascii="Times New Roman" w:eastAsiaTheme="minorHAnsi" w:hAnsi="Times New Roman" w:cs="Times New Roman"/>
          <w:szCs w:val="24"/>
          <w:lang w:val="lv-LV"/>
        </w:rPr>
        <w:t xml:space="preserve"> tiesiskajām sekām. Šis dokuments bija pakļauts Kipras tiesību aktiem, tajā bija norādīta summa, ko iesniedzējs bija aizņēmies no Kipras uzņēmuma, un tas ietvēra punktu par jurisdikcijas nodošanu Kipras tiesām. Līdz ar to iesniedzējam vajadzēja iepazīties ar veidu, kādā varētu notikt iespējamā tiesvedība Kipras tiesās </w:t>
      </w:r>
      <w:r w:rsidRPr="00E45AA2">
        <w:rPr>
          <w:rFonts w:ascii="Times New Roman" w:hAnsi="Times New Roman" w:cs="Times New Roman"/>
          <w:szCs w:val="24"/>
          <w:lang w:val="lv-LV"/>
        </w:rPr>
        <w:t xml:space="preserve">(skatīt, </w:t>
      </w:r>
      <w:r w:rsidRPr="00E45AA2">
        <w:rPr>
          <w:rFonts w:ascii="Times New Roman" w:hAnsi="Times New Roman" w:cs="Times New Roman"/>
          <w:i/>
          <w:szCs w:val="24"/>
          <w:lang w:val="lv-LV"/>
        </w:rPr>
        <w:t>mutatis mutandis</w:t>
      </w:r>
      <w:r w:rsidRPr="00E45AA2">
        <w:rPr>
          <w:rFonts w:ascii="Times New Roman" w:hAnsi="Times New Roman" w:cs="Times New Roman"/>
          <w:szCs w:val="24"/>
          <w:lang w:val="lv-LV"/>
        </w:rPr>
        <w:t xml:space="preserve">, lietu </w:t>
      </w:r>
      <w:r w:rsidRPr="00E45AA2">
        <w:rPr>
          <w:rFonts w:ascii="Times New Roman" w:hAnsi="Times New Roman" w:cs="Times New Roman"/>
          <w:i/>
          <w:szCs w:val="24"/>
          <w:lang w:val="lv-LV"/>
        </w:rPr>
        <w:t>Robba pret Vāciju,</w:t>
      </w:r>
      <w:r w:rsidRPr="00E45AA2">
        <w:rPr>
          <w:rFonts w:ascii="Times New Roman" w:hAnsi="Times New Roman" w:cs="Times New Roman"/>
          <w:szCs w:val="24"/>
          <w:lang w:val="lv-LV"/>
        </w:rPr>
        <w:t xml:space="preserve"> Nr. 20999/92, 1996. gada 28. februāra lēmums, nepublicēts). Bezdarbības vai bezrūpības dēļ neiegūstot informāciju par jautājumu, kurā iesniedzējs bija lielā mērā iesaistīts, radās situācija, par kuru viņš sūdzējās Tiesā un kuru viņš būtu varējis novērst, izvairoties no jebkāda radītā kaitējuma </w:t>
      </w:r>
      <w:r w:rsidRPr="00E45AA2">
        <w:rPr>
          <w:rFonts w:ascii="Times New Roman" w:eastAsiaTheme="minorHAnsi" w:hAnsi="Times New Roman" w:cs="Times New Roman"/>
          <w:szCs w:val="24"/>
          <w:lang w:val="lv-LV"/>
        </w:rPr>
        <w:t xml:space="preserve">(skatīt, </w:t>
      </w:r>
      <w:r w:rsidRPr="00E45AA2">
        <w:rPr>
          <w:rFonts w:ascii="Times New Roman" w:eastAsiaTheme="minorHAnsi" w:hAnsi="Times New Roman" w:cs="Times New Roman"/>
          <w:i/>
          <w:szCs w:val="24"/>
          <w:lang w:val="lv-LV"/>
        </w:rPr>
        <w:t>mutatis mutandis</w:t>
      </w:r>
      <w:r w:rsidRPr="00E45AA2">
        <w:rPr>
          <w:rFonts w:ascii="Times New Roman" w:eastAsiaTheme="minorHAnsi" w:hAnsi="Times New Roman" w:cs="Times New Roman"/>
          <w:szCs w:val="24"/>
          <w:lang w:val="lv-LV"/>
        </w:rPr>
        <w:t xml:space="preserve">, lietu </w:t>
      </w:r>
      <w:r w:rsidRPr="00E45AA2">
        <w:rPr>
          <w:rFonts w:ascii="Times New Roman" w:hAnsi="Times New Roman" w:cs="Times New Roman"/>
          <w:i/>
          <w:szCs w:val="24"/>
          <w:lang w:val="lv-LV"/>
        </w:rPr>
        <w:t xml:space="preserve">Hussin pret Beļģiju </w:t>
      </w:r>
      <w:r w:rsidRPr="00E45AA2">
        <w:rPr>
          <w:rFonts w:ascii="Times New Roman" w:hAnsi="Times New Roman" w:cs="Times New Roman"/>
          <w:szCs w:val="24"/>
          <w:lang w:val="lv-LV"/>
        </w:rPr>
        <w:t xml:space="preserve">(lēmums), Nr. 70807/01, 2004. gada 6. maijs, kā </w:t>
      </w:r>
      <w:r w:rsidR="009D298B">
        <w:rPr>
          <w:rFonts w:ascii="Times New Roman" w:hAnsi="Times New Roman" w:cs="Times New Roman"/>
          <w:szCs w:val="24"/>
          <w:lang w:val="lv-LV"/>
        </w:rPr>
        <w:t>arī augstāk</w:t>
      </w:r>
      <w:r w:rsidRPr="00E45AA2">
        <w:rPr>
          <w:rFonts w:ascii="Times New Roman" w:hAnsi="Times New Roman" w:cs="Times New Roman"/>
          <w:szCs w:val="24"/>
          <w:lang w:val="lv-LV"/>
        </w:rPr>
        <w:t xml:space="preserve">minēto </w:t>
      </w:r>
      <w:r w:rsidRPr="00E45AA2">
        <w:rPr>
          <w:rFonts w:ascii="Times New Roman" w:hAnsi="Times New Roman" w:cs="Times New Roman"/>
          <w:i/>
          <w:szCs w:val="24"/>
          <w:lang w:val="lv-LV"/>
        </w:rPr>
        <w:t xml:space="preserve">McDonald </w:t>
      </w:r>
      <w:r w:rsidRPr="00E45AA2">
        <w:rPr>
          <w:rFonts w:ascii="Times New Roman" w:hAnsi="Times New Roman" w:cs="Times New Roman"/>
          <w:szCs w:val="24"/>
          <w:lang w:val="lv-LV"/>
        </w:rPr>
        <w:t>lietu)</w:t>
      </w:r>
      <w:r w:rsidRPr="00E45AA2">
        <w:rPr>
          <w:rFonts w:ascii="Times New Roman" w:eastAsiaTheme="minorHAnsi" w:hAnsi="Times New Roman" w:cs="Times New Roman"/>
          <w:szCs w:val="24"/>
          <w:lang w:val="lv-LV"/>
        </w:rPr>
        <w:t>.</w:t>
      </w:r>
    </w:p>
    <w:p w:rsidR="0013508E" w:rsidRPr="00E45AA2" w:rsidRDefault="0013508E" w:rsidP="0013508E">
      <w:pPr>
        <w:pStyle w:val="ECHRPara"/>
        <w:rPr>
          <w:rFonts w:ascii="Times New Roman" w:eastAsiaTheme="minorHAnsi" w:hAnsi="Times New Roman" w:cs="Times New Roman"/>
          <w:szCs w:val="24"/>
          <w:lang w:val="lv-LV"/>
        </w:rPr>
      </w:pPr>
      <w:r w:rsidRPr="00E45AA2">
        <w:rPr>
          <w:rFonts w:ascii="Times New Roman" w:eastAsiaTheme="minorHAnsi" w:hAnsi="Times New Roman" w:cs="Times New Roman"/>
          <w:szCs w:val="24"/>
          <w:lang w:val="lv-LV"/>
        </w:rPr>
        <w:lastRenderedPageBreak/>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125</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Līdz ar to šīs lietas konkrētajos apstākļos Tiesa neuzskata, ka pamattiesību aizsardzībā bijis izteikts tr</w:t>
      </w:r>
      <w:r w:rsidR="007C1ED3">
        <w:rPr>
          <w:rFonts w:ascii="Times New Roman" w:eastAsiaTheme="minorHAnsi" w:hAnsi="Times New Roman" w:cs="Times New Roman"/>
          <w:szCs w:val="24"/>
          <w:lang w:val="lv-LV"/>
        </w:rPr>
        <w:t>ūkums, kas atspēkotu līdzvērtīgā</w:t>
      </w:r>
      <w:r w:rsidRPr="00E45AA2">
        <w:rPr>
          <w:rFonts w:ascii="Times New Roman" w:eastAsiaTheme="minorHAnsi" w:hAnsi="Times New Roman" w:cs="Times New Roman"/>
          <w:szCs w:val="24"/>
          <w:lang w:val="lv-LV"/>
        </w:rPr>
        <w:t>s aizsardzības prezumpciju.  </w:t>
      </w:r>
    </w:p>
    <w:p w:rsidR="0013508E" w:rsidRPr="00E45AA2" w:rsidRDefault="0013508E" w:rsidP="0013508E">
      <w:pPr>
        <w:pStyle w:val="ECHRPara"/>
        <w:rPr>
          <w:rFonts w:ascii="Times New Roman" w:eastAsiaTheme="minorHAnsi"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126</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xml:space="preserve">.  Visbeidzot, runājot par iesniedzēja pārējām sūdzībām 6. panta 1. punkta kontekstā, ciktāl Tiesai ir jurisdikcija par tām lemt, Tiesa nesaskata norādes uz iespējamo minētā punkta pārkāpumu. </w:t>
      </w:r>
    </w:p>
    <w:p w:rsidR="0013508E" w:rsidRPr="00E45AA2" w:rsidRDefault="0013508E" w:rsidP="0013508E">
      <w:pPr>
        <w:pStyle w:val="ECHRPara"/>
        <w:rPr>
          <w:rFonts w:ascii="Times New Roman" w:hAnsi="Times New Roman" w:cs="Times New Roman"/>
          <w:szCs w:val="24"/>
          <w:lang w:val="lv-LV"/>
        </w:rPr>
      </w:pPr>
      <w:r w:rsidRPr="00E45AA2">
        <w:rPr>
          <w:rFonts w:ascii="Times New Roman" w:eastAsiaTheme="minorHAnsi" w:hAnsi="Times New Roman" w:cs="Times New Roman"/>
          <w:szCs w:val="24"/>
          <w:lang w:val="lv-LV"/>
        </w:rPr>
        <w:fldChar w:fldCharType="begin"/>
      </w:r>
      <w:r w:rsidRPr="00E45AA2">
        <w:rPr>
          <w:rFonts w:ascii="Times New Roman" w:eastAsiaTheme="minorHAnsi" w:hAnsi="Times New Roman" w:cs="Times New Roman"/>
          <w:szCs w:val="24"/>
          <w:lang w:val="lv-LV"/>
        </w:rPr>
        <w:instrText xml:space="preserve"> SEQ level0 \*arabic </w:instrText>
      </w:r>
      <w:r w:rsidRPr="00E45AA2">
        <w:rPr>
          <w:rFonts w:ascii="Times New Roman" w:eastAsiaTheme="minorHAnsi" w:hAnsi="Times New Roman" w:cs="Times New Roman"/>
          <w:szCs w:val="24"/>
          <w:lang w:val="lv-LV"/>
        </w:rPr>
        <w:fldChar w:fldCharType="separate"/>
      </w:r>
      <w:r w:rsidRPr="00E45AA2">
        <w:rPr>
          <w:rFonts w:ascii="Times New Roman" w:eastAsiaTheme="minorHAnsi" w:hAnsi="Times New Roman" w:cs="Times New Roman"/>
          <w:noProof/>
          <w:szCs w:val="24"/>
          <w:lang w:val="lv-LV"/>
        </w:rPr>
        <w:t>127</w:t>
      </w:r>
      <w:r w:rsidRPr="00E45AA2">
        <w:rPr>
          <w:rFonts w:ascii="Times New Roman" w:eastAsiaTheme="minorHAnsi" w:hAnsi="Times New Roman" w:cs="Times New Roman"/>
          <w:szCs w:val="24"/>
          <w:lang w:val="lv-LV"/>
        </w:rPr>
        <w:fldChar w:fldCharType="end"/>
      </w:r>
      <w:r w:rsidRPr="00E45AA2">
        <w:rPr>
          <w:rFonts w:ascii="Times New Roman" w:eastAsiaTheme="minorHAnsi" w:hAnsi="Times New Roman" w:cs="Times New Roman"/>
          <w:szCs w:val="24"/>
          <w:lang w:val="lv-LV"/>
        </w:rPr>
        <w:t xml:space="preserve">.  Līdz ar to 6. panta 1. punkts nav ticis pārkāpts. </w:t>
      </w:r>
    </w:p>
    <w:p w:rsidR="0013508E" w:rsidRPr="00E45AA2" w:rsidRDefault="0013508E" w:rsidP="0013508E">
      <w:pPr>
        <w:pStyle w:val="ECHRTitle1"/>
        <w:rPr>
          <w:rFonts w:ascii="Times New Roman" w:hAnsi="Times New Roman" w:cs="Times New Roman"/>
          <w:sz w:val="24"/>
          <w:szCs w:val="24"/>
          <w:lang w:val="lv-LV"/>
        </w:rPr>
      </w:pPr>
      <w:r w:rsidRPr="00E45AA2">
        <w:rPr>
          <w:rFonts w:ascii="Times New Roman" w:hAnsi="Times New Roman" w:cs="Times New Roman"/>
          <w:sz w:val="24"/>
          <w:szCs w:val="24"/>
          <w:lang w:val="lv-LV"/>
        </w:rPr>
        <w:t xml:space="preserve">ŠO IEMESLU DĒĻ TIESA </w:t>
      </w:r>
    </w:p>
    <w:p w:rsidR="0013508E" w:rsidRPr="00E45AA2" w:rsidRDefault="0013508E" w:rsidP="0013508E">
      <w:pPr>
        <w:pStyle w:val="JuList"/>
        <w:ind w:left="0" w:firstLine="0"/>
        <w:rPr>
          <w:rFonts w:ascii="Times New Roman" w:hAnsi="Times New Roman" w:cs="Times New Roman"/>
          <w:szCs w:val="24"/>
          <w:lang w:val="lv-LV"/>
        </w:rPr>
      </w:pPr>
      <w:r w:rsidRPr="00E45AA2">
        <w:rPr>
          <w:rFonts w:ascii="Times New Roman" w:hAnsi="Times New Roman" w:cs="Times New Roman"/>
          <w:szCs w:val="24"/>
          <w:lang w:val="lv-LV"/>
        </w:rPr>
        <w:t xml:space="preserve">ar sešpadsmit balsīm pret vienu </w:t>
      </w:r>
      <w:r w:rsidRPr="00E45AA2">
        <w:rPr>
          <w:rFonts w:ascii="Times New Roman" w:hAnsi="Times New Roman" w:cs="Times New Roman"/>
          <w:i/>
          <w:szCs w:val="24"/>
          <w:lang w:val="lv-LV"/>
        </w:rPr>
        <w:t>nosaka</w:t>
      </w:r>
      <w:r w:rsidRPr="00E45AA2">
        <w:rPr>
          <w:rFonts w:ascii="Times New Roman" w:hAnsi="Times New Roman" w:cs="Times New Roman"/>
          <w:szCs w:val="24"/>
          <w:lang w:val="lv-LV"/>
        </w:rPr>
        <w:t xml:space="preserve">, ka Konvencijas 6. panta 1. punkts nav ticis pārkāpts. </w:t>
      </w:r>
    </w:p>
    <w:p w:rsidR="0013508E" w:rsidRPr="00E45AA2" w:rsidRDefault="0013508E" w:rsidP="0013508E">
      <w:pPr>
        <w:pStyle w:val="JuParaLast"/>
        <w:rPr>
          <w:rFonts w:ascii="Times New Roman" w:hAnsi="Times New Roman" w:cs="Times New Roman"/>
          <w:szCs w:val="24"/>
          <w:lang w:val="lv-LV"/>
        </w:rPr>
      </w:pPr>
      <w:r w:rsidRPr="00E45AA2">
        <w:rPr>
          <w:rFonts w:ascii="Times New Roman" w:hAnsi="Times New Roman" w:cs="Times New Roman"/>
          <w:szCs w:val="24"/>
          <w:lang w:val="lv-LV"/>
        </w:rPr>
        <w:t xml:space="preserve">Sagatavots angļu un franču valodā un pasludināts atklātā tiesas sēdē Cilvēktiesību ēkā Strasbūrā 2016. gada 23. maijā. </w:t>
      </w:r>
    </w:p>
    <w:p w:rsidR="0013508E" w:rsidRPr="00E45AA2" w:rsidRDefault="0013508E" w:rsidP="0013508E">
      <w:pPr>
        <w:pStyle w:val="JuSigned"/>
        <w:ind w:firstLine="284"/>
        <w:rPr>
          <w:rFonts w:ascii="Times New Roman" w:hAnsi="Times New Roman" w:cs="Times New Roman"/>
          <w:szCs w:val="24"/>
          <w:lang w:val="lv-LV"/>
        </w:rPr>
      </w:pPr>
      <w:r w:rsidRPr="00E45AA2">
        <w:rPr>
          <w:rFonts w:ascii="Times New Roman" w:hAnsi="Times New Roman" w:cs="Times New Roman"/>
          <w:szCs w:val="24"/>
          <w:lang w:val="lv-LV"/>
        </w:rPr>
        <w:tab/>
      </w:r>
      <w:r w:rsidRPr="00E45AA2">
        <w:rPr>
          <w:rFonts w:ascii="Times New Roman" w:hAnsi="Times New Roman" w:cs="Times New Roman"/>
          <w:i/>
          <w:szCs w:val="24"/>
          <w:lang w:val="lv-LV"/>
        </w:rPr>
        <w:t>Johan Callewaert</w:t>
      </w:r>
      <w:r w:rsidRPr="00E45AA2">
        <w:rPr>
          <w:rFonts w:ascii="Times New Roman" w:hAnsi="Times New Roman" w:cs="Times New Roman"/>
          <w:szCs w:val="24"/>
          <w:lang w:val="lv-LV"/>
        </w:rPr>
        <w:tab/>
      </w:r>
      <w:r w:rsidRPr="00E45AA2">
        <w:rPr>
          <w:rFonts w:ascii="Times New Roman" w:hAnsi="Times New Roman" w:cs="Times New Roman"/>
          <w:i/>
          <w:szCs w:val="24"/>
          <w:lang w:val="lv-LV"/>
        </w:rPr>
        <w:t>András Sajó</w:t>
      </w:r>
      <w:r w:rsidRPr="00E45AA2">
        <w:rPr>
          <w:rFonts w:ascii="Times New Roman" w:hAnsi="Times New Roman" w:cs="Times New Roman"/>
          <w:szCs w:val="24"/>
          <w:lang w:val="lv-LV"/>
        </w:rPr>
        <w:br/>
      </w:r>
      <w:r w:rsidRPr="00E45AA2">
        <w:rPr>
          <w:rFonts w:ascii="Times New Roman" w:hAnsi="Times New Roman" w:cs="Times New Roman"/>
          <w:szCs w:val="24"/>
          <w:lang w:val="lv-LV"/>
        </w:rPr>
        <w:tab/>
        <w:t>Sekretāra vietnieks</w:t>
      </w:r>
      <w:r w:rsidRPr="00E45AA2">
        <w:rPr>
          <w:rFonts w:ascii="Times New Roman" w:hAnsi="Times New Roman" w:cs="Times New Roman"/>
          <w:szCs w:val="24"/>
          <w:lang w:val="lv-LV"/>
        </w:rPr>
        <w:tab/>
        <w:t>Priekšsēdētājs</w:t>
      </w:r>
    </w:p>
    <w:p w:rsidR="0013508E" w:rsidRPr="00E45AA2" w:rsidRDefault="0013508E" w:rsidP="0013508E">
      <w:pPr>
        <w:pStyle w:val="JuParaLast"/>
        <w:ind w:firstLine="0"/>
        <w:rPr>
          <w:rFonts w:ascii="Times New Roman" w:hAnsi="Times New Roman" w:cs="Times New Roman"/>
          <w:szCs w:val="24"/>
          <w:lang w:val="lv-LV"/>
        </w:rPr>
      </w:pPr>
      <w:r w:rsidRPr="00E45AA2">
        <w:rPr>
          <w:rFonts w:ascii="Times New Roman" w:hAnsi="Times New Roman" w:cs="Times New Roman"/>
          <w:szCs w:val="24"/>
          <w:lang w:val="lv-LV"/>
        </w:rPr>
        <w:t>Saskaņā ar Konvencijas 45. panta 2. punktu un Tiesas reglamenta 74. </w:t>
      </w:r>
      <w:r w:rsidR="003C040C">
        <w:rPr>
          <w:rFonts w:ascii="Times New Roman" w:hAnsi="Times New Roman" w:cs="Times New Roman"/>
          <w:szCs w:val="24"/>
          <w:lang w:val="lv-LV"/>
        </w:rPr>
        <w:t>punkta</w:t>
      </w:r>
      <w:r w:rsidRPr="00E45AA2">
        <w:rPr>
          <w:rFonts w:ascii="Times New Roman" w:hAnsi="Times New Roman" w:cs="Times New Roman"/>
          <w:szCs w:val="24"/>
          <w:lang w:val="lv-LV"/>
        </w:rPr>
        <w:t xml:space="preserve"> </w:t>
      </w:r>
      <w:r w:rsidR="00790147">
        <w:rPr>
          <w:rFonts w:ascii="Times New Roman" w:hAnsi="Times New Roman" w:cs="Times New Roman"/>
          <w:szCs w:val="24"/>
          <w:lang w:val="lv-LV"/>
        </w:rPr>
        <w:t>otro daļu</w:t>
      </w:r>
      <w:r w:rsidRPr="00E45AA2">
        <w:rPr>
          <w:rFonts w:ascii="Times New Roman" w:hAnsi="Times New Roman" w:cs="Times New Roman"/>
          <w:szCs w:val="24"/>
          <w:lang w:val="lv-LV"/>
        </w:rPr>
        <w:t xml:space="preserve"> šī sprieduma pielikumā ir pievienoti šādi atsevišķie </w:t>
      </w:r>
      <w:r w:rsidR="00690997">
        <w:rPr>
          <w:rFonts w:ascii="Times New Roman" w:hAnsi="Times New Roman" w:cs="Times New Roman"/>
          <w:szCs w:val="24"/>
          <w:lang w:val="lv-LV"/>
        </w:rPr>
        <w:t>viedokļi</w:t>
      </w:r>
      <w:r w:rsidRPr="00E45AA2">
        <w:rPr>
          <w:rFonts w:ascii="Times New Roman" w:hAnsi="Times New Roman" w:cs="Times New Roman"/>
          <w:szCs w:val="24"/>
          <w:lang w:val="lv-LV"/>
        </w:rPr>
        <w:t xml:space="preserve">: </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t xml:space="preserve">(a)  Tiesnešu </w:t>
      </w:r>
      <w:r w:rsidRPr="00E45AA2">
        <w:rPr>
          <w:rFonts w:ascii="Times New Roman" w:hAnsi="Times New Roman" w:cs="Times New Roman"/>
          <w:i/>
          <w:szCs w:val="24"/>
          <w:lang w:val="lv-LV"/>
        </w:rPr>
        <w:t>Lemmens</w:t>
      </w:r>
      <w:r w:rsidRPr="00E45AA2">
        <w:rPr>
          <w:rFonts w:ascii="Times New Roman" w:hAnsi="Times New Roman" w:cs="Times New Roman"/>
          <w:szCs w:val="24"/>
          <w:lang w:val="lv-LV"/>
        </w:rPr>
        <w:t xml:space="preserve"> un Briedes kopīgais piekrītošais viedoklis;</w:t>
      </w:r>
    </w:p>
    <w:p w:rsidR="0013508E" w:rsidRPr="00E45AA2" w:rsidRDefault="0013508E" w:rsidP="0013508E">
      <w:pPr>
        <w:pStyle w:val="ECHRPara"/>
        <w:rPr>
          <w:rFonts w:ascii="Times New Roman" w:hAnsi="Times New Roman" w:cs="Times New Roman"/>
          <w:szCs w:val="24"/>
          <w:lang w:val="lv-LV"/>
        </w:rPr>
      </w:pPr>
      <w:r w:rsidRPr="00E45AA2">
        <w:rPr>
          <w:rFonts w:ascii="Times New Roman" w:hAnsi="Times New Roman" w:cs="Times New Roman"/>
          <w:szCs w:val="24"/>
          <w:lang w:val="lv-LV"/>
        </w:rPr>
        <w:t xml:space="preserve">(b)  Tiesneša </w:t>
      </w:r>
      <w:r w:rsidRPr="00E45AA2">
        <w:rPr>
          <w:rFonts w:ascii="Times New Roman" w:hAnsi="Times New Roman" w:cs="Times New Roman"/>
          <w:i/>
          <w:szCs w:val="24"/>
          <w:lang w:val="lv-LV"/>
        </w:rPr>
        <w:t xml:space="preserve">Sajó </w:t>
      </w:r>
      <w:r w:rsidRPr="00E45AA2">
        <w:rPr>
          <w:rFonts w:ascii="Times New Roman" w:hAnsi="Times New Roman" w:cs="Times New Roman"/>
          <w:szCs w:val="24"/>
          <w:lang w:val="lv-LV"/>
        </w:rPr>
        <w:t>atšķirīgais viedoklis.</w:t>
      </w:r>
    </w:p>
    <w:p w:rsidR="0013508E" w:rsidRPr="00E45AA2" w:rsidRDefault="0013508E" w:rsidP="0013508E">
      <w:pPr>
        <w:pStyle w:val="JuInitialled"/>
        <w:rPr>
          <w:rFonts w:ascii="Times New Roman" w:hAnsi="Times New Roman" w:cs="Times New Roman"/>
          <w:szCs w:val="24"/>
          <w:lang w:val="lv-LV"/>
        </w:rPr>
      </w:pPr>
      <w:r w:rsidRPr="00E45AA2">
        <w:rPr>
          <w:rFonts w:ascii="Times New Roman" w:hAnsi="Times New Roman" w:cs="Times New Roman"/>
          <w:szCs w:val="24"/>
          <w:lang w:val="lv-LV"/>
        </w:rPr>
        <w:t>A.S.</w:t>
      </w:r>
      <w:r w:rsidRPr="00E45AA2">
        <w:rPr>
          <w:rFonts w:ascii="Times New Roman" w:hAnsi="Times New Roman" w:cs="Times New Roman"/>
          <w:szCs w:val="24"/>
          <w:lang w:val="lv-LV"/>
        </w:rPr>
        <w:br/>
        <w:t>J.C.</w:t>
      </w:r>
    </w:p>
    <w:p w:rsidR="0013508E" w:rsidRPr="00E45AA2" w:rsidRDefault="0013508E" w:rsidP="0013508E">
      <w:pPr>
        <w:jc w:val="left"/>
        <w:rPr>
          <w:rFonts w:ascii="Times New Roman" w:hAnsi="Times New Roman" w:cs="Times New Roman"/>
          <w:szCs w:val="24"/>
          <w:lang w:val="lv-LV"/>
        </w:rPr>
        <w:sectPr w:rsidR="0013508E" w:rsidRPr="00E45AA2" w:rsidSect="00844D24">
          <w:headerReference w:type="even" r:id="rId10"/>
          <w:headerReference w:type="default" r:id="rId11"/>
          <w:pgSz w:w="11906" w:h="16838" w:code="9"/>
          <w:pgMar w:top="2274" w:right="2274" w:bottom="2127" w:left="2274" w:header="1701" w:footer="720" w:gutter="0"/>
          <w:pgNumType w:start="1"/>
          <w:cols w:space="720"/>
          <w:docGrid w:linePitch="326"/>
        </w:sectPr>
      </w:pPr>
      <w:r w:rsidRPr="00E45AA2">
        <w:rPr>
          <w:rFonts w:ascii="Times New Roman" w:hAnsi="Times New Roman" w:cs="Times New Roman"/>
          <w:szCs w:val="24"/>
          <w:lang w:val="lv-LV"/>
        </w:rPr>
        <w:br w:type="page"/>
      </w:r>
    </w:p>
    <w:p w:rsidR="0013508E" w:rsidRPr="00E45AA2" w:rsidRDefault="0013508E" w:rsidP="0013508E">
      <w:pPr>
        <w:pStyle w:val="ECHRTitleCentre1"/>
        <w:rPr>
          <w:rFonts w:ascii="Times New Roman" w:hAnsi="Times New Roman" w:cs="Times New Roman"/>
          <w:sz w:val="24"/>
          <w:szCs w:val="24"/>
          <w:lang w:val="lv-LV"/>
        </w:rPr>
      </w:pPr>
      <w:r w:rsidRPr="00E45AA2">
        <w:rPr>
          <w:rFonts w:ascii="Times New Roman" w:hAnsi="Times New Roman" w:cs="Times New Roman"/>
          <w:sz w:val="24"/>
          <w:szCs w:val="24"/>
          <w:lang w:val="lv-LV"/>
        </w:rPr>
        <w:lastRenderedPageBreak/>
        <w:t xml:space="preserve">TIESNEŠU </w:t>
      </w:r>
      <w:r w:rsidRPr="00E45AA2">
        <w:rPr>
          <w:rFonts w:ascii="Times New Roman" w:hAnsi="Times New Roman" w:cs="Times New Roman"/>
          <w:i/>
          <w:sz w:val="24"/>
          <w:szCs w:val="24"/>
          <w:lang w:val="lv-LV"/>
        </w:rPr>
        <w:t>LEMMENS</w:t>
      </w:r>
      <w:r w:rsidRPr="00E45AA2">
        <w:rPr>
          <w:rFonts w:ascii="Times New Roman" w:hAnsi="Times New Roman" w:cs="Times New Roman"/>
          <w:sz w:val="24"/>
          <w:szCs w:val="24"/>
          <w:lang w:val="lv-LV"/>
        </w:rPr>
        <w:t> UN BRIEDES KOPĪGAIS PIEKRĪTOŠAIS VIEDOKLIS</w:t>
      </w: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 xml:space="preserve">1.  Mēs piekrītam vairākumam, ka šajā lietā ir piemērojams Konvencijas 6. panta 1. punkts, taču tas nav ticis pārkāpts.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7C1ED3">
      <w:pPr>
        <w:pStyle w:val="OpiPara"/>
        <w:rPr>
          <w:rFonts w:ascii="Times New Roman" w:hAnsi="Times New Roman" w:cs="Times New Roman"/>
          <w:szCs w:val="24"/>
          <w:lang w:val="lv-LV"/>
        </w:rPr>
      </w:pPr>
      <w:r w:rsidRPr="00E45AA2">
        <w:rPr>
          <w:rFonts w:ascii="Times New Roman" w:hAnsi="Times New Roman" w:cs="Times New Roman"/>
          <w:szCs w:val="24"/>
          <w:lang w:val="lv-LV"/>
        </w:rPr>
        <w:t>Tomēr mēs diemžēl nespējam izsekot vairākuma argumentiem attiecībā uz visiem aspektiem. Pamatā vairākums uzskata, ka ir bijuši trūkumi Latvijas Augstākās tiesas tiesvedībā (skatīt sprieduma 119.-121. punktu), taču konkrētajos lietas apstākļos pamattiesību aizsardzībā nav bijis izteiktu trūkumu; šī ieme</w:t>
      </w:r>
      <w:r w:rsidR="007C1ED3">
        <w:rPr>
          <w:rFonts w:ascii="Times New Roman" w:hAnsi="Times New Roman" w:cs="Times New Roman"/>
          <w:szCs w:val="24"/>
          <w:lang w:val="lv-LV"/>
        </w:rPr>
        <w:t>sla dēļ viņi piemēro līdzvērtīgā</w:t>
      </w:r>
      <w:r w:rsidRPr="00E45AA2">
        <w:rPr>
          <w:rFonts w:ascii="Times New Roman" w:hAnsi="Times New Roman" w:cs="Times New Roman"/>
          <w:szCs w:val="24"/>
          <w:lang w:val="lv-LV"/>
        </w:rPr>
        <w:t xml:space="preserve">s aizsardzības prezumpciju, kas zināma kā </w:t>
      </w:r>
      <w:r w:rsidRPr="00E45AA2">
        <w:rPr>
          <w:rFonts w:ascii="Times New Roman" w:hAnsi="Times New Roman" w:cs="Times New Roman"/>
          <w:i/>
          <w:szCs w:val="24"/>
          <w:lang w:val="lv-LV"/>
        </w:rPr>
        <w:t>Bosphorus</w:t>
      </w:r>
      <w:r w:rsidRPr="00E45AA2">
        <w:rPr>
          <w:rFonts w:ascii="Times New Roman" w:hAnsi="Times New Roman" w:cs="Times New Roman"/>
          <w:szCs w:val="24"/>
          <w:lang w:val="lv-LV"/>
        </w:rPr>
        <w:t xml:space="preserve"> prezumpcija (skatīt 122.-125. punktu).</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 xml:space="preserve">Mēs nepiekrītam apgalvojumam, ka Augstākās tiesas tiesvedībā bija trūkums.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 xml:space="preserve">2.  Briseles I regulas 33. pants nosaka principu, ka Eiropas Savienības dalībvalstī </w:t>
      </w:r>
      <w:r w:rsidR="00E8003C">
        <w:rPr>
          <w:rFonts w:ascii="Times New Roman" w:hAnsi="Times New Roman" w:cs="Times New Roman"/>
          <w:szCs w:val="24"/>
          <w:lang w:val="lv-LV"/>
        </w:rPr>
        <w:t>pieņemts</w:t>
      </w:r>
      <w:r w:rsidRPr="00E45AA2">
        <w:rPr>
          <w:rFonts w:ascii="Times New Roman" w:hAnsi="Times New Roman" w:cs="Times New Roman"/>
          <w:szCs w:val="24"/>
          <w:lang w:val="lv-LV"/>
        </w:rPr>
        <w:t xml:space="preserve"> spriedums tiek atzīts citās dalībvalstīs. 34. pantā ir norādīti šī principa izņēmumi, minot divas situācijas, kurās spriedums netiek atzīts.  Iesniedzējs atsaucās uz izņēmumu, kas minēts 34. panta 2. punktā (skatīt sprieduma 30. punktu). Viņš argumentēja, ka Limasolas spriedums tika paziņots, viņam neesot klāt, un ka dokuments, ar kuru ierosināta lieta, vai līdzvērtīgs dokuments viņam nav ticis uzrādīts pietiekami </w:t>
      </w:r>
      <w:r w:rsidR="00E8003C">
        <w:rPr>
          <w:rFonts w:ascii="Times New Roman" w:hAnsi="Times New Roman" w:cs="Times New Roman"/>
          <w:szCs w:val="24"/>
          <w:lang w:val="lv-LV"/>
        </w:rPr>
        <w:t>sav</w:t>
      </w:r>
      <w:r w:rsidRPr="00E45AA2">
        <w:rPr>
          <w:rFonts w:ascii="Times New Roman" w:hAnsi="Times New Roman" w:cs="Times New Roman"/>
          <w:szCs w:val="24"/>
          <w:lang w:val="lv-LV"/>
        </w:rPr>
        <w:t>laicīgi, lai viņš varētu nodrošināt sev aizstāvību. Iesniedzēj</w:t>
      </w:r>
      <w:r w:rsidR="00E8003C">
        <w:rPr>
          <w:rFonts w:ascii="Times New Roman" w:hAnsi="Times New Roman" w:cs="Times New Roman"/>
          <w:szCs w:val="24"/>
          <w:lang w:val="lv-LV"/>
        </w:rPr>
        <w:t>s saskārās as šķērsli</w:t>
      </w:r>
      <w:r w:rsidR="00F1295A">
        <w:rPr>
          <w:rFonts w:ascii="Times New Roman" w:hAnsi="Times New Roman" w:cs="Times New Roman"/>
          <w:szCs w:val="24"/>
          <w:lang w:val="lv-LV"/>
        </w:rPr>
        <w:t>, proti,</w:t>
      </w:r>
      <w:r w:rsidRPr="00E45AA2">
        <w:rPr>
          <w:rFonts w:ascii="Times New Roman" w:hAnsi="Times New Roman" w:cs="Times New Roman"/>
          <w:szCs w:val="24"/>
          <w:lang w:val="lv-LV"/>
        </w:rPr>
        <w:t xml:space="preserve"> viņš nevarēja atsaukties uz 34. panta 2. punktā minētajām izņēmuma prasībām, ja viņš „nebija uzsācis sprieduma pārsūdzēšanas procedūru (Kiprā), kad to bija iespējams darīt” (34. panta 2. punkts, </w:t>
      </w:r>
      <w:r w:rsidRPr="00E45AA2">
        <w:rPr>
          <w:rFonts w:ascii="Times New Roman" w:hAnsi="Times New Roman" w:cs="Times New Roman"/>
          <w:i/>
          <w:szCs w:val="24"/>
          <w:lang w:val="lv-LV"/>
        </w:rPr>
        <w:t>in fine</w:t>
      </w:r>
      <w:r w:rsidRPr="00E45AA2">
        <w:rPr>
          <w:rFonts w:ascii="Times New Roman" w:hAnsi="Times New Roman" w:cs="Times New Roman"/>
          <w:szCs w:val="24"/>
          <w:lang w:val="lv-LV"/>
        </w:rPr>
        <w:t xml:space="preserve">). Līdz ar to jautājums par aizsardzības līdzekļu izmantošanu Kiprā bija izšķirošs, lemjot par minēto iesniedzēja argumentu. Mēs piebilstam, ka mūsu spriedumā nekur nav teikts, ka iesniedzējs būtu apgalvojis, ka viņam nav bijis iespējams apstrīdēt Limasolas spriedumu pēc tam, kad viņš bija uzzinājis par tā esamību (īpaši skatīt 30. un 32. punktu).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 xml:space="preserve">Ir svarīgi atzīmēt, ka iesniedzējs atsaucās arī uz citu Briseles I regulas noteikumu, proti, 38. panta 1. punktu (skatīt sprieduma 31. punktu). Saskaņā ar šo noteikumu citā dalībvalstī paziņots „un šajā valstī izpildāms” spriedums ir izpildāms arī citā dalībvalstī, ja pēc jebkuras </w:t>
      </w:r>
      <w:r w:rsidR="00790147" w:rsidRPr="00E45AA2">
        <w:rPr>
          <w:rFonts w:ascii="Times New Roman" w:hAnsi="Times New Roman" w:cs="Times New Roman"/>
          <w:szCs w:val="24"/>
          <w:lang w:val="lv-LV"/>
        </w:rPr>
        <w:t>ieinteresētās puses</w:t>
      </w:r>
      <w:r w:rsidRPr="00E45AA2">
        <w:rPr>
          <w:rFonts w:ascii="Times New Roman" w:hAnsi="Times New Roman" w:cs="Times New Roman"/>
          <w:szCs w:val="24"/>
          <w:lang w:val="lv-LV"/>
        </w:rPr>
        <w:t xml:space="preserve"> ierosinājuma tas ir paziņots par izpildāmu attiecīgajā valstī. Iesniedzējs, līdz ar citām lietām, minēja, ka „prasītāja uzņēmums nebija sagatavojis nevienu dokumentāru liecību, kas parādītu, ka 2004. gada 24. maijā paziņotais spriedums bija izpildāms Kiprā” (turpat). Līdz ar to jautājums, vai Limasolas spriedums bija izpildāms Kiprā, bija izšķirošs, pieņemot lēmumu par otro iesniedzēja argumentu.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lastRenderedPageBreak/>
        <w:t xml:space="preserve">Latvijas Augstākā tiesa atcēla Apgabaltiesas spriedumu un pieprasīja Limasolas sprieduma atzīšanu un izpildi. Mēs īpašu uzmanību pievēršam veidam, kādā Augstākā tiesa rīkojās ar abiem iesniedzēja argumentiem. Tā, balstoties uz lietas materiālos esošajiem pierādījumiem, noteica, ka Limasolas spriedums „kļūst galīgs”. Turklāt tā noteica, ka šo faktu apstiprina abu pušu sniegtie skaidrojumi, saskaņā ar kuriem spriedums nav ticis pārsūdzēts.  Mēs uzskatām, ka šajā viedoklī ir atbilde uz abiem iesniedzēja argumentiem. </w:t>
      </w:r>
      <w:r w:rsidR="00263DC5">
        <w:rPr>
          <w:rFonts w:ascii="Times New Roman" w:hAnsi="Times New Roman" w:cs="Times New Roman"/>
          <w:szCs w:val="24"/>
          <w:lang w:val="lv-LV"/>
        </w:rPr>
        <w:t>Tā kā</w:t>
      </w:r>
      <w:r w:rsidRPr="00E45AA2">
        <w:rPr>
          <w:rFonts w:ascii="Times New Roman" w:hAnsi="Times New Roman" w:cs="Times New Roman"/>
          <w:szCs w:val="24"/>
          <w:lang w:val="lv-LV"/>
        </w:rPr>
        <w:t xml:space="preserve"> spriedums bija galīgs, tas bija izpildāms, tādēļ arguments, kas balstīts uz Briseles I Konvencijas 38. panta 1. punktu, tika noraidīts. Tajā savukārt paskaidrots, kāpēc Augstākā tiesa uzskatīja, ka jautājums par pienācīgu Limasolas tiesas paziņošanu par attiecīgo lietu „nebija atbilstošs”.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 xml:space="preserve">3.  Vairākums uzskata, ka Augstākajai tiesai iztiesāšanas procedūrā vajadzēja tieši izskatīt jautājumu par pierādīšanas pienākumu par uz Limasolas spriedumu attiecināmajiem tiesiskās aizsardzības līdzekļiem (skatīt sprieduma 121. punktu).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 xml:space="preserve">Mēs uzskatām, ka, ņemot vērā šīs lietas apstākļus, Konvencijas 6. panta 1. punkts neparedzēja detalizētu jautājuma par pierādīšanas pienākuma izskatīšanu. Tiesas process Augstākajā tiesā, ieskaitot pierādīšanas pienākumu un spriedumu argumentāciju, ir pakļauts Latvijas tiesību aktiem. Augstākās tiesas pienākums bija rīkoties ar iesniedzēja argumentiem saskaņā ar nacionālo tiesību aktu noteikumiem. Iesniedzējs paziņoja savus argumentus Augstākajai tiesai lietas iztiesāšanas laikā, un Augstākā tiesa atbildēja uz šiem argumentiem savā spriedumā. Turklāt iesniedzējs pat neapstrīdēja faktu, ka Kiprā bija pieejami tiesiskās aizsardzības līdzekļi; gluži pretēji, viņš pamatoja savu argumentu atbilstoši Briseles I regulas 38. panta 1. punktam ar pašu faktu, ka Limasolas spriedums vēl nebija izpildāms, ko Augstākā tiesa varēja saprast kā pieņēmumu, ka šo spriedumu vēl joprojām bija iespējams pārsūdzēt. Jebkurā gadījumā Augstākā tiesa netieši uzskatīja, ka tiesiskās aizsardzības līdzeklis patiešām bija pieejams, bet skaidri norādīja, ka iesniedzējs to nebija izmantojis.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 xml:space="preserve">Mēs uzskatām, ka, ja iesniedzējs vēlējās sūdzēties par to, ka viņam Kiprā faktiski nebija pieejams nekāds tiesiskās aizsardzības līdzeklis, viņam </w:t>
      </w:r>
      <w:r w:rsidR="00263DC5" w:rsidRPr="00E45AA2">
        <w:rPr>
          <w:rFonts w:ascii="Times New Roman" w:hAnsi="Times New Roman" w:cs="Times New Roman"/>
          <w:szCs w:val="24"/>
          <w:lang w:val="lv-LV"/>
        </w:rPr>
        <w:t xml:space="preserve">par to </w:t>
      </w:r>
      <w:r w:rsidRPr="00E45AA2">
        <w:rPr>
          <w:rFonts w:ascii="Times New Roman" w:hAnsi="Times New Roman" w:cs="Times New Roman"/>
          <w:szCs w:val="24"/>
          <w:lang w:val="lv-LV"/>
        </w:rPr>
        <w:t xml:space="preserve">vajadzēja iesniegt prasību Augstākajā tiesā. Mums jājautā, vai viņš varēja </w:t>
      </w:r>
      <w:r w:rsidR="00263DC5">
        <w:rPr>
          <w:rFonts w:ascii="Times New Roman" w:hAnsi="Times New Roman" w:cs="Times New Roman"/>
          <w:szCs w:val="24"/>
          <w:lang w:val="lv-LV"/>
        </w:rPr>
        <w:t>sa</w:t>
      </w:r>
      <w:r w:rsidRPr="00E45AA2">
        <w:rPr>
          <w:rFonts w:ascii="Times New Roman" w:hAnsi="Times New Roman" w:cs="Times New Roman"/>
          <w:szCs w:val="24"/>
          <w:lang w:val="lv-LV"/>
        </w:rPr>
        <w:t xml:space="preserve">gaidīt, ka Augstākā tiesa izskata šo jautājumu pēc savas iniciatīvas.  Mēs viennozīmīgi uzskatām, ka viņš nevar sūdzēties saskaņā ar Konvencijas 6. panta 1. punktu par skaidras atbildes trūkumu uz argumentu, kas netika skaidri izteikts.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lastRenderedPageBreak/>
        <w:t>4.  Balstotie</w:t>
      </w:r>
      <w:r w:rsidR="006851BF">
        <w:rPr>
          <w:rFonts w:ascii="Times New Roman" w:hAnsi="Times New Roman" w:cs="Times New Roman"/>
          <w:szCs w:val="24"/>
          <w:lang w:val="lv-LV"/>
        </w:rPr>
        <w:t>s uz augstāk</w:t>
      </w:r>
      <w:r w:rsidRPr="00E45AA2">
        <w:rPr>
          <w:rFonts w:ascii="Times New Roman" w:hAnsi="Times New Roman" w:cs="Times New Roman"/>
          <w:szCs w:val="24"/>
          <w:lang w:val="lv-LV"/>
        </w:rPr>
        <w:t>minēto argumentāciju, mēs secinām, k</w:t>
      </w:r>
      <w:r w:rsidR="00BF46BA">
        <w:rPr>
          <w:rFonts w:ascii="Times New Roman" w:hAnsi="Times New Roman" w:cs="Times New Roman"/>
          <w:szCs w:val="24"/>
          <w:lang w:val="lv-LV"/>
        </w:rPr>
        <w:t xml:space="preserve">a Augstākā tiesa ir ievērojusi </w:t>
      </w:r>
      <w:r w:rsidR="006C7C1D">
        <w:rPr>
          <w:rFonts w:ascii="Times New Roman" w:hAnsi="Times New Roman" w:cs="Times New Roman"/>
          <w:szCs w:val="24"/>
          <w:lang w:val="lv-LV"/>
        </w:rPr>
        <w:t>pušu līdztiesības</w:t>
      </w:r>
      <w:r w:rsidRPr="00E45AA2">
        <w:rPr>
          <w:rFonts w:ascii="Times New Roman" w:hAnsi="Times New Roman" w:cs="Times New Roman"/>
          <w:szCs w:val="24"/>
          <w:lang w:val="lv-LV"/>
        </w:rPr>
        <w:t xml:space="preserve"> principu un vienlīdzības principu, līdz ar to 6. panta 1. punkts nav ticis pārkāpts.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 xml:space="preserve">5.  Nonākot pie šāda secinājuma, mums, saprotams, nav jāizskata, kuri tieši tiesiskās aizsardzības līdzekļi bija pieejami saskaņā ar Kipras tiesību aktiem (skatīt sprieduma 22. punktu).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Mums šķiet ievērības cienīg</w:t>
      </w:r>
      <w:r w:rsidR="00EA2A97">
        <w:rPr>
          <w:rFonts w:ascii="Times New Roman" w:hAnsi="Times New Roman" w:cs="Times New Roman"/>
          <w:szCs w:val="24"/>
          <w:lang w:val="lv-LV"/>
        </w:rPr>
        <w:t>i</w:t>
      </w:r>
      <w:r w:rsidRPr="00E45AA2">
        <w:rPr>
          <w:rFonts w:ascii="Times New Roman" w:hAnsi="Times New Roman" w:cs="Times New Roman"/>
          <w:szCs w:val="24"/>
          <w:lang w:val="lv-LV"/>
        </w:rPr>
        <w:t xml:space="preserve"> tas, ka vai</w:t>
      </w:r>
      <w:r w:rsidR="00790147">
        <w:rPr>
          <w:rFonts w:ascii="Times New Roman" w:hAnsi="Times New Roman" w:cs="Times New Roman"/>
          <w:szCs w:val="24"/>
          <w:lang w:val="lv-LV"/>
        </w:rPr>
        <w:t>rākums, lai „pasargātu” valsti-</w:t>
      </w:r>
      <w:r w:rsidRPr="00E45AA2">
        <w:rPr>
          <w:rFonts w:ascii="Times New Roman" w:hAnsi="Times New Roman" w:cs="Times New Roman"/>
          <w:szCs w:val="24"/>
          <w:lang w:val="lv-LV"/>
        </w:rPr>
        <w:t>atbildētāju no secinājuma, ka Konvencija tikusi pārkāpta, veido argumentāciju, balstoties uz Kipras tiesību aktu interpretāciju, tādējādi paļaujoties uz Kipras valdības sniegto informāciju. Principā Tiesas kompetencē neietilpst nacionālos tiesību aktu interpretācija. Šeit savukārt vairākums interpretē trešās valsts tiesību aktu noteikumus, kas vēl jo vairāk nav ticis</w:t>
      </w:r>
      <w:r w:rsidR="00790147">
        <w:rPr>
          <w:rFonts w:ascii="Times New Roman" w:hAnsi="Times New Roman" w:cs="Times New Roman"/>
          <w:szCs w:val="24"/>
          <w:lang w:val="lv-LV"/>
        </w:rPr>
        <w:t xml:space="preserve"> izskatīts valsts-atbildētājas </w:t>
      </w:r>
      <w:r w:rsidRPr="00E45AA2">
        <w:rPr>
          <w:rFonts w:ascii="Times New Roman" w:hAnsi="Times New Roman" w:cs="Times New Roman"/>
          <w:szCs w:val="24"/>
          <w:lang w:val="lv-LV"/>
        </w:rPr>
        <w:t xml:space="preserve">nacionālajās tiesās.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 xml:space="preserve">6. Visbeidzot, tā kā mēs uzskatām, ka tiesvedībā Latvijas Augstākajā tiesā nebija trūkumu, mēs domājam, ka nebija iemesla atsaukties uz </w:t>
      </w:r>
      <w:r w:rsidRPr="00E45AA2">
        <w:rPr>
          <w:rFonts w:ascii="Times New Roman" w:hAnsi="Times New Roman" w:cs="Times New Roman"/>
          <w:i/>
          <w:szCs w:val="24"/>
          <w:lang w:val="lv-LV"/>
        </w:rPr>
        <w:t>Bosphorus</w:t>
      </w:r>
      <w:r w:rsidRPr="00E45AA2">
        <w:rPr>
          <w:rFonts w:ascii="Times New Roman" w:hAnsi="Times New Roman" w:cs="Times New Roman"/>
          <w:szCs w:val="24"/>
          <w:lang w:val="lv-LV"/>
        </w:rPr>
        <w:t xml:space="preserve"> principu.</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ECHRPara"/>
        <w:rPr>
          <w:rFonts w:ascii="Times New Roman" w:hAnsi="Times New Roman" w:cs="Times New Roman"/>
          <w:snapToGrid w:val="0"/>
          <w:szCs w:val="24"/>
          <w:lang w:val="lv-LV"/>
        </w:rPr>
      </w:pPr>
      <w:r w:rsidRPr="00E45AA2">
        <w:rPr>
          <w:rFonts w:ascii="Times New Roman" w:hAnsi="Times New Roman" w:cs="Times New Roman"/>
          <w:szCs w:val="24"/>
          <w:lang w:val="lv-LV"/>
        </w:rPr>
        <w:t xml:space="preserve">Kad Tiesa piemēro </w:t>
      </w:r>
      <w:r w:rsidRPr="00E45AA2">
        <w:rPr>
          <w:rFonts w:ascii="Times New Roman" w:hAnsi="Times New Roman" w:cs="Times New Roman"/>
          <w:i/>
          <w:szCs w:val="24"/>
          <w:lang w:val="lv-LV"/>
        </w:rPr>
        <w:t xml:space="preserve">Bosphorus </w:t>
      </w:r>
      <w:r w:rsidRPr="00E45AA2">
        <w:rPr>
          <w:rFonts w:ascii="Times New Roman" w:hAnsi="Times New Roman" w:cs="Times New Roman"/>
          <w:szCs w:val="24"/>
          <w:lang w:val="lv-LV"/>
        </w:rPr>
        <w:t xml:space="preserve">prezumpciju, tā faktiski samazina savas pārraudzības lomas intensitāti starptautiskās sadarbības intereses (skatīt lietu </w:t>
      </w:r>
      <w:r w:rsidRPr="00E45AA2">
        <w:rPr>
          <w:rFonts w:ascii="Times New Roman" w:hAnsi="Times New Roman" w:cs="Times New Roman"/>
          <w:i/>
          <w:szCs w:val="24"/>
          <w:lang w:val="lv-LV"/>
        </w:rPr>
        <w:t xml:space="preserve">Michaud </w:t>
      </w:r>
      <w:r w:rsidRPr="00E45AA2">
        <w:rPr>
          <w:rFonts w:ascii="Times New Roman" w:hAnsi="Times New Roman" w:cs="Times New Roman"/>
          <w:i/>
          <w:snapToGrid w:val="0"/>
          <w:szCs w:val="24"/>
          <w:lang w:val="lv-LV"/>
        </w:rPr>
        <w:t>pret Franciju</w:t>
      </w:r>
      <w:r w:rsidRPr="00E45AA2">
        <w:rPr>
          <w:rFonts w:ascii="Times New Roman" w:hAnsi="Times New Roman" w:cs="Times New Roman"/>
          <w:snapToGrid w:val="0"/>
          <w:szCs w:val="24"/>
          <w:lang w:val="lv-LV"/>
        </w:rPr>
        <w:t>, Nr.</w:t>
      </w:r>
      <w:r w:rsidRPr="00E45AA2">
        <w:rPr>
          <w:rFonts w:ascii="Times New Roman" w:hAnsi="Times New Roman" w:cs="Times New Roman"/>
          <w:szCs w:val="24"/>
          <w:lang w:val="lv-LV"/>
        </w:rPr>
        <w:t xml:space="preserve"> 12323/11, 104. punkts, ECHR, </w:t>
      </w:r>
      <w:r w:rsidRPr="00E45AA2">
        <w:rPr>
          <w:rFonts w:ascii="Times New Roman" w:hAnsi="Times New Roman" w:cs="Times New Roman"/>
          <w:snapToGrid w:val="0"/>
          <w:szCs w:val="24"/>
          <w:lang w:val="lv-LV"/>
        </w:rPr>
        <w:t xml:space="preserve">2012). Tai nevajadzētu to darīt, kad starptautiskās sadarbības intereses nav apdraudētas. </w:t>
      </w:r>
    </w:p>
    <w:p w:rsidR="0013508E" w:rsidRPr="00E45AA2" w:rsidRDefault="0013508E" w:rsidP="0013508E">
      <w:pPr>
        <w:pStyle w:val="ECHRPara"/>
        <w:rPr>
          <w:rFonts w:ascii="Times New Roman" w:hAnsi="Times New Roman" w:cs="Times New Roman"/>
          <w:i/>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Mēs tādēļ uzskatām, ka šī principa piemērošana ir pamatota vienīgi tad, kad konkrētā lieta ietver Eiropas Savienības tiesību interpretēšanu un kad attiecīgajā tiesvedībā ir bijis trūkums. Tad kļūst aktuāls jautājums par to, vai trūkums pamattiesību a</w:t>
      </w:r>
      <w:r w:rsidR="00BF46BA">
        <w:rPr>
          <w:rFonts w:ascii="Times New Roman" w:hAnsi="Times New Roman" w:cs="Times New Roman"/>
          <w:szCs w:val="24"/>
          <w:lang w:val="lv-LV"/>
        </w:rPr>
        <w:t xml:space="preserve">izsardzībā ir tik izteikts, ka </w:t>
      </w:r>
      <w:r w:rsidR="00790147">
        <w:rPr>
          <w:rFonts w:ascii="Times New Roman" w:hAnsi="Times New Roman" w:cs="Times New Roman"/>
          <w:szCs w:val="24"/>
          <w:lang w:val="lv-LV"/>
        </w:rPr>
        <w:t>valstij-</w:t>
      </w:r>
      <w:r w:rsidRPr="00E45AA2">
        <w:rPr>
          <w:rFonts w:ascii="Times New Roman" w:hAnsi="Times New Roman" w:cs="Times New Roman"/>
          <w:szCs w:val="24"/>
          <w:lang w:val="lv-LV"/>
        </w:rPr>
        <w:t>atbildētājai labvēlīgā prezumpcija tiek atspēkota. Tomēr šajā gadījumā pēc pārbaudes, ko „normāli” veic Tiesa, mēs uzskatām, ka Latvijas Augstākās tiesas tiesvedībā nav bijis trūkumu.</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 xml:space="preserve">Līdz ar to, mūsuprāt, iesniegums var tikt noraidīts bez jebkādas nepieciešamības pamatot mūsu argumentāciju uz </w:t>
      </w:r>
      <w:r w:rsidRPr="00E45AA2">
        <w:rPr>
          <w:rFonts w:ascii="Times New Roman" w:hAnsi="Times New Roman" w:cs="Times New Roman"/>
          <w:i/>
          <w:szCs w:val="24"/>
          <w:lang w:val="lv-LV"/>
        </w:rPr>
        <w:t>Bosphorus</w:t>
      </w:r>
      <w:r w:rsidRPr="00E45AA2">
        <w:rPr>
          <w:rFonts w:ascii="Times New Roman" w:hAnsi="Times New Roman" w:cs="Times New Roman"/>
          <w:szCs w:val="24"/>
          <w:lang w:val="lv-LV"/>
        </w:rPr>
        <w:t xml:space="preserve"> principu.</w:t>
      </w:r>
      <w:r w:rsidRPr="00E45AA2">
        <w:rPr>
          <w:rFonts w:ascii="Times New Roman" w:hAnsi="Times New Roman" w:cs="Times New Roman"/>
          <w:szCs w:val="24"/>
          <w:lang w:val="lv-LV"/>
        </w:rPr>
        <w:br w:type="page"/>
      </w:r>
    </w:p>
    <w:p w:rsidR="0013508E" w:rsidRPr="00E45AA2" w:rsidRDefault="0013508E" w:rsidP="0013508E">
      <w:pPr>
        <w:pStyle w:val="ECHRTitleCentre1"/>
        <w:keepNext w:val="0"/>
        <w:keepLines w:val="0"/>
        <w:rPr>
          <w:rFonts w:ascii="Times New Roman" w:hAnsi="Times New Roman" w:cs="Times New Roman"/>
          <w:sz w:val="24"/>
          <w:szCs w:val="24"/>
          <w:lang w:val="lv-LV"/>
        </w:rPr>
      </w:pPr>
      <w:r w:rsidRPr="00E45AA2">
        <w:rPr>
          <w:rFonts w:ascii="Times New Roman" w:hAnsi="Times New Roman" w:cs="Times New Roman"/>
          <w:sz w:val="24"/>
          <w:szCs w:val="24"/>
          <w:lang w:val="lv-LV"/>
        </w:rPr>
        <w:lastRenderedPageBreak/>
        <w:t>TIESNEŠA SAJÓ ATŠĶIRĪGAIS VIEDOKLIS</w:t>
      </w: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1.  Diemžēl šajā lietā es nevaru atbalstīt vairākuma viedokli.</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2.  Limasolas apgabaltiesa 2004. gada 24. ma</w:t>
      </w:r>
      <w:r w:rsidR="00995842">
        <w:rPr>
          <w:rFonts w:ascii="Times New Roman" w:hAnsi="Times New Roman" w:cs="Times New Roman"/>
          <w:szCs w:val="24"/>
          <w:lang w:val="lv-LV"/>
        </w:rPr>
        <w:t>ijā noteica, ka iesniedzējam jāiz</w:t>
      </w:r>
      <w:r w:rsidRPr="00E45AA2">
        <w:rPr>
          <w:rFonts w:ascii="Times New Roman" w:hAnsi="Times New Roman" w:cs="Times New Roman"/>
          <w:szCs w:val="24"/>
          <w:lang w:val="lv-LV"/>
        </w:rPr>
        <w:t xml:space="preserve">maksā konkrēta naudas summa. Spriedums tika pasludināts </w:t>
      </w:r>
      <w:r w:rsidR="00995842">
        <w:rPr>
          <w:rFonts w:ascii="Times New Roman" w:hAnsi="Times New Roman" w:cs="Times New Roman"/>
          <w:szCs w:val="24"/>
          <w:lang w:val="lv-LV"/>
        </w:rPr>
        <w:t>tiesas procesā</w:t>
      </w:r>
      <w:r w:rsidRPr="00E45AA2">
        <w:rPr>
          <w:rFonts w:ascii="Times New Roman" w:hAnsi="Times New Roman" w:cs="Times New Roman"/>
          <w:szCs w:val="24"/>
          <w:lang w:val="lv-LV"/>
        </w:rPr>
        <w:t xml:space="preserve">, uz kuru iesniedzējam (atbildētājam nacionālajā tiesas procesā) tika nosūtīta pavēste, norādot nepareizu adresi. Tādēļ viņš nevarēja zināt par šo tiesvedību. Prasītājs lietā lūdza Kipras spriedumu izpildīt Latvijā. Iesniedzējs par Kipras spriedumu pirmo reizi uzzināja tikai nacionālās tiesvedības laikā. Lai gan apgabaltiesa atcēla apstrīdēto rīkojumu par izpildi, Latvijas Augstākā tiesa nosprieda par labu Kipras sprieduma atzīšanai un izpildei. Ir diezgan pārsteidzoši, ka pieprasītā apliecība, kas datēta ar 2007. gada 18. janvāri (t.i., izsniegta divus gadus pēc tam, kad Latvijas tiesā tika iesniegts izpildes pieprasījums), tika iesniegta tikai pārsūdzības stadijā Augstākajā tiesā un ka tā tika pieņemta šajā tiesvedības posmā.  Tomēr lieta skar fundamentālākus taisnīguma jautājumus. Tā attiecas arī uz Eiropas Savienības tiesību aktu izmantošanu šajā Tiesā. Tie ir jautājumi, kuru izlemšanā man viedoklis atšķiras.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eastAsia="fr-FR"/>
        </w:rPr>
      </w:pPr>
      <w:r w:rsidRPr="00E45AA2">
        <w:rPr>
          <w:rFonts w:ascii="Times New Roman" w:hAnsi="Times New Roman" w:cs="Times New Roman"/>
          <w:szCs w:val="24"/>
          <w:lang w:val="lv-LV"/>
        </w:rPr>
        <w:t>3.  Tiesa nenoliedz, ka</w:t>
      </w:r>
      <w:r w:rsidRPr="00E45AA2">
        <w:rPr>
          <w:rFonts w:ascii="Times New Roman" w:hAnsi="Times New Roman" w:cs="Times New Roman"/>
          <w:szCs w:val="24"/>
          <w:lang w:val="lv-LV" w:eastAsia="fr-FR"/>
        </w:rPr>
        <w:t xml:space="preserve"> „lēmumu izpildīt ārvalstu spriedumu nevar uzskatīt par atbilstošu Konvencijas 6. panta 1. punktam, ja tas ir ticis pieņemts, nedodot zaudējušajai pusei iespēju efektīvi pamatot savu sūdzību pret tādas tiesvedības netaisnīgumu, kas novedusi pie šāda sprieduma, vai tas būtu izcelsmes valstī, vai uzrunātajā valstī” (skatīt 98. punktu). </w:t>
      </w:r>
    </w:p>
    <w:p w:rsidR="0013508E" w:rsidRPr="00E45AA2" w:rsidRDefault="0013508E" w:rsidP="0013508E">
      <w:pPr>
        <w:pStyle w:val="OpiPara"/>
        <w:rPr>
          <w:rFonts w:ascii="Times New Roman" w:hAnsi="Times New Roman" w:cs="Times New Roman"/>
          <w:szCs w:val="24"/>
          <w:lang w:val="lv-LV"/>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 xml:space="preserve">4.  Tomēr Tiesa uzskata: </w:t>
      </w: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rPr>
        <w:t>a)  Nacionālajām tiesām netika sniegta nekāda rīcības brīvība pārskatīt šo jautājumu, jo lieta bija jāizskata saskaņā ar Briseles I regulu, kas saskaņā ar EST interpretāciju (vismaz tā, kā to saprot Tiesa) nepiešķir nekādu rīcības brīvību attiecībā uz izvērtēšanu;</w:t>
      </w:r>
    </w:p>
    <w:p w:rsidR="0013508E" w:rsidRPr="00E45AA2" w:rsidRDefault="0013508E" w:rsidP="0013508E">
      <w:pPr>
        <w:pStyle w:val="OpiPara"/>
        <w:rPr>
          <w:rFonts w:ascii="Times New Roman" w:hAnsi="Times New Roman" w:cs="Times New Roman"/>
          <w:szCs w:val="24"/>
          <w:lang w:val="lv-LV" w:eastAsia="fr-FR"/>
        </w:rPr>
      </w:pPr>
      <w:r w:rsidRPr="00E45AA2">
        <w:rPr>
          <w:rFonts w:ascii="Times New Roman" w:hAnsi="Times New Roman" w:cs="Times New Roman"/>
          <w:szCs w:val="24"/>
          <w:lang w:val="lv-LV"/>
        </w:rPr>
        <w:t>b)  Tomēr šāds aizliegums pārskatīt nacionālās tiesvedības taisnīgumu Kipras sprieduma izpild</w:t>
      </w:r>
      <w:r w:rsidR="00F451BA">
        <w:rPr>
          <w:rFonts w:ascii="Times New Roman" w:hAnsi="Times New Roman" w:cs="Times New Roman"/>
          <w:szCs w:val="24"/>
          <w:lang w:val="lv-LV"/>
        </w:rPr>
        <w:t>es</w:t>
      </w:r>
      <w:r w:rsidRPr="00E45AA2">
        <w:rPr>
          <w:rFonts w:ascii="Times New Roman" w:hAnsi="Times New Roman" w:cs="Times New Roman"/>
          <w:szCs w:val="24"/>
          <w:lang w:val="lv-LV"/>
        </w:rPr>
        <w:t xml:space="preserve"> kontekstā nerada problēmu, jo tiek uzskatīts, ka tiesību sistēma, kas to aizliedz, nodrošina pietiekamu aizsardzību. Ja pienācīgas aizsardzības trūkums izriet no ES tiesību aktiem, vienalga pastāv, vismaz no pirmā acu uzmetiena raugoties, pienācīga aizsardzība, jo „</w:t>
      </w:r>
      <w:r w:rsidRPr="00E45AA2">
        <w:rPr>
          <w:rFonts w:ascii="Times New Roman" w:hAnsi="Times New Roman" w:cs="Times New Roman"/>
          <w:szCs w:val="24"/>
          <w:lang w:val="lv-LV" w:eastAsia="fr-FR"/>
        </w:rPr>
        <w:t>Eiropas Savienībā izmantotie uzraud</w:t>
      </w:r>
      <w:r w:rsidR="00F10AA2">
        <w:rPr>
          <w:rFonts w:ascii="Times New Roman" w:hAnsi="Times New Roman" w:cs="Times New Roman"/>
          <w:szCs w:val="24"/>
          <w:lang w:val="lv-LV" w:eastAsia="fr-FR"/>
        </w:rPr>
        <w:t xml:space="preserve">zības mehānismi nodrošina tādu </w:t>
      </w:r>
      <w:r w:rsidRPr="00E45AA2">
        <w:rPr>
          <w:rFonts w:ascii="Times New Roman" w:hAnsi="Times New Roman" w:cs="Times New Roman"/>
          <w:szCs w:val="24"/>
          <w:lang w:val="lv-LV" w:eastAsia="fr-FR"/>
        </w:rPr>
        <w:t xml:space="preserve">aizsardzības līmeni, kas ir līdzvērtīgs Konvencijas sniegtajiem mehānismiem” (skatīt 109. punktu ar atsauci uz </w:t>
      </w:r>
      <w:r w:rsidRPr="00E45AA2">
        <w:rPr>
          <w:rFonts w:ascii="Times New Roman" w:hAnsi="Times New Roman" w:cs="Times New Roman"/>
          <w:i/>
          <w:szCs w:val="24"/>
          <w:lang w:val="lv-LV" w:eastAsia="fr-FR"/>
        </w:rPr>
        <w:t>Bosphorus</w:t>
      </w:r>
      <w:r w:rsidRPr="00E45AA2">
        <w:rPr>
          <w:rFonts w:ascii="Times New Roman" w:hAnsi="Times New Roman" w:cs="Times New Roman"/>
          <w:szCs w:val="24"/>
          <w:lang w:val="lv-LV" w:eastAsia="fr-FR"/>
        </w:rPr>
        <w:t>);</w:t>
      </w:r>
    </w:p>
    <w:p w:rsidR="0013508E" w:rsidRPr="00E45AA2" w:rsidRDefault="0013508E" w:rsidP="0013508E">
      <w:pPr>
        <w:pStyle w:val="OpiPara"/>
        <w:rPr>
          <w:rFonts w:ascii="Times New Roman" w:hAnsi="Times New Roman" w:cs="Times New Roman"/>
          <w:szCs w:val="24"/>
          <w:lang w:val="lv-LV" w:eastAsia="fr-FR"/>
        </w:rPr>
      </w:pPr>
      <w:r w:rsidRPr="00E45AA2">
        <w:rPr>
          <w:rFonts w:ascii="Times New Roman" w:hAnsi="Times New Roman" w:cs="Times New Roman"/>
          <w:szCs w:val="24"/>
          <w:lang w:val="lv-LV" w:eastAsia="fr-FR"/>
        </w:rPr>
        <w:t>c)  Šī lieta ir par (savstarpēj</w:t>
      </w:r>
      <w:r w:rsidR="001607B0">
        <w:rPr>
          <w:rFonts w:ascii="Times New Roman" w:hAnsi="Times New Roman" w:cs="Times New Roman"/>
          <w:szCs w:val="24"/>
          <w:lang w:val="lv-LV" w:eastAsia="fr-FR"/>
        </w:rPr>
        <w:t>u</w:t>
      </w:r>
      <w:r w:rsidRPr="00E45AA2">
        <w:rPr>
          <w:rFonts w:ascii="Times New Roman" w:hAnsi="Times New Roman" w:cs="Times New Roman"/>
          <w:szCs w:val="24"/>
          <w:lang w:val="lv-LV" w:eastAsia="fr-FR"/>
        </w:rPr>
        <w:t>) (ār</w:t>
      </w:r>
      <w:r w:rsidR="00995842">
        <w:rPr>
          <w:rFonts w:ascii="Times New Roman" w:hAnsi="Times New Roman" w:cs="Times New Roman"/>
          <w:szCs w:val="24"/>
          <w:lang w:val="lv-LV" w:eastAsia="fr-FR"/>
        </w:rPr>
        <w:t>valstu</w:t>
      </w:r>
      <w:r w:rsidRPr="00E45AA2">
        <w:rPr>
          <w:rFonts w:ascii="Times New Roman" w:hAnsi="Times New Roman" w:cs="Times New Roman"/>
          <w:szCs w:val="24"/>
          <w:lang w:val="lv-LV" w:eastAsia="fr-FR"/>
        </w:rPr>
        <w:t>) spriedumu atzīšanu;</w:t>
      </w:r>
    </w:p>
    <w:p w:rsidR="0013508E" w:rsidRPr="00E45AA2" w:rsidRDefault="0013508E" w:rsidP="0013508E">
      <w:pPr>
        <w:pStyle w:val="OpiPara"/>
        <w:rPr>
          <w:rFonts w:ascii="Times New Roman" w:hAnsi="Times New Roman" w:cs="Times New Roman"/>
          <w:szCs w:val="24"/>
          <w:lang w:val="lv-LV" w:eastAsia="fr-FR"/>
        </w:rPr>
      </w:pPr>
      <w:r w:rsidRPr="00E45AA2">
        <w:rPr>
          <w:rFonts w:ascii="Times New Roman" w:hAnsi="Times New Roman" w:cs="Times New Roman"/>
          <w:szCs w:val="24"/>
          <w:lang w:val="lv-LV" w:eastAsia="fr-FR"/>
        </w:rPr>
        <w:t>d)  R</w:t>
      </w:r>
      <w:r w:rsidR="00771C6A">
        <w:rPr>
          <w:rFonts w:ascii="Times New Roman" w:hAnsi="Times New Roman" w:cs="Times New Roman"/>
          <w:szCs w:val="24"/>
          <w:lang w:val="lv-LV" w:eastAsia="fr-FR"/>
        </w:rPr>
        <w:t>unājot par spriedumu savstarpējā</w:t>
      </w:r>
      <w:r w:rsidRPr="00E45AA2">
        <w:rPr>
          <w:rFonts w:ascii="Times New Roman" w:hAnsi="Times New Roman" w:cs="Times New Roman"/>
          <w:szCs w:val="24"/>
          <w:lang w:val="lv-LV" w:eastAsia="fr-FR"/>
        </w:rPr>
        <w:t xml:space="preserve">s atzīšanas mehānismu Eiropas Savienībā, </w:t>
      </w:r>
      <w:r w:rsidRPr="00E45AA2">
        <w:rPr>
          <w:rFonts w:ascii="Times New Roman" w:hAnsi="Times New Roman" w:cs="Times New Roman"/>
          <w:i/>
          <w:szCs w:val="24"/>
          <w:lang w:val="lv-LV" w:eastAsia="fr-FR"/>
        </w:rPr>
        <w:t>Bosphorus</w:t>
      </w:r>
      <w:r w:rsidRPr="00E45AA2">
        <w:rPr>
          <w:rFonts w:ascii="Times New Roman" w:hAnsi="Times New Roman" w:cs="Times New Roman"/>
          <w:szCs w:val="24"/>
          <w:lang w:val="lv-LV" w:eastAsia="fr-FR"/>
        </w:rPr>
        <w:t xml:space="preserve"> līdzvērtī</w:t>
      </w:r>
      <w:r w:rsidR="001923F0">
        <w:rPr>
          <w:rFonts w:ascii="Times New Roman" w:hAnsi="Times New Roman" w:cs="Times New Roman"/>
          <w:szCs w:val="24"/>
          <w:lang w:val="lv-LV" w:eastAsia="fr-FR"/>
        </w:rPr>
        <w:t>gā</w:t>
      </w:r>
      <w:r w:rsidRPr="00E45AA2">
        <w:rPr>
          <w:rFonts w:ascii="Times New Roman" w:hAnsi="Times New Roman" w:cs="Times New Roman"/>
          <w:szCs w:val="24"/>
          <w:lang w:val="lv-LV" w:eastAsia="fr-FR"/>
        </w:rPr>
        <w:t xml:space="preserve">s aizsardzības prezumpcija ir piemērojama tādējādi, ka vienīgi </w:t>
      </w:r>
      <w:r w:rsidR="00730F2E">
        <w:rPr>
          <w:rFonts w:ascii="Times New Roman" w:hAnsi="Times New Roman" w:cs="Times New Roman"/>
          <w:szCs w:val="24"/>
          <w:lang w:val="lv-LV" w:eastAsia="fr-FR"/>
        </w:rPr>
        <w:t xml:space="preserve">acīmredzami </w:t>
      </w:r>
      <w:r w:rsidRPr="00E45AA2">
        <w:rPr>
          <w:rFonts w:ascii="Times New Roman" w:hAnsi="Times New Roman" w:cs="Times New Roman"/>
          <w:szCs w:val="24"/>
          <w:lang w:val="lv-LV" w:eastAsia="fr-FR"/>
        </w:rPr>
        <w:t>trūkumi Konvencijas tiesību nodrošināšanā rada neskaidrības saskaņā ar Konvenciju;</w:t>
      </w:r>
    </w:p>
    <w:p w:rsidR="0013508E" w:rsidRPr="00E45AA2" w:rsidRDefault="00BF46BA" w:rsidP="0013508E">
      <w:pPr>
        <w:pStyle w:val="OpiPara"/>
        <w:rPr>
          <w:rFonts w:ascii="Times New Roman" w:hAnsi="Times New Roman" w:cs="Times New Roman"/>
          <w:szCs w:val="24"/>
          <w:lang w:val="lv-LV" w:eastAsia="fr-FR"/>
        </w:rPr>
      </w:pPr>
      <w:r>
        <w:rPr>
          <w:rFonts w:ascii="Times New Roman" w:hAnsi="Times New Roman" w:cs="Times New Roman"/>
          <w:szCs w:val="24"/>
          <w:lang w:val="lv-LV" w:eastAsia="fr-FR"/>
        </w:rPr>
        <w:lastRenderedPageBreak/>
        <w:t xml:space="preserve">e)  Šādu acīmredzamu trūkumu </w:t>
      </w:r>
      <w:r w:rsidR="0013508E" w:rsidRPr="00E45AA2">
        <w:rPr>
          <w:rFonts w:ascii="Times New Roman" w:hAnsi="Times New Roman" w:cs="Times New Roman"/>
          <w:szCs w:val="24"/>
          <w:lang w:val="lv-LV" w:eastAsia="fr-FR"/>
        </w:rPr>
        <w:t>nebija, lai gan Latvijas Augstākās tiesas Senāts neizskatīja jautājumu par tiesiskās aizsardzības līdzekļu pieejamību izcelsmes valstī;</w:t>
      </w:r>
    </w:p>
    <w:p w:rsidR="0013508E" w:rsidRPr="00E45AA2" w:rsidRDefault="0013508E" w:rsidP="0013508E">
      <w:pPr>
        <w:pStyle w:val="OpiPara"/>
        <w:rPr>
          <w:rFonts w:ascii="Times New Roman" w:hAnsi="Times New Roman" w:cs="Times New Roman"/>
          <w:szCs w:val="24"/>
          <w:lang w:val="lv-LV" w:eastAsia="fr-FR"/>
        </w:rPr>
      </w:pPr>
      <w:r w:rsidRPr="00E45AA2">
        <w:rPr>
          <w:rFonts w:ascii="Times New Roman" w:hAnsi="Times New Roman" w:cs="Times New Roman"/>
          <w:szCs w:val="24"/>
          <w:lang w:val="lv-LV" w:eastAsia="fr-FR"/>
        </w:rPr>
        <w:t xml:space="preserve">f)  Saskaņā ar Kipras valdības viedokli, ko „puses neapstrīdēja”, Kiprā nav bijis „patiesi reālas pārsūdzēšanas iespējas”. </w:t>
      </w:r>
    </w:p>
    <w:p w:rsidR="0013508E" w:rsidRPr="00E45AA2" w:rsidRDefault="0013508E" w:rsidP="0013508E">
      <w:pPr>
        <w:pStyle w:val="OpiPara"/>
        <w:rPr>
          <w:rFonts w:ascii="Times New Roman" w:hAnsi="Times New Roman" w:cs="Times New Roman"/>
          <w:szCs w:val="24"/>
          <w:lang w:val="lv-LV" w:eastAsia="fr-FR"/>
        </w:rPr>
      </w:pPr>
    </w:p>
    <w:p w:rsidR="0013508E" w:rsidRPr="00E45AA2" w:rsidRDefault="0013508E" w:rsidP="0013508E">
      <w:pPr>
        <w:pStyle w:val="OpiPara"/>
        <w:rPr>
          <w:rFonts w:ascii="Times New Roman" w:hAnsi="Times New Roman" w:cs="Times New Roman"/>
          <w:szCs w:val="24"/>
          <w:lang w:val="lv-LV" w:eastAsia="fr-FR"/>
        </w:rPr>
      </w:pPr>
      <w:r w:rsidRPr="00E45AA2">
        <w:rPr>
          <w:rFonts w:ascii="Times New Roman" w:hAnsi="Times New Roman" w:cs="Times New Roman"/>
          <w:szCs w:val="24"/>
          <w:lang w:val="lv-LV" w:eastAsia="fr-FR"/>
        </w:rPr>
        <w:t xml:space="preserve">5.  Ja tomēr faktiskais pieņēmums saskaņā ar f) punktu ir pareizs, iesniegums būtu bijis jāpasludina par nepieņemamu izskatīšanai un nebūtu bijis nepieciešams paļauties uz </w:t>
      </w:r>
      <w:r w:rsidRPr="00E45AA2">
        <w:rPr>
          <w:rFonts w:ascii="Times New Roman" w:hAnsi="Times New Roman" w:cs="Times New Roman"/>
          <w:i/>
          <w:szCs w:val="24"/>
          <w:lang w:val="lv-LV" w:eastAsia="fr-FR"/>
        </w:rPr>
        <w:t>Bosphorus</w:t>
      </w:r>
      <w:r w:rsidRPr="00E45AA2">
        <w:rPr>
          <w:rFonts w:ascii="Times New Roman" w:hAnsi="Times New Roman" w:cs="Times New Roman"/>
          <w:szCs w:val="24"/>
          <w:lang w:val="lv-LV" w:eastAsia="fr-FR"/>
        </w:rPr>
        <w:t xml:space="preserve"> prezumpciju un acīmredzama trūkuma aspektu. Tomēr Tiesa pati ir noteikusi un pusēm (un Tiesai) ir jāpaļaujas – Eiropas Cilvēktiesību tiesas tiesvedībā – uz to, ko ņēmušas vērā nacionālās tiesas. Saskaņā ar Latvijas Augstākās tiesas Senāta spriedumu „Limasolas apgabaltiesas spriedums kļuva galīgs”, jo, līdz ar citiem iemesliem, tas nav ticis pārsūdzēts (to nevar pārmest iesniedzējam). Tomēr tieši šādas pārsūdzības neiespējamība ir procesuālā taisnīguma trūkuma pamatā – bez pienācīgas informēšanas tiesved</w:t>
      </w:r>
      <w:r w:rsidR="00F10AA2">
        <w:rPr>
          <w:rFonts w:ascii="Times New Roman" w:hAnsi="Times New Roman" w:cs="Times New Roman"/>
          <w:szCs w:val="24"/>
          <w:lang w:val="lv-LV" w:eastAsia="fr-FR"/>
        </w:rPr>
        <w:t>ībā pārsūdzība nebija iespējama</w:t>
      </w:r>
      <w:r w:rsidRPr="00E45AA2">
        <w:rPr>
          <w:rFonts w:ascii="Times New Roman" w:hAnsi="Times New Roman" w:cs="Times New Roman"/>
          <w:szCs w:val="24"/>
          <w:lang w:val="lv-LV" w:eastAsia="fr-FR"/>
        </w:rPr>
        <w:t xml:space="preserve">. Es nesaskatu, kurā brīdī nacionālās tiesvedības ietvaros iesniedzējs būtu varējis rosināt jautājumu par pārsūdzības iespējām Kiprā - </w:t>
      </w:r>
      <w:r w:rsidR="001607B0">
        <w:rPr>
          <w:rFonts w:ascii="Times New Roman" w:hAnsi="Times New Roman" w:cs="Times New Roman"/>
          <w:szCs w:val="24"/>
          <w:lang w:val="lv-LV" w:eastAsia="fr-FR"/>
        </w:rPr>
        <w:t>šādas</w:t>
      </w:r>
      <w:r w:rsidRPr="00E45AA2">
        <w:rPr>
          <w:rFonts w:ascii="Times New Roman" w:hAnsi="Times New Roman" w:cs="Times New Roman"/>
          <w:szCs w:val="24"/>
          <w:lang w:val="lv-LV" w:eastAsia="fr-FR"/>
        </w:rPr>
        <w:t xml:space="preserve"> iespējas neesamību pieņēma visas puses un nacionālās tiesas, un vienīgais strīdus aspekts bija par to, vai šāds spriedums, kas pasludināts, pārkāpjot taisnīgas tiesvedības prasības, ir izpildāms vai nē. Tomēr Latvijas Augstākās tiesas Senāta spriedums un Tiesa vaino iesniedzēju, lai gan izpildes tiesvedība jau bija uzsākta un vienīgais neskaidrais jautājums bija par to, vai spriedums, kas pasludināts, neievērojot tiesas sēdes kārtības prasības, var tikt izpildīts. </w:t>
      </w:r>
    </w:p>
    <w:p w:rsidR="0013508E" w:rsidRPr="00E45AA2" w:rsidRDefault="0013508E" w:rsidP="0013508E">
      <w:pPr>
        <w:pStyle w:val="OpiPara"/>
        <w:rPr>
          <w:rFonts w:ascii="Times New Roman" w:hAnsi="Times New Roman" w:cs="Times New Roman"/>
          <w:szCs w:val="24"/>
          <w:lang w:val="lv-LV" w:eastAsia="fr-FR"/>
        </w:rPr>
      </w:pPr>
    </w:p>
    <w:p w:rsidR="0013508E" w:rsidRPr="00E45AA2" w:rsidRDefault="0013508E" w:rsidP="0013508E">
      <w:pPr>
        <w:pStyle w:val="OpiPara"/>
        <w:rPr>
          <w:rFonts w:ascii="Times New Roman" w:hAnsi="Times New Roman" w:cs="Times New Roman"/>
          <w:szCs w:val="24"/>
          <w:lang w:val="lv-LV" w:eastAsia="fr-FR"/>
        </w:rPr>
      </w:pPr>
      <w:r w:rsidRPr="00E45AA2">
        <w:rPr>
          <w:rFonts w:ascii="Times New Roman" w:hAnsi="Times New Roman" w:cs="Times New Roman"/>
          <w:szCs w:val="24"/>
          <w:lang w:val="lv-LV" w:eastAsia="fr-FR"/>
        </w:rPr>
        <w:t xml:space="preserve">6.  Pati Tiesa apzinās Latvijas tiesvedības trūkumus, un tā ir atzinusi, ka Latvijas nacionālās tiesa nesprieda par pārsūdzības pieejamību Kiprā (vismaz ciktāl tas skāra pierādīšanas pienākumu attiecībā uz šādas iespējas esamību) iztiesāšanas procesā, kas novestu pie pamatotiem secinājumiem. Tomēr saskaņā ar spriedumu šis trūkums nesasniedza acīmredzama trūkuma līmeni. Tas ir piemērojamais </w:t>
      </w:r>
      <w:r w:rsidR="001923F0">
        <w:rPr>
          <w:rFonts w:ascii="Times New Roman" w:hAnsi="Times New Roman" w:cs="Times New Roman"/>
          <w:szCs w:val="24"/>
          <w:lang w:val="lv-LV" w:eastAsia="fr-FR"/>
        </w:rPr>
        <w:t>slieksnis prezumētās līdzvērtīgā</w:t>
      </w:r>
      <w:r w:rsidRPr="00E45AA2">
        <w:rPr>
          <w:rFonts w:ascii="Times New Roman" w:hAnsi="Times New Roman" w:cs="Times New Roman"/>
          <w:szCs w:val="24"/>
          <w:lang w:val="lv-LV" w:eastAsia="fr-FR"/>
        </w:rPr>
        <w:t xml:space="preserve">s aizsardzības situācijās savstarpējas atzīšanas jautājumos. Tieši minimālā pārbaude bija par iemeslu tam, ka Tiesa varēja uzskatīt, ka lietā nav noticis pārkāpuma, jo, tā kā tiek uzskatīts, ka viņš nepārsūdzēja spriedumu Kiprā, „trūkumi, ko Latvija diemžēl ir pieļāvusi”, nesasniedz šāda acīmredzama pārkāpuma līmeni. </w:t>
      </w:r>
    </w:p>
    <w:p w:rsidR="0013508E" w:rsidRPr="00E45AA2" w:rsidRDefault="0013508E" w:rsidP="0013508E">
      <w:pPr>
        <w:pStyle w:val="OpiPara"/>
        <w:rPr>
          <w:rFonts w:ascii="Times New Roman" w:hAnsi="Times New Roman" w:cs="Times New Roman"/>
          <w:szCs w:val="24"/>
          <w:lang w:val="lv-LV" w:eastAsia="fr-FR"/>
        </w:rPr>
      </w:pPr>
    </w:p>
    <w:p w:rsidR="0013508E" w:rsidRPr="00E45AA2" w:rsidRDefault="0013508E" w:rsidP="0013508E">
      <w:pPr>
        <w:pStyle w:val="OpiPara"/>
        <w:rPr>
          <w:rFonts w:ascii="Times New Roman" w:hAnsi="Times New Roman" w:cs="Times New Roman"/>
          <w:szCs w:val="24"/>
          <w:lang w:val="lv-LV" w:eastAsia="fr-FR"/>
        </w:rPr>
      </w:pPr>
      <w:r w:rsidRPr="00E45AA2">
        <w:rPr>
          <w:rFonts w:ascii="Times New Roman" w:hAnsi="Times New Roman" w:cs="Times New Roman"/>
          <w:szCs w:val="24"/>
          <w:lang w:val="lv-LV" w:eastAsia="fr-FR"/>
        </w:rPr>
        <w:t xml:space="preserve">7.  Šajā brīdī man ir jāatskaņo mani iebildumi par </w:t>
      </w:r>
      <w:r w:rsidRPr="00E45AA2">
        <w:rPr>
          <w:rFonts w:ascii="Times New Roman" w:hAnsi="Times New Roman" w:cs="Times New Roman"/>
          <w:i/>
          <w:szCs w:val="24"/>
          <w:lang w:val="lv-LV" w:eastAsia="fr-FR"/>
        </w:rPr>
        <w:t>Bosphorus</w:t>
      </w:r>
      <w:r w:rsidRPr="00E45AA2">
        <w:rPr>
          <w:rFonts w:ascii="Times New Roman" w:hAnsi="Times New Roman" w:cs="Times New Roman"/>
          <w:szCs w:val="24"/>
          <w:lang w:val="lv-LV" w:eastAsia="fr-FR"/>
        </w:rPr>
        <w:t xml:space="preserve"> principu, it sevišķi par tā piemērošanu attiecībā uz Regulu, kas, iespējams, nepiedāvā </w:t>
      </w:r>
      <w:r w:rsidRPr="00E45AA2">
        <w:rPr>
          <w:rFonts w:ascii="Times New Roman" w:hAnsi="Times New Roman" w:cs="Times New Roman"/>
          <w:szCs w:val="24"/>
          <w:lang w:val="lv-LV" w:eastAsia="fr-FR"/>
        </w:rPr>
        <w:lastRenderedPageBreak/>
        <w:t>rīcības brīvību tiem apsvērumiem, kas izriet no Konvencijas.</w:t>
      </w:r>
      <w:r w:rsidRPr="00E45AA2">
        <w:rPr>
          <w:rStyle w:val="FootnoteReference"/>
          <w:rFonts w:ascii="Times New Roman" w:hAnsi="Times New Roman" w:cs="Times New Roman"/>
          <w:szCs w:val="24"/>
          <w:lang w:val="lv-LV" w:eastAsia="fr-FR"/>
        </w:rPr>
        <w:footnoteReference w:id="1"/>
      </w:r>
      <w:r w:rsidRPr="00E45AA2">
        <w:rPr>
          <w:rFonts w:ascii="Times New Roman" w:hAnsi="Times New Roman" w:cs="Times New Roman"/>
          <w:szCs w:val="24"/>
          <w:lang w:val="lv-LV" w:eastAsia="fr-FR"/>
        </w:rPr>
        <w:t xml:space="preserve"> Standarta pamatojums </w:t>
      </w:r>
      <w:r w:rsidRPr="00E45AA2">
        <w:rPr>
          <w:rFonts w:ascii="Times New Roman" w:hAnsi="Times New Roman" w:cs="Times New Roman"/>
          <w:i/>
          <w:szCs w:val="24"/>
          <w:lang w:val="lv-LV" w:eastAsia="fr-FR"/>
        </w:rPr>
        <w:t xml:space="preserve">Bosphorus </w:t>
      </w:r>
      <w:r w:rsidR="00BC2351">
        <w:rPr>
          <w:rFonts w:ascii="Times New Roman" w:hAnsi="Times New Roman" w:cs="Times New Roman"/>
          <w:szCs w:val="24"/>
          <w:lang w:val="lv-LV" w:eastAsia="fr-FR"/>
        </w:rPr>
        <w:t>principam, ko augstāk</w:t>
      </w:r>
      <w:r w:rsidRPr="00E45AA2">
        <w:rPr>
          <w:rFonts w:ascii="Times New Roman" w:hAnsi="Times New Roman" w:cs="Times New Roman"/>
          <w:szCs w:val="24"/>
          <w:lang w:val="lv-LV" w:eastAsia="fr-FR"/>
        </w:rPr>
        <w:t xml:space="preserve">minētajos apstākļos piemēro Tiesa, ir tāds, ka ES tiesību sistēma jau ņem vērā Konvencijas vērtības un tiesības un ka tā nodrošina to aizsardzību, pateicoties EST. Patiešām ir pamats pieņemt, ka gadījumos, kad valstis nodod savu suverenitāti starptautiskai organizācijai, kas atzīst Konvencijas pamattiesības, kā to paredz tieši piemērojamā Pamattiesību harta (52. panta 3. punkts), tiesības tiks aizsargātas. Patiešām pastāv juridisks mehānisms (EST), kura uzdevums ir nodrošināt, lai šīs tiesības tiešām tiktu aizsargātas. </w:t>
      </w:r>
    </w:p>
    <w:p w:rsidR="0013508E" w:rsidRPr="00E45AA2" w:rsidRDefault="0013508E" w:rsidP="0013508E">
      <w:pPr>
        <w:pStyle w:val="OpiPara"/>
        <w:rPr>
          <w:rFonts w:ascii="Times New Roman" w:hAnsi="Times New Roman" w:cs="Times New Roman"/>
          <w:szCs w:val="24"/>
          <w:lang w:val="lv-LV" w:eastAsia="fr-FR"/>
        </w:rPr>
      </w:pPr>
    </w:p>
    <w:p w:rsidR="0013508E" w:rsidRPr="00E45AA2" w:rsidRDefault="0013508E" w:rsidP="0013508E">
      <w:pPr>
        <w:pStyle w:val="OpiPara"/>
        <w:rPr>
          <w:rFonts w:ascii="Times New Roman" w:hAnsi="Times New Roman" w:cs="Times New Roman"/>
          <w:szCs w:val="24"/>
          <w:lang w:val="lv-LV" w:eastAsia="fr-FR"/>
        </w:rPr>
      </w:pPr>
      <w:r w:rsidRPr="00E45AA2">
        <w:rPr>
          <w:rFonts w:ascii="Times New Roman" w:hAnsi="Times New Roman" w:cs="Times New Roman"/>
          <w:szCs w:val="24"/>
          <w:lang w:val="lv-LV" w:eastAsia="fr-FR"/>
        </w:rPr>
        <w:t>8.  Turklāt ir papildu pamatojums</w:t>
      </w:r>
      <w:r w:rsidRPr="00E45AA2" w:rsidDel="00F668DD">
        <w:rPr>
          <w:rFonts w:ascii="Times New Roman" w:hAnsi="Times New Roman" w:cs="Times New Roman"/>
          <w:szCs w:val="24"/>
          <w:lang w:val="lv-LV" w:eastAsia="fr-FR"/>
        </w:rPr>
        <w:t xml:space="preserve"> </w:t>
      </w:r>
      <w:r w:rsidRPr="00E45AA2">
        <w:rPr>
          <w:rFonts w:ascii="Times New Roman" w:hAnsi="Times New Roman" w:cs="Times New Roman"/>
          <w:szCs w:val="24"/>
          <w:lang w:val="lv-LV" w:eastAsia="fr-FR"/>
        </w:rPr>
        <w:t>ac</w:t>
      </w:r>
      <w:r w:rsidR="00BC2351">
        <w:rPr>
          <w:rFonts w:ascii="Times New Roman" w:hAnsi="Times New Roman" w:cs="Times New Roman"/>
          <w:szCs w:val="24"/>
          <w:lang w:val="lv-LV" w:eastAsia="fr-FR"/>
        </w:rPr>
        <w:t>īmredzama trūkuma pārbaudīšanai</w:t>
      </w:r>
      <w:r w:rsidRPr="00E45AA2">
        <w:rPr>
          <w:rFonts w:ascii="Times New Roman" w:hAnsi="Times New Roman" w:cs="Times New Roman"/>
          <w:szCs w:val="24"/>
          <w:lang w:val="lv-LV" w:eastAsia="fr-FR"/>
        </w:rPr>
        <w:t>, kas tiek piem</w:t>
      </w:r>
      <w:r w:rsidR="00BC2351">
        <w:rPr>
          <w:rFonts w:ascii="Times New Roman" w:hAnsi="Times New Roman" w:cs="Times New Roman"/>
          <w:szCs w:val="24"/>
          <w:lang w:val="lv-LV" w:eastAsia="fr-FR"/>
        </w:rPr>
        <w:t>ērots savstarpējās uzticēšanās/</w:t>
      </w:r>
      <w:r w:rsidRPr="00E45AA2">
        <w:rPr>
          <w:rFonts w:ascii="Times New Roman" w:hAnsi="Times New Roman" w:cs="Times New Roman"/>
          <w:szCs w:val="24"/>
          <w:lang w:val="lv-LV" w:eastAsia="fr-FR"/>
        </w:rPr>
        <w:t xml:space="preserve">atzīšanas kontekstā – tiek apgalvots, ka tā kalpo starptautiskās sadarbības interesēm. Tomēr, pat pieņemot, ka ES sistēma, pateicoties EST, nodrošina līdzvērtīgu aizsardzību gan materiālo tiesību ziņā, gan procesuāli, nevienam nevajadzētu upurēt Konvencijā noteiktās tiesības starptautiskās sadarbības labā; tas ir apsvērums, kas netiek atzīts Konvencijas argumentācijā par tiesību ierobežošanu. Es redzu labus, praktiskus iemeslus, kāpēc tiek piemērotas prezumpcijas par labu Konvencijā noteikto kontroles standartu atbilstībai tādas reģionālas, starptautiskas organizācijas ietvaros kā ES, kas skaidri atzīst Konvencijas tiesības (vismaz kopš Hartas piemērojamības). Valstu savstarpējo tiesību atzīšana šajā aspektā pelna noteiktu cieņu. Tomēr prasība ievērot cilvēktiesības ES tiesību avotos nepadara šīs Tiesas lomu būtiski atšķirīgu no tās nacionālo konstitucionālo sistēmu pārraudzītāja lomas. Galu galā Konvencijas tiesības nodrošina attiecīgās konstitūcijas un nacionālās tiesību iestādes. Turklāt šajā gadījumā EST nebija iespējas sniegt vēlamo cilvēktiesību aizsardzību. Lai gan ir taisnība, ka ES dalībvalstis saskaņā ar ES tiesību aktiem var tikt aicinātas ievērot Konvencijā noteiktās tiesības, un tādēļ citu valstu tiesas var pieņemt, ka šī prasība tikusi ievērota, nepastāv nekā tāda, kas automātiski garantētu, ka pirmā valsts patiešām ir ievērojusi šo prasību, tādēļ otrā valsts, pat uzticoties pirmajai valstij, nav atbrīvojama no atbildības. Pat ja šī otra valsts ir atbrīvota no pienākuma veikt padziļinātu izmeklēšanu pēc savas iniciatīvas, tai tomēr vajadzētu veikt pārbaudi tādā apmērā, kas nepieciešams efektīvai tiesību aizsardzībai, un ja iesniedzējs </w:t>
      </w:r>
      <w:r w:rsidRPr="00E45AA2">
        <w:rPr>
          <w:rFonts w:ascii="Times New Roman" w:hAnsi="Times New Roman" w:cs="Times New Roman"/>
          <w:i/>
          <w:szCs w:val="24"/>
          <w:lang w:val="lv-LV" w:eastAsia="fr-FR"/>
        </w:rPr>
        <w:t>prima facie</w:t>
      </w:r>
      <w:r w:rsidRPr="00E45AA2">
        <w:rPr>
          <w:rFonts w:ascii="Times New Roman" w:hAnsi="Times New Roman" w:cs="Times New Roman"/>
          <w:szCs w:val="24"/>
          <w:lang w:val="lv-LV" w:eastAsia="fr-FR"/>
        </w:rPr>
        <w:t xml:space="preserve"> apgalvo, ka pirmajā valstī nav ievērotas cilvēktiesības. Pretējā gadījumā tiks radīta no Konvencijas nodrošinātās kontroles neatkarīga sistēma. Ir jāizsaka nožēla, ka Latvijas Augstākā tiesa neļāva ES tiesību sistēmai pārbaudīt šo pieņēmumu. Tiesai jāturpina vērtēt, vai valstu darbības, neatkarīgi no to izcelsmes, atbilst Konvencijai, savukārt valstis ir un paliks atbildīgas par savu Konvencijā noteikto pienākumu pildīšanu. </w:t>
      </w:r>
    </w:p>
    <w:p w:rsidR="0013508E" w:rsidRPr="00E45AA2" w:rsidRDefault="0013508E" w:rsidP="0013508E">
      <w:pPr>
        <w:pStyle w:val="OpiPara"/>
        <w:rPr>
          <w:rFonts w:ascii="Times New Roman" w:hAnsi="Times New Roman" w:cs="Times New Roman"/>
          <w:szCs w:val="24"/>
          <w:lang w:val="lv-LV" w:eastAsia="fr-FR"/>
        </w:rPr>
      </w:pPr>
    </w:p>
    <w:p w:rsidR="0013508E" w:rsidRPr="00E45AA2" w:rsidRDefault="0013508E" w:rsidP="0013508E">
      <w:pPr>
        <w:pStyle w:val="OpiPara"/>
        <w:rPr>
          <w:rFonts w:ascii="Times New Roman" w:hAnsi="Times New Roman" w:cs="Times New Roman"/>
          <w:szCs w:val="24"/>
          <w:lang w:val="lv-LV"/>
        </w:rPr>
      </w:pPr>
      <w:r w:rsidRPr="00E45AA2">
        <w:rPr>
          <w:rFonts w:ascii="Times New Roman" w:hAnsi="Times New Roman" w:cs="Times New Roman"/>
          <w:szCs w:val="24"/>
          <w:lang w:val="lv-LV" w:eastAsia="fr-FR"/>
        </w:rPr>
        <w:t xml:space="preserve">9.  Manuprāt, cilvēktiesību aizsardzību nekādi neveicina vēlme attiecināt </w:t>
      </w:r>
      <w:r w:rsidRPr="00E45AA2">
        <w:rPr>
          <w:rFonts w:ascii="Times New Roman" w:hAnsi="Times New Roman" w:cs="Times New Roman"/>
          <w:i/>
          <w:szCs w:val="24"/>
          <w:u w:val="single"/>
          <w:lang w:val="lv-LV" w:eastAsia="fr-FR"/>
        </w:rPr>
        <w:t>Bosphorus</w:t>
      </w:r>
      <w:r w:rsidRPr="00E45AA2">
        <w:rPr>
          <w:rFonts w:ascii="Times New Roman" w:hAnsi="Times New Roman" w:cs="Times New Roman"/>
          <w:szCs w:val="24"/>
          <w:u w:val="single"/>
          <w:lang w:val="lv-LV" w:eastAsia="fr-FR"/>
        </w:rPr>
        <w:t xml:space="preserve"> principu</w:t>
      </w:r>
      <w:r w:rsidRPr="00E45AA2">
        <w:rPr>
          <w:rFonts w:ascii="Times New Roman" w:hAnsi="Times New Roman" w:cs="Times New Roman"/>
          <w:szCs w:val="24"/>
          <w:lang w:val="lv-LV" w:eastAsia="fr-FR"/>
        </w:rPr>
        <w:t xml:space="preserve"> uz situācijām, kur nacionālajām tiesām, iespējams, nav rīcības brīvības ievērot Konvencijā noteiktās tiesības.</w:t>
      </w:r>
      <w:r w:rsidRPr="00E45AA2">
        <w:rPr>
          <w:rStyle w:val="FootnoteReference"/>
          <w:rFonts w:ascii="Times New Roman" w:hAnsi="Times New Roman" w:cs="Times New Roman"/>
          <w:szCs w:val="24"/>
          <w:lang w:val="lv-LV" w:eastAsia="fr-FR"/>
        </w:rPr>
        <w:footnoteReference w:id="2"/>
      </w:r>
      <w:r w:rsidRPr="00E45AA2">
        <w:rPr>
          <w:rFonts w:ascii="Times New Roman" w:hAnsi="Times New Roman" w:cs="Times New Roman"/>
          <w:szCs w:val="24"/>
          <w:lang w:val="lv-LV" w:eastAsia="fr-FR"/>
        </w:rPr>
        <w:t xml:space="preserve"> Šajā aspektā pastāv pretruna; vismaz es neredzu samērojamus pieņēmumus par līdzvērtīgu aizsardzību lietās, kas skar ANO Statūtu piemērošanu, pat ja Drošības padomei ir ekskluzīva jurisdikcija. Visbeidzot jāmin, ka, </w:t>
      </w:r>
      <w:r w:rsidRPr="00E45AA2">
        <w:rPr>
          <w:rFonts w:ascii="Times New Roman" w:hAnsi="Times New Roman" w:cs="Times New Roman"/>
          <w:i/>
          <w:szCs w:val="24"/>
          <w:lang w:val="lv-LV" w:eastAsia="fr-FR"/>
        </w:rPr>
        <w:t>Bosphorus</w:t>
      </w:r>
      <w:r w:rsidRPr="00E45AA2">
        <w:rPr>
          <w:rFonts w:ascii="Times New Roman" w:hAnsi="Times New Roman" w:cs="Times New Roman"/>
          <w:szCs w:val="24"/>
          <w:lang w:val="lv-LV" w:eastAsia="fr-FR"/>
        </w:rPr>
        <w:t xml:space="preserve"> principa piemērošana jautājumos par savstarpēju atzīšanu (jautājums, kas noteikti neaprobežojas ar Briseles regulu par spriedumu izpildi), šķiet, rada pieņēmumu, kas nesaskan ar dzīves realitāti, ko apstiprina pat EST, kā tas nesen kļuva redzams lietās </w:t>
      </w:r>
      <w:r w:rsidRPr="00E45AA2">
        <w:rPr>
          <w:rFonts w:ascii="Times New Roman" w:hAnsi="Times New Roman" w:cs="Times New Roman"/>
          <w:szCs w:val="24"/>
          <w:lang w:val="lv-LV"/>
        </w:rPr>
        <w:t>C</w:t>
      </w:r>
      <w:r w:rsidRPr="00E45AA2">
        <w:rPr>
          <w:rFonts w:ascii="Times New Roman" w:hAnsi="Times New Roman" w:cs="Times New Roman"/>
          <w:szCs w:val="24"/>
          <w:lang w:val="lv-LV"/>
        </w:rPr>
        <w:noBreakHyphen/>
        <w:t>404/15 un C</w:t>
      </w:r>
      <w:r w:rsidRPr="00E45AA2">
        <w:rPr>
          <w:rFonts w:ascii="Times New Roman" w:hAnsi="Times New Roman" w:cs="Times New Roman"/>
          <w:szCs w:val="24"/>
          <w:lang w:val="lv-LV"/>
        </w:rPr>
        <w:noBreakHyphen/>
        <w:t xml:space="preserve">659/15 PPU. Šai Tiesai jāpaliek uzticīgai tai nostājai, ko tā ieņēma </w:t>
      </w:r>
      <w:r w:rsidRPr="00E45AA2">
        <w:rPr>
          <w:rFonts w:ascii="Times New Roman" w:hAnsi="Times New Roman" w:cs="Times New Roman"/>
          <w:i/>
          <w:szCs w:val="24"/>
          <w:lang w:val="lv-LV"/>
        </w:rPr>
        <w:t xml:space="preserve">M.S.S. </w:t>
      </w:r>
      <w:r w:rsidRPr="00E45AA2">
        <w:rPr>
          <w:rFonts w:ascii="Times New Roman" w:hAnsi="Times New Roman" w:cs="Times New Roman"/>
          <w:szCs w:val="24"/>
          <w:lang w:val="lv-LV"/>
        </w:rPr>
        <w:t xml:space="preserve">lietā (par ārvalstu spriedumu izpildi 6. panta kontekstā skatīt lietu </w:t>
      </w:r>
      <w:r w:rsidRPr="00E45AA2">
        <w:rPr>
          <w:rFonts w:ascii="Times New Roman" w:hAnsi="Times New Roman" w:cs="Times New Roman"/>
          <w:i/>
          <w:szCs w:val="24"/>
          <w:lang w:val="lv-LV"/>
        </w:rPr>
        <w:t>Pellegrini pret Itāliju</w:t>
      </w:r>
      <w:r w:rsidRPr="00E45AA2">
        <w:rPr>
          <w:rFonts w:ascii="Times New Roman" w:hAnsi="Times New Roman" w:cs="Times New Roman"/>
          <w:szCs w:val="24"/>
          <w:lang w:val="lv-LV"/>
        </w:rPr>
        <w:t>, Nr. 30882/96, ECHR, 2001</w:t>
      </w:r>
      <w:r w:rsidRPr="00E45AA2">
        <w:rPr>
          <w:rFonts w:ascii="Times New Roman" w:hAnsi="Times New Roman" w:cs="Times New Roman"/>
          <w:szCs w:val="24"/>
          <w:lang w:val="lv-LV"/>
        </w:rPr>
        <w:noBreakHyphen/>
        <w:t xml:space="preserve">VIII; skatīt arī </w:t>
      </w:r>
      <w:r w:rsidRPr="00E45AA2">
        <w:rPr>
          <w:rFonts w:ascii="Times New Roman" w:hAnsi="Times New Roman" w:cs="Times New Roman"/>
          <w:i/>
          <w:szCs w:val="24"/>
          <w:lang w:val="lv-LV"/>
        </w:rPr>
        <w:t xml:space="preserve">X </w:t>
      </w:r>
      <w:r w:rsidRPr="00E45AA2">
        <w:rPr>
          <w:rFonts w:ascii="Times New Roman" w:hAnsi="Times New Roman" w:cs="Times New Roman"/>
          <w:i/>
          <w:snapToGrid w:val="0"/>
          <w:szCs w:val="24"/>
          <w:lang w:val="lv-LV"/>
        </w:rPr>
        <w:t>pret Latviju</w:t>
      </w:r>
      <w:r w:rsidR="00F10AA2">
        <w:rPr>
          <w:rFonts w:ascii="Times New Roman" w:hAnsi="Times New Roman" w:cs="Times New Roman"/>
          <w:i/>
          <w:snapToGrid w:val="0"/>
          <w:szCs w:val="24"/>
          <w:lang w:val="lv-LV"/>
        </w:rPr>
        <w:t xml:space="preserve"> </w:t>
      </w:r>
      <w:r w:rsidRPr="00E45AA2">
        <w:rPr>
          <w:rFonts w:ascii="Times New Roman" w:hAnsi="Times New Roman" w:cs="Times New Roman"/>
          <w:szCs w:val="24"/>
          <w:lang w:val="lv-LV"/>
        </w:rPr>
        <w:t>[</w:t>
      </w:r>
      <w:r w:rsidR="00F10AA2">
        <w:rPr>
          <w:rFonts w:ascii="Times New Roman" w:hAnsi="Times New Roman" w:cs="Times New Roman"/>
          <w:szCs w:val="24"/>
          <w:lang w:val="lv-LV"/>
        </w:rPr>
        <w:t>Lielā palāta</w:t>
      </w:r>
      <w:r w:rsidRPr="00E45AA2">
        <w:rPr>
          <w:rFonts w:ascii="Times New Roman" w:hAnsi="Times New Roman" w:cs="Times New Roman"/>
          <w:szCs w:val="24"/>
          <w:lang w:val="lv-LV"/>
        </w:rPr>
        <w:t>]</w:t>
      </w:r>
      <w:r w:rsidRPr="00E45AA2">
        <w:rPr>
          <w:rFonts w:ascii="Times New Roman" w:hAnsi="Times New Roman" w:cs="Times New Roman"/>
          <w:snapToGrid w:val="0"/>
          <w:szCs w:val="24"/>
          <w:lang w:val="lv-LV"/>
        </w:rPr>
        <w:t xml:space="preserve">, </w:t>
      </w:r>
      <w:r w:rsidRPr="00E45AA2">
        <w:rPr>
          <w:rFonts w:ascii="Times New Roman" w:hAnsi="Times New Roman" w:cs="Times New Roman"/>
          <w:szCs w:val="24"/>
          <w:lang w:val="lv-LV"/>
        </w:rPr>
        <w:t>No. 27853/09 ECHR, 2013).</w:t>
      </w:r>
    </w:p>
    <w:p w:rsidR="00021660" w:rsidRPr="00E45AA2" w:rsidRDefault="00021660">
      <w:pPr>
        <w:rPr>
          <w:rFonts w:ascii="Times New Roman" w:hAnsi="Times New Roman" w:cs="Times New Roman"/>
          <w:szCs w:val="24"/>
          <w:lang w:val="lv-LV"/>
        </w:rPr>
      </w:pPr>
    </w:p>
    <w:sectPr w:rsidR="00021660" w:rsidRPr="00E45AA2" w:rsidSect="00844D24">
      <w:headerReference w:type="even" r:id="rId12"/>
      <w:headerReference w:type="default" r:id="rId13"/>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D8D" w:rsidRDefault="006A4D8D" w:rsidP="0013508E">
      <w:r>
        <w:separator/>
      </w:r>
    </w:p>
  </w:endnote>
  <w:endnote w:type="continuationSeparator" w:id="0">
    <w:p w:rsidR="006A4D8D" w:rsidRDefault="006A4D8D" w:rsidP="00135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24" w:rsidRDefault="00844D24" w:rsidP="00844D24">
    <w:pPr>
      <w:jc w:val="center"/>
    </w:pPr>
    <w:r>
      <w:rPr>
        <w:noProof/>
        <w:lang w:val="lv-LV" w:eastAsia="lv-LV"/>
      </w:rPr>
      <w:drawing>
        <wp:inline distT="0" distB="0" distL="0" distR="0" wp14:anchorId="769D4156" wp14:editId="09E072D0">
          <wp:extent cx="771525" cy="619125"/>
          <wp:effectExtent l="0" t="0" r="9525" b="9525"/>
          <wp:docPr id="57" name="Picture 57"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844D24" w:rsidRDefault="00844D24" w:rsidP="00844D24">
    <w:pPr>
      <w:jc w:val="center"/>
      <w:rPr>
        <w:sz w:val="12"/>
        <w:szCs w:val="12"/>
      </w:rPr>
    </w:pPr>
  </w:p>
  <w:p w:rsidR="00844D24" w:rsidRPr="00517F53" w:rsidRDefault="00844D24" w:rsidP="00844D24">
    <w:pPr>
      <w:jc w:val="center"/>
      <w:rPr>
        <w:sz w:val="12"/>
        <w:szCs w:val="12"/>
      </w:rPr>
    </w:pPr>
    <w:r w:rsidRPr="00517F53">
      <w:rPr>
        <w:sz w:val="12"/>
        <w:szCs w:val="12"/>
      </w:rPr>
      <w:t>EIROPAS PADOME</w:t>
    </w:r>
  </w:p>
  <w:p w:rsidR="00844D24" w:rsidRDefault="00844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D8D" w:rsidRDefault="006A4D8D" w:rsidP="0013508E">
      <w:r>
        <w:separator/>
      </w:r>
    </w:p>
  </w:footnote>
  <w:footnote w:type="continuationSeparator" w:id="0">
    <w:p w:rsidR="006A4D8D" w:rsidRDefault="006A4D8D" w:rsidP="0013508E">
      <w:r>
        <w:continuationSeparator/>
      </w:r>
    </w:p>
  </w:footnote>
  <w:footnote w:id="1">
    <w:p w:rsidR="00844D24" w:rsidRPr="004072F3" w:rsidRDefault="00844D24" w:rsidP="0013508E">
      <w:pPr>
        <w:pStyle w:val="FootnoteText"/>
        <w:rPr>
          <w:lang w:val="lv-LV"/>
        </w:rPr>
      </w:pPr>
      <w:r w:rsidRPr="004072F3">
        <w:rPr>
          <w:rStyle w:val="FootnoteReference"/>
          <w:lang w:val="lv-LV"/>
        </w:rPr>
        <w:footnoteRef/>
      </w:r>
      <w:r w:rsidRPr="004072F3">
        <w:rPr>
          <w:lang w:val="lv-LV"/>
        </w:rPr>
        <w:t>  </w:t>
      </w:r>
      <w:r w:rsidRPr="00F10AA2">
        <w:rPr>
          <w:rFonts w:ascii="Times New Roman" w:hAnsi="Times New Roman" w:cs="Times New Roman"/>
          <w:lang w:val="lv-LV"/>
        </w:rPr>
        <w:t>Eiropas Komisija uzskata (kā tas parādās trešo pušu apsvērumos), ka Briseles I regulas mehānisms neparedz efektīvu kontroli attiecībā uz tiesībām uz taisnīgu lietas izskatīšanu sabiedriskās kārtības izņēmuma veidā.</w:t>
      </w:r>
    </w:p>
  </w:footnote>
  <w:footnote w:id="2">
    <w:p w:rsidR="00844D24" w:rsidRPr="00DA51D1" w:rsidRDefault="00844D24" w:rsidP="0013508E">
      <w:pPr>
        <w:pStyle w:val="FootnoteText"/>
        <w:rPr>
          <w:lang w:val="lv-LV"/>
        </w:rPr>
      </w:pPr>
      <w:r>
        <w:rPr>
          <w:rStyle w:val="FootnoteReference"/>
        </w:rPr>
        <w:footnoteRef/>
      </w:r>
      <w:r w:rsidRPr="00DA51D1">
        <w:rPr>
          <w:lang w:val="lv-LV"/>
        </w:rPr>
        <w:t>  </w:t>
      </w:r>
      <w:r w:rsidRPr="00DD3141">
        <w:rPr>
          <w:rFonts w:ascii="Times New Roman" w:hAnsi="Times New Roman" w:cs="Times New Roman"/>
          <w:lang w:val="lv-LV"/>
        </w:rPr>
        <w:t>Šajā sakarā es uzskatu, ka Komisijas nostāja ir pārliecinošāka, taču šī Tiesa netiek aicināta izvēlēties nostāju, kas vairāk saskanētu ar Eiropas Savienības tiesību aktiem, nevis ar nacionālajiem tiesību aktiem, tādēļ es nevaru paļauties uz šiem apsvērumiem.</w:t>
      </w:r>
      <w:r w:rsidRPr="00DA51D1">
        <w:rPr>
          <w:lang w:val="lv-LV"/>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24" w:rsidRPr="008467EA" w:rsidRDefault="00844D24" w:rsidP="00844D2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24" w:rsidRPr="0013508E" w:rsidRDefault="00844D24" w:rsidP="00844D24">
    <w:pPr>
      <w:jc w:val="center"/>
      <w:rPr>
        <w:rFonts w:ascii="Times New Roman" w:hAnsi="Times New Roman" w:cs="Times New Roman"/>
        <w:szCs w:val="24"/>
      </w:rPr>
    </w:pPr>
    <w:r w:rsidRPr="0013508E">
      <w:rPr>
        <w:rFonts w:ascii="Times New Roman" w:hAnsi="Times New Roman" w:cs="Times New Roman"/>
        <w:noProof/>
        <w:szCs w:val="24"/>
        <w:lang w:val="lv-LV" w:eastAsia="lv-LV"/>
      </w:rPr>
      <w:drawing>
        <wp:inline distT="0" distB="0" distL="0" distR="0" wp14:anchorId="47D114C6" wp14:editId="3B16D95B">
          <wp:extent cx="2962275" cy="1219200"/>
          <wp:effectExtent l="0" t="0" r="9525" b="0"/>
          <wp:docPr id="29" name="Picture 2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844D24" w:rsidRPr="0013508E" w:rsidRDefault="00844D24" w:rsidP="00844D24">
    <w:pPr>
      <w:jc w:val="center"/>
      <w:rPr>
        <w:rFonts w:ascii="Times New Roman" w:hAnsi="Times New Roman" w:cs="Times New Roman"/>
        <w:sz w:val="20"/>
        <w:szCs w:val="24"/>
      </w:rPr>
    </w:pPr>
    <w:r w:rsidRPr="0013508E">
      <w:rPr>
        <w:rFonts w:ascii="Times New Roman" w:hAnsi="Times New Roman" w:cs="Times New Roman"/>
        <w:sz w:val="20"/>
        <w:szCs w:val="24"/>
      </w:rPr>
      <w:t>EIROPAS CILVĒKTIESĪBU TIESA</w:t>
    </w:r>
  </w:p>
  <w:p w:rsidR="00844D24" w:rsidRPr="0013508E" w:rsidRDefault="00844D24">
    <w:pPr>
      <w:pStyle w:val="Header"/>
      <w:rPr>
        <w:rFonts w:ascii="Times New Roman" w:hAnsi="Times New Roman" w:cs="Times New Roman"/>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24" w:rsidRPr="00FF2306" w:rsidRDefault="00844D24" w:rsidP="00844D24">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Pr>
        <w:rStyle w:val="PageNumber"/>
        <w:noProof/>
        <w:szCs w:val="18"/>
        <w:lang w:val="en-GB"/>
      </w:rPr>
      <w:t>2</w:t>
    </w:r>
    <w:r>
      <w:rPr>
        <w:rStyle w:val="PageNumber"/>
        <w:szCs w:val="18"/>
        <w:lang w:val="en-GB"/>
      </w:rPr>
      <w:fldChar w:fldCharType="end"/>
    </w:r>
    <w:r w:rsidRPr="00FF2306">
      <w:rPr>
        <w:lang w:val="en-GB"/>
      </w:rPr>
      <w:tab/>
    </w:r>
    <w:r w:rsidRPr="00E63B33">
      <w:rPr>
        <w:lang w:val="lv-LV"/>
      </w:rPr>
      <w:t>AVOTIŅŠ pret LATVIJU</w:t>
    </w:r>
    <w:r w:rsidRPr="008076F2">
      <w:rPr>
        <w:lang w:val="lv-LV"/>
      </w:rPr>
      <w:t xml:space="preserve"> </w:t>
    </w:r>
    <w:r w:rsidRPr="00734AFD">
      <w:rPr>
        <w:lang w:val="lv-LV"/>
      </w:rPr>
      <w:t>SPRIEDUMS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24" w:rsidRPr="00D60D87" w:rsidRDefault="00844D24" w:rsidP="00844D24">
    <w:pPr>
      <w:pStyle w:val="ECHRHeader"/>
      <w:rPr>
        <w:lang w:val="en-GB"/>
      </w:rPr>
    </w:pPr>
    <w:r w:rsidRPr="00D60D87">
      <w:rPr>
        <w:lang w:val="en-GB"/>
      </w:rPr>
      <w:tab/>
    </w:r>
    <w:r w:rsidRPr="003A5856">
      <w:rPr>
        <w:rFonts w:ascii="Times New Roman" w:hAnsi="Times New Roman" w:cs="Times New Roman"/>
        <w:sz w:val="20"/>
        <w:szCs w:val="20"/>
        <w:lang w:val="lv-LV"/>
      </w:rPr>
      <w:t xml:space="preserve"> </w:t>
    </w:r>
    <w:r w:rsidRPr="003A5856">
      <w:rPr>
        <w:rFonts w:ascii="Times New Roman" w:hAnsi="Times New Roman" w:cs="Times New Roman"/>
        <w:szCs w:val="20"/>
        <w:lang w:val="lv-LV"/>
      </w:rPr>
      <w:t>AVOTIŅŠ pret LATVIJU SPRIEDUMS</w:t>
    </w:r>
    <w:r w:rsidRPr="003A5856">
      <w:rPr>
        <w:rFonts w:ascii="Times New Roman" w:hAnsi="Times New Roman" w:cs="Times New Roman"/>
        <w:sz w:val="20"/>
        <w:szCs w:val="20"/>
        <w:lang w:val="en-GB"/>
      </w:rPr>
      <w:tab/>
    </w: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E43DC9">
      <w:rPr>
        <w:rStyle w:val="PageNumber"/>
        <w:noProof/>
        <w:szCs w:val="18"/>
        <w:lang w:val="en-GB"/>
      </w:rPr>
      <w:t>1</w:t>
    </w:r>
    <w:r>
      <w:rPr>
        <w:rStyle w:val="PageNumber"/>
        <w:szCs w:val="18"/>
        <w:lang w:val="en-G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24" w:rsidRPr="00FF2306" w:rsidRDefault="00844D24" w:rsidP="00844D24">
    <w:pPr>
      <w:pStyle w:val="ECHRHeader"/>
      <w:rPr>
        <w:lang w:val="en-GB"/>
      </w:rPr>
    </w:pP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Pr>
        <w:rStyle w:val="PageNumber"/>
        <w:noProof/>
        <w:szCs w:val="18"/>
        <w:lang w:val="en-GB"/>
      </w:rPr>
      <w:t>54</w:t>
    </w:r>
    <w:r>
      <w:rPr>
        <w:rStyle w:val="PageNumber"/>
        <w:szCs w:val="18"/>
        <w:lang w:val="en-GB"/>
      </w:rPr>
      <w:fldChar w:fldCharType="end"/>
    </w:r>
    <w:r w:rsidRPr="00FF2306">
      <w:rPr>
        <w:lang w:val="en-GB"/>
      </w:rPr>
      <w:tab/>
    </w:r>
    <w:r w:rsidRPr="00734AFD">
      <w:rPr>
        <w:lang w:val="lv-LV"/>
      </w:rPr>
      <w:t xml:space="preserve">SPRIEDUMS lietā </w:t>
    </w:r>
    <w:r w:rsidRPr="00734AFD">
      <w:rPr>
        <w:i/>
        <w:lang w:val="lv-LV"/>
      </w:rPr>
      <w:t>AVOTIŅŠ pret LATVIJU</w:t>
    </w:r>
    <w:r>
      <w:rPr>
        <w:noProof/>
        <w:lang w:val="en-GB"/>
      </w:rPr>
      <w:t xml:space="preserve"> – ATSEVIŠĶIE ATZINUMI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D24" w:rsidRPr="00D60D87" w:rsidRDefault="00844D24" w:rsidP="00844D24">
    <w:pPr>
      <w:pStyle w:val="ECHRHeader"/>
      <w:rPr>
        <w:lang w:val="en-GB"/>
      </w:rPr>
    </w:pPr>
    <w:r w:rsidRPr="001C5562">
      <w:rPr>
        <w:rFonts w:ascii="Times New Roman" w:hAnsi="Times New Roman" w:cs="Times New Roman"/>
        <w:szCs w:val="18"/>
        <w:lang w:val="en-GB"/>
      </w:rPr>
      <w:tab/>
    </w:r>
    <w:r w:rsidRPr="001C5562">
      <w:rPr>
        <w:rFonts w:ascii="Times New Roman" w:hAnsi="Times New Roman" w:cs="Times New Roman"/>
        <w:szCs w:val="18"/>
        <w:lang w:val="lv-LV"/>
      </w:rPr>
      <w:t>AVOTIŅŠ pret LATVIJU</w:t>
    </w:r>
    <w:r w:rsidR="001C5562" w:rsidRPr="001C5562">
      <w:rPr>
        <w:rFonts w:ascii="Times New Roman" w:hAnsi="Times New Roman" w:cs="Times New Roman"/>
        <w:szCs w:val="18"/>
        <w:lang w:val="lv-LV"/>
      </w:rPr>
      <w:t xml:space="preserve"> SPRIEDUMS</w:t>
    </w:r>
    <w:r w:rsidRPr="001C5562">
      <w:rPr>
        <w:lang w:val="en-GB"/>
      </w:rPr>
      <w:tab/>
    </w: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E43DC9">
      <w:rPr>
        <w:rStyle w:val="PageNumber"/>
        <w:noProof/>
        <w:szCs w:val="18"/>
        <w:lang w:val="en-GB"/>
      </w:rPr>
      <w:t>56</w:t>
    </w:r>
    <w:r>
      <w:rPr>
        <w:rStyle w:val="PageNumber"/>
        <w:szCs w:val="18"/>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20C3F8A"/>
    <w:multiLevelType w:val="hybridMultilevel"/>
    <w:tmpl w:val="BF56D7C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8D47DE"/>
    <w:multiLevelType w:val="multilevel"/>
    <w:tmpl w:val="F7F2C62E"/>
    <w:lvl w:ilvl="0">
      <w:start w:val="1"/>
      <w:numFmt w:val="decimal"/>
      <w:pStyle w:val="ECHRList"/>
      <w:lvlText w:val="%1."/>
      <w:lvlJc w:val="left"/>
      <w:pPr>
        <w:ind w:left="1021"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6A9652FC"/>
    <w:multiLevelType w:val="hybridMultilevel"/>
    <w:tmpl w:val="6A90B82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737461D"/>
    <w:multiLevelType w:val="multilevel"/>
    <w:tmpl w:val="040C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1277"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3"/>
  </w:num>
  <w:num w:numId="2">
    <w:abstractNumId w:val="11"/>
  </w:num>
  <w:num w:numId="3">
    <w:abstractNumId w:val="9"/>
  </w:num>
  <w:num w:numId="4">
    <w:abstractNumId w:val="16"/>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2"/>
  </w:num>
  <w:num w:numId="16">
    <w:abstractNumId w:val="14"/>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8E"/>
    <w:rsid w:val="000042F8"/>
    <w:rsid w:val="00021660"/>
    <w:rsid w:val="0002660D"/>
    <w:rsid w:val="00032DE6"/>
    <w:rsid w:val="00045D9E"/>
    <w:rsid w:val="0005219F"/>
    <w:rsid w:val="00053B6B"/>
    <w:rsid w:val="0005405E"/>
    <w:rsid w:val="000945A5"/>
    <w:rsid w:val="000A1B8E"/>
    <w:rsid w:val="000D49D4"/>
    <w:rsid w:val="001128DE"/>
    <w:rsid w:val="00132267"/>
    <w:rsid w:val="0013508E"/>
    <w:rsid w:val="00151A74"/>
    <w:rsid w:val="001607B0"/>
    <w:rsid w:val="00165316"/>
    <w:rsid w:val="00170749"/>
    <w:rsid w:val="001922F8"/>
    <w:rsid w:val="001923F0"/>
    <w:rsid w:val="001B5DA6"/>
    <w:rsid w:val="001B61BB"/>
    <w:rsid w:val="001C5562"/>
    <w:rsid w:val="001D2295"/>
    <w:rsid w:val="001E2DAC"/>
    <w:rsid w:val="001F01CB"/>
    <w:rsid w:val="001F09CC"/>
    <w:rsid w:val="002057F3"/>
    <w:rsid w:val="00221218"/>
    <w:rsid w:val="0024202E"/>
    <w:rsid w:val="00244F2B"/>
    <w:rsid w:val="0024534B"/>
    <w:rsid w:val="00256422"/>
    <w:rsid w:val="00263DC5"/>
    <w:rsid w:val="002910A0"/>
    <w:rsid w:val="002A4557"/>
    <w:rsid w:val="002A4F3E"/>
    <w:rsid w:val="002C2CEB"/>
    <w:rsid w:val="002D05EF"/>
    <w:rsid w:val="002F022E"/>
    <w:rsid w:val="002F63AB"/>
    <w:rsid w:val="00310C66"/>
    <w:rsid w:val="00317D14"/>
    <w:rsid w:val="00334BEF"/>
    <w:rsid w:val="00335016"/>
    <w:rsid w:val="00360FC1"/>
    <w:rsid w:val="00364EBE"/>
    <w:rsid w:val="00395FFD"/>
    <w:rsid w:val="00397AC7"/>
    <w:rsid w:val="003A48F0"/>
    <w:rsid w:val="003A5856"/>
    <w:rsid w:val="003C040C"/>
    <w:rsid w:val="003C31C0"/>
    <w:rsid w:val="003D306C"/>
    <w:rsid w:val="003E27F4"/>
    <w:rsid w:val="003F531A"/>
    <w:rsid w:val="003F7C65"/>
    <w:rsid w:val="00406BBA"/>
    <w:rsid w:val="00407092"/>
    <w:rsid w:val="00420338"/>
    <w:rsid w:val="00421E76"/>
    <w:rsid w:val="00424854"/>
    <w:rsid w:val="004316E2"/>
    <w:rsid w:val="00460619"/>
    <w:rsid w:val="00460649"/>
    <w:rsid w:val="004766EB"/>
    <w:rsid w:val="00477F3E"/>
    <w:rsid w:val="004959DC"/>
    <w:rsid w:val="00497125"/>
    <w:rsid w:val="004A0B5F"/>
    <w:rsid w:val="004A2341"/>
    <w:rsid w:val="004A7587"/>
    <w:rsid w:val="004B4F9C"/>
    <w:rsid w:val="004C020F"/>
    <w:rsid w:val="004C166C"/>
    <w:rsid w:val="004D5D72"/>
    <w:rsid w:val="004E2811"/>
    <w:rsid w:val="004F431C"/>
    <w:rsid w:val="004F6042"/>
    <w:rsid w:val="004F79F5"/>
    <w:rsid w:val="00531D26"/>
    <w:rsid w:val="005336EB"/>
    <w:rsid w:val="0053451A"/>
    <w:rsid w:val="005466B9"/>
    <w:rsid w:val="00564690"/>
    <w:rsid w:val="00567C63"/>
    <w:rsid w:val="005942FE"/>
    <w:rsid w:val="005A197F"/>
    <w:rsid w:val="005A4222"/>
    <w:rsid w:val="005D3767"/>
    <w:rsid w:val="005D56AD"/>
    <w:rsid w:val="005D6C3C"/>
    <w:rsid w:val="005E2332"/>
    <w:rsid w:val="005E3370"/>
    <w:rsid w:val="005E5B1A"/>
    <w:rsid w:val="006331A0"/>
    <w:rsid w:val="00660863"/>
    <w:rsid w:val="006675B2"/>
    <w:rsid w:val="00667A18"/>
    <w:rsid w:val="00674E1E"/>
    <w:rsid w:val="00683D7F"/>
    <w:rsid w:val="006851BF"/>
    <w:rsid w:val="00690997"/>
    <w:rsid w:val="006946D6"/>
    <w:rsid w:val="00696E22"/>
    <w:rsid w:val="006A3594"/>
    <w:rsid w:val="006A4D8D"/>
    <w:rsid w:val="006B1EC4"/>
    <w:rsid w:val="006B24BF"/>
    <w:rsid w:val="006B40AA"/>
    <w:rsid w:val="006C4281"/>
    <w:rsid w:val="006C7C1D"/>
    <w:rsid w:val="006D0EE3"/>
    <w:rsid w:val="006D13AD"/>
    <w:rsid w:val="006E38EB"/>
    <w:rsid w:val="00712DF7"/>
    <w:rsid w:val="00715404"/>
    <w:rsid w:val="00724EC6"/>
    <w:rsid w:val="007265DA"/>
    <w:rsid w:val="00730F2E"/>
    <w:rsid w:val="007658D7"/>
    <w:rsid w:val="00770F5C"/>
    <w:rsid w:val="00771C6A"/>
    <w:rsid w:val="00790147"/>
    <w:rsid w:val="007C1ED3"/>
    <w:rsid w:val="007C3183"/>
    <w:rsid w:val="00813FCB"/>
    <w:rsid w:val="00837945"/>
    <w:rsid w:val="008405C5"/>
    <w:rsid w:val="00844D24"/>
    <w:rsid w:val="00851C68"/>
    <w:rsid w:val="00855ADF"/>
    <w:rsid w:val="00893D37"/>
    <w:rsid w:val="008D4DA1"/>
    <w:rsid w:val="008E30C2"/>
    <w:rsid w:val="00906F5F"/>
    <w:rsid w:val="00912020"/>
    <w:rsid w:val="00914E5D"/>
    <w:rsid w:val="009218BC"/>
    <w:rsid w:val="00977D31"/>
    <w:rsid w:val="00995842"/>
    <w:rsid w:val="009A2F81"/>
    <w:rsid w:val="009B14E0"/>
    <w:rsid w:val="009B2958"/>
    <w:rsid w:val="009B49AB"/>
    <w:rsid w:val="009D298B"/>
    <w:rsid w:val="009F2AB8"/>
    <w:rsid w:val="009F7A4C"/>
    <w:rsid w:val="00A30A97"/>
    <w:rsid w:val="00A32F32"/>
    <w:rsid w:val="00A366D6"/>
    <w:rsid w:val="00A5132A"/>
    <w:rsid w:val="00A72631"/>
    <w:rsid w:val="00A7295F"/>
    <w:rsid w:val="00A96540"/>
    <w:rsid w:val="00AB78F6"/>
    <w:rsid w:val="00AE77B5"/>
    <w:rsid w:val="00AF098B"/>
    <w:rsid w:val="00B034EA"/>
    <w:rsid w:val="00B138C1"/>
    <w:rsid w:val="00B16A05"/>
    <w:rsid w:val="00B22414"/>
    <w:rsid w:val="00B2393E"/>
    <w:rsid w:val="00B3394F"/>
    <w:rsid w:val="00B36DCB"/>
    <w:rsid w:val="00B46912"/>
    <w:rsid w:val="00B644B1"/>
    <w:rsid w:val="00B953F4"/>
    <w:rsid w:val="00BC2351"/>
    <w:rsid w:val="00BF46BA"/>
    <w:rsid w:val="00C00E4D"/>
    <w:rsid w:val="00C115E5"/>
    <w:rsid w:val="00C136A4"/>
    <w:rsid w:val="00C23B75"/>
    <w:rsid w:val="00C55D7E"/>
    <w:rsid w:val="00C62D34"/>
    <w:rsid w:val="00C71977"/>
    <w:rsid w:val="00C774DA"/>
    <w:rsid w:val="00C82CE3"/>
    <w:rsid w:val="00C83973"/>
    <w:rsid w:val="00C87F27"/>
    <w:rsid w:val="00C97BA6"/>
    <w:rsid w:val="00CB4314"/>
    <w:rsid w:val="00CD1CBE"/>
    <w:rsid w:val="00CE43B7"/>
    <w:rsid w:val="00CF043B"/>
    <w:rsid w:val="00D04AC8"/>
    <w:rsid w:val="00D1654F"/>
    <w:rsid w:val="00D53B25"/>
    <w:rsid w:val="00D56980"/>
    <w:rsid w:val="00D66B20"/>
    <w:rsid w:val="00D71DF7"/>
    <w:rsid w:val="00D83935"/>
    <w:rsid w:val="00D8616E"/>
    <w:rsid w:val="00D96993"/>
    <w:rsid w:val="00DA1F10"/>
    <w:rsid w:val="00DB0C05"/>
    <w:rsid w:val="00DD3141"/>
    <w:rsid w:val="00E02334"/>
    <w:rsid w:val="00E20E43"/>
    <w:rsid w:val="00E23509"/>
    <w:rsid w:val="00E33B37"/>
    <w:rsid w:val="00E42513"/>
    <w:rsid w:val="00E43DC9"/>
    <w:rsid w:val="00E45AA2"/>
    <w:rsid w:val="00E67D19"/>
    <w:rsid w:val="00E8003C"/>
    <w:rsid w:val="00E82FF1"/>
    <w:rsid w:val="00E954AC"/>
    <w:rsid w:val="00E95BE7"/>
    <w:rsid w:val="00EA1A88"/>
    <w:rsid w:val="00EA2A97"/>
    <w:rsid w:val="00EB3F6B"/>
    <w:rsid w:val="00EB4F6E"/>
    <w:rsid w:val="00EB7834"/>
    <w:rsid w:val="00ED3846"/>
    <w:rsid w:val="00ED47D2"/>
    <w:rsid w:val="00EF28A9"/>
    <w:rsid w:val="00F031CB"/>
    <w:rsid w:val="00F10AA2"/>
    <w:rsid w:val="00F1295A"/>
    <w:rsid w:val="00F13D42"/>
    <w:rsid w:val="00F173EE"/>
    <w:rsid w:val="00F20281"/>
    <w:rsid w:val="00F25F30"/>
    <w:rsid w:val="00F35889"/>
    <w:rsid w:val="00F451BA"/>
    <w:rsid w:val="00F45FDE"/>
    <w:rsid w:val="00F51730"/>
    <w:rsid w:val="00F55176"/>
    <w:rsid w:val="00F62EEA"/>
    <w:rsid w:val="00F76F8F"/>
    <w:rsid w:val="00F81837"/>
    <w:rsid w:val="00F82309"/>
    <w:rsid w:val="00F82D7F"/>
    <w:rsid w:val="00F97B05"/>
    <w:rsid w:val="00FA47B6"/>
    <w:rsid w:val="00FA535D"/>
    <w:rsid w:val="00FB4B06"/>
    <w:rsid w:val="00FC47F3"/>
    <w:rsid w:val="00FE23F8"/>
    <w:rsid w:val="00FE70B0"/>
    <w:rsid w:val="00FF0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D8FC3B-A927-479A-A629-56BD2AFD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3508E"/>
    <w:pPr>
      <w:spacing w:after="0" w:line="240" w:lineRule="auto"/>
      <w:jc w:val="both"/>
    </w:pPr>
    <w:rPr>
      <w:rFonts w:eastAsiaTheme="minorEastAsia"/>
      <w:sz w:val="24"/>
      <w:lang w:val="en-US"/>
    </w:rPr>
  </w:style>
  <w:style w:type="paragraph" w:styleId="Heading1">
    <w:name w:val="heading 1"/>
    <w:basedOn w:val="Normal"/>
    <w:next w:val="Normal"/>
    <w:link w:val="Heading1Char"/>
    <w:uiPriority w:val="99"/>
    <w:rsid w:val="0013508E"/>
    <w:pPr>
      <w:numPr>
        <w:numId w:val="4"/>
      </w:num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13508E"/>
    <w:pPr>
      <w:numPr>
        <w:ilvl w:val="1"/>
        <w:numId w:val="4"/>
      </w:numPr>
      <w:spacing w:before="200"/>
      <w:ind w:left="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13508E"/>
    <w:pPr>
      <w:numPr>
        <w:ilvl w:val="2"/>
        <w:numId w:val="4"/>
      </w:num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13508E"/>
    <w:pPr>
      <w:numPr>
        <w:ilvl w:val="3"/>
        <w:numId w:val="4"/>
      </w:num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13508E"/>
    <w:pPr>
      <w:numPr>
        <w:ilvl w:val="4"/>
        <w:numId w:val="4"/>
      </w:numPr>
      <w:spacing w:before="200"/>
      <w:outlineLvl w:val="4"/>
    </w:pPr>
    <w:rPr>
      <w:rFonts w:asciiTheme="majorHAnsi" w:eastAsiaTheme="majorEastAsia" w:hAnsiTheme="majorHAnsi" w:cstheme="majorBidi"/>
      <w:b/>
      <w:bCs/>
      <w:color w:val="808080"/>
    </w:rPr>
  </w:style>
  <w:style w:type="paragraph" w:styleId="Heading6">
    <w:name w:val="heading 6"/>
    <w:basedOn w:val="Normal"/>
    <w:next w:val="Normal"/>
    <w:link w:val="Heading6Char"/>
    <w:uiPriority w:val="99"/>
    <w:semiHidden/>
    <w:rsid w:val="0013508E"/>
    <w:pPr>
      <w:numPr>
        <w:ilvl w:val="5"/>
        <w:numId w:val="4"/>
      </w:num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13508E"/>
    <w:pPr>
      <w:numPr>
        <w:ilvl w:val="6"/>
        <w:numId w:val="4"/>
      </w:numPr>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9"/>
    <w:semiHidden/>
    <w:qFormat/>
    <w:rsid w:val="0013508E"/>
    <w:pPr>
      <w:numPr>
        <w:ilvl w:val="7"/>
        <w:numId w:val="4"/>
      </w:num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13508E"/>
    <w:pPr>
      <w:numPr>
        <w:ilvl w:val="8"/>
        <w:numId w:val="4"/>
      </w:num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508E"/>
    <w:rPr>
      <w:rFonts w:asciiTheme="majorHAnsi" w:eastAsiaTheme="majorEastAsia" w:hAnsiTheme="majorHAnsi" w:cstheme="majorBidi"/>
      <w:b/>
      <w:bCs/>
      <w:color w:val="333333"/>
      <w:sz w:val="28"/>
      <w:szCs w:val="28"/>
      <w:lang w:val="en-US"/>
    </w:rPr>
  </w:style>
  <w:style w:type="character" w:customStyle="1" w:styleId="Heading2Char">
    <w:name w:val="Heading 2 Char"/>
    <w:basedOn w:val="DefaultParagraphFont"/>
    <w:link w:val="Heading2"/>
    <w:uiPriority w:val="99"/>
    <w:semiHidden/>
    <w:rsid w:val="0013508E"/>
    <w:rPr>
      <w:rFonts w:asciiTheme="majorHAnsi" w:eastAsiaTheme="majorEastAsia" w:hAnsiTheme="majorHAnsi" w:cstheme="majorBidi"/>
      <w:b/>
      <w:bCs/>
      <w:color w:val="4D4D4D"/>
      <w:sz w:val="26"/>
      <w:szCs w:val="26"/>
      <w:lang w:val="en-US"/>
    </w:rPr>
  </w:style>
  <w:style w:type="character" w:customStyle="1" w:styleId="Heading3Char">
    <w:name w:val="Heading 3 Char"/>
    <w:basedOn w:val="DefaultParagraphFont"/>
    <w:link w:val="Heading3"/>
    <w:uiPriority w:val="99"/>
    <w:semiHidden/>
    <w:rsid w:val="0013508E"/>
    <w:rPr>
      <w:rFonts w:asciiTheme="majorHAnsi" w:eastAsiaTheme="majorEastAsia" w:hAnsiTheme="majorHAnsi" w:cstheme="majorBidi"/>
      <w:b/>
      <w:bCs/>
      <w:color w:val="5F5F5F"/>
      <w:sz w:val="24"/>
      <w:lang w:val="en-US"/>
    </w:rPr>
  </w:style>
  <w:style w:type="character" w:customStyle="1" w:styleId="Heading4Char">
    <w:name w:val="Heading 4 Char"/>
    <w:basedOn w:val="DefaultParagraphFont"/>
    <w:link w:val="Heading4"/>
    <w:uiPriority w:val="99"/>
    <w:semiHidden/>
    <w:rsid w:val="0013508E"/>
    <w:rPr>
      <w:rFonts w:asciiTheme="majorHAnsi" w:eastAsiaTheme="majorEastAsia" w:hAnsiTheme="majorHAnsi" w:cstheme="majorBidi"/>
      <w:b/>
      <w:bCs/>
      <w:i/>
      <w:iCs/>
      <w:color w:val="777777"/>
      <w:sz w:val="24"/>
      <w:lang w:val="en-US"/>
    </w:rPr>
  </w:style>
  <w:style w:type="character" w:customStyle="1" w:styleId="Heading5Char">
    <w:name w:val="Heading 5 Char"/>
    <w:basedOn w:val="DefaultParagraphFont"/>
    <w:link w:val="Heading5"/>
    <w:uiPriority w:val="99"/>
    <w:semiHidden/>
    <w:rsid w:val="0013508E"/>
    <w:rPr>
      <w:rFonts w:asciiTheme="majorHAnsi" w:eastAsiaTheme="majorEastAsia" w:hAnsiTheme="majorHAnsi" w:cstheme="majorBidi"/>
      <w:b/>
      <w:bCs/>
      <w:color w:val="808080"/>
      <w:sz w:val="24"/>
      <w:lang w:val="en-US"/>
    </w:rPr>
  </w:style>
  <w:style w:type="character" w:customStyle="1" w:styleId="Heading6Char">
    <w:name w:val="Heading 6 Char"/>
    <w:basedOn w:val="DefaultParagraphFont"/>
    <w:link w:val="Heading6"/>
    <w:uiPriority w:val="99"/>
    <w:semiHidden/>
    <w:rsid w:val="0013508E"/>
    <w:rPr>
      <w:rFonts w:asciiTheme="majorHAnsi" w:eastAsiaTheme="majorEastAsia" w:hAnsiTheme="majorHAnsi" w:cstheme="majorBidi"/>
      <w:b/>
      <w:bCs/>
      <w:i/>
      <w:iCs/>
      <w:color w:val="7F7F7F" w:themeColor="text1" w:themeTint="80"/>
      <w:sz w:val="24"/>
      <w:lang w:val="en-US" w:bidi="en-US"/>
    </w:rPr>
  </w:style>
  <w:style w:type="character" w:customStyle="1" w:styleId="Heading7Char">
    <w:name w:val="Heading 7 Char"/>
    <w:basedOn w:val="DefaultParagraphFont"/>
    <w:link w:val="Heading7"/>
    <w:uiPriority w:val="99"/>
    <w:semiHidden/>
    <w:rsid w:val="0013508E"/>
    <w:rPr>
      <w:rFonts w:asciiTheme="majorHAnsi" w:eastAsiaTheme="majorEastAsia" w:hAnsiTheme="majorHAnsi" w:cstheme="majorBidi"/>
      <w:i/>
      <w:iCs/>
      <w:sz w:val="24"/>
      <w:lang w:val="en-US" w:bidi="en-US"/>
    </w:rPr>
  </w:style>
  <w:style w:type="character" w:customStyle="1" w:styleId="Heading8Char">
    <w:name w:val="Heading 8 Char"/>
    <w:basedOn w:val="DefaultParagraphFont"/>
    <w:link w:val="Heading8"/>
    <w:uiPriority w:val="99"/>
    <w:semiHidden/>
    <w:rsid w:val="0013508E"/>
    <w:rPr>
      <w:rFonts w:asciiTheme="majorHAnsi" w:eastAsiaTheme="majorEastAsia" w:hAnsiTheme="majorHAnsi" w:cstheme="majorBidi"/>
      <w:sz w:val="20"/>
      <w:szCs w:val="20"/>
      <w:lang w:val="en-US" w:bidi="en-US"/>
    </w:rPr>
  </w:style>
  <w:style w:type="character" w:customStyle="1" w:styleId="Heading9Char">
    <w:name w:val="Heading 9 Char"/>
    <w:basedOn w:val="DefaultParagraphFont"/>
    <w:link w:val="Heading9"/>
    <w:uiPriority w:val="99"/>
    <w:semiHidden/>
    <w:rsid w:val="0013508E"/>
    <w:rPr>
      <w:rFonts w:asciiTheme="majorHAnsi" w:eastAsiaTheme="majorEastAsia" w:hAnsiTheme="majorHAnsi" w:cstheme="majorBidi"/>
      <w:i/>
      <w:iCs/>
      <w:spacing w:val="5"/>
      <w:sz w:val="20"/>
      <w:szCs w:val="20"/>
      <w:lang w:val="en-US" w:bidi="en-US"/>
    </w:rPr>
  </w:style>
  <w:style w:type="paragraph" w:styleId="BalloonText">
    <w:name w:val="Balloon Text"/>
    <w:basedOn w:val="Normal"/>
    <w:link w:val="BalloonTextChar"/>
    <w:uiPriority w:val="99"/>
    <w:semiHidden/>
    <w:rsid w:val="0013508E"/>
    <w:rPr>
      <w:rFonts w:ascii="Tahoma" w:hAnsi="Tahoma" w:cs="Tahoma"/>
      <w:sz w:val="16"/>
      <w:szCs w:val="16"/>
    </w:rPr>
  </w:style>
  <w:style w:type="character" w:customStyle="1" w:styleId="BalloonTextChar">
    <w:name w:val="Balloon Text Char"/>
    <w:basedOn w:val="DefaultParagraphFont"/>
    <w:link w:val="BalloonText"/>
    <w:uiPriority w:val="99"/>
    <w:semiHidden/>
    <w:rsid w:val="0013508E"/>
    <w:rPr>
      <w:rFonts w:ascii="Tahoma" w:eastAsiaTheme="minorEastAsia" w:hAnsi="Tahoma" w:cs="Tahoma"/>
      <w:sz w:val="16"/>
      <w:szCs w:val="16"/>
      <w:lang w:val="en-US"/>
    </w:rPr>
  </w:style>
  <w:style w:type="character" w:styleId="BookTitle">
    <w:name w:val="Book Title"/>
    <w:uiPriority w:val="99"/>
    <w:qFormat/>
    <w:rsid w:val="0013508E"/>
    <w:rPr>
      <w:i/>
      <w:iCs/>
      <w:smallCaps/>
      <w:spacing w:val="5"/>
    </w:rPr>
  </w:style>
  <w:style w:type="paragraph" w:customStyle="1" w:styleId="ECHRHeader">
    <w:name w:val="ECHR_Header"/>
    <w:aliases w:val="Ju_Header"/>
    <w:basedOn w:val="Header"/>
    <w:uiPriority w:val="4"/>
    <w:qFormat/>
    <w:rsid w:val="0013508E"/>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13508E"/>
    <w:pPr>
      <w:jc w:val="left"/>
    </w:pPr>
    <w:rPr>
      <w:sz w:val="8"/>
    </w:rPr>
  </w:style>
  <w:style w:type="character" w:styleId="Strong">
    <w:name w:val="Strong"/>
    <w:uiPriority w:val="22"/>
    <w:qFormat/>
    <w:rsid w:val="0013508E"/>
    <w:rPr>
      <w:b/>
      <w:bCs/>
    </w:rPr>
  </w:style>
  <w:style w:type="paragraph" w:styleId="NoSpacing">
    <w:name w:val="No Spacing"/>
    <w:basedOn w:val="Normal"/>
    <w:link w:val="NoSpacingChar"/>
    <w:qFormat/>
    <w:rsid w:val="0013508E"/>
  </w:style>
  <w:style w:type="character" w:customStyle="1" w:styleId="NoSpacingChar">
    <w:name w:val="No Spacing Char"/>
    <w:basedOn w:val="DefaultParagraphFont"/>
    <w:link w:val="NoSpacing"/>
    <w:rsid w:val="0013508E"/>
    <w:rPr>
      <w:rFonts w:eastAsiaTheme="minorEastAsia"/>
      <w:sz w:val="24"/>
      <w:lang w:val="en-US"/>
    </w:rPr>
  </w:style>
  <w:style w:type="paragraph" w:customStyle="1" w:styleId="ECHRFooterLine">
    <w:name w:val="ECHR_Footer_Line"/>
    <w:aliases w:val="Footer_Line"/>
    <w:basedOn w:val="Normal"/>
    <w:next w:val="ECHRFooter"/>
    <w:uiPriority w:val="57"/>
    <w:semiHidden/>
    <w:rsid w:val="0013508E"/>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13508E"/>
    <w:pPr>
      <w:numPr>
        <w:numId w:val="14"/>
      </w:numPr>
      <w:jc w:val="left"/>
    </w:pPr>
    <w:rPr>
      <w:b/>
    </w:rPr>
  </w:style>
  <w:style w:type="paragraph" w:customStyle="1" w:styleId="OpiPara">
    <w:name w:val="Opi_Para"/>
    <w:basedOn w:val="ECHRPara"/>
    <w:uiPriority w:val="46"/>
    <w:qFormat/>
    <w:rsid w:val="0013508E"/>
  </w:style>
  <w:style w:type="paragraph" w:customStyle="1" w:styleId="JuParaSub">
    <w:name w:val="Ju_Para_Sub"/>
    <w:basedOn w:val="ECHRPara"/>
    <w:uiPriority w:val="13"/>
    <w:qFormat/>
    <w:rsid w:val="0013508E"/>
    <w:pPr>
      <w:ind w:left="284"/>
    </w:pPr>
  </w:style>
  <w:style w:type="paragraph" w:customStyle="1" w:styleId="ECHRTitleCentre3">
    <w:name w:val="ECHR_Title_Centre_3"/>
    <w:aliases w:val="Ju_H_Article"/>
    <w:basedOn w:val="Normal"/>
    <w:next w:val="ECHRParaQuote"/>
    <w:uiPriority w:val="27"/>
    <w:qFormat/>
    <w:rsid w:val="0013508E"/>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13508E"/>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semiHidden/>
    <w:qFormat/>
    <w:rsid w:val="0013508E"/>
  </w:style>
  <w:style w:type="paragraph" w:customStyle="1" w:styleId="OpiQuot">
    <w:name w:val="Opi_Quot"/>
    <w:basedOn w:val="ECHRParaQuote"/>
    <w:uiPriority w:val="48"/>
    <w:semiHidden/>
    <w:qFormat/>
    <w:rsid w:val="0013508E"/>
  </w:style>
  <w:style w:type="paragraph" w:customStyle="1" w:styleId="OpiQuotSub">
    <w:name w:val="Opi_Quot_Sub"/>
    <w:basedOn w:val="JuQuotSub"/>
    <w:uiPriority w:val="49"/>
    <w:semiHidden/>
    <w:qFormat/>
    <w:rsid w:val="0013508E"/>
  </w:style>
  <w:style w:type="paragraph" w:customStyle="1" w:styleId="ECHRTitleCentre2">
    <w:name w:val="ECHR_Title_Centre_2"/>
    <w:aliases w:val="Dec_H_Case"/>
    <w:basedOn w:val="Normal"/>
    <w:next w:val="ECHRPara"/>
    <w:uiPriority w:val="8"/>
    <w:qFormat/>
    <w:rsid w:val="0013508E"/>
    <w:pPr>
      <w:spacing w:after="240"/>
      <w:jc w:val="center"/>
      <w:outlineLvl w:val="0"/>
    </w:pPr>
    <w:rPr>
      <w:rFonts w:asciiTheme="majorHAnsi" w:hAnsiTheme="majorHAnsi"/>
    </w:rPr>
  </w:style>
  <w:style w:type="paragraph" w:customStyle="1" w:styleId="JuTitle">
    <w:name w:val="Ju_Title"/>
    <w:basedOn w:val="Normal"/>
    <w:next w:val="ECHRPara"/>
    <w:uiPriority w:val="3"/>
    <w:qFormat/>
    <w:rsid w:val="0013508E"/>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qFormat/>
    <w:rsid w:val="0013508E"/>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rsid w:val="0013508E"/>
    <w:rPr>
      <w:rFonts w:asciiTheme="majorHAnsi" w:eastAsiaTheme="majorEastAsia" w:hAnsiTheme="majorHAnsi" w:cstheme="majorBidi"/>
      <w:spacing w:val="5"/>
      <w:sz w:val="52"/>
      <w:szCs w:val="52"/>
      <w:lang w:val="en-US" w:bidi="en-US"/>
    </w:rPr>
  </w:style>
  <w:style w:type="paragraph" w:customStyle="1" w:styleId="ECHRHeading3">
    <w:name w:val="ECHR_Heading_3"/>
    <w:aliases w:val="Ju_H_1.,Ju_H_1"/>
    <w:basedOn w:val="Heading3"/>
    <w:next w:val="ECHRPara"/>
    <w:uiPriority w:val="21"/>
    <w:qFormat/>
    <w:rsid w:val="0013508E"/>
  </w:style>
  <w:style w:type="paragraph" w:customStyle="1" w:styleId="ECHRHeading4">
    <w:name w:val="ECHR_Heading_4"/>
    <w:aliases w:val="Ju_H_a"/>
    <w:basedOn w:val="Heading4"/>
    <w:next w:val="ECHRPara"/>
    <w:uiPriority w:val="22"/>
    <w:qFormat/>
    <w:rsid w:val="0013508E"/>
  </w:style>
  <w:style w:type="paragraph" w:customStyle="1" w:styleId="ECHRHeading5">
    <w:name w:val="ECHR_Heading_5"/>
    <w:aliases w:val="Ju_H_i"/>
    <w:basedOn w:val="Heading5"/>
    <w:next w:val="ECHRPara"/>
    <w:uiPriority w:val="23"/>
    <w:qFormat/>
    <w:rsid w:val="0013508E"/>
  </w:style>
  <w:style w:type="paragraph" w:customStyle="1" w:styleId="ECHRHeading6">
    <w:name w:val="ECHR_Heading_6"/>
    <w:aliases w:val="Ju_H_alpha"/>
    <w:basedOn w:val="Heading6"/>
    <w:next w:val="ECHRPara"/>
    <w:uiPriority w:val="24"/>
    <w:qFormat/>
    <w:rsid w:val="0013508E"/>
  </w:style>
  <w:style w:type="paragraph" w:customStyle="1" w:styleId="ECHRHeading7">
    <w:name w:val="ECHR_Heading_7"/>
    <w:aliases w:val="Ju_H_–"/>
    <w:basedOn w:val="Heading7"/>
    <w:next w:val="ECHRPara"/>
    <w:uiPriority w:val="25"/>
    <w:qFormat/>
    <w:rsid w:val="0013508E"/>
  </w:style>
  <w:style w:type="paragraph" w:customStyle="1" w:styleId="JuQuotSub">
    <w:name w:val="Ju_Quot_Sub"/>
    <w:basedOn w:val="ECHRParaQuote"/>
    <w:uiPriority w:val="15"/>
    <w:qFormat/>
    <w:rsid w:val="0013508E"/>
    <w:pPr>
      <w:ind w:left="567"/>
    </w:pPr>
  </w:style>
  <w:style w:type="paragraph" w:customStyle="1" w:styleId="JuInitialled">
    <w:name w:val="Ju_Initialled"/>
    <w:basedOn w:val="Normal"/>
    <w:uiPriority w:val="31"/>
    <w:qFormat/>
    <w:rsid w:val="0013508E"/>
    <w:pPr>
      <w:tabs>
        <w:tab w:val="center" w:pos="6407"/>
      </w:tabs>
      <w:spacing w:before="720"/>
      <w:jc w:val="right"/>
    </w:pPr>
  </w:style>
  <w:style w:type="paragraph" w:customStyle="1" w:styleId="OpiHA">
    <w:name w:val="Opi_H_A"/>
    <w:basedOn w:val="ECHRHeading1"/>
    <w:next w:val="OpiPara"/>
    <w:uiPriority w:val="41"/>
    <w:semiHidden/>
    <w:qFormat/>
    <w:rsid w:val="0013508E"/>
  </w:style>
  <w:style w:type="paragraph" w:styleId="Header">
    <w:name w:val="header"/>
    <w:basedOn w:val="Normal"/>
    <w:link w:val="HeaderChar"/>
    <w:uiPriority w:val="57"/>
    <w:semiHidden/>
    <w:rsid w:val="0013508E"/>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13508E"/>
    <w:rPr>
      <w:sz w:val="24"/>
      <w:lang w:val="en-US"/>
    </w:rPr>
  </w:style>
  <w:style w:type="paragraph" w:customStyle="1" w:styleId="ECHRHeading1">
    <w:name w:val="ECHR_Heading_1"/>
    <w:aliases w:val="Ju_H_I_Roman"/>
    <w:basedOn w:val="Heading1"/>
    <w:next w:val="ECHRPara"/>
    <w:uiPriority w:val="19"/>
    <w:qFormat/>
    <w:rsid w:val="0013508E"/>
  </w:style>
  <w:style w:type="paragraph" w:customStyle="1" w:styleId="ECHRHeading2">
    <w:name w:val="ECHR_Heading_2"/>
    <w:aliases w:val="Ju_H_A"/>
    <w:basedOn w:val="Heading2"/>
    <w:next w:val="ECHRPara"/>
    <w:uiPriority w:val="20"/>
    <w:qFormat/>
    <w:rsid w:val="0013508E"/>
  </w:style>
  <w:style w:type="character" w:customStyle="1" w:styleId="JUNAMES">
    <w:name w:val="JU_NAMES"/>
    <w:uiPriority w:val="17"/>
    <w:qFormat/>
    <w:rsid w:val="0013508E"/>
    <w:rPr>
      <w:caps w:val="0"/>
      <w:smallCaps/>
    </w:rPr>
  </w:style>
  <w:style w:type="paragraph" w:customStyle="1" w:styleId="JuCase">
    <w:name w:val="Ju_Case"/>
    <w:basedOn w:val="Normal"/>
    <w:next w:val="ECHRPara"/>
    <w:uiPriority w:val="10"/>
    <w:rsid w:val="0013508E"/>
    <w:pPr>
      <w:ind w:firstLine="284"/>
    </w:pPr>
    <w:rPr>
      <w:b/>
    </w:rPr>
  </w:style>
  <w:style w:type="character" w:styleId="SubtleEmphasis">
    <w:name w:val="Subtle Emphasis"/>
    <w:uiPriority w:val="99"/>
    <w:qFormat/>
    <w:rsid w:val="0013508E"/>
    <w:rPr>
      <w:i/>
      <w:iCs/>
    </w:rPr>
  </w:style>
  <w:style w:type="table" w:customStyle="1" w:styleId="ECHRTable">
    <w:name w:val="ECHR_Table"/>
    <w:basedOn w:val="TableNormal"/>
    <w:rsid w:val="0013508E"/>
    <w:pPr>
      <w:spacing w:after="0" w:line="240" w:lineRule="auto"/>
    </w:pPr>
    <w:rPr>
      <w:rFonts w:eastAsia="Times New Roman" w:cs="Times New Roman"/>
      <w:sz w:val="20"/>
      <w:szCs w:val="20"/>
      <w:lang w:val="en-GB"/>
    </w:rPr>
    <w:tblPr>
      <w:tblStyleRowBandSize w:val="1"/>
      <w:tblStyleColBandSize w:val="1"/>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28" w:type="dxa"/>
        <w:bottom w:w="28" w:type="dxa"/>
      </w:tblCellMar>
    </w:tblPr>
    <w:tblStylePr w:type="firstRow">
      <w:rPr>
        <w:rFonts w:asciiTheme="majorHAnsi" w:hAnsiTheme="majorHAnsi"/>
        <w:b/>
        <w:i w:val="0"/>
        <w:color w:val="76923C" w:themeColor="accent3" w:themeShade="BF"/>
        <w:sz w:val="22"/>
      </w:rPr>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l2br w:val="nil"/>
          <w:tr2bl w:val="nil"/>
        </w:tcBorders>
        <w:shd w:val="clear" w:color="auto" w:fill="DDD9C3"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DD9C3" w:themeFill="background2" w:themeFillShade="E6"/>
      </w:tcPr>
    </w:tblStylePr>
    <w:tblStylePr w:type="band2Horz">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l2br w:val="nil"/>
          <w:tr2bl w:val="nil"/>
        </w:tcBorders>
        <w:shd w:val="clear" w:color="auto" w:fill="DDD9C3" w:themeFill="background2" w:themeFillShade="E6"/>
      </w:tcPr>
    </w:tblStylePr>
  </w:style>
  <w:style w:type="table" w:customStyle="1" w:styleId="ECHRTableBoxHeader">
    <w:name w:val="ECHR_Table_Box_Header"/>
    <w:basedOn w:val="TableNormal"/>
    <w:rsid w:val="0013508E"/>
    <w:pPr>
      <w:spacing w:after="0" w:line="240" w:lineRule="auto"/>
    </w:pPr>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EEECE1" w:themeFill="background2"/>
    </w:tcPr>
    <w:tblStylePr w:type="firstCol">
      <w:rPr>
        <w:b/>
        <w:color w:val="9BBB59" w:themeColor="accent3"/>
      </w:rPr>
    </w:tblStylePr>
  </w:style>
  <w:style w:type="paragraph" w:customStyle="1" w:styleId="ECHRTitle1">
    <w:name w:val="ECHR_Title_1"/>
    <w:aliases w:val="Ju_H_Head"/>
    <w:basedOn w:val="Normal"/>
    <w:next w:val="ECHRPara"/>
    <w:uiPriority w:val="18"/>
    <w:qFormat/>
    <w:rsid w:val="0013508E"/>
    <w:pPr>
      <w:keepNext/>
      <w:keepLines/>
      <w:spacing w:before="720" w:after="240"/>
      <w:outlineLvl w:val="0"/>
    </w:pPr>
    <w:rPr>
      <w:rFonts w:asciiTheme="majorHAnsi" w:hAnsiTheme="majorHAnsi"/>
      <w:sz w:val="28"/>
    </w:rPr>
  </w:style>
  <w:style w:type="character" w:styleId="Emphasis">
    <w:name w:val="Emphasis"/>
    <w:uiPriority w:val="99"/>
    <w:qFormat/>
    <w:rsid w:val="0013508E"/>
    <w:rPr>
      <w:b/>
      <w:bCs/>
      <w:i/>
      <w:iCs/>
      <w:spacing w:val="10"/>
      <w:bdr w:val="none" w:sz="0" w:space="0" w:color="auto"/>
      <w:shd w:val="clear" w:color="auto" w:fill="auto"/>
    </w:rPr>
  </w:style>
  <w:style w:type="paragraph" w:styleId="Footer">
    <w:name w:val="footer"/>
    <w:basedOn w:val="Normal"/>
    <w:link w:val="FooterChar"/>
    <w:uiPriority w:val="57"/>
    <w:semiHidden/>
    <w:rsid w:val="0013508E"/>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13508E"/>
    <w:rPr>
      <w:sz w:val="24"/>
      <w:lang w:val="en-US"/>
    </w:rPr>
  </w:style>
  <w:style w:type="character" w:styleId="FootnoteReference">
    <w:name w:val="footnote reference"/>
    <w:basedOn w:val="DefaultParagraphFont"/>
    <w:uiPriority w:val="99"/>
    <w:semiHidden/>
    <w:rsid w:val="0013508E"/>
    <w:rPr>
      <w:vertAlign w:val="superscript"/>
    </w:rPr>
  </w:style>
  <w:style w:type="paragraph" w:styleId="FootnoteText">
    <w:name w:val="footnote text"/>
    <w:basedOn w:val="Normal"/>
    <w:link w:val="FootnoteTextChar"/>
    <w:uiPriority w:val="99"/>
    <w:semiHidden/>
    <w:rsid w:val="0013508E"/>
    <w:rPr>
      <w:sz w:val="20"/>
      <w:szCs w:val="20"/>
    </w:rPr>
  </w:style>
  <w:style w:type="character" w:customStyle="1" w:styleId="FootnoteTextChar">
    <w:name w:val="Footnote Text Char"/>
    <w:basedOn w:val="DefaultParagraphFont"/>
    <w:link w:val="FootnoteText"/>
    <w:uiPriority w:val="99"/>
    <w:semiHidden/>
    <w:rsid w:val="0013508E"/>
    <w:rPr>
      <w:rFonts w:eastAsiaTheme="minorEastAsia"/>
      <w:sz w:val="20"/>
      <w:szCs w:val="20"/>
      <w:lang w:val="en-US"/>
    </w:rPr>
  </w:style>
  <w:style w:type="character" w:styleId="Hyperlink">
    <w:name w:val="Hyperlink"/>
    <w:basedOn w:val="DefaultParagraphFont"/>
    <w:uiPriority w:val="99"/>
    <w:semiHidden/>
    <w:rsid w:val="0013508E"/>
    <w:rPr>
      <w:color w:val="0000FF" w:themeColor="hyperlink"/>
      <w:u w:val="single"/>
    </w:rPr>
  </w:style>
  <w:style w:type="character" w:styleId="IntenseEmphasis">
    <w:name w:val="Intense Emphasis"/>
    <w:uiPriority w:val="99"/>
    <w:qFormat/>
    <w:rsid w:val="0013508E"/>
    <w:rPr>
      <w:b/>
      <w:bCs/>
    </w:rPr>
  </w:style>
  <w:style w:type="paragraph" w:styleId="IntenseQuote">
    <w:name w:val="Intense Quote"/>
    <w:basedOn w:val="Normal"/>
    <w:next w:val="Normal"/>
    <w:link w:val="IntenseQuoteChar"/>
    <w:uiPriority w:val="99"/>
    <w:qFormat/>
    <w:rsid w:val="0013508E"/>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9"/>
    <w:rsid w:val="0013508E"/>
    <w:rPr>
      <w:rFonts w:eastAsiaTheme="minorEastAsia"/>
      <w:b/>
      <w:bCs/>
      <w:i/>
      <w:iCs/>
      <w:sz w:val="24"/>
      <w:lang w:val="en-US" w:bidi="en-US"/>
    </w:rPr>
  </w:style>
  <w:style w:type="character" w:styleId="IntenseReference">
    <w:name w:val="Intense Reference"/>
    <w:uiPriority w:val="99"/>
    <w:qFormat/>
    <w:rsid w:val="0013508E"/>
    <w:rPr>
      <w:smallCaps/>
      <w:spacing w:val="5"/>
      <w:u w:val="single"/>
    </w:rPr>
  </w:style>
  <w:style w:type="paragraph" w:styleId="ListParagraph">
    <w:name w:val="List Paragraph"/>
    <w:basedOn w:val="Normal"/>
    <w:uiPriority w:val="99"/>
    <w:qFormat/>
    <w:rsid w:val="0013508E"/>
    <w:pPr>
      <w:ind w:left="720"/>
      <w:contextualSpacing/>
    </w:pPr>
  </w:style>
  <w:style w:type="table" w:customStyle="1" w:styleId="LtrTableAddress">
    <w:name w:val="Ltr_Table_Address"/>
    <w:basedOn w:val="TableNormal"/>
    <w:uiPriority w:val="99"/>
    <w:rsid w:val="0013508E"/>
    <w:pPr>
      <w:spacing w:after="0" w:line="240" w:lineRule="auto"/>
    </w:pPr>
    <w:rPr>
      <w:lang w:val="en-US"/>
    </w:rPr>
    <w:tblPr>
      <w:tblInd w:w="5103" w:type="dxa"/>
    </w:tblPr>
  </w:style>
  <w:style w:type="paragraph" w:styleId="Quote">
    <w:name w:val="Quote"/>
    <w:basedOn w:val="Normal"/>
    <w:next w:val="Normal"/>
    <w:link w:val="QuoteChar"/>
    <w:uiPriority w:val="99"/>
    <w:qFormat/>
    <w:rsid w:val="0013508E"/>
    <w:pPr>
      <w:spacing w:before="200"/>
      <w:ind w:left="360" w:right="360"/>
    </w:pPr>
    <w:rPr>
      <w:i/>
      <w:iCs/>
      <w:lang w:bidi="en-US"/>
    </w:rPr>
  </w:style>
  <w:style w:type="character" w:customStyle="1" w:styleId="QuoteChar">
    <w:name w:val="Quote Char"/>
    <w:basedOn w:val="DefaultParagraphFont"/>
    <w:link w:val="Quote"/>
    <w:uiPriority w:val="99"/>
    <w:rsid w:val="0013508E"/>
    <w:rPr>
      <w:rFonts w:eastAsiaTheme="minorEastAsia"/>
      <w:i/>
      <w:iCs/>
      <w:sz w:val="24"/>
      <w:lang w:val="en-US" w:bidi="en-US"/>
    </w:rPr>
  </w:style>
  <w:style w:type="character" w:styleId="SubtleReference">
    <w:name w:val="Subtle Reference"/>
    <w:uiPriority w:val="99"/>
    <w:qFormat/>
    <w:rsid w:val="0013508E"/>
    <w:rPr>
      <w:smallCaps/>
    </w:rPr>
  </w:style>
  <w:style w:type="table" w:styleId="TableGrid">
    <w:name w:val="Table Grid"/>
    <w:basedOn w:val="TableNormal"/>
    <w:uiPriority w:val="59"/>
    <w:rsid w:val="0013508E"/>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13508E"/>
    <w:pPr>
      <w:spacing w:before="120" w:after="60"/>
      <w:ind w:left="340" w:right="340" w:hanging="340"/>
    </w:pPr>
    <w:rPr>
      <w:color w:val="0D0D0D" w:themeColor="text1" w:themeTint="F2"/>
    </w:rPr>
  </w:style>
  <w:style w:type="paragraph" w:styleId="TOC2">
    <w:name w:val="toc 2"/>
    <w:basedOn w:val="Normal"/>
    <w:next w:val="Normal"/>
    <w:autoRedefine/>
    <w:uiPriority w:val="99"/>
    <w:semiHidden/>
    <w:rsid w:val="0013508E"/>
    <w:pPr>
      <w:spacing w:after="60"/>
      <w:ind w:left="680" w:right="340" w:hanging="340"/>
    </w:pPr>
  </w:style>
  <w:style w:type="paragraph" w:styleId="TOC3">
    <w:name w:val="toc 3"/>
    <w:basedOn w:val="Normal"/>
    <w:next w:val="Normal"/>
    <w:autoRedefine/>
    <w:uiPriority w:val="99"/>
    <w:semiHidden/>
    <w:rsid w:val="0013508E"/>
    <w:pPr>
      <w:spacing w:after="60"/>
      <w:ind w:left="1020" w:right="340" w:hanging="340"/>
    </w:pPr>
  </w:style>
  <w:style w:type="paragraph" w:styleId="TOC4">
    <w:name w:val="toc 4"/>
    <w:basedOn w:val="Normal"/>
    <w:next w:val="Normal"/>
    <w:autoRedefine/>
    <w:uiPriority w:val="99"/>
    <w:semiHidden/>
    <w:rsid w:val="0013508E"/>
    <w:pPr>
      <w:tabs>
        <w:tab w:val="right" w:leader="dot" w:pos="9017"/>
      </w:tabs>
      <w:spacing w:after="60"/>
      <w:ind w:left="1361" w:right="340" w:hanging="340"/>
    </w:pPr>
  </w:style>
  <w:style w:type="paragraph" w:styleId="TOC5">
    <w:name w:val="toc 5"/>
    <w:basedOn w:val="Normal"/>
    <w:next w:val="Normal"/>
    <w:autoRedefine/>
    <w:uiPriority w:val="99"/>
    <w:semiHidden/>
    <w:rsid w:val="0013508E"/>
    <w:pPr>
      <w:spacing w:after="60"/>
      <w:ind w:left="1701" w:right="340" w:hanging="340"/>
    </w:pPr>
  </w:style>
  <w:style w:type="paragraph" w:styleId="TOCHeading">
    <w:name w:val="TOC Heading"/>
    <w:basedOn w:val="Heading1"/>
    <w:next w:val="Normal"/>
    <w:uiPriority w:val="99"/>
    <w:semiHidden/>
    <w:qFormat/>
    <w:rsid w:val="0013508E"/>
    <w:pPr>
      <w:keepNext/>
      <w:keepLines/>
      <w:contextualSpacing w:val="0"/>
      <w:outlineLvl w:val="9"/>
    </w:pPr>
    <w:rPr>
      <w:color w:val="365F91" w:themeColor="accent1" w:themeShade="BF"/>
    </w:rPr>
  </w:style>
  <w:style w:type="table" w:customStyle="1" w:styleId="UGTable">
    <w:name w:val="UG_Table"/>
    <w:basedOn w:val="TableNormal"/>
    <w:uiPriority w:val="99"/>
    <w:rsid w:val="0013508E"/>
    <w:pPr>
      <w:spacing w:after="0" w:line="240" w:lineRule="auto"/>
    </w:pPr>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13508E"/>
    <w:pPr>
      <w:spacing w:after="0" w:line="240" w:lineRule="auto"/>
    </w:pPr>
    <w:rPr>
      <w:rFonts w:eastAsiaTheme="minorEastAsia"/>
      <w:lang w:val="en-GB" w:eastAsia="en-GB"/>
    </w:rPr>
    <w:tblP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13508E"/>
    <w:pPr>
      <w:spacing w:after="0" w:line="240" w:lineRule="auto"/>
    </w:pPr>
    <w:rPr>
      <w:color w:val="000000" w:themeColor="text1"/>
      <w:sz w:val="18"/>
      <w:lang w:val="en-US"/>
    </w:rPr>
    <w:tblPr>
      <w:tblBorders>
        <w:top w:val="single" w:sz="8" w:space="0" w:color="C2D69B" w:themeColor="accent3" w:themeTint="99"/>
        <w:left w:val="single" w:sz="8" w:space="0" w:color="C2D69B" w:themeColor="accent3" w:themeTint="99"/>
        <w:bottom w:val="single" w:sz="8" w:space="0" w:color="C2D69B" w:themeColor="accent3" w:themeTint="99"/>
        <w:right w:val="single" w:sz="8" w:space="0" w:color="C2D69B" w:themeColor="accent3" w:themeTint="99"/>
        <w:insideH w:val="single" w:sz="8" w:space="0" w:color="C2D69B" w:themeColor="accent3" w:themeTint="99"/>
        <w:insideV w:val="single" w:sz="8" w:space="0" w:color="C2D69B"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4F81BD"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13508E"/>
    <w:pPr>
      <w:spacing w:after="0" w:line="240" w:lineRule="auto"/>
    </w:pPr>
    <w:rPr>
      <w:color w:val="000000" w:themeColor="text1"/>
      <w:lang w:val="en-US"/>
    </w:rPr>
    <w:tblPr>
      <w:tblInd w:w="-680" w:type="dxa"/>
      <w:tblBorders>
        <w:insideH w:val="single" w:sz="4" w:space="0" w:color="1F497D" w:themeColor="text2"/>
        <w:insideV w:val="single" w:sz="4" w:space="0" w:color="1F497D" w:themeColor="text2"/>
      </w:tblBorders>
      <w:tblCellMar>
        <w:top w:w="142" w:type="dxa"/>
        <w:bottom w:w="142" w:type="dxa"/>
      </w:tblCellMar>
    </w:tblPr>
    <w:trPr>
      <w:cantSplit/>
    </w:trPr>
  </w:style>
  <w:style w:type="table" w:customStyle="1" w:styleId="ECHRTableMemo">
    <w:name w:val="ECHR_Table_Memo"/>
    <w:basedOn w:val="TableNormal"/>
    <w:uiPriority w:val="99"/>
    <w:rsid w:val="0013508E"/>
    <w:pPr>
      <w:spacing w:after="0" w:line="240" w:lineRule="auto"/>
    </w:pPr>
    <w:rPr>
      <w:lang w:val="en-US"/>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17365D"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13508E"/>
    <w:pPr>
      <w:spacing w:after="0" w:line="240" w:lineRule="auto"/>
    </w:pPr>
    <w:rPr>
      <w:lang w:val="en-US"/>
    </w:rPr>
    <w:tblPr>
      <w:jc w:val="center"/>
      <w:tblBorders>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76923C" w:themeColor="accent3" w:themeShade="BF"/>
        <w:sz w:val="24"/>
      </w:rPr>
      <w:tblPr/>
      <w:tcPr>
        <w:tcBorders>
          <w:top w:val="single" w:sz="4" w:space="0" w:color="17365D" w:themeColor="text2" w:themeShade="BF"/>
          <w:left w:val="single" w:sz="4" w:space="0" w:color="17365D" w:themeColor="text2" w:themeShade="BF"/>
          <w:bottom w:val="nil"/>
          <w:right w:val="single" w:sz="4" w:space="0" w:color="17365D" w:themeColor="text2" w:themeShade="BF"/>
          <w:insideH w:val="nil"/>
          <w:insideV w:val="nil"/>
          <w:tl2br w:val="nil"/>
          <w:tr2bl w:val="nil"/>
        </w:tcBorders>
        <w:shd w:val="clear" w:color="auto" w:fill="DDD9C3" w:themeFill="background2" w:themeFillShade="E6"/>
      </w:tcPr>
    </w:tblStylePr>
  </w:style>
  <w:style w:type="paragraph" w:styleId="TOAHeading">
    <w:name w:val="toa heading"/>
    <w:basedOn w:val="Normal"/>
    <w:next w:val="Normal"/>
    <w:uiPriority w:val="99"/>
    <w:semiHidden/>
    <w:rsid w:val="0013508E"/>
    <w:pPr>
      <w:spacing w:before="120"/>
    </w:pPr>
    <w:rPr>
      <w:rFonts w:asciiTheme="majorHAnsi" w:eastAsiaTheme="majorEastAsia" w:hAnsiTheme="majorHAnsi" w:cstheme="majorBidi"/>
      <w:b/>
      <w:bCs/>
      <w:color w:val="76923C" w:themeColor="accent3" w:themeShade="BF"/>
      <w:szCs w:val="24"/>
    </w:rPr>
  </w:style>
  <w:style w:type="paragraph" w:customStyle="1" w:styleId="ECHRParaQuote">
    <w:name w:val="ECHR_Para_Quote"/>
    <w:aliases w:val="Ju_Quot,Para_Quote"/>
    <w:basedOn w:val="Normal"/>
    <w:link w:val="JuQuotChar"/>
    <w:qFormat/>
    <w:rsid w:val="0013508E"/>
    <w:pPr>
      <w:spacing w:before="120" w:after="120"/>
      <w:ind w:left="425" w:firstLine="142"/>
    </w:pPr>
    <w:rPr>
      <w:sz w:val="20"/>
    </w:rPr>
  </w:style>
  <w:style w:type="paragraph" w:customStyle="1" w:styleId="ECHRPara">
    <w:name w:val="ECHR_Para"/>
    <w:aliases w:val="Ju_Para,Left,First line:  0 cm"/>
    <w:basedOn w:val="Normal"/>
    <w:link w:val="ECHRParaChar"/>
    <w:qFormat/>
    <w:rsid w:val="0013508E"/>
    <w:pPr>
      <w:ind w:firstLine="284"/>
    </w:pPr>
  </w:style>
  <w:style w:type="table" w:customStyle="1" w:styleId="ECHRTableSimpleBox">
    <w:name w:val="ECHR_Table_Simple_Box"/>
    <w:basedOn w:val="TableNormal"/>
    <w:uiPriority w:val="99"/>
    <w:rsid w:val="0013508E"/>
    <w:pPr>
      <w:spacing w:after="0" w:line="240" w:lineRule="auto"/>
    </w:pPr>
    <w:rPr>
      <w:lang w:val="en-US"/>
    </w:rPr>
    <w:tblPr>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tblBorders>
      <w:tblCellMar>
        <w:top w:w="113" w:type="dxa"/>
        <w:bottom w:w="113" w:type="dxa"/>
      </w:tblCellMar>
    </w:tblPr>
  </w:style>
  <w:style w:type="table" w:customStyle="1" w:styleId="ECHRTableNoLines">
    <w:name w:val="ECHR_Table_No_Lines"/>
    <w:basedOn w:val="TableNormal"/>
    <w:uiPriority w:val="99"/>
    <w:rsid w:val="0013508E"/>
    <w:pPr>
      <w:spacing w:after="0" w:line="240" w:lineRule="auto"/>
    </w:pPr>
    <w:rPr>
      <w:lang w:val="en-US"/>
    </w:rPr>
    <w:tblPr>
      <w:tblCellMar>
        <w:top w:w="85" w:type="dxa"/>
        <w:left w:w="142" w:type="dxa"/>
        <w:bottom w:w="28" w:type="dxa"/>
        <w:right w:w="142" w:type="dxa"/>
      </w:tblCellMar>
    </w:tblPr>
    <w:tblStylePr w:type="firstRow">
      <w:rPr>
        <w:rFonts w:asciiTheme="majorHAnsi" w:hAnsiTheme="majorHAnsi"/>
        <w:b/>
        <w:i w:val="0"/>
        <w:color w:val="76923C" w:themeColor="accent3" w:themeShade="BF"/>
        <w:sz w:val="24"/>
      </w:rPr>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nil"/>
          <w:insideV w:val="nil"/>
          <w:tl2br w:val="nil"/>
          <w:tr2bl w:val="nil"/>
        </w:tcBorders>
        <w:shd w:val="clear" w:color="auto" w:fill="DDD9C3" w:themeFill="background2" w:themeFillShade="E6"/>
      </w:tcPr>
    </w:tblStylePr>
    <w:tblStylePr w:type="firstCol">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cBorders>
      </w:tcPr>
    </w:tblStylePr>
  </w:style>
  <w:style w:type="table" w:customStyle="1" w:styleId="ECHRTableForInternalUse">
    <w:name w:val="ECHR_Table_For_Internal_Use"/>
    <w:basedOn w:val="TableNormal"/>
    <w:uiPriority w:val="99"/>
    <w:rsid w:val="0013508E"/>
    <w:pPr>
      <w:spacing w:after="0" w:line="240" w:lineRule="auto"/>
    </w:pPr>
    <w:rPr>
      <w:color w:val="0F243E" w:themeColor="text2" w:themeShade="80"/>
      <w:sz w:val="18"/>
      <w:lang w:val="en-US"/>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l2br w:val="nil"/>
          <w:tr2bl w:val="nil"/>
        </w:tcBorders>
      </w:tcPr>
    </w:tblStylePr>
    <w:tblStylePr w:type="band1Vert">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l2br w:val="nil"/>
          <w:tr2bl w:val="nil"/>
        </w:tcBorders>
      </w:tcPr>
    </w:tblStylePr>
  </w:style>
  <w:style w:type="table" w:customStyle="1" w:styleId="ECHRListTable">
    <w:name w:val="ECHR_List_Table"/>
    <w:basedOn w:val="TableNormal"/>
    <w:uiPriority w:val="99"/>
    <w:rsid w:val="0013508E"/>
    <w:pPr>
      <w:spacing w:after="0" w:line="240" w:lineRule="auto"/>
    </w:pPr>
    <w:rPr>
      <w:lang w:val="en-US"/>
    </w:rPr>
    <w:tblPr>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28" w:type="dxa"/>
        <w:bottom w:w="28" w:type="dxa"/>
      </w:tblCellMar>
    </w:tblPr>
    <w:tblStylePr w:type="firstRow">
      <w:rPr>
        <w:b/>
        <w:color w:val="76923C" w:themeColor="accent3" w:themeShade="BF"/>
      </w:rPr>
      <w:tblPr/>
      <w:trPr>
        <w:tblHeader/>
      </w:tr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cBorders>
        <w:shd w:val="clear" w:color="auto" w:fill="DDD9C3" w:themeFill="background2" w:themeFillShade="E6"/>
      </w:tcPr>
    </w:tblStylePr>
  </w:style>
  <w:style w:type="table" w:customStyle="1" w:styleId="ECHRHeaderTable">
    <w:name w:val="ECHR_Header_Table"/>
    <w:basedOn w:val="TableNormal"/>
    <w:uiPriority w:val="99"/>
    <w:rsid w:val="0013508E"/>
    <w:pPr>
      <w:spacing w:after="0" w:line="240" w:lineRule="auto"/>
    </w:pPr>
    <w:rPr>
      <w:lang w:val="en-US"/>
    </w:rPr>
    <w:tblPr>
      <w:tblInd w:w="-680" w:type="dxa"/>
      <w:tblBorders>
        <w:bottom w:val="single" w:sz="6" w:space="0" w:color="17365D"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13508E"/>
    <w:pPr>
      <w:spacing w:after="0" w:line="240" w:lineRule="auto"/>
    </w:pPr>
    <w:rPr>
      <w:lang w:val="en-US"/>
    </w:rPr>
    <w:tblPr>
      <w:tblStyleRowBandSize w:val="1"/>
      <w:tblStyleColBandSize w:val="1"/>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CellMar>
        <w:top w:w="28" w:type="dxa"/>
        <w:bottom w:w="28" w:type="dxa"/>
      </w:tblCellMar>
    </w:tblPr>
    <w:tblStylePr w:type="firstRow">
      <w:rPr>
        <w:rFonts w:asciiTheme="majorHAnsi" w:hAnsiTheme="majorHAnsi"/>
        <w:b/>
        <w:i w:val="0"/>
        <w:color w:val="76923C" w:themeColor="accent3" w:themeShade="BF"/>
        <w:sz w:val="22"/>
      </w:rPr>
      <w:tblPr/>
      <w:tcPr>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nil"/>
          <w:insideV w:val="single" w:sz="4" w:space="0" w:color="17365D" w:themeColor="text2" w:themeShade="BF"/>
          <w:tl2br w:val="nil"/>
          <w:tr2bl w:val="nil"/>
        </w:tcBorders>
        <w:shd w:val="clear" w:color="auto" w:fill="DDD9C3" w:themeFill="background2" w:themeFillShade="E6"/>
      </w:tcPr>
    </w:tblStylePr>
    <w:tblStylePr w:type="band1Vert">
      <w:tblPr/>
      <w:tcPr>
        <w:tcBorders>
          <w:top w:val="nil"/>
          <w:left w:val="nil"/>
          <w:bottom w:val="nil"/>
          <w:right w:val="nil"/>
          <w:insideH w:val="nil"/>
          <w:insideV w:val="nil"/>
          <w:tl2br w:val="nil"/>
          <w:tr2bl w:val="nil"/>
        </w:tcBorders>
        <w:shd w:val="clear" w:color="auto" w:fill="DDD9C3" w:themeFill="background2" w:themeFillShade="E6"/>
      </w:tcPr>
    </w:tblStylePr>
    <w:tblStylePr w:type="band1Horz">
      <w:rPr>
        <w:b/>
      </w:rPr>
      <w:tblPr/>
      <w:tcPr>
        <w:shd w:val="clear" w:color="auto" w:fill="DDD9C3" w:themeFill="background2" w:themeFillShade="E6"/>
      </w:tcPr>
    </w:tblStylePr>
  </w:style>
  <w:style w:type="paragraph" w:customStyle="1" w:styleId="ECHRDecisionBody">
    <w:name w:val="ECHR_Decision_Body"/>
    <w:aliases w:val="Ju_Judges"/>
    <w:basedOn w:val="Normal"/>
    <w:link w:val="JuJudgesChar"/>
    <w:uiPriority w:val="11"/>
    <w:qFormat/>
    <w:rsid w:val="0013508E"/>
    <w:pPr>
      <w:tabs>
        <w:tab w:val="left" w:pos="567"/>
        <w:tab w:val="left" w:pos="1134"/>
      </w:tabs>
      <w:jc w:val="left"/>
    </w:pPr>
  </w:style>
  <w:style w:type="table" w:customStyle="1" w:styleId="ECHRHeaderTableReduced">
    <w:name w:val="ECHR_Header_Table_Reduced"/>
    <w:basedOn w:val="TableNormal"/>
    <w:uiPriority w:val="99"/>
    <w:rsid w:val="0013508E"/>
    <w:pPr>
      <w:spacing w:after="0" w:line="240" w:lineRule="auto"/>
    </w:pPr>
    <w:rPr>
      <w:lang w:val="en-US"/>
    </w:rPr>
    <w:tblPr>
      <w:tblInd w:w="-680" w:type="dxa"/>
      <w:tblCellMar>
        <w:left w:w="0" w:type="dxa"/>
        <w:right w:w="0" w:type="dxa"/>
      </w:tblCellMar>
    </w:tblPr>
    <w:tcPr>
      <w:vAlign w:val="bottom"/>
    </w:tcPr>
    <w:tblStylePr w:type="firstRow">
      <w:tblPr/>
      <w:tcPr>
        <w:tcBorders>
          <w:top w:val="nil"/>
          <w:left w:val="nil"/>
          <w:bottom w:val="single" w:sz="6" w:space="0" w:color="17365D" w:themeColor="text2" w:themeShade="BF"/>
          <w:right w:val="nil"/>
          <w:insideH w:val="nil"/>
          <w:insideV w:val="nil"/>
          <w:tl2br w:val="nil"/>
          <w:tr2bl w:val="nil"/>
        </w:tcBorders>
      </w:tcPr>
    </w:tblStylePr>
    <w:tblStylePr w:type="lastRow">
      <w:pPr>
        <w:jc w:val="right"/>
      </w:pPr>
      <w:tblPr/>
      <w:tcPr>
        <w:tcBorders>
          <w:top w:val="single" w:sz="6" w:space="0" w:color="17365D"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13508E"/>
    <w:pPr>
      <w:ind w:left="340" w:hanging="340"/>
    </w:pPr>
  </w:style>
  <w:style w:type="paragraph" w:customStyle="1" w:styleId="JuSigned">
    <w:name w:val="Ju_Signed"/>
    <w:basedOn w:val="Normal"/>
    <w:next w:val="JuParaLast"/>
    <w:uiPriority w:val="32"/>
    <w:qFormat/>
    <w:rsid w:val="0013508E"/>
    <w:pPr>
      <w:tabs>
        <w:tab w:val="center" w:pos="851"/>
        <w:tab w:val="center" w:pos="6407"/>
      </w:tabs>
      <w:spacing w:before="720"/>
      <w:jc w:val="left"/>
    </w:pPr>
  </w:style>
  <w:style w:type="paragraph" w:customStyle="1" w:styleId="JuParaLast">
    <w:name w:val="Ju_Para_Last"/>
    <w:basedOn w:val="Normal"/>
    <w:next w:val="ECHRPara"/>
    <w:uiPriority w:val="30"/>
    <w:qFormat/>
    <w:rsid w:val="0013508E"/>
    <w:pPr>
      <w:keepNext/>
      <w:keepLines/>
      <w:spacing w:before="240"/>
      <w:ind w:firstLine="284"/>
    </w:pPr>
  </w:style>
  <w:style w:type="character" w:customStyle="1" w:styleId="JuITMark">
    <w:name w:val="Ju_ITMark"/>
    <w:basedOn w:val="DefaultParagraphFont"/>
    <w:uiPriority w:val="38"/>
    <w:qFormat/>
    <w:rsid w:val="0013508E"/>
    <w:rPr>
      <w:vanish w:val="0"/>
      <w:color w:val="auto"/>
      <w:sz w:val="14"/>
    </w:rPr>
  </w:style>
  <w:style w:type="character" w:styleId="PageNumber">
    <w:name w:val="page number"/>
    <w:uiPriority w:val="99"/>
    <w:semiHidden/>
    <w:rsid w:val="0013508E"/>
    <w:rPr>
      <w:sz w:val="18"/>
    </w:rPr>
  </w:style>
  <w:style w:type="paragraph" w:customStyle="1" w:styleId="OpiTranslation">
    <w:name w:val="Opi_Translation"/>
    <w:basedOn w:val="Normal"/>
    <w:next w:val="OpiPara"/>
    <w:uiPriority w:val="40"/>
    <w:semiHidden/>
    <w:qFormat/>
    <w:rsid w:val="0013508E"/>
    <w:pPr>
      <w:jc w:val="center"/>
      <w:outlineLvl w:val="0"/>
    </w:pPr>
    <w:rPr>
      <w:i/>
    </w:rPr>
  </w:style>
  <w:style w:type="paragraph" w:customStyle="1" w:styleId="DecHTitle">
    <w:name w:val="Dec_H_Title"/>
    <w:basedOn w:val="ECHRTitleCentre1"/>
    <w:uiPriority w:val="7"/>
    <w:qFormat/>
    <w:rsid w:val="0013508E"/>
  </w:style>
  <w:style w:type="character" w:styleId="CommentReference">
    <w:name w:val="annotation reference"/>
    <w:semiHidden/>
    <w:rsid w:val="0013508E"/>
    <w:rPr>
      <w:sz w:val="16"/>
    </w:rPr>
  </w:style>
  <w:style w:type="paragraph" w:styleId="CommentText">
    <w:name w:val="annotation text"/>
    <w:basedOn w:val="Normal"/>
    <w:link w:val="CommentTextChar"/>
    <w:semiHidden/>
    <w:rsid w:val="0013508E"/>
    <w:rPr>
      <w:sz w:val="20"/>
    </w:rPr>
  </w:style>
  <w:style w:type="character" w:customStyle="1" w:styleId="CommentTextChar">
    <w:name w:val="Comment Text Char"/>
    <w:basedOn w:val="DefaultParagraphFont"/>
    <w:link w:val="CommentText"/>
    <w:semiHidden/>
    <w:rsid w:val="0013508E"/>
    <w:rPr>
      <w:rFonts w:eastAsiaTheme="minorEastAsia"/>
      <w:sz w:val="20"/>
      <w:lang w:val="en-US"/>
    </w:rPr>
  </w:style>
  <w:style w:type="paragraph" w:styleId="CommentSubject">
    <w:name w:val="annotation subject"/>
    <w:basedOn w:val="CommentText"/>
    <w:next w:val="CommentText"/>
    <w:link w:val="CommentSubjectChar"/>
    <w:uiPriority w:val="99"/>
    <w:semiHidden/>
    <w:rsid w:val="0013508E"/>
    <w:rPr>
      <w:b/>
      <w:bCs/>
    </w:rPr>
  </w:style>
  <w:style w:type="character" w:customStyle="1" w:styleId="CommentSubjectChar">
    <w:name w:val="Comment Subject Char"/>
    <w:basedOn w:val="CommentTextChar"/>
    <w:link w:val="CommentSubject"/>
    <w:uiPriority w:val="99"/>
    <w:semiHidden/>
    <w:rsid w:val="0013508E"/>
    <w:rPr>
      <w:rFonts w:eastAsiaTheme="minorEastAsia"/>
      <w:b/>
      <w:bCs/>
      <w:sz w:val="20"/>
      <w:lang w:val="en-US"/>
    </w:rPr>
  </w:style>
  <w:style w:type="character" w:styleId="EndnoteReference">
    <w:name w:val="endnote reference"/>
    <w:uiPriority w:val="99"/>
    <w:semiHidden/>
    <w:rsid w:val="0013508E"/>
    <w:rPr>
      <w:vertAlign w:val="superscript"/>
    </w:rPr>
  </w:style>
  <w:style w:type="paragraph" w:styleId="EndnoteText">
    <w:name w:val="endnote text"/>
    <w:basedOn w:val="Normal"/>
    <w:link w:val="EndnoteTextChar"/>
    <w:uiPriority w:val="99"/>
    <w:semiHidden/>
    <w:rsid w:val="0013508E"/>
    <w:rPr>
      <w:sz w:val="20"/>
    </w:rPr>
  </w:style>
  <w:style w:type="character" w:customStyle="1" w:styleId="EndnoteTextChar">
    <w:name w:val="Endnote Text Char"/>
    <w:basedOn w:val="DefaultParagraphFont"/>
    <w:link w:val="EndnoteText"/>
    <w:uiPriority w:val="99"/>
    <w:semiHidden/>
    <w:rsid w:val="0013508E"/>
    <w:rPr>
      <w:rFonts w:eastAsiaTheme="minorEastAsia"/>
      <w:sz w:val="20"/>
      <w:lang w:val="en-US"/>
    </w:rPr>
  </w:style>
  <w:style w:type="character" w:styleId="FollowedHyperlink">
    <w:name w:val="FollowedHyperlink"/>
    <w:uiPriority w:val="99"/>
    <w:semiHidden/>
    <w:rsid w:val="0013508E"/>
    <w:rPr>
      <w:color w:val="800080"/>
      <w:u w:val="single"/>
    </w:rPr>
  </w:style>
  <w:style w:type="paragraph" w:styleId="DocumentMap">
    <w:name w:val="Document Map"/>
    <w:basedOn w:val="Normal"/>
    <w:link w:val="DocumentMapChar"/>
    <w:uiPriority w:val="99"/>
    <w:semiHidden/>
    <w:rsid w:val="0013508E"/>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13508E"/>
    <w:rPr>
      <w:rFonts w:ascii="Tahoma" w:eastAsiaTheme="minorEastAsia" w:hAnsi="Tahoma" w:cs="Tahoma"/>
      <w:sz w:val="20"/>
      <w:shd w:val="clear" w:color="auto" w:fill="000080"/>
      <w:lang w:val="en-US"/>
    </w:rPr>
  </w:style>
  <w:style w:type="paragraph" w:customStyle="1" w:styleId="DecList">
    <w:name w:val="Dec_List"/>
    <w:basedOn w:val="Normal"/>
    <w:uiPriority w:val="9"/>
    <w:qFormat/>
    <w:rsid w:val="0013508E"/>
    <w:pPr>
      <w:spacing w:before="240"/>
      <w:ind w:left="284"/>
    </w:pPr>
  </w:style>
  <w:style w:type="paragraph" w:styleId="ListBullet">
    <w:name w:val="List Bullet"/>
    <w:basedOn w:val="Normal"/>
    <w:uiPriority w:val="99"/>
    <w:semiHidden/>
    <w:rsid w:val="0013508E"/>
    <w:pPr>
      <w:numPr>
        <w:numId w:val="1"/>
      </w:numPr>
    </w:pPr>
  </w:style>
  <w:style w:type="paragraph" w:customStyle="1" w:styleId="JuLista">
    <w:name w:val="Ju_List_a"/>
    <w:basedOn w:val="JuList"/>
    <w:uiPriority w:val="28"/>
    <w:qFormat/>
    <w:rsid w:val="0013508E"/>
    <w:pPr>
      <w:ind w:left="346" w:firstLine="0"/>
    </w:pPr>
  </w:style>
  <w:style w:type="paragraph" w:styleId="Subtitle">
    <w:name w:val="Subtitle"/>
    <w:basedOn w:val="Normal"/>
    <w:next w:val="Normal"/>
    <w:link w:val="SubtitleChar"/>
    <w:uiPriority w:val="99"/>
    <w:qFormat/>
    <w:rsid w:val="0013508E"/>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rsid w:val="0013508E"/>
    <w:rPr>
      <w:rFonts w:asciiTheme="majorHAnsi" w:eastAsiaTheme="majorEastAsia" w:hAnsiTheme="majorHAnsi" w:cstheme="majorBidi"/>
      <w:i/>
      <w:iCs/>
      <w:spacing w:val="13"/>
      <w:sz w:val="24"/>
      <w:szCs w:val="24"/>
      <w:lang w:val="en-US" w:bidi="en-US"/>
    </w:rPr>
  </w:style>
  <w:style w:type="numbering" w:styleId="111111">
    <w:name w:val="Outline List 2"/>
    <w:basedOn w:val="NoList"/>
    <w:uiPriority w:val="99"/>
    <w:semiHidden/>
    <w:rsid w:val="0013508E"/>
    <w:pPr>
      <w:numPr>
        <w:numId w:val="2"/>
      </w:numPr>
    </w:pPr>
  </w:style>
  <w:style w:type="numbering" w:styleId="1ai">
    <w:name w:val="Outline List 1"/>
    <w:basedOn w:val="NoList"/>
    <w:uiPriority w:val="99"/>
    <w:semiHidden/>
    <w:rsid w:val="0013508E"/>
    <w:pPr>
      <w:numPr>
        <w:numId w:val="3"/>
      </w:numPr>
    </w:pPr>
  </w:style>
  <w:style w:type="numbering" w:styleId="ArticleSection">
    <w:name w:val="Outline List 3"/>
    <w:basedOn w:val="NoList"/>
    <w:uiPriority w:val="99"/>
    <w:semiHidden/>
    <w:rsid w:val="0013508E"/>
    <w:pPr>
      <w:numPr>
        <w:numId w:val="4"/>
      </w:numPr>
    </w:pPr>
  </w:style>
  <w:style w:type="paragraph" w:styleId="Bibliography">
    <w:name w:val="Bibliography"/>
    <w:basedOn w:val="Normal"/>
    <w:next w:val="Normal"/>
    <w:uiPriority w:val="99"/>
    <w:semiHidden/>
    <w:unhideWhenUsed/>
    <w:rsid w:val="0013508E"/>
  </w:style>
  <w:style w:type="paragraph" w:styleId="BlockText">
    <w:name w:val="Block Text"/>
    <w:basedOn w:val="Normal"/>
    <w:uiPriority w:val="99"/>
    <w:semiHidden/>
    <w:rsid w:val="0013508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i/>
      <w:iCs/>
      <w:color w:val="4F81BD" w:themeColor="accent1"/>
    </w:rPr>
  </w:style>
  <w:style w:type="paragraph" w:styleId="BodyText">
    <w:name w:val="Body Text"/>
    <w:basedOn w:val="Normal"/>
    <w:link w:val="BodyTextChar"/>
    <w:uiPriority w:val="99"/>
    <w:semiHidden/>
    <w:rsid w:val="0013508E"/>
    <w:pPr>
      <w:spacing w:after="120"/>
    </w:pPr>
  </w:style>
  <w:style w:type="character" w:customStyle="1" w:styleId="BodyTextChar">
    <w:name w:val="Body Text Char"/>
    <w:basedOn w:val="DefaultParagraphFont"/>
    <w:link w:val="BodyText"/>
    <w:uiPriority w:val="99"/>
    <w:semiHidden/>
    <w:rsid w:val="0013508E"/>
    <w:rPr>
      <w:rFonts w:eastAsiaTheme="minorEastAsia"/>
      <w:sz w:val="24"/>
      <w:lang w:val="en-US"/>
    </w:rPr>
  </w:style>
  <w:style w:type="paragraph" w:styleId="BodyText2">
    <w:name w:val="Body Text 2"/>
    <w:basedOn w:val="Normal"/>
    <w:link w:val="BodyText2Char"/>
    <w:uiPriority w:val="99"/>
    <w:semiHidden/>
    <w:rsid w:val="0013508E"/>
    <w:pPr>
      <w:spacing w:after="120" w:line="480" w:lineRule="auto"/>
    </w:pPr>
  </w:style>
  <w:style w:type="character" w:customStyle="1" w:styleId="BodyText2Char">
    <w:name w:val="Body Text 2 Char"/>
    <w:basedOn w:val="DefaultParagraphFont"/>
    <w:link w:val="BodyText2"/>
    <w:uiPriority w:val="99"/>
    <w:semiHidden/>
    <w:rsid w:val="0013508E"/>
    <w:rPr>
      <w:rFonts w:eastAsiaTheme="minorEastAsia"/>
      <w:sz w:val="24"/>
      <w:lang w:val="en-US"/>
    </w:rPr>
  </w:style>
  <w:style w:type="paragraph" w:styleId="BodyText3">
    <w:name w:val="Body Text 3"/>
    <w:basedOn w:val="Normal"/>
    <w:link w:val="BodyText3Char"/>
    <w:uiPriority w:val="99"/>
    <w:semiHidden/>
    <w:rsid w:val="0013508E"/>
    <w:pPr>
      <w:spacing w:after="120"/>
    </w:pPr>
    <w:rPr>
      <w:sz w:val="16"/>
      <w:szCs w:val="16"/>
    </w:rPr>
  </w:style>
  <w:style w:type="character" w:customStyle="1" w:styleId="BodyText3Char">
    <w:name w:val="Body Text 3 Char"/>
    <w:basedOn w:val="DefaultParagraphFont"/>
    <w:link w:val="BodyText3"/>
    <w:uiPriority w:val="99"/>
    <w:semiHidden/>
    <w:rsid w:val="0013508E"/>
    <w:rPr>
      <w:rFonts w:eastAsiaTheme="minorEastAsia"/>
      <w:sz w:val="16"/>
      <w:szCs w:val="16"/>
      <w:lang w:val="en-US"/>
    </w:rPr>
  </w:style>
  <w:style w:type="paragraph" w:styleId="BodyTextFirstIndent">
    <w:name w:val="Body Text First Indent"/>
    <w:basedOn w:val="BodyText"/>
    <w:link w:val="BodyTextFirstIndentChar"/>
    <w:uiPriority w:val="99"/>
    <w:semiHidden/>
    <w:rsid w:val="0013508E"/>
    <w:pPr>
      <w:spacing w:after="0"/>
      <w:ind w:firstLine="360"/>
    </w:pPr>
  </w:style>
  <w:style w:type="character" w:customStyle="1" w:styleId="BodyTextFirstIndentChar">
    <w:name w:val="Body Text First Indent Char"/>
    <w:basedOn w:val="BodyTextChar"/>
    <w:link w:val="BodyTextFirstIndent"/>
    <w:uiPriority w:val="99"/>
    <w:semiHidden/>
    <w:rsid w:val="0013508E"/>
    <w:rPr>
      <w:rFonts w:eastAsiaTheme="minorEastAsia"/>
      <w:sz w:val="24"/>
      <w:lang w:val="en-US"/>
    </w:rPr>
  </w:style>
  <w:style w:type="paragraph" w:styleId="BodyTextIndent">
    <w:name w:val="Body Text Indent"/>
    <w:basedOn w:val="Normal"/>
    <w:link w:val="BodyTextIndentChar"/>
    <w:uiPriority w:val="99"/>
    <w:semiHidden/>
    <w:rsid w:val="0013508E"/>
    <w:pPr>
      <w:spacing w:after="120"/>
      <w:ind w:left="283"/>
    </w:pPr>
  </w:style>
  <w:style w:type="character" w:customStyle="1" w:styleId="BodyTextIndentChar">
    <w:name w:val="Body Text Indent Char"/>
    <w:basedOn w:val="DefaultParagraphFont"/>
    <w:link w:val="BodyTextIndent"/>
    <w:uiPriority w:val="99"/>
    <w:semiHidden/>
    <w:rsid w:val="0013508E"/>
    <w:rPr>
      <w:rFonts w:eastAsiaTheme="minorEastAsia"/>
      <w:sz w:val="24"/>
      <w:lang w:val="en-US"/>
    </w:rPr>
  </w:style>
  <w:style w:type="paragraph" w:styleId="BodyTextFirstIndent2">
    <w:name w:val="Body Text First Indent 2"/>
    <w:basedOn w:val="BodyTextIndent"/>
    <w:link w:val="BodyTextFirstIndent2Char"/>
    <w:uiPriority w:val="99"/>
    <w:semiHidden/>
    <w:rsid w:val="0013508E"/>
    <w:pPr>
      <w:spacing w:after="0"/>
      <w:ind w:left="360" w:firstLine="360"/>
    </w:pPr>
  </w:style>
  <w:style w:type="character" w:customStyle="1" w:styleId="BodyTextFirstIndent2Char">
    <w:name w:val="Body Text First Indent 2 Char"/>
    <w:basedOn w:val="BodyTextIndentChar"/>
    <w:link w:val="BodyTextFirstIndent2"/>
    <w:uiPriority w:val="99"/>
    <w:semiHidden/>
    <w:rsid w:val="0013508E"/>
    <w:rPr>
      <w:rFonts w:eastAsiaTheme="minorEastAsia"/>
      <w:sz w:val="24"/>
      <w:lang w:val="en-US"/>
    </w:rPr>
  </w:style>
  <w:style w:type="paragraph" w:styleId="BodyTextIndent2">
    <w:name w:val="Body Text Indent 2"/>
    <w:basedOn w:val="Normal"/>
    <w:link w:val="BodyTextIndent2Char"/>
    <w:uiPriority w:val="99"/>
    <w:semiHidden/>
    <w:rsid w:val="0013508E"/>
    <w:pPr>
      <w:spacing w:after="120" w:line="480" w:lineRule="auto"/>
      <w:ind w:left="283"/>
    </w:pPr>
  </w:style>
  <w:style w:type="character" w:customStyle="1" w:styleId="BodyTextIndent2Char">
    <w:name w:val="Body Text Indent 2 Char"/>
    <w:basedOn w:val="DefaultParagraphFont"/>
    <w:link w:val="BodyTextIndent2"/>
    <w:uiPriority w:val="99"/>
    <w:semiHidden/>
    <w:rsid w:val="0013508E"/>
    <w:rPr>
      <w:rFonts w:eastAsiaTheme="minorEastAsia"/>
      <w:sz w:val="24"/>
      <w:lang w:val="en-US"/>
    </w:rPr>
  </w:style>
  <w:style w:type="paragraph" w:styleId="BodyTextIndent3">
    <w:name w:val="Body Text Indent 3"/>
    <w:basedOn w:val="Normal"/>
    <w:link w:val="BodyTextIndent3Char"/>
    <w:uiPriority w:val="99"/>
    <w:semiHidden/>
    <w:rsid w:val="0013508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508E"/>
    <w:rPr>
      <w:rFonts w:eastAsiaTheme="minorEastAsia"/>
      <w:sz w:val="16"/>
      <w:szCs w:val="16"/>
      <w:lang w:val="en-US"/>
    </w:rPr>
  </w:style>
  <w:style w:type="paragraph" w:styleId="Caption">
    <w:name w:val="caption"/>
    <w:basedOn w:val="Normal"/>
    <w:next w:val="Normal"/>
    <w:uiPriority w:val="99"/>
    <w:semiHidden/>
    <w:qFormat/>
    <w:rsid w:val="0013508E"/>
    <w:pPr>
      <w:spacing w:after="200"/>
    </w:pPr>
    <w:rPr>
      <w:b/>
      <w:bCs/>
      <w:color w:val="4F81BD" w:themeColor="accent1"/>
      <w:sz w:val="18"/>
      <w:szCs w:val="18"/>
    </w:rPr>
  </w:style>
  <w:style w:type="paragraph" w:styleId="Closing">
    <w:name w:val="Closing"/>
    <w:basedOn w:val="Normal"/>
    <w:link w:val="ClosingChar"/>
    <w:uiPriority w:val="99"/>
    <w:semiHidden/>
    <w:rsid w:val="0013508E"/>
    <w:pPr>
      <w:ind w:left="4252"/>
    </w:pPr>
  </w:style>
  <w:style w:type="character" w:customStyle="1" w:styleId="ClosingChar">
    <w:name w:val="Closing Char"/>
    <w:basedOn w:val="DefaultParagraphFont"/>
    <w:link w:val="Closing"/>
    <w:uiPriority w:val="99"/>
    <w:semiHidden/>
    <w:rsid w:val="0013508E"/>
    <w:rPr>
      <w:rFonts w:eastAsiaTheme="minorEastAsia"/>
      <w:sz w:val="24"/>
      <w:lang w:val="en-US"/>
    </w:rPr>
  </w:style>
  <w:style w:type="table" w:customStyle="1" w:styleId="ColorfulGrid1">
    <w:name w:val="Colorful Grid1"/>
    <w:basedOn w:val="TableNormal"/>
    <w:uiPriority w:val="99"/>
    <w:semiHidden/>
    <w:rsid w:val="0013508E"/>
    <w:pPr>
      <w:spacing w:after="0" w:line="240" w:lineRule="auto"/>
    </w:pPr>
    <w:rPr>
      <w:color w:val="000000" w:themeColor="text1"/>
      <w:lang w:val="fr-FR" w:eastAsia="fr-FR"/>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rsid w:val="0013508E"/>
    <w:pPr>
      <w:spacing w:after="0" w:line="240" w:lineRule="auto"/>
    </w:pPr>
    <w:rPr>
      <w:color w:val="000000" w:themeColor="text1"/>
      <w:lang w:val="fr-FR" w:eastAsia="fr-FR"/>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rsid w:val="0013508E"/>
    <w:pPr>
      <w:spacing w:after="0" w:line="240" w:lineRule="auto"/>
    </w:pPr>
    <w:rPr>
      <w:color w:val="000000" w:themeColor="text1"/>
      <w:lang w:val="fr-FR" w:eastAsia="fr-FR"/>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rsid w:val="0013508E"/>
    <w:pPr>
      <w:spacing w:after="0" w:line="240" w:lineRule="auto"/>
    </w:pPr>
    <w:rPr>
      <w:color w:val="000000" w:themeColor="text1"/>
      <w:lang w:val="fr-FR" w:eastAsia="fr-FR"/>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rsid w:val="0013508E"/>
    <w:pPr>
      <w:spacing w:after="0" w:line="240" w:lineRule="auto"/>
    </w:pPr>
    <w:rPr>
      <w:color w:val="000000" w:themeColor="text1"/>
      <w:lang w:val="fr-FR" w:eastAsia="fr-FR"/>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rsid w:val="0013508E"/>
    <w:pPr>
      <w:spacing w:after="0" w:line="240" w:lineRule="auto"/>
    </w:pPr>
    <w:rPr>
      <w:color w:val="000000" w:themeColor="text1"/>
      <w:lang w:val="fr-FR" w:eastAsia="fr-FR"/>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rsid w:val="0013508E"/>
    <w:pPr>
      <w:spacing w:after="0" w:line="240" w:lineRule="auto"/>
    </w:pPr>
    <w:rPr>
      <w:color w:val="000000" w:themeColor="text1"/>
      <w:lang w:val="fr-FR" w:eastAsia="fr-FR"/>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99"/>
    <w:semiHidden/>
    <w:rsid w:val="0013508E"/>
    <w:pPr>
      <w:spacing w:after="0" w:line="240" w:lineRule="auto"/>
    </w:pPr>
    <w:rPr>
      <w:color w:val="000000" w:themeColor="text1"/>
      <w:lang w:val="fr-FR" w:eastAsia="fr-F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rsid w:val="0013508E"/>
    <w:pPr>
      <w:spacing w:after="0" w:line="240" w:lineRule="auto"/>
    </w:pPr>
    <w:rPr>
      <w:color w:val="000000" w:themeColor="text1"/>
      <w:lang w:val="fr-FR" w:eastAsia="fr-FR"/>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rsid w:val="0013508E"/>
    <w:pPr>
      <w:spacing w:after="0" w:line="240" w:lineRule="auto"/>
    </w:pPr>
    <w:rPr>
      <w:color w:val="000000" w:themeColor="text1"/>
      <w:lang w:val="fr-FR" w:eastAsia="fr-FR"/>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rsid w:val="0013508E"/>
    <w:pPr>
      <w:spacing w:after="0" w:line="240" w:lineRule="auto"/>
    </w:pPr>
    <w:rPr>
      <w:color w:val="000000" w:themeColor="text1"/>
      <w:lang w:val="fr-FR" w:eastAsia="fr-FR"/>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rsid w:val="0013508E"/>
    <w:pPr>
      <w:spacing w:after="0" w:line="240" w:lineRule="auto"/>
    </w:pPr>
    <w:rPr>
      <w:color w:val="000000" w:themeColor="text1"/>
      <w:lang w:val="fr-FR" w:eastAsia="fr-FR"/>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rsid w:val="0013508E"/>
    <w:pPr>
      <w:spacing w:after="0" w:line="240" w:lineRule="auto"/>
    </w:pPr>
    <w:rPr>
      <w:color w:val="000000" w:themeColor="text1"/>
      <w:lang w:val="fr-FR" w:eastAsia="fr-FR"/>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rsid w:val="0013508E"/>
    <w:pPr>
      <w:spacing w:after="0" w:line="240" w:lineRule="auto"/>
    </w:pPr>
    <w:rPr>
      <w:color w:val="000000" w:themeColor="text1"/>
      <w:lang w:val="fr-FR" w:eastAsia="fr-FR"/>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99"/>
    <w:semiHidden/>
    <w:rsid w:val="0013508E"/>
    <w:pPr>
      <w:spacing w:after="0" w:line="240" w:lineRule="auto"/>
    </w:pPr>
    <w:rPr>
      <w:color w:val="000000" w:themeColor="text1"/>
      <w:lang w:val="fr-FR" w:eastAsia="fr-FR"/>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rsid w:val="0013508E"/>
    <w:pPr>
      <w:spacing w:after="0" w:line="240" w:lineRule="auto"/>
    </w:pPr>
    <w:rPr>
      <w:color w:val="000000" w:themeColor="text1"/>
      <w:lang w:val="fr-FR" w:eastAsia="fr-FR"/>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rsid w:val="0013508E"/>
    <w:pPr>
      <w:spacing w:after="0" w:line="240" w:lineRule="auto"/>
    </w:pPr>
    <w:rPr>
      <w:color w:val="000000" w:themeColor="text1"/>
      <w:lang w:val="fr-FR" w:eastAsia="fr-FR"/>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rsid w:val="0013508E"/>
    <w:pPr>
      <w:spacing w:after="0" w:line="240" w:lineRule="auto"/>
    </w:pPr>
    <w:rPr>
      <w:color w:val="000000" w:themeColor="text1"/>
      <w:lang w:val="fr-FR" w:eastAsia="fr-FR"/>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rsid w:val="0013508E"/>
    <w:pPr>
      <w:spacing w:after="0" w:line="240" w:lineRule="auto"/>
    </w:pPr>
    <w:rPr>
      <w:color w:val="000000" w:themeColor="text1"/>
      <w:lang w:val="fr-FR" w:eastAsia="fr-FR"/>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rsid w:val="0013508E"/>
    <w:pPr>
      <w:spacing w:after="0" w:line="240" w:lineRule="auto"/>
    </w:pPr>
    <w:rPr>
      <w:color w:val="000000" w:themeColor="text1"/>
      <w:lang w:val="fr-FR" w:eastAsia="fr-FR"/>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rsid w:val="0013508E"/>
    <w:pPr>
      <w:spacing w:after="0" w:line="240" w:lineRule="auto"/>
    </w:pPr>
    <w:rPr>
      <w:color w:val="000000" w:themeColor="text1"/>
      <w:lang w:val="fr-FR" w:eastAsia="fr-FR"/>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99"/>
    <w:semiHidden/>
    <w:rsid w:val="0013508E"/>
    <w:pPr>
      <w:spacing w:after="0" w:line="240" w:lineRule="auto"/>
    </w:pPr>
    <w:rPr>
      <w:color w:val="FFFFFF"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rsid w:val="0013508E"/>
    <w:pPr>
      <w:spacing w:after="0" w:line="240" w:lineRule="auto"/>
    </w:pPr>
    <w:rPr>
      <w:color w:val="FFFFFF" w:themeColor="background1"/>
      <w:lang w:val="fr-FR" w:eastAsia="fr-FR"/>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rsid w:val="0013508E"/>
    <w:pPr>
      <w:spacing w:after="0" w:line="240" w:lineRule="auto"/>
    </w:pPr>
    <w:rPr>
      <w:color w:val="FFFFFF" w:themeColor="background1"/>
      <w:lang w:val="fr-FR" w:eastAsia="fr-FR"/>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rsid w:val="0013508E"/>
    <w:pPr>
      <w:spacing w:after="0" w:line="240" w:lineRule="auto"/>
    </w:pPr>
    <w:rPr>
      <w:color w:val="FFFFFF" w:themeColor="background1"/>
      <w:lang w:val="fr-FR" w:eastAsia="fr-FR"/>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rsid w:val="0013508E"/>
    <w:pPr>
      <w:spacing w:after="0" w:line="240" w:lineRule="auto"/>
    </w:pPr>
    <w:rPr>
      <w:color w:val="FFFFFF" w:themeColor="background1"/>
      <w:lang w:val="fr-FR" w:eastAsia="fr-FR"/>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rsid w:val="0013508E"/>
    <w:pPr>
      <w:spacing w:after="0" w:line="240" w:lineRule="auto"/>
    </w:pPr>
    <w:rPr>
      <w:color w:val="FFFFFF" w:themeColor="background1"/>
      <w:lang w:val="fr-FR" w:eastAsia="fr-FR"/>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rsid w:val="0013508E"/>
    <w:pPr>
      <w:spacing w:after="0" w:line="240" w:lineRule="auto"/>
    </w:pPr>
    <w:rPr>
      <w:color w:val="FFFFFF" w:themeColor="background1"/>
      <w:lang w:val="fr-FR" w:eastAsia="fr-FR"/>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rsid w:val="0013508E"/>
  </w:style>
  <w:style w:type="character" w:customStyle="1" w:styleId="DateChar">
    <w:name w:val="Date Char"/>
    <w:basedOn w:val="DefaultParagraphFont"/>
    <w:link w:val="Date"/>
    <w:uiPriority w:val="99"/>
    <w:semiHidden/>
    <w:rsid w:val="0013508E"/>
    <w:rPr>
      <w:rFonts w:eastAsiaTheme="minorEastAsia"/>
      <w:sz w:val="24"/>
      <w:lang w:val="en-US"/>
    </w:rPr>
  </w:style>
  <w:style w:type="paragraph" w:styleId="E-mailSignature">
    <w:name w:val="E-mail Signature"/>
    <w:basedOn w:val="Normal"/>
    <w:link w:val="E-mailSignatureChar"/>
    <w:uiPriority w:val="99"/>
    <w:semiHidden/>
    <w:rsid w:val="0013508E"/>
  </w:style>
  <w:style w:type="character" w:customStyle="1" w:styleId="E-mailSignatureChar">
    <w:name w:val="E-mail Signature Char"/>
    <w:basedOn w:val="DefaultParagraphFont"/>
    <w:link w:val="E-mailSignature"/>
    <w:uiPriority w:val="99"/>
    <w:semiHidden/>
    <w:rsid w:val="0013508E"/>
    <w:rPr>
      <w:rFonts w:eastAsiaTheme="minorEastAsia"/>
      <w:sz w:val="24"/>
      <w:lang w:val="en-US"/>
    </w:rPr>
  </w:style>
  <w:style w:type="paragraph" w:styleId="EnvelopeAddress">
    <w:name w:val="envelope address"/>
    <w:basedOn w:val="Normal"/>
    <w:uiPriority w:val="99"/>
    <w:semiHidden/>
    <w:rsid w:val="0013508E"/>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13508E"/>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13508E"/>
  </w:style>
  <w:style w:type="paragraph" w:styleId="HTMLAddress">
    <w:name w:val="HTML Address"/>
    <w:basedOn w:val="Normal"/>
    <w:link w:val="HTMLAddressChar"/>
    <w:uiPriority w:val="99"/>
    <w:semiHidden/>
    <w:rsid w:val="0013508E"/>
    <w:rPr>
      <w:i/>
      <w:iCs/>
    </w:rPr>
  </w:style>
  <w:style w:type="character" w:customStyle="1" w:styleId="HTMLAddressChar">
    <w:name w:val="HTML Address Char"/>
    <w:basedOn w:val="DefaultParagraphFont"/>
    <w:link w:val="HTMLAddress"/>
    <w:uiPriority w:val="99"/>
    <w:semiHidden/>
    <w:rsid w:val="0013508E"/>
    <w:rPr>
      <w:rFonts w:eastAsiaTheme="minorEastAsia"/>
      <w:i/>
      <w:iCs/>
      <w:sz w:val="24"/>
      <w:lang w:val="en-US"/>
    </w:rPr>
  </w:style>
  <w:style w:type="character" w:styleId="HTMLCite">
    <w:name w:val="HTML Cite"/>
    <w:basedOn w:val="DefaultParagraphFont"/>
    <w:uiPriority w:val="99"/>
    <w:semiHidden/>
    <w:rsid w:val="0013508E"/>
    <w:rPr>
      <w:i/>
      <w:iCs/>
    </w:rPr>
  </w:style>
  <w:style w:type="character" w:styleId="HTMLCode">
    <w:name w:val="HTML Code"/>
    <w:basedOn w:val="DefaultParagraphFont"/>
    <w:uiPriority w:val="99"/>
    <w:semiHidden/>
    <w:rsid w:val="0013508E"/>
    <w:rPr>
      <w:rFonts w:ascii="Consolas" w:hAnsi="Consolas" w:cs="Consolas"/>
      <w:sz w:val="20"/>
      <w:szCs w:val="20"/>
    </w:rPr>
  </w:style>
  <w:style w:type="character" w:styleId="HTMLDefinition">
    <w:name w:val="HTML Definition"/>
    <w:basedOn w:val="DefaultParagraphFont"/>
    <w:uiPriority w:val="99"/>
    <w:semiHidden/>
    <w:rsid w:val="0013508E"/>
    <w:rPr>
      <w:i/>
      <w:iCs/>
    </w:rPr>
  </w:style>
  <w:style w:type="character" w:styleId="HTMLKeyboard">
    <w:name w:val="HTML Keyboard"/>
    <w:basedOn w:val="DefaultParagraphFont"/>
    <w:uiPriority w:val="99"/>
    <w:semiHidden/>
    <w:rsid w:val="0013508E"/>
    <w:rPr>
      <w:rFonts w:ascii="Consolas" w:hAnsi="Consolas" w:cs="Consolas"/>
      <w:sz w:val="20"/>
      <w:szCs w:val="20"/>
    </w:rPr>
  </w:style>
  <w:style w:type="paragraph" w:styleId="HTMLPreformatted">
    <w:name w:val="HTML Preformatted"/>
    <w:basedOn w:val="Normal"/>
    <w:link w:val="HTMLPreformattedChar"/>
    <w:uiPriority w:val="99"/>
    <w:semiHidden/>
    <w:rsid w:val="0013508E"/>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3508E"/>
    <w:rPr>
      <w:rFonts w:ascii="Consolas" w:eastAsiaTheme="minorEastAsia" w:hAnsi="Consolas" w:cs="Consolas"/>
      <w:sz w:val="20"/>
      <w:szCs w:val="20"/>
      <w:lang w:val="en-US"/>
    </w:rPr>
  </w:style>
  <w:style w:type="character" w:styleId="HTMLSample">
    <w:name w:val="HTML Sample"/>
    <w:basedOn w:val="DefaultParagraphFont"/>
    <w:uiPriority w:val="99"/>
    <w:semiHidden/>
    <w:rsid w:val="0013508E"/>
    <w:rPr>
      <w:rFonts w:ascii="Consolas" w:hAnsi="Consolas" w:cs="Consolas"/>
      <w:sz w:val="24"/>
      <w:szCs w:val="24"/>
    </w:rPr>
  </w:style>
  <w:style w:type="character" w:styleId="HTMLTypewriter">
    <w:name w:val="HTML Typewriter"/>
    <w:basedOn w:val="DefaultParagraphFont"/>
    <w:uiPriority w:val="99"/>
    <w:semiHidden/>
    <w:rsid w:val="0013508E"/>
    <w:rPr>
      <w:rFonts w:ascii="Consolas" w:hAnsi="Consolas" w:cs="Consolas"/>
      <w:sz w:val="20"/>
      <w:szCs w:val="20"/>
    </w:rPr>
  </w:style>
  <w:style w:type="character" w:styleId="HTMLVariable">
    <w:name w:val="HTML Variable"/>
    <w:basedOn w:val="DefaultParagraphFont"/>
    <w:uiPriority w:val="99"/>
    <w:semiHidden/>
    <w:rsid w:val="0013508E"/>
    <w:rPr>
      <w:i/>
      <w:iCs/>
    </w:rPr>
  </w:style>
  <w:style w:type="paragraph" w:styleId="Index1">
    <w:name w:val="index 1"/>
    <w:basedOn w:val="Normal"/>
    <w:next w:val="Normal"/>
    <w:autoRedefine/>
    <w:uiPriority w:val="99"/>
    <w:semiHidden/>
    <w:rsid w:val="0013508E"/>
    <w:pPr>
      <w:ind w:left="240" w:hanging="240"/>
    </w:pPr>
  </w:style>
  <w:style w:type="paragraph" w:styleId="Index2">
    <w:name w:val="index 2"/>
    <w:basedOn w:val="Normal"/>
    <w:next w:val="Normal"/>
    <w:autoRedefine/>
    <w:uiPriority w:val="99"/>
    <w:semiHidden/>
    <w:rsid w:val="0013508E"/>
    <w:pPr>
      <w:ind w:left="480" w:hanging="240"/>
    </w:pPr>
  </w:style>
  <w:style w:type="paragraph" w:styleId="Index3">
    <w:name w:val="index 3"/>
    <w:basedOn w:val="Normal"/>
    <w:next w:val="Normal"/>
    <w:autoRedefine/>
    <w:uiPriority w:val="99"/>
    <w:semiHidden/>
    <w:rsid w:val="0013508E"/>
    <w:pPr>
      <w:ind w:left="720" w:hanging="240"/>
    </w:pPr>
  </w:style>
  <w:style w:type="paragraph" w:styleId="Index4">
    <w:name w:val="index 4"/>
    <w:basedOn w:val="Normal"/>
    <w:next w:val="Normal"/>
    <w:autoRedefine/>
    <w:uiPriority w:val="99"/>
    <w:semiHidden/>
    <w:rsid w:val="0013508E"/>
    <w:pPr>
      <w:ind w:left="960" w:hanging="240"/>
    </w:pPr>
  </w:style>
  <w:style w:type="paragraph" w:styleId="Index5">
    <w:name w:val="index 5"/>
    <w:basedOn w:val="Normal"/>
    <w:next w:val="Normal"/>
    <w:autoRedefine/>
    <w:uiPriority w:val="99"/>
    <w:semiHidden/>
    <w:rsid w:val="0013508E"/>
    <w:pPr>
      <w:ind w:left="1200" w:hanging="240"/>
    </w:pPr>
  </w:style>
  <w:style w:type="paragraph" w:styleId="Index6">
    <w:name w:val="index 6"/>
    <w:basedOn w:val="Normal"/>
    <w:next w:val="Normal"/>
    <w:autoRedefine/>
    <w:uiPriority w:val="99"/>
    <w:semiHidden/>
    <w:rsid w:val="0013508E"/>
    <w:pPr>
      <w:ind w:left="1440" w:hanging="240"/>
    </w:pPr>
  </w:style>
  <w:style w:type="paragraph" w:styleId="Index7">
    <w:name w:val="index 7"/>
    <w:basedOn w:val="Normal"/>
    <w:next w:val="Normal"/>
    <w:autoRedefine/>
    <w:uiPriority w:val="99"/>
    <w:semiHidden/>
    <w:rsid w:val="0013508E"/>
    <w:pPr>
      <w:ind w:left="1680" w:hanging="240"/>
    </w:pPr>
  </w:style>
  <w:style w:type="paragraph" w:styleId="Index8">
    <w:name w:val="index 8"/>
    <w:basedOn w:val="Normal"/>
    <w:next w:val="Normal"/>
    <w:autoRedefine/>
    <w:uiPriority w:val="99"/>
    <w:semiHidden/>
    <w:rsid w:val="0013508E"/>
    <w:pPr>
      <w:ind w:left="1920" w:hanging="240"/>
    </w:pPr>
  </w:style>
  <w:style w:type="paragraph" w:styleId="Index9">
    <w:name w:val="index 9"/>
    <w:basedOn w:val="Normal"/>
    <w:next w:val="Normal"/>
    <w:autoRedefine/>
    <w:uiPriority w:val="99"/>
    <w:semiHidden/>
    <w:rsid w:val="0013508E"/>
    <w:pPr>
      <w:ind w:left="2160" w:hanging="240"/>
    </w:pPr>
  </w:style>
  <w:style w:type="paragraph" w:styleId="IndexHeading">
    <w:name w:val="index heading"/>
    <w:basedOn w:val="Normal"/>
    <w:next w:val="Index1"/>
    <w:uiPriority w:val="99"/>
    <w:semiHidden/>
    <w:rsid w:val="0013508E"/>
    <w:rPr>
      <w:rFonts w:asciiTheme="majorHAnsi" w:eastAsiaTheme="majorEastAsia" w:hAnsiTheme="majorHAnsi" w:cstheme="majorBidi"/>
      <w:b/>
      <w:bCs/>
    </w:rPr>
  </w:style>
  <w:style w:type="table" w:customStyle="1" w:styleId="LightGrid1">
    <w:name w:val="Light Grid1"/>
    <w:basedOn w:val="TableNormal"/>
    <w:uiPriority w:val="99"/>
    <w:semiHidden/>
    <w:rsid w:val="0013508E"/>
    <w:pPr>
      <w:spacing w:after="0" w:line="240" w:lineRule="auto"/>
    </w:pPr>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99"/>
    <w:semiHidden/>
    <w:rsid w:val="0013508E"/>
    <w:pPr>
      <w:spacing w:after="0" w:line="240" w:lineRule="auto"/>
    </w:pPr>
    <w:rPr>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rsid w:val="0013508E"/>
    <w:pPr>
      <w:spacing w:after="0" w:line="240" w:lineRule="auto"/>
    </w:pPr>
    <w:rPr>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rsid w:val="0013508E"/>
    <w:pPr>
      <w:spacing w:after="0" w:line="240" w:lineRule="auto"/>
    </w:pPr>
    <w:rPr>
      <w:lang w:val="fr-FR"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rsid w:val="0013508E"/>
    <w:pPr>
      <w:spacing w:after="0" w:line="240" w:lineRule="auto"/>
    </w:pPr>
    <w:rPr>
      <w:lang w:val="fr-FR" w:eastAsia="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rsid w:val="0013508E"/>
    <w:pPr>
      <w:spacing w:after="0" w:line="240" w:lineRule="auto"/>
    </w:pPr>
    <w:rPr>
      <w:lang w:val="fr-FR"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rsid w:val="0013508E"/>
    <w:pPr>
      <w:spacing w:after="0" w:line="240" w:lineRule="auto"/>
    </w:pPr>
    <w:rPr>
      <w:lang w:val="fr-FR" w:eastAsia="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99"/>
    <w:semiHidden/>
    <w:rsid w:val="0013508E"/>
    <w:pPr>
      <w:spacing w:after="0" w:line="240" w:lineRule="auto"/>
    </w:pPr>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99"/>
    <w:semiHidden/>
    <w:rsid w:val="0013508E"/>
    <w:pPr>
      <w:spacing w:after="0" w:line="240" w:lineRule="auto"/>
    </w:pPr>
    <w:rPr>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rsid w:val="0013508E"/>
    <w:pPr>
      <w:spacing w:after="0" w:line="240" w:lineRule="auto"/>
    </w:pPr>
    <w:rPr>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rsid w:val="0013508E"/>
    <w:pPr>
      <w:spacing w:after="0" w:line="240" w:lineRule="auto"/>
    </w:pPr>
    <w:rPr>
      <w:lang w:val="fr-FR"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rsid w:val="0013508E"/>
    <w:pPr>
      <w:spacing w:after="0" w:line="240" w:lineRule="auto"/>
    </w:pPr>
    <w:rPr>
      <w:lang w:val="fr-FR" w:eastAsia="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rsid w:val="0013508E"/>
    <w:pPr>
      <w:spacing w:after="0" w:line="240" w:lineRule="auto"/>
    </w:pPr>
    <w:rPr>
      <w:lang w:val="fr-FR"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rsid w:val="0013508E"/>
    <w:pPr>
      <w:spacing w:after="0" w:line="240" w:lineRule="auto"/>
    </w:pPr>
    <w:rPr>
      <w:lang w:val="fr-FR" w:eastAsia="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99"/>
    <w:semiHidden/>
    <w:rsid w:val="0013508E"/>
    <w:pPr>
      <w:spacing w:after="0" w:line="240" w:lineRule="auto"/>
    </w:pPr>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99"/>
    <w:semiHidden/>
    <w:rsid w:val="0013508E"/>
    <w:pPr>
      <w:spacing w:after="0" w:line="240" w:lineRule="auto"/>
    </w:pPr>
    <w:rPr>
      <w:color w:val="365F91" w:themeColor="accent1" w:themeShade="BF"/>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rsid w:val="0013508E"/>
    <w:pPr>
      <w:spacing w:after="0" w:line="240" w:lineRule="auto"/>
    </w:pPr>
    <w:rPr>
      <w:color w:val="943634" w:themeColor="accent2" w:themeShade="BF"/>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rsid w:val="0013508E"/>
    <w:pPr>
      <w:spacing w:after="0" w:line="240" w:lineRule="auto"/>
    </w:pPr>
    <w:rPr>
      <w:color w:val="76923C" w:themeColor="accent3" w:themeShade="BF"/>
      <w:lang w:val="fr-FR" w:eastAsia="fr-F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rsid w:val="0013508E"/>
    <w:pPr>
      <w:spacing w:after="0" w:line="240" w:lineRule="auto"/>
    </w:pPr>
    <w:rPr>
      <w:color w:val="5F497A" w:themeColor="accent4" w:themeShade="BF"/>
      <w:lang w:val="fr-FR" w:eastAsia="fr-F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rsid w:val="0013508E"/>
    <w:pPr>
      <w:spacing w:after="0" w:line="240" w:lineRule="auto"/>
    </w:pPr>
    <w:rPr>
      <w:color w:val="31849B" w:themeColor="accent5" w:themeShade="BF"/>
      <w:lang w:val="fr-FR" w:eastAsia="fr-F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rsid w:val="0013508E"/>
    <w:pPr>
      <w:spacing w:after="0" w:line="240" w:lineRule="auto"/>
    </w:pPr>
    <w:rPr>
      <w:color w:val="E36C0A" w:themeColor="accent6" w:themeShade="BF"/>
      <w:lang w:val="fr-FR" w:eastAsia="fr-FR"/>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rsid w:val="0013508E"/>
  </w:style>
  <w:style w:type="paragraph" w:styleId="List">
    <w:name w:val="List"/>
    <w:basedOn w:val="Normal"/>
    <w:uiPriority w:val="99"/>
    <w:semiHidden/>
    <w:rsid w:val="0013508E"/>
    <w:pPr>
      <w:ind w:left="283" w:hanging="283"/>
      <w:contextualSpacing/>
    </w:pPr>
  </w:style>
  <w:style w:type="paragraph" w:styleId="List2">
    <w:name w:val="List 2"/>
    <w:basedOn w:val="Normal"/>
    <w:uiPriority w:val="99"/>
    <w:semiHidden/>
    <w:rsid w:val="0013508E"/>
    <w:pPr>
      <w:ind w:left="566" w:hanging="283"/>
      <w:contextualSpacing/>
    </w:pPr>
  </w:style>
  <w:style w:type="paragraph" w:styleId="List3">
    <w:name w:val="List 3"/>
    <w:basedOn w:val="Normal"/>
    <w:uiPriority w:val="99"/>
    <w:semiHidden/>
    <w:rsid w:val="0013508E"/>
    <w:pPr>
      <w:ind w:left="849" w:hanging="283"/>
      <w:contextualSpacing/>
    </w:pPr>
  </w:style>
  <w:style w:type="paragraph" w:styleId="List4">
    <w:name w:val="List 4"/>
    <w:basedOn w:val="Normal"/>
    <w:uiPriority w:val="99"/>
    <w:semiHidden/>
    <w:rsid w:val="0013508E"/>
    <w:pPr>
      <w:ind w:left="1132" w:hanging="283"/>
      <w:contextualSpacing/>
    </w:pPr>
  </w:style>
  <w:style w:type="paragraph" w:styleId="List5">
    <w:name w:val="List 5"/>
    <w:basedOn w:val="Normal"/>
    <w:uiPriority w:val="99"/>
    <w:semiHidden/>
    <w:rsid w:val="0013508E"/>
    <w:pPr>
      <w:ind w:left="1415" w:hanging="283"/>
      <w:contextualSpacing/>
    </w:pPr>
  </w:style>
  <w:style w:type="paragraph" w:styleId="ListBullet2">
    <w:name w:val="List Bullet 2"/>
    <w:basedOn w:val="Normal"/>
    <w:uiPriority w:val="99"/>
    <w:semiHidden/>
    <w:rsid w:val="0013508E"/>
    <w:pPr>
      <w:numPr>
        <w:numId w:val="5"/>
      </w:numPr>
      <w:contextualSpacing/>
    </w:pPr>
  </w:style>
  <w:style w:type="paragraph" w:styleId="ListBullet3">
    <w:name w:val="List Bullet 3"/>
    <w:basedOn w:val="Normal"/>
    <w:uiPriority w:val="99"/>
    <w:semiHidden/>
    <w:rsid w:val="0013508E"/>
    <w:pPr>
      <w:numPr>
        <w:numId w:val="6"/>
      </w:numPr>
      <w:contextualSpacing/>
    </w:pPr>
  </w:style>
  <w:style w:type="paragraph" w:styleId="ListBullet4">
    <w:name w:val="List Bullet 4"/>
    <w:basedOn w:val="Normal"/>
    <w:uiPriority w:val="99"/>
    <w:semiHidden/>
    <w:rsid w:val="0013508E"/>
    <w:pPr>
      <w:numPr>
        <w:numId w:val="7"/>
      </w:numPr>
      <w:contextualSpacing/>
    </w:pPr>
  </w:style>
  <w:style w:type="paragraph" w:styleId="ListBullet5">
    <w:name w:val="List Bullet 5"/>
    <w:basedOn w:val="Normal"/>
    <w:uiPriority w:val="99"/>
    <w:semiHidden/>
    <w:rsid w:val="0013508E"/>
    <w:pPr>
      <w:numPr>
        <w:numId w:val="8"/>
      </w:numPr>
      <w:contextualSpacing/>
    </w:pPr>
  </w:style>
  <w:style w:type="paragraph" w:styleId="ListContinue">
    <w:name w:val="List Continue"/>
    <w:basedOn w:val="Normal"/>
    <w:uiPriority w:val="99"/>
    <w:semiHidden/>
    <w:rsid w:val="0013508E"/>
    <w:pPr>
      <w:spacing w:after="120"/>
      <w:ind w:left="283"/>
      <w:contextualSpacing/>
    </w:pPr>
  </w:style>
  <w:style w:type="paragraph" w:styleId="ListContinue2">
    <w:name w:val="List Continue 2"/>
    <w:basedOn w:val="Normal"/>
    <w:uiPriority w:val="99"/>
    <w:semiHidden/>
    <w:rsid w:val="0013508E"/>
    <w:pPr>
      <w:spacing w:after="120"/>
      <w:ind w:left="566"/>
      <w:contextualSpacing/>
    </w:pPr>
  </w:style>
  <w:style w:type="paragraph" w:styleId="ListContinue3">
    <w:name w:val="List Continue 3"/>
    <w:basedOn w:val="Normal"/>
    <w:uiPriority w:val="99"/>
    <w:semiHidden/>
    <w:rsid w:val="0013508E"/>
    <w:pPr>
      <w:spacing w:after="120"/>
      <w:ind w:left="849"/>
      <w:contextualSpacing/>
    </w:pPr>
  </w:style>
  <w:style w:type="paragraph" w:styleId="ListContinue4">
    <w:name w:val="List Continue 4"/>
    <w:basedOn w:val="Normal"/>
    <w:uiPriority w:val="99"/>
    <w:semiHidden/>
    <w:rsid w:val="0013508E"/>
    <w:pPr>
      <w:spacing w:after="120"/>
      <w:ind w:left="1132"/>
      <w:contextualSpacing/>
    </w:pPr>
  </w:style>
  <w:style w:type="paragraph" w:styleId="ListContinue5">
    <w:name w:val="List Continue 5"/>
    <w:basedOn w:val="Normal"/>
    <w:uiPriority w:val="99"/>
    <w:semiHidden/>
    <w:rsid w:val="0013508E"/>
    <w:pPr>
      <w:spacing w:after="120"/>
      <w:ind w:left="1415"/>
      <w:contextualSpacing/>
    </w:pPr>
  </w:style>
  <w:style w:type="paragraph" w:styleId="ListNumber">
    <w:name w:val="List Number"/>
    <w:basedOn w:val="Normal"/>
    <w:uiPriority w:val="99"/>
    <w:semiHidden/>
    <w:rsid w:val="0013508E"/>
    <w:pPr>
      <w:numPr>
        <w:numId w:val="9"/>
      </w:numPr>
      <w:contextualSpacing/>
    </w:pPr>
  </w:style>
  <w:style w:type="paragraph" w:styleId="ListNumber2">
    <w:name w:val="List Number 2"/>
    <w:basedOn w:val="Normal"/>
    <w:uiPriority w:val="99"/>
    <w:semiHidden/>
    <w:rsid w:val="0013508E"/>
    <w:pPr>
      <w:numPr>
        <w:numId w:val="10"/>
      </w:numPr>
      <w:contextualSpacing/>
    </w:pPr>
  </w:style>
  <w:style w:type="paragraph" w:styleId="ListNumber3">
    <w:name w:val="List Number 3"/>
    <w:basedOn w:val="Normal"/>
    <w:uiPriority w:val="99"/>
    <w:semiHidden/>
    <w:rsid w:val="0013508E"/>
    <w:pPr>
      <w:numPr>
        <w:numId w:val="11"/>
      </w:numPr>
      <w:contextualSpacing/>
    </w:pPr>
  </w:style>
  <w:style w:type="paragraph" w:styleId="ListNumber4">
    <w:name w:val="List Number 4"/>
    <w:basedOn w:val="Normal"/>
    <w:uiPriority w:val="99"/>
    <w:semiHidden/>
    <w:rsid w:val="0013508E"/>
    <w:pPr>
      <w:numPr>
        <w:numId w:val="12"/>
      </w:numPr>
      <w:contextualSpacing/>
    </w:pPr>
  </w:style>
  <w:style w:type="paragraph" w:styleId="ListNumber5">
    <w:name w:val="List Number 5"/>
    <w:basedOn w:val="Normal"/>
    <w:uiPriority w:val="99"/>
    <w:semiHidden/>
    <w:rsid w:val="0013508E"/>
    <w:pPr>
      <w:numPr>
        <w:numId w:val="13"/>
      </w:numPr>
      <w:contextualSpacing/>
    </w:pPr>
  </w:style>
  <w:style w:type="paragraph" w:styleId="MacroText">
    <w:name w:val="macro"/>
    <w:link w:val="MacroTextChar"/>
    <w:uiPriority w:val="99"/>
    <w:semiHidden/>
    <w:rsid w:val="0013508E"/>
    <w:pPr>
      <w:tabs>
        <w:tab w:val="left" w:pos="480"/>
        <w:tab w:val="left" w:pos="960"/>
        <w:tab w:val="left" w:pos="1440"/>
        <w:tab w:val="left" w:pos="1920"/>
        <w:tab w:val="left" w:pos="2400"/>
        <w:tab w:val="left" w:pos="2880"/>
        <w:tab w:val="left" w:pos="3360"/>
        <w:tab w:val="left" w:pos="3840"/>
        <w:tab w:val="left" w:pos="4320"/>
      </w:tabs>
      <w:suppressAutoHyphens/>
      <w:spacing w:after="0" w:line="240" w:lineRule="auto"/>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13508E"/>
    <w:rPr>
      <w:rFonts w:ascii="Consolas" w:hAnsi="Consolas" w:cs="Consolas"/>
      <w:sz w:val="20"/>
      <w:szCs w:val="20"/>
      <w:lang w:val="en-GB" w:eastAsia="fr-FR"/>
    </w:rPr>
  </w:style>
  <w:style w:type="table" w:customStyle="1" w:styleId="MediumGrid11">
    <w:name w:val="Medium Grid 11"/>
    <w:basedOn w:val="TableNormal"/>
    <w:uiPriority w:val="99"/>
    <w:semiHidden/>
    <w:rsid w:val="0013508E"/>
    <w:pPr>
      <w:spacing w:after="0" w:line="240" w:lineRule="auto"/>
    </w:pPr>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rsid w:val="0013508E"/>
    <w:pPr>
      <w:spacing w:after="0" w:line="240" w:lineRule="auto"/>
    </w:pPr>
    <w:rPr>
      <w:lang w:val="fr-FR" w:eastAsia="fr-F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rsid w:val="0013508E"/>
    <w:pPr>
      <w:spacing w:after="0" w:line="240" w:lineRule="auto"/>
    </w:pPr>
    <w:rPr>
      <w:lang w:val="fr-FR" w:eastAsia="fr-FR"/>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rsid w:val="0013508E"/>
    <w:pPr>
      <w:spacing w:after="0" w:line="240" w:lineRule="auto"/>
    </w:pPr>
    <w:rPr>
      <w:lang w:val="fr-FR" w:eastAsia="fr-FR"/>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rsid w:val="0013508E"/>
    <w:pPr>
      <w:spacing w:after="0" w:line="240" w:lineRule="auto"/>
    </w:pPr>
    <w:rPr>
      <w:lang w:val="fr-FR" w:eastAsia="fr-FR"/>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rsid w:val="0013508E"/>
    <w:pPr>
      <w:spacing w:after="0" w:line="240" w:lineRule="auto"/>
    </w:pPr>
    <w:rPr>
      <w:lang w:val="fr-FR" w:eastAsia="fr-FR"/>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rsid w:val="0013508E"/>
    <w:pPr>
      <w:spacing w:after="0" w:line="240" w:lineRule="auto"/>
    </w:pPr>
    <w:rPr>
      <w:lang w:val="fr-FR" w:eastAsia="fr-F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99"/>
    <w:semiHidden/>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99"/>
    <w:semiHidden/>
    <w:rsid w:val="0013508E"/>
    <w:pPr>
      <w:spacing w:after="0" w:line="240" w:lineRule="auto"/>
    </w:pPr>
    <w:rPr>
      <w:lang w:val="fr-FR" w:eastAsia="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rsid w:val="0013508E"/>
    <w:pPr>
      <w:spacing w:after="0" w:line="240" w:lineRule="auto"/>
    </w:pPr>
    <w:rPr>
      <w:lang w:val="fr-FR" w:eastAsia="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rsid w:val="0013508E"/>
    <w:pPr>
      <w:spacing w:after="0" w:line="240" w:lineRule="auto"/>
    </w:pPr>
    <w:rPr>
      <w:lang w:val="fr-FR" w:eastAsia="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rsid w:val="0013508E"/>
    <w:pPr>
      <w:spacing w:after="0" w:line="240" w:lineRule="auto"/>
    </w:pPr>
    <w:rPr>
      <w:lang w:val="fr-FR" w:eastAsia="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rsid w:val="0013508E"/>
    <w:pPr>
      <w:spacing w:after="0" w:line="240" w:lineRule="auto"/>
    </w:pPr>
    <w:rPr>
      <w:lang w:val="fr-FR" w:eastAsia="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rsid w:val="0013508E"/>
    <w:pPr>
      <w:spacing w:after="0" w:line="240" w:lineRule="auto"/>
    </w:pPr>
    <w:rPr>
      <w:lang w:val="fr-FR" w:eastAsia="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rsid w:val="0013508E"/>
    <w:pPr>
      <w:spacing w:after="0" w:line="240" w:lineRule="auto"/>
    </w:pPr>
    <w:rPr>
      <w:lang w:val="fr-FR" w:eastAsia="fr-F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99"/>
    <w:semiHidden/>
    <w:rsid w:val="0013508E"/>
    <w:pPr>
      <w:spacing w:after="0" w:line="240" w:lineRule="auto"/>
    </w:pPr>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99"/>
    <w:semiHidden/>
    <w:rsid w:val="0013508E"/>
    <w:pPr>
      <w:spacing w:after="0" w:line="240" w:lineRule="auto"/>
    </w:pPr>
    <w:rPr>
      <w:color w:val="000000" w:themeColor="text1"/>
      <w:lang w:val="fr-FR" w:eastAsia="fr-F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rsid w:val="0013508E"/>
    <w:pPr>
      <w:spacing w:after="0" w:line="240" w:lineRule="auto"/>
    </w:pPr>
    <w:rPr>
      <w:color w:val="000000" w:themeColor="text1"/>
      <w:lang w:val="fr-FR" w:eastAsia="fr-FR"/>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rsid w:val="0013508E"/>
    <w:pPr>
      <w:spacing w:after="0" w:line="240" w:lineRule="auto"/>
    </w:pPr>
    <w:rPr>
      <w:color w:val="000000" w:themeColor="text1"/>
      <w:lang w:val="fr-FR" w:eastAsia="fr-FR"/>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rsid w:val="0013508E"/>
    <w:pPr>
      <w:spacing w:after="0" w:line="240" w:lineRule="auto"/>
    </w:pPr>
    <w:rPr>
      <w:color w:val="000000" w:themeColor="text1"/>
      <w:lang w:val="fr-FR" w:eastAsia="fr-FR"/>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rsid w:val="0013508E"/>
    <w:pPr>
      <w:spacing w:after="0" w:line="240" w:lineRule="auto"/>
    </w:pPr>
    <w:rPr>
      <w:color w:val="000000" w:themeColor="text1"/>
      <w:lang w:val="fr-FR" w:eastAsia="fr-FR"/>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rsid w:val="0013508E"/>
    <w:pPr>
      <w:spacing w:after="0" w:line="240" w:lineRule="auto"/>
    </w:pPr>
    <w:rPr>
      <w:color w:val="000000" w:themeColor="text1"/>
      <w:lang w:val="fr-FR" w:eastAsia="fr-FR"/>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99"/>
    <w:semiHidden/>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rsid w:val="0013508E"/>
    <w:pPr>
      <w:spacing w:after="0" w:line="240" w:lineRule="auto"/>
    </w:pPr>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99"/>
    <w:semiHidden/>
    <w:rsid w:val="0013508E"/>
    <w:pPr>
      <w:spacing w:after="0" w:line="240" w:lineRule="auto"/>
    </w:pPr>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semiHidden/>
    <w:rsid w:val="0013508E"/>
    <w:pPr>
      <w:spacing w:after="0" w:line="240" w:lineRule="auto"/>
    </w:pPr>
    <w:rPr>
      <w:lang w:val="fr-FR" w:eastAsia="fr-FR"/>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rsid w:val="0013508E"/>
    <w:pPr>
      <w:spacing w:after="0" w:line="240" w:lineRule="auto"/>
    </w:pPr>
    <w:rPr>
      <w:lang w:val="fr-FR" w:eastAsia="fr-FR"/>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rsid w:val="0013508E"/>
    <w:pPr>
      <w:spacing w:after="0" w:line="240" w:lineRule="auto"/>
    </w:pPr>
    <w:rPr>
      <w:lang w:val="fr-FR" w:eastAsia="fr-FR"/>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rsid w:val="0013508E"/>
    <w:pPr>
      <w:spacing w:after="0" w:line="240" w:lineRule="auto"/>
    </w:pPr>
    <w:rPr>
      <w:lang w:val="fr-FR" w:eastAsia="fr-FR"/>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rsid w:val="0013508E"/>
    <w:pPr>
      <w:spacing w:after="0" w:line="240" w:lineRule="auto"/>
    </w:pPr>
    <w:rPr>
      <w:lang w:val="fr-FR" w:eastAsia="fr-FR"/>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rsid w:val="0013508E"/>
    <w:pPr>
      <w:spacing w:after="0" w:line="240" w:lineRule="auto"/>
    </w:pPr>
    <w:rPr>
      <w:lang w:val="fr-FR" w:eastAsia="fr-FR"/>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semiHidden/>
    <w:rsid w:val="0013508E"/>
    <w:pPr>
      <w:spacing w:after="0" w:line="240" w:lineRule="auto"/>
    </w:pPr>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semiHidden/>
    <w:rsid w:val="0013508E"/>
    <w:pPr>
      <w:spacing w:after="0" w:line="240" w:lineRule="auto"/>
    </w:pPr>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rsid w:val="0013508E"/>
    <w:pPr>
      <w:spacing w:after="0" w:line="240" w:lineRule="auto"/>
    </w:pPr>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3508E"/>
    <w:pPr>
      <w:spacing w:after="0" w:line="240" w:lineRule="auto"/>
    </w:pPr>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3508E"/>
    <w:pPr>
      <w:spacing w:after="0" w:line="240" w:lineRule="auto"/>
    </w:pPr>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3508E"/>
    <w:pPr>
      <w:spacing w:after="0" w:line="240" w:lineRule="auto"/>
    </w:pPr>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3508E"/>
    <w:pPr>
      <w:spacing w:after="0" w:line="240" w:lineRule="auto"/>
    </w:pPr>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13508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3508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rsid w:val="0013508E"/>
    <w:rPr>
      <w:rFonts w:ascii="Times New Roman" w:hAnsi="Times New Roman" w:cs="Times New Roman"/>
      <w:szCs w:val="24"/>
    </w:rPr>
  </w:style>
  <w:style w:type="paragraph" w:styleId="NormalIndent">
    <w:name w:val="Normal Indent"/>
    <w:basedOn w:val="Normal"/>
    <w:uiPriority w:val="99"/>
    <w:semiHidden/>
    <w:rsid w:val="0013508E"/>
    <w:pPr>
      <w:ind w:left="720"/>
    </w:pPr>
  </w:style>
  <w:style w:type="paragraph" w:styleId="NoteHeading">
    <w:name w:val="Note Heading"/>
    <w:basedOn w:val="Normal"/>
    <w:next w:val="Normal"/>
    <w:link w:val="NoteHeadingChar"/>
    <w:uiPriority w:val="99"/>
    <w:semiHidden/>
    <w:rsid w:val="0013508E"/>
  </w:style>
  <w:style w:type="character" w:customStyle="1" w:styleId="NoteHeadingChar">
    <w:name w:val="Note Heading Char"/>
    <w:basedOn w:val="DefaultParagraphFont"/>
    <w:link w:val="NoteHeading"/>
    <w:uiPriority w:val="99"/>
    <w:semiHidden/>
    <w:rsid w:val="0013508E"/>
    <w:rPr>
      <w:rFonts w:eastAsiaTheme="minorEastAsia"/>
      <w:sz w:val="24"/>
      <w:lang w:val="en-US"/>
    </w:rPr>
  </w:style>
  <w:style w:type="character" w:styleId="PlaceholderText">
    <w:name w:val="Placeholder Text"/>
    <w:basedOn w:val="DefaultParagraphFont"/>
    <w:uiPriority w:val="99"/>
    <w:semiHidden/>
    <w:rsid w:val="0013508E"/>
    <w:rPr>
      <w:color w:val="808080"/>
    </w:rPr>
  </w:style>
  <w:style w:type="paragraph" w:styleId="PlainText">
    <w:name w:val="Plain Text"/>
    <w:basedOn w:val="Normal"/>
    <w:link w:val="PlainTextChar"/>
    <w:uiPriority w:val="99"/>
    <w:semiHidden/>
    <w:rsid w:val="0013508E"/>
    <w:rPr>
      <w:rFonts w:ascii="Consolas" w:hAnsi="Consolas" w:cs="Consolas"/>
      <w:sz w:val="21"/>
      <w:szCs w:val="21"/>
    </w:rPr>
  </w:style>
  <w:style w:type="character" w:customStyle="1" w:styleId="PlainTextChar">
    <w:name w:val="Plain Text Char"/>
    <w:basedOn w:val="DefaultParagraphFont"/>
    <w:link w:val="PlainText"/>
    <w:uiPriority w:val="99"/>
    <w:semiHidden/>
    <w:rsid w:val="0013508E"/>
    <w:rPr>
      <w:rFonts w:ascii="Consolas" w:eastAsiaTheme="minorEastAsia" w:hAnsi="Consolas" w:cs="Consolas"/>
      <w:sz w:val="21"/>
      <w:szCs w:val="21"/>
      <w:lang w:val="en-US"/>
    </w:rPr>
  </w:style>
  <w:style w:type="paragraph" w:styleId="Salutation">
    <w:name w:val="Salutation"/>
    <w:basedOn w:val="Normal"/>
    <w:next w:val="Normal"/>
    <w:link w:val="SalutationChar"/>
    <w:uiPriority w:val="99"/>
    <w:semiHidden/>
    <w:rsid w:val="0013508E"/>
  </w:style>
  <w:style w:type="character" w:customStyle="1" w:styleId="SalutationChar">
    <w:name w:val="Salutation Char"/>
    <w:basedOn w:val="DefaultParagraphFont"/>
    <w:link w:val="Salutation"/>
    <w:uiPriority w:val="99"/>
    <w:semiHidden/>
    <w:rsid w:val="0013508E"/>
    <w:rPr>
      <w:rFonts w:eastAsiaTheme="minorEastAsia"/>
      <w:sz w:val="24"/>
      <w:lang w:val="en-US"/>
    </w:rPr>
  </w:style>
  <w:style w:type="paragraph" w:styleId="Signature">
    <w:name w:val="Signature"/>
    <w:basedOn w:val="Normal"/>
    <w:link w:val="SignatureChar"/>
    <w:uiPriority w:val="99"/>
    <w:semiHidden/>
    <w:rsid w:val="0013508E"/>
    <w:pPr>
      <w:ind w:left="4252"/>
    </w:pPr>
  </w:style>
  <w:style w:type="character" w:customStyle="1" w:styleId="SignatureChar">
    <w:name w:val="Signature Char"/>
    <w:basedOn w:val="DefaultParagraphFont"/>
    <w:link w:val="Signature"/>
    <w:uiPriority w:val="99"/>
    <w:semiHidden/>
    <w:rsid w:val="0013508E"/>
    <w:rPr>
      <w:rFonts w:eastAsiaTheme="minorEastAsia"/>
      <w:sz w:val="24"/>
      <w:lang w:val="en-US"/>
    </w:rPr>
  </w:style>
  <w:style w:type="table" w:styleId="Table3Deffects1">
    <w:name w:val="Table 3D effects 1"/>
    <w:basedOn w:val="TableNormal"/>
    <w:uiPriority w:val="99"/>
    <w:semiHidden/>
    <w:rsid w:val="0013508E"/>
    <w:pPr>
      <w:suppressAutoHyphens/>
      <w:spacing w:after="0" w:line="240" w:lineRule="auto"/>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13508E"/>
    <w:pPr>
      <w:suppressAutoHyphens/>
      <w:spacing w:after="0" w:line="240" w:lineRule="auto"/>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13508E"/>
    <w:pPr>
      <w:suppressAutoHyphens/>
      <w:spacing w:after="0" w:line="240" w:lineRule="auto"/>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13508E"/>
    <w:pPr>
      <w:suppressAutoHyphens/>
      <w:spacing w:after="0" w:line="240" w:lineRule="auto"/>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13508E"/>
    <w:pPr>
      <w:suppressAutoHyphens/>
      <w:spacing w:after="0" w:line="240" w:lineRule="auto"/>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13508E"/>
    <w:pPr>
      <w:suppressAutoHyphens/>
      <w:spacing w:after="0" w:line="240" w:lineRule="auto"/>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13508E"/>
    <w:pPr>
      <w:suppressAutoHyphens/>
      <w:spacing w:after="0" w:line="240" w:lineRule="auto"/>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13508E"/>
    <w:pPr>
      <w:suppressAutoHyphens/>
      <w:spacing w:after="0" w:line="240" w:lineRule="auto"/>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13508E"/>
    <w:pPr>
      <w:suppressAutoHyphens/>
      <w:spacing w:after="0" w:line="240" w:lineRule="auto"/>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13508E"/>
    <w:pPr>
      <w:suppressAutoHyphens/>
      <w:spacing w:after="0" w:line="240" w:lineRule="auto"/>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13508E"/>
    <w:pPr>
      <w:suppressAutoHyphens/>
      <w:spacing w:after="0" w:line="240" w:lineRule="auto"/>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13508E"/>
    <w:pPr>
      <w:suppressAutoHyphens/>
      <w:spacing w:after="0" w:line="240" w:lineRule="auto"/>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13508E"/>
    <w:pPr>
      <w:suppressAutoHyphens/>
      <w:spacing w:after="0" w:line="240" w:lineRule="auto"/>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13508E"/>
    <w:pPr>
      <w:suppressAutoHyphens/>
      <w:spacing w:after="0" w:line="240" w:lineRule="auto"/>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13508E"/>
    <w:pPr>
      <w:suppressAutoHyphens/>
      <w:spacing w:after="0" w:line="240" w:lineRule="auto"/>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13508E"/>
    <w:pPr>
      <w:suppressAutoHyphens/>
      <w:spacing w:after="0" w:line="240" w:lineRule="auto"/>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13508E"/>
    <w:pPr>
      <w:suppressAutoHyphens/>
      <w:spacing w:after="0" w:line="240" w:lineRule="auto"/>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13508E"/>
    <w:pPr>
      <w:suppressAutoHyphens/>
      <w:spacing w:after="0" w:line="240" w:lineRule="auto"/>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13508E"/>
    <w:pPr>
      <w:suppressAutoHyphens/>
      <w:spacing w:after="0" w:line="240" w:lineRule="auto"/>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13508E"/>
    <w:pPr>
      <w:suppressAutoHyphens/>
      <w:spacing w:after="0" w:line="240" w:lineRule="auto"/>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13508E"/>
    <w:pPr>
      <w:suppressAutoHyphens/>
      <w:spacing w:after="0" w:line="240" w:lineRule="auto"/>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13508E"/>
    <w:pPr>
      <w:suppressAutoHyphens/>
      <w:spacing w:after="0" w:line="240" w:lineRule="auto"/>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13508E"/>
    <w:pPr>
      <w:suppressAutoHyphens/>
      <w:spacing w:after="0" w:line="240" w:lineRule="auto"/>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13508E"/>
    <w:pPr>
      <w:suppressAutoHyphens/>
      <w:spacing w:after="0" w:line="240" w:lineRule="auto"/>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13508E"/>
    <w:pPr>
      <w:suppressAutoHyphens/>
      <w:spacing w:after="0" w:line="240" w:lineRule="auto"/>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13508E"/>
    <w:pPr>
      <w:suppressAutoHyphens/>
      <w:spacing w:after="0" w:line="240" w:lineRule="auto"/>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13508E"/>
    <w:pPr>
      <w:suppressAutoHyphens/>
      <w:spacing w:after="0" w:line="240" w:lineRule="auto"/>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13508E"/>
    <w:pPr>
      <w:suppressAutoHyphens/>
      <w:spacing w:after="0" w:line="240" w:lineRule="auto"/>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13508E"/>
    <w:pPr>
      <w:suppressAutoHyphens/>
      <w:spacing w:after="0" w:line="240" w:lineRule="auto"/>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13508E"/>
    <w:pPr>
      <w:suppressAutoHyphens/>
      <w:spacing w:after="0" w:line="240" w:lineRule="auto"/>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13508E"/>
    <w:pPr>
      <w:suppressAutoHyphens/>
      <w:spacing w:after="0" w:line="240" w:lineRule="auto"/>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13508E"/>
    <w:pPr>
      <w:suppressAutoHyphens/>
      <w:spacing w:after="0" w:line="240" w:lineRule="auto"/>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13508E"/>
    <w:pPr>
      <w:suppressAutoHyphens/>
      <w:spacing w:after="0" w:line="240" w:lineRule="auto"/>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13508E"/>
    <w:pPr>
      <w:ind w:left="240" w:hanging="240"/>
    </w:pPr>
  </w:style>
  <w:style w:type="paragraph" w:styleId="TableofFigures">
    <w:name w:val="table of figures"/>
    <w:basedOn w:val="Normal"/>
    <w:next w:val="Normal"/>
    <w:uiPriority w:val="99"/>
    <w:semiHidden/>
    <w:rsid w:val="0013508E"/>
  </w:style>
  <w:style w:type="table" w:styleId="TableProfessional">
    <w:name w:val="Table Professional"/>
    <w:basedOn w:val="TableNormal"/>
    <w:uiPriority w:val="99"/>
    <w:semiHidden/>
    <w:rsid w:val="0013508E"/>
    <w:pPr>
      <w:suppressAutoHyphens/>
      <w:spacing w:after="0" w:line="240" w:lineRule="auto"/>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13508E"/>
    <w:pPr>
      <w:suppressAutoHyphens/>
      <w:spacing w:after="0" w:line="240" w:lineRule="auto"/>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13508E"/>
    <w:pPr>
      <w:suppressAutoHyphens/>
      <w:spacing w:after="0" w:line="240" w:lineRule="auto"/>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13508E"/>
    <w:pPr>
      <w:suppressAutoHyphens/>
      <w:spacing w:after="0" w:line="240" w:lineRule="auto"/>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13508E"/>
    <w:pPr>
      <w:suppressAutoHyphens/>
      <w:spacing w:after="0" w:line="240" w:lineRule="auto"/>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13508E"/>
    <w:pPr>
      <w:suppressAutoHyphens/>
      <w:spacing w:after="0" w:line="240" w:lineRule="auto"/>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13508E"/>
    <w:pPr>
      <w:suppressAutoHyphens/>
      <w:spacing w:after="0" w:line="240" w:lineRule="auto"/>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13508E"/>
    <w:pPr>
      <w:suppressAutoHyphens/>
      <w:spacing w:after="0" w:line="240" w:lineRule="auto"/>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13508E"/>
    <w:pPr>
      <w:suppressAutoHyphens/>
      <w:spacing w:after="0" w:line="240" w:lineRule="auto"/>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13508E"/>
    <w:pPr>
      <w:suppressAutoHyphens/>
      <w:spacing w:after="0" w:line="240" w:lineRule="auto"/>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13508E"/>
    <w:pPr>
      <w:spacing w:after="100"/>
      <w:ind w:left="1200"/>
    </w:pPr>
  </w:style>
  <w:style w:type="paragraph" w:styleId="TOC7">
    <w:name w:val="toc 7"/>
    <w:basedOn w:val="Normal"/>
    <w:next w:val="Normal"/>
    <w:autoRedefine/>
    <w:uiPriority w:val="99"/>
    <w:semiHidden/>
    <w:rsid w:val="0013508E"/>
    <w:pPr>
      <w:spacing w:after="100"/>
      <w:ind w:left="1440"/>
    </w:pPr>
  </w:style>
  <w:style w:type="paragraph" w:styleId="TOC8">
    <w:name w:val="toc 8"/>
    <w:basedOn w:val="Normal"/>
    <w:next w:val="Normal"/>
    <w:autoRedefine/>
    <w:uiPriority w:val="99"/>
    <w:semiHidden/>
    <w:rsid w:val="0013508E"/>
    <w:pPr>
      <w:spacing w:after="100"/>
      <w:ind w:left="1680"/>
    </w:pPr>
  </w:style>
  <w:style w:type="paragraph" w:styleId="TOC9">
    <w:name w:val="toc 9"/>
    <w:basedOn w:val="Normal"/>
    <w:next w:val="Normal"/>
    <w:autoRedefine/>
    <w:uiPriority w:val="99"/>
    <w:semiHidden/>
    <w:rsid w:val="0013508E"/>
    <w:pPr>
      <w:spacing w:after="100"/>
      <w:ind w:left="1920"/>
    </w:pPr>
  </w:style>
  <w:style w:type="paragraph" w:customStyle="1" w:styleId="JuCourt">
    <w:name w:val="Ju_Court"/>
    <w:basedOn w:val="Normal"/>
    <w:next w:val="Normal"/>
    <w:uiPriority w:val="16"/>
    <w:qFormat/>
    <w:rsid w:val="0013508E"/>
    <w:pPr>
      <w:tabs>
        <w:tab w:val="left" w:pos="907"/>
        <w:tab w:val="left" w:pos="1701"/>
        <w:tab w:val="right" w:pos="7371"/>
      </w:tabs>
      <w:spacing w:before="240"/>
      <w:ind w:left="397" w:hanging="397"/>
      <w:jc w:val="left"/>
    </w:pPr>
    <w:rPr>
      <w:lang w:bidi="en-US"/>
    </w:rPr>
  </w:style>
  <w:style w:type="paragraph" w:customStyle="1" w:styleId="JuListi">
    <w:name w:val="Ju_List_i"/>
    <w:basedOn w:val="Normal"/>
    <w:next w:val="JuLista"/>
    <w:uiPriority w:val="28"/>
    <w:qFormat/>
    <w:rsid w:val="0013508E"/>
    <w:pPr>
      <w:ind w:left="794"/>
    </w:pPr>
  </w:style>
  <w:style w:type="paragraph" w:customStyle="1" w:styleId="OpiH1">
    <w:name w:val="Opi_H_1"/>
    <w:basedOn w:val="ECHRHeading2"/>
    <w:uiPriority w:val="42"/>
    <w:semiHidden/>
    <w:qFormat/>
    <w:rsid w:val="0013508E"/>
    <w:pPr>
      <w:keepNext/>
      <w:keepLines/>
      <w:numPr>
        <w:ilvl w:val="0"/>
        <w:numId w:val="0"/>
      </w:numPr>
      <w:tabs>
        <w:tab w:val="left" w:pos="584"/>
      </w:tabs>
      <w:spacing w:before="360" w:after="240"/>
      <w:ind w:left="635" w:hanging="357"/>
      <w:outlineLvl w:val="2"/>
    </w:pPr>
    <w:rPr>
      <w:color w:val="auto"/>
      <w:sz w:val="24"/>
    </w:rPr>
  </w:style>
  <w:style w:type="paragraph" w:customStyle="1" w:styleId="OpiHa0">
    <w:name w:val="Opi_H_a"/>
    <w:basedOn w:val="ECHRHeading3"/>
    <w:uiPriority w:val="43"/>
    <w:semiHidden/>
    <w:qFormat/>
    <w:rsid w:val="0013508E"/>
    <w:pPr>
      <w:keepNext/>
      <w:keepLines/>
      <w:numPr>
        <w:ilvl w:val="0"/>
        <w:numId w:val="0"/>
      </w:numPr>
      <w:tabs>
        <w:tab w:val="left" w:pos="731"/>
      </w:tabs>
      <w:spacing w:before="240" w:after="120" w:line="240" w:lineRule="auto"/>
      <w:ind w:left="833" w:hanging="357"/>
      <w:outlineLvl w:val="3"/>
    </w:pPr>
    <w:rPr>
      <w:color w:val="auto"/>
      <w:sz w:val="20"/>
    </w:rPr>
  </w:style>
  <w:style w:type="paragraph" w:customStyle="1" w:styleId="OpiHi">
    <w:name w:val="Opi_H_i"/>
    <w:basedOn w:val="ECHRHeading4"/>
    <w:uiPriority w:val="44"/>
    <w:semiHidden/>
    <w:qFormat/>
    <w:rsid w:val="0013508E"/>
    <w:pPr>
      <w:keepNext/>
      <w:keepLines/>
      <w:numPr>
        <w:ilvl w:val="0"/>
        <w:numId w:val="0"/>
      </w:numPr>
      <w:tabs>
        <w:tab w:val="left" w:pos="975"/>
      </w:tabs>
      <w:spacing w:before="240" w:after="120"/>
      <w:ind w:left="1037" w:hanging="357"/>
      <w:outlineLvl w:val="4"/>
    </w:pPr>
    <w:rPr>
      <w:b w:val="0"/>
      <w:color w:val="auto"/>
      <w:sz w:val="20"/>
    </w:rPr>
  </w:style>
  <w:style w:type="paragraph" w:customStyle="1" w:styleId="DummyStyle">
    <w:name w:val="Dummy_Style"/>
    <w:basedOn w:val="Normal"/>
    <w:semiHidden/>
    <w:qFormat/>
    <w:rsid w:val="0013508E"/>
    <w:rPr>
      <w:color w:val="00B050"/>
      <w:lang w:bidi="en-US"/>
    </w:rPr>
  </w:style>
  <w:style w:type="table" w:customStyle="1" w:styleId="Table3Deffects11">
    <w:name w:val="Table 3D effects 11"/>
    <w:basedOn w:val="TableNormal"/>
    <w:next w:val="Table3Deffects1"/>
    <w:uiPriority w:val="99"/>
    <w:semiHidden/>
    <w:rsid w:val="0013508E"/>
    <w:pPr>
      <w:spacing w:after="0" w:line="240" w:lineRule="auto"/>
      <w:jc w:val="both"/>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rsid w:val="0013508E"/>
    <w:pPr>
      <w:spacing w:after="0" w:line="240" w:lineRule="auto"/>
      <w:jc w:val="both"/>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rsid w:val="0013508E"/>
    <w:pPr>
      <w:spacing w:after="0" w:line="240" w:lineRule="auto"/>
      <w:jc w:val="both"/>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rsid w:val="0013508E"/>
    <w:pPr>
      <w:spacing w:after="0" w:line="240" w:lineRule="auto"/>
      <w:jc w:val="both"/>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rsid w:val="0013508E"/>
    <w:pPr>
      <w:spacing w:after="0" w:line="240" w:lineRule="auto"/>
      <w:jc w:val="both"/>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rsid w:val="0013508E"/>
    <w:pPr>
      <w:spacing w:after="0" w:line="240" w:lineRule="auto"/>
      <w:jc w:val="both"/>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rsid w:val="0013508E"/>
    <w:pPr>
      <w:spacing w:after="0" w:line="240" w:lineRule="auto"/>
      <w:jc w:val="both"/>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rsid w:val="0013508E"/>
    <w:pPr>
      <w:spacing w:after="0" w:line="240" w:lineRule="auto"/>
      <w:jc w:val="both"/>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rsid w:val="0013508E"/>
    <w:pPr>
      <w:spacing w:after="0" w:line="240" w:lineRule="auto"/>
      <w:jc w:val="both"/>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rsid w:val="0013508E"/>
    <w:pPr>
      <w:spacing w:after="0" w:line="240" w:lineRule="auto"/>
      <w:jc w:val="both"/>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rsid w:val="0013508E"/>
    <w:pPr>
      <w:spacing w:after="0" w:line="240" w:lineRule="auto"/>
      <w:jc w:val="both"/>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rsid w:val="0013508E"/>
    <w:pPr>
      <w:spacing w:after="0" w:line="240" w:lineRule="auto"/>
      <w:jc w:val="both"/>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rsid w:val="0013508E"/>
    <w:pPr>
      <w:spacing w:after="0" w:line="240" w:lineRule="auto"/>
      <w:jc w:val="both"/>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rsid w:val="0013508E"/>
    <w:pPr>
      <w:spacing w:after="0" w:line="240" w:lineRule="auto"/>
      <w:jc w:val="both"/>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rsid w:val="0013508E"/>
    <w:pPr>
      <w:spacing w:after="0" w:line="240" w:lineRule="auto"/>
      <w:jc w:val="both"/>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rsid w:val="0013508E"/>
    <w:pPr>
      <w:spacing w:after="0" w:line="240" w:lineRule="auto"/>
      <w:jc w:val="both"/>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rsid w:val="0013508E"/>
    <w:pPr>
      <w:spacing w:after="0" w:line="240" w:lineRule="auto"/>
      <w:jc w:val="both"/>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rsid w:val="0013508E"/>
    <w:pPr>
      <w:spacing w:after="0" w:line="240" w:lineRule="auto"/>
      <w:jc w:val="both"/>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rsid w:val="0013508E"/>
    <w:pPr>
      <w:spacing w:after="0" w:line="240" w:lineRule="auto"/>
      <w:jc w:val="both"/>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rsid w:val="0013508E"/>
    <w:pPr>
      <w:spacing w:after="0" w:line="240" w:lineRule="auto"/>
      <w:jc w:val="both"/>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rsid w:val="0013508E"/>
    <w:pPr>
      <w:spacing w:after="0" w:line="240" w:lineRule="auto"/>
      <w:jc w:val="both"/>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rsid w:val="0013508E"/>
    <w:pPr>
      <w:spacing w:after="0" w:line="240" w:lineRule="auto"/>
      <w:jc w:val="both"/>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rsid w:val="0013508E"/>
    <w:pPr>
      <w:spacing w:after="0" w:line="240" w:lineRule="auto"/>
      <w:jc w:val="both"/>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rsid w:val="0013508E"/>
    <w:pPr>
      <w:spacing w:after="0" w:line="240" w:lineRule="auto"/>
      <w:jc w:val="both"/>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rsid w:val="0013508E"/>
    <w:pPr>
      <w:spacing w:after="0" w:line="240" w:lineRule="auto"/>
      <w:jc w:val="both"/>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rsid w:val="0013508E"/>
    <w:pPr>
      <w:spacing w:after="0" w:line="240" w:lineRule="auto"/>
      <w:jc w:val="both"/>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rsid w:val="0013508E"/>
    <w:pPr>
      <w:spacing w:after="0" w:line="240" w:lineRule="auto"/>
      <w:jc w:val="both"/>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rsid w:val="0013508E"/>
    <w:pPr>
      <w:spacing w:after="0" w:line="240" w:lineRule="auto"/>
      <w:jc w:val="both"/>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rsid w:val="0013508E"/>
    <w:pPr>
      <w:spacing w:after="0" w:line="240" w:lineRule="auto"/>
      <w:jc w:val="both"/>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rsid w:val="0013508E"/>
    <w:pPr>
      <w:spacing w:after="0" w:line="240" w:lineRule="auto"/>
      <w:jc w:val="both"/>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rsid w:val="0013508E"/>
    <w:pPr>
      <w:spacing w:after="0" w:line="240" w:lineRule="auto"/>
      <w:jc w:val="both"/>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rsid w:val="0013508E"/>
    <w:pPr>
      <w:spacing w:after="0" w:line="240" w:lineRule="auto"/>
      <w:jc w:val="both"/>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rsid w:val="0013508E"/>
    <w:pPr>
      <w:spacing w:after="0" w:line="240" w:lineRule="auto"/>
      <w:jc w:val="both"/>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rsid w:val="0013508E"/>
    <w:pPr>
      <w:spacing w:after="0" w:line="240" w:lineRule="auto"/>
      <w:jc w:val="both"/>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rsid w:val="0013508E"/>
    <w:pPr>
      <w:spacing w:after="0" w:line="240" w:lineRule="auto"/>
      <w:jc w:val="both"/>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rsid w:val="0013508E"/>
    <w:pPr>
      <w:spacing w:after="0" w:line="240" w:lineRule="auto"/>
      <w:jc w:val="both"/>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rsid w:val="0013508E"/>
    <w:pPr>
      <w:spacing w:after="0" w:line="240" w:lineRule="auto"/>
      <w:jc w:val="both"/>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rsid w:val="0013508E"/>
    <w:pPr>
      <w:spacing w:after="0" w:line="240" w:lineRule="auto"/>
      <w:jc w:val="both"/>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rsid w:val="0013508E"/>
    <w:pPr>
      <w:spacing w:after="0" w:line="240" w:lineRule="auto"/>
      <w:jc w:val="both"/>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rsid w:val="0013508E"/>
    <w:pPr>
      <w:spacing w:after="0" w:line="240" w:lineRule="auto"/>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rsid w:val="0013508E"/>
    <w:pPr>
      <w:spacing w:after="0" w:line="240" w:lineRule="auto"/>
      <w:jc w:val="both"/>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rsid w:val="0013508E"/>
    <w:pPr>
      <w:spacing w:after="0" w:line="240" w:lineRule="auto"/>
      <w:jc w:val="both"/>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rsid w:val="0013508E"/>
    <w:pPr>
      <w:spacing w:after="0" w:line="240" w:lineRule="auto"/>
      <w:jc w:val="both"/>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ECHRList">
    <w:name w:val="ECHR_List"/>
    <w:aliases w:val="List_Simple"/>
    <w:basedOn w:val="Normal"/>
    <w:uiPriority w:val="10"/>
    <w:rsid w:val="0013508E"/>
    <w:pPr>
      <w:numPr>
        <w:numId w:val="15"/>
      </w:numPr>
      <w:jc w:val="left"/>
    </w:pPr>
    <w:rPr>
      <w:rFonts w:eastAsiaTheme="minorHAnsi"/>
      <w:sz w:val="22"/>
    </w:rPr>
  </w:style>
  <w:style w:type="character" w:customStyle="1" w:styleId="ECHRParaChar">
    <w:name w:val="ECHR_Para Char"/>
    <w:aliases w:val="Ju_Para Char"/>
    <w:link w:val="ECHRPara"/>
    <w:rsid w:val="0013508E"/>
    <w:rPr>
      <w:rFonts w:eastAsiaTheme="minorEastAsia"/>
      <w:sz w:val="24"/>
      <w:lang w:val="en-US"/>
    </w:rPr>
  </w:style>
  <w:style w:type="character" w:customStyle="1" w:styleId="JuJudgesChar">
    <w:name w:val="Ju_Judges Char"/>
    <w:link w:val="ECHRDecisionBody"/>
    <w:uiPriority w:val="11"/>
    <w:rsid w:val="0013508E"/>
    <w:rPr>
      <w:rFonts w:eastAsiaTheme="minorEastAsia"/>
      <w:sz w:val="24"/>
      <w:lang w:val="en-US"/>
    </w:rPr>
  </w:style>
  <w:style w:type="character" w:customStyle="1" w:styleId="JuQuotChar">
    <w:name w:val="Ju_Quot Char"/>
    <w:basedOn w:val="ECHRParaChar"/>
    <w:link w:val="ECHRParaQuote"/>
    <w:locked/>
    <w:rsid w:val="0013508E"/>
    <w:rPr>
      <w:rFonts w:eastAsiaTheme="minorEastAsia"/>
      <w:sz w:val="20"/>
      <w:lang w:val="en-US"/>
    </w:rPr>
  </w:style>
  <w:style w:type="paragraph" w:customStyle="1" w:styleId="ECHRParaSpaced">
    <w:name w:val="ECHR_Para_Spaced"/>
    <w:aliases w:val="Para_Spaced"/>
    <w:basedOn w:val="ECHRPara"/>
    <w:uiPriority w:val="5"/>
    <w:rsid w:val="0013508E"/>
    <w:pPr>
      <w:spacing w:before="120" w:after="120"/>
      <w:ind w:firstLine="0"/>
    </w:pPr>
    <w:rPr>
      <w:rFonts w:eastAsiaTheme="minorHAnsi"/>
      <w:sz w:val="22"/>
    </w:rPr>
  </w:style>
  <w:style w:type="paragraph" w:styleId="Revision">
    <w:name w:val="Revision"/>
    <w:hidden/>
    <w:uiPriority w:val="99"/>
    <w:semiHidden/>
    <w:rsid w:val="0013508E"/>
    <w:pPr>
      <w:spacing w:after="0" w:line="240" w:lineRule="auto"/>
    </w:pPr>
    <w:rPr>
      <w:rFonts w:eastAsiaTheme="minorEastAsia"/>
      <w:sz w:val="24"/>
      <w:lang w:val="fr-FR"/>
    </w:rPr>
  </w:style>
  <w:style w:type="table" w:customStyle="1" w:styleId="Table3Deffects12">
    <w:name w:val="Table 3D effects 12"/>
    <w:basedOn w:val="TableNormal"/>
    <w:next w:val="Table3Deffects1"/>
    <w:uiPriority w:val="99"/>
    <w:semiHidden/>
    <w:rsid w:val="0013508E"/>
    <w:pPr>
      <w:spacing w:after="0" w:line="240" w:lineRule="auto"/>
      <w:jc w:val="both"/>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uiPriority w:val="99"/>
    <w:semiHidden/>
    <w:rsid w:val="0013508E"/>
    <w:pPr>
      <w:spacing w:after="0" w:line="240" w:lineRule="auto"/>
      <w:jc w:val="both"/>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uiPriority w:val="99"/>
    <w:semiHidden/>
    <w:rsid w:val="0013508E"/>
    <w:pPr>
      <w:spacing w:after="0" w:line="240" w:lineRule="auto"/>
      <w:jc w:val="both"/>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uiPriority w:val="99"/>
    <w:semiHidden/>
    <w:rsid w:val="0013508E"/>
    <w:pPr>
      <w:spacing w:after="0" w:line="240" w:lineRule="auto"/>
      <w:jc w:val="both"/>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uiPriority w:val="99"/>
    <w:semiHidden/>
    <w:rsid w:val="0013508E"/>
    <w:pPr>
      <w:spacing w:after="0" w:line="240" w:lineRule="auto"/>
      <w:jc w:val="both"/>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uiPriority w:val="99"/>
    <w:semiHidden/>
    <w:rsid w:val="0013508E"/>
    <w:pPr>
      <w:spacing w:after="0" w:line="240" w:lineRule="auto"/>
      <w:jc w:val="both"/>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uiPriority w:val="99"/>
    <w:semiHidden/>
    <w:rsid w:val="0013508E"/>
    <w:pPr>
      <w:spacing w:after="0" w:line="240" w:lineRule="auto"/>
      <w:jc w:val="both"/>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uiPriority w:val="99"/>
    <w:semiHidden/>
    <w:rsid w:val="0013508E"/>
    <w:pPr>
      <w:spacing w:after="0" w:line="240" w:lineRule="auto"/>
      <w:jc w:val="both"/>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uiPriority w:val="99"/>
    <w:semiHidden/>
    <w:rsid w:val="0013508E"/>
    <w:pPr>
      <w:spacing w:after="0" w:line="240" w:lineRule="auto"/>
      <w:jc w:val="both"/>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uiPriority w:val="99"/>
    <w:semiHidden/>
    <w:rsid w:val="0013508E"/>
    <w:pPr>
      <w:spacing w:after="0" w:line="240" w:lineRule="auto"/>
      <w:jc w:val="both"/>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uiPriority w:val="99"/>
    <w:semiHidden/>
    <w:rsid w:val="0013508E"/>
    <w:pPr>
      <w:spacing w:after="0" w:line="240" w:lineRule="auto"/>
      <w:jc w:val="both"/>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uiPriority w:val="99"/>
    <w:semiHidden/>
    <w:rsid w:val="0013508E"/>
    <w:pPr>
      <w:spacing w:after="0" w:line="240" w:lineRule="auto"/>
      <w:jc w:val="both"/>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uiPriority w:val="99"/>
    <w:semiHidden/>
    <w:rsid w:val="0013508E"/>
    <w:pPr>
      <w:spacing w:after="0" w:line="240" w:lineRule="auto"/>
      <w:jc w:val="both"/>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uiPriority w:val="99"/>
    <w:semiHidden/>
    <w:rsid w:val="0013508E"/>
    <w:pPr>
      <w:spacing w:after="0" w:line="240" w:lineRule="auto"/>
      <w:jc w:val="both"/>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uiPriority w:val="99"/>
    <w:semiHidden/>
    <w:rsid w:val="0013508E"/>
    <w:pPr>
      <w:spacing w:after="0" w:line="240" w:lineRule="auto"/>
      <w:jc w:val="both"/>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uiPriority w:val="99"/>
    <w:semiHidden/>
    <w:rsid w:val="0013508E"/>
    <w:pPr>
      <w:spacing w:after="0" w:line="240" w:lineRule="auto"/>
      <w:jc w:val="both"/>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uiPriority w:val="99"/>
    <w:semiHidden/>
    <w:rsid w:val="0013508E"/>
    <w:pPr>
      <w:spacing w:after="0" w:line="240" w:lineRule="auto"/>
      <w:jc w:val="both"/>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uiPriority w:val="99"/>
    <w:semiHidden/>
    <w:rsid w:val="0013508E"/>
    <w:pPr>
      <w:spacing w:after="0" w:line="240" w:lineRule="auto"/>
      <w:jc w:val="both"/>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uiPriority w:val="99"/>
    <w:semiHidden/>
    <w:rsid w:val="0013508E"/>
    <w:pPr>
      <w:spacing w:after="0" w:line="240" w:lineRule="auto"/>
      <w:jc w:val="both"/>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uiPriority w:val="99"/>
    <w:semiHidden/>
    <w:rsid w:val="0013508E"/>
    <w:pPr>
      <w:spacing w:after="0" w:line="240" w:lineRule="auto"/>
      <w:jc w:val="both"/>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uiPriority w:val="99"/>
    <w:semiHidden/>
    <w:rsid w:val="0013508E"/>
    <w:pPr>
      <w:spacing w:after="0" w:line="240" w:lineRule="auto"/>
      <w:jc w:val="both"/>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uiPriority w:val="99"/>
    <w:semiHidden/>
    <w:rsid w:val="0013508E"/>
    <w:pPr>
      <w:spacing w:after="0" w:line="240" w:lineRule="auto"/>
      <w:jc w:val="both"/>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uiPriority w:val="99"/>
    <w:semiHidden/>
    <w:rsid w:val="0013508E"/>
    <w:pPr>
      <w:spacing w:after="0" w:line="240" w:lineRule="auto"/>
      <w:jc w:val="both"/>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uiPriority w:val="99"/>
    <w:semiHidden/>
    <w:rsid w:val="0013508E"/>
    <w:pPr>
      <w:spacing w:after="0" w:line="240" w:lineRule="auto"/>
      <w:jc w:val="both"/>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uiPriority w:val="99"/>
    <w:semiHidden/>
    <w:rsid w:val="0013508E"/>
    <w:pPr>
      <w:spacing w:after="0" w:line="240" w:lineRule="auto"/>
      <w:jc w:val="both"/>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uiPriority w:val="99"/>
    <w:semiHidden/>
    <w:rsid w:val="0013508E"/>
    <w:pPr>
      <w:spacing w:after="0" w:line="240" w:lineRule="auto"/>
      <w:jc w:val="both"/>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uiPriority w:val="99"/>
    <w:semiHidden/>
    <w:rsid w:val="0013508E"/>
    <w:pPr>
      <w:spacing w:after="0" w:line="240" w:lineRule="auto"/>
      <w:jc w:val="both"/>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uiPriority w:val="99"/>
    <w:semiHidden/>
    <w:rsid w:val="0013508E"/>
    <w:pPr>
      <w:spacing w:after="0" w:line="240" w:lineRule="auto"/>
      <w:jc w:val="both"/>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uiPriority w:val="99"/>
    <w:semiHidden/>
    <w:rsid w:val="0013508E"/>
    <w:pPr>
      <w:spacing w:after="0" w:line="240" w:lineRule="auto"/>
      <w:jc w:val="both"/>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uiPriority w:val="99"/>
    <w:semiHidden/>
    <w:rsid w:val="0013508E"/>
    <w:pPr>
      <w:spacing w:after="0" w:line="240" w:lineRule="auto"/>
      <w:jc w:val="both"/>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uiPriority w:val="99"/>
    <w:semiHidden/>
    <w:rsid w:val="0013508E"/>
    <w:pPr>
      <w:spacing w:after="0" w:line="240" w:lineRule="auto"/>
      <w:jc w:val="both"/>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uiPriority w:val="99"/>
    <w:semiHidden/>
    <w:rsid w:val="0013508E"/>
    <w:pPr>
      <w:spacing w:after="0" w:line="240" w:lineRule="auto"/>
      <w:jc w:val="both"/>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uiPriority w:val="99"/>
    <w:semiHidden/>
    <w:rsid w:val="0013508E"/>
    <w:pPr>
      <w:spacing w:after="0" w:line="240" w:lineRule="auto"/>
      <w:jc w:val="both"/>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uiPriority w:val="99"/>
    <w:semiHidden/>
    <w:rsid w:val="0013508E"/>
    <w:pPr>
      <w:spacing w:after="0" w:line="240" w:lineRule="auto"/>
      <w:jc w:val="both"/>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uiPriority w:val="99"/>
    <w:semiHidden/>
    <w:rsid w:val="0013508E"/>
    <w:pPr>
      <w:spacing w:after="0" w:line="240" w:lineRule="auto"/>
      <w:jc w:val="both"/>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uiPriority w:val="99"/>
    <w:semiHidden/>
    <w:rsid w:val="0013508E"/>
    <w:pPr>
      <w:spacing w:after="0" w:line="240" w:lineRule="auto"/>
      <w:jc w:val="both"/>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uiPriority w:val="99"/>
    <w:semiHidden/>
    <w:rsid w:val="0013508E"/>
    <w:pPr>
      <w:spacing w:after="0" w:line="240" w:lineRule="auto"/>
      <w:jc w:val="both"/>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uiPriority w:val="99"/>
    <w:semiHidden/>
    <w:rsid w:val="0013508E"/>
    <w:pPr>
      <w:spacing w:after="0" w:line="240" w:lineRule="auto"/>
      <w:jc w:val="both"/>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uiPriority w:val="99"/>
    <w:semiHidden/>
    <w:rsid w:val="0013508E"/>
    <w:pPr>
      <w:spacing w:after="0" w:line="240" w:lineRule="auto"/>
      <w:jc w:val="both"/>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uiPriority w:val="99"/>
    <w:semiHidden/>
    <w:rsid w:val="0013508E"/>
    <w:pPr>
      <w:spacing w:after="0" w:line="240" w:lineRule="auto"/>
      <w:jc w:val="both"/>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uiPriority w:val="99"/>
    <w:semiHidden/>
    <w:rsid w:val="0013508E"/>
    <w:pPr>
      <w:spacing w:after="0" w:line="240" w:lineRule="auto"/>
      <w:jc w:val="both"/>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uiPriority w:val="99"/>
    <w:semiHidden/>
    <w:rsid w:val="0013508E"/>
    <w:pPr>
      <w:spacing w:after="0" w:line="240" w:lineRule="auto"/>
      <w:jc w:val="both"/>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uiPriority w:val="99"/>
    <w:semiHidden/>
    <w:rsid w:val="0013508E"/>
    <w:pPr>
      <w:spacing w:after="0" w:line="240" w:lineRule="auto"/>
      <w:jc w:val="both"/>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converted-space">
    <w:name w:val="apple-converted-space"/>
    <w:basedOn w:val="DefaultParagraphFont"/>
    <w:rsid w:val="0013508E"/>
  </w:style>
  <w:style w:type="paragraph" w:customStyle="1" w:styleId="c01pointnumerotealtn">
    <w:name w:val="c01pointnumerotealtn"/>
    <w:basedOn w:val="Normal"/>
    <w:rsid w:val="0013508E"/>
    <w:pPr>
      <w:spacing w:before="100" w:beforeAutospacing="1" w:after="100" w:afterAutospacing="1"/>
      <w:jc w:val="left"/>
    </w:pPr>
    <w:rPr>
      <w:rFonts w:ascii="Times New Roman" w:eastAsia="Times New Roman" w:hAnsi="Times New Roman" w:cs="Times New Roman"/>
      <w:szCs w:val="24"/>
      <w:lang w:val="lv-LV" w:eastAsia="lv-LV"/>
    </w:rPr>
  </w:style>
  <w:style w:type="paragraph" w:customStyle="1" w:styleId="tv213">
    <w:name w:val="tv213"/>
    <w:basedOn w:val="Normal"/>
    <w:rsid w:val="0013508E"/>
    <w:pPr>
      <w:spacing w:before="100" w:beforeAutospacing="1" w:after="100" w:afterAutospacing="1"/>
      <w:jc w:val="left"/>
    </w:pPr>
    <w:rPr>
      <w:rFonts w:ascii="Times New Roman" w:eastAsia="Times New Roman" w:hAnsi="Times New Roman" w:cs="Times New Roman"/>
      <w:szCs w:val="24"/>
      <w:lang w:val="lv-LV" w:eastAsia="lv-LV"/>
    </w:rPr>
  </w:style>
  <w:style w:type="character" w:customStyle="1" w:styleId="JuParaCar">
    <w:name w:val="Ju_Para Car"/>
    <w:locked/>
    <w:rsid w:val="0013508E"/>
    <w:rPr>
      <w:rFonts w:ascii="Calibri" w:eastAsia="MS Mincho" w:hAnsi="Calibri"/>
      <w:sz w:val="22"/>
      <w:lang w:val="lv-LV" w:eastAsia="lv-LV"/>
    </w:rPr>
  </w:style>
  <w:style w:type="character" w:customStyle="1" w:styleId="newword">
    <w:name w:val="newword"/>
    <w:rsid w:val="0013508E"/>
  </w:style>
  <w:style w:type="character" w:customStyle="1" w:styleId="st1">
    <w:name w:val="st1"/>
    <w:basedOn w:val="DefaultParagraphFont"/>
    <w:rsid w:val="00135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104068</Words>
  <Characters>59319</Characters>
  <Application>Microsoft Office Word</Application>
  <DocSecurity>0</DocSecurity>
  <Lines>494</Lines>
  <Paragraphs>326</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163061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Freimane</dc:creator>
  <cp:lastModifiedBy>Rasma Zvejniece</cp:lastModifiedBy>
  <cp:revision>2</cp:revision>
  <dcterms:created xsi:type="dcterms:W3CDTF">2016-08-09T11:45:00Z</dcterms:created>
  <dcterms:modified xsi:type="dcterms:W3CDTF">2016-08-09T11:45:00Z</dcterms:modified>
</cp:coreProperties>
</file>